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A3F15" w14:textId="77777777" w:rsidR="005E41C3" w:rsidRDefault="005E41C3" w:rsidP="005E41C3">
      <w:pPr>
        <w:pStyle w:val="Heading1"/>
      </w:pPr>
      <w:r>
        <w:t>Appendix A. Mechanism–Control–Verification Checklist</w:t>
      </w:r>
    </w:p>
    <w:p w14:paraId="5642C911" w14:textId="77777777" w:rsidR="005E41C3" w:rsidRDefault="005E41C3" w:rsidP="005E41C3">
      <w:r>
        <w:t>Table 16 maps each mechanism group to a defensive control and a way to check it. It is a proposed, untested review checklist for security reviews, not a new framework and not a validated standard, and no mechanism has a single universal mitigation. The full table is in the data record (</w:t>
      </w:r>
      <w:r>
        <w:rPr>
          <w:rStyle w:val="RPCodeChar"/>
        </w:rPr>
        <w:t>control_checklist_v1.2.md</w:t>
      </w:r>
      <w:r>
        <w:t>): for each row the security failure, the remaining limits, the typical component in the 937 cases of the frame and, separately, in the 130 sampled cases (observed counts, not weighted), and the support of the control, which is documented behavior (a library's own documentation states it, with source, version and retrieval date), inferred from guidance (a specification or weakness entry names the risk or the control) or no guidance (nothing in the documents of Section 3.6 addresses the group). No control was tested in this study (Section 9).</w:t>
      </w:r>
    </w:p>
    <w:p w14:paraId="5B28731B" w14:textId="77777777" w:rsidR="005E41C3" w:rsidRDefault="005E41C3" w:rsidP="005E41C3">
      <w:pPr>
        <w:pStyle w:val="RPTableCaption"/>
      </w:pPr>
      <w:r>
        <w:rPr>
          <w:rStyle w:val="RPCaptionLabel"/>
        </w:rPr>
        <w:t>Table 16. The proposed, untested mechanism–control–verification review checklist (the full table, with the support of each control and the typical components, is in the data record).</w:t>
      </w:r>
    </w:p>
    <w:tbl>
      <w:tblPr>
        <w:tblStyle w:val="RPTable"/>
        <w:tblW w:w="9360" w:type="dxa"/>
        <w:tblLayout w:type="fixed"/>
        <w:tblLook w:val="0420" w:firstRow="1" w:lastRow="0" w:firstColumn="0" w:lastColumn="0" w:noHBand="0" w:noVBand="1"/>
        <w:tblCaption w:val="Table 16. The proposed, untested mechanism–control–verification review checklist (the full table, with the support of each control and the typical components, is in the data record)."/>
      </w:tblPr>
      <w:tblGrid>
        <w:gridCol w:w="1559"/>
        <w:gridCol w:w="4400"/>
        <w:gridCol w:w="3401"/>
      </w:tblGrid>
      <w:tr w:rsidR="005E41C3" w14:paraId="5DBD24D0" w14:textId="77777777" w:rsidTr="00AD1959">
        <w:trPr>
          <w:cnfStyle w:val="100000000000" w:firstRow="1" w:lastRow="0" w:firstColumn="0" w:lastColumn="0" w:oddVBand="0" w:evenVBand="0" w:oddHBand="0" w:evenHBand="0" w:firstRowFirstColumn="0" w:firstRowLastColumn="0" w:lastRowFirstColumn="0" w:lastRowLastColumn="0"/>
          <w:cantSplit/>
          <w:tblHeader/>
        </w:trPr>
        <w:tc>
          <w:tcPr>
            <w:tcW w:w="1559" w:type="dxa"/>
            <w:vAlign w:val="bottom"/>
          </w:tcPr>
          <w:p w14:paraId="39D4BC29" w14:textId="77777777" w:rsidR="005E41C3" w:rsidRDefault="005E41C3" w:rsidP="00AD1959">
            <w:pPr>
              <w:pStyle w:val="RPTableHeader"/>
            </w:pPr>
            <w:r>
              <w:t>mechanism</w:t>
            </w:r>
          </w:p>
        </w:tc>
        <w:tc>
          <w:tcPr>
            <w:tcW w:w="4400" w:type="dxa"/>
            <w:vAlign w:val="bottom"/>
          </w:tcPr>
          <w:p w14:paraId="31433335" w14:textId="77777777" w:rsidR="005E41C3" w:rsidRDefault="005E41C3" w:rsidP="00AD1959">
            <w:pPr>
              <w:pStyle w:val="RPTableHeader"/>
            </w:pPr>
            <w:r>
              <w:t>control</w:t>
            </w:r>
          </w:p>
        </w:tc>
        <w:tc>
          <w:tcPr>
            <w:tcW w:w="3401" w:type="dxa"/>
            <w:vAlign w:val="bottom"/>
          </w:tcPr>
          <w:p w14:paraId="7A104893" w14:textId="77777777" w:rsidR="005E41C3" w:rsidRDefault="005E41C3" w:rsidP="00AD1959">
            <w:pPr>
              <w:pStyle w:val="RPTableHeader"/>
            </w:pPr>
            <w:r>
              <w:t>how to check it</w:t>
            </w:r>
          </w:p>
        </w:tc>
      </w:tr>
      <w:tr w:rsidR="005E41C3" w14:paraId="57A2B44F" w14:textId="77777777" w:rsidTr="00AD1959">
        <w:trPr>
          <w:cantSplit/>
        </w:trPr>
        <w:tc>
          <w:tcPr>
            <w:tcW w:w="1559" w:type="dxa"/>
          </w:tcPr>
          <w:p w14:paraId="3C3A31AE" w14:textId="77777777" w:rsidR="005E41C3" w:rsidRDefault="005E41C3" w:rsidP="00AD1959">
            <w:pPr>
              <w:pStyle w:val="RPTableBody"/>
            </w:pPr>
            <w:r>
              <w:t>A1 unbounded output</w:t>
            </w:r>
          </w:p>
        </w:tc>
        <w:tc>
          <w:tcPr>
            <w:tcW w:w="4400" w:type="dxa"/>
          </w:tcPr>
          <w:p w14:paraId="1F90AC31" w14:textId="77777777" w:rsidR="005E41C3" w:rsidRDefault="005E41C3" w:rsidP="00AD1959">
            <w:pPr>
              <w:pStyle w:val="RPTableBody"/>
            </w:pPr>
            <w:r>
              <w:t>decoded-output, memory and processing-time budgets enforced while decoding</w:t>
            </w:r>
          </w:p>
        </w:tc>
        <w:tc>
          <w:tcPr>
            <w:tcW w:w="3401" w:type="dxa"/>
          </w:tcPr>
          <w:p w14:paraId="0C2A8E53" w14:textId="77777777" w:rsidR="005E41C3" w:rsidRDefault="005E41C3" w:rsidP="00AD1959">
            <w:pPr>
              <w:pStyle w:val="RPTableBody"/>
            </w:pPr>
            <w:r>
              <w:t>for each decoding entry point, confirm that decoding stops when a budget is reached</w:t>
            </w:r>
          </w:p>
        </w:tc>
      </w:tr>
      <w:tr w:rsidR="005E41C3" w14:paraId="6AE1E6F0" w14:textId="77777777" w:rsidTr="00AD1959">
        <w:trPr>
          <w:cantSplit/>
        </w:trPr>
        <w:tc>
          <w:tcPr>
            <w:tcW w:w="1559" w:type="dxa"/>
          </w:tcPr>
          <w:p w14:paraId="17EC1058" w14:textId="77777777" w:rsidR="005E41C3" w:rsidRDefault="005E41C3" w:rsidP="00AD1959">
            <w:pPr>
              <w:pStyle w:val="RPTableBody"/>
            </w:pPr>
            <w:r>
              <w:t>A2-A3 nesting, recursion, overlapping entries</w:t>
            </w:r>
          </w:p>
        </w:tc>
        <w:tc>
          <w:tcPr>
            <w:tcW w:w="4400" w:type="dxa"/>
          </w:tcPr>
          <w:p w14:paraId="563BCB0C" w14:textId="77777777" w:rsidR="005E41C3" w:rsidRDefault="005E41C3" w:rsidP="00AD1959">
            <w:pPr>
              <w:pStyle w:val="RPTableBody"/>
            </w:pPr>
            <w:r>
              <w:t>a nesting-depth limit and one cumulative budget across entries and levels</w:t>
            </w:r>
          </w:p>
        </w:tc>
        <w:tc>
          <w:tcPr>
            <w:tcW w:w="3401" w:type="dxa"/>
          </w:tcPr>
          <w:p w14:paraId="4EE96559" w14:textId="77777777" w:rsidR="005E41C3" w:rsidRDefault="005E41C3" w:rsidP="00AD1959">
            <w:pPr>
              <w:pStyle w:val="RPTableBody"/>
            </w:pPr>
            <w:r>
              <w:t>confirm that the budget is shared, not reset per entry or per level</w:t>
            </w:r>
          </w:p>
        </w:tc>
      </w:tr>
      <w:tr w:rsidR="005E41C3" w14:paraId="0C7FE8CC" w14:textId="77777777" w:rsidTr="00AD1959">
        <w:trPr>
          <w:cantSplit/>
        </w:trPr>
        <w:tc>
          <w:tcPr>
            <w:tcW w:w="1559" w:type="dxa"/>
          </w:tcPr>
          <w:p w14:paraId="77657CB2" w14:textId="77777777" w:rsidR="005E41C3" w:rsidRDefault="005E41C3" w:rsidP="00AD1959">
            <w:pPr>
              <w:pStyle w:val="RPTableBody"/>
            </w:pPr>
            <w:r>
              <w:t>A4 declared-size trust</w:t>
            </w:r>
          </w:p>
        </w:tc>
        <w:tc>
          <w:tcPr>
            <w:tcW w:w="4400" w:type="dxa"/>
          </w:tcPr>
          <w:p w14:paraId="0B6DAE15" w14:textId="77777777" w:rsidR="005E41C3" w:rsidRDefault="005E41C3" w:rsidP="00AD1959">
            <w:pPr>
              <w:pStyle w:val="RPTableBody"/>
            </w:pPr>
            <w:r>
              <w:t>count the bytes actually produced and stop at the budget, whatever size is declared</w:t>
            </w:r>
          </w:p>
        </w:tc>
        <w:tc>
          <w:tcPr>
            <w:tcW w:w="3401" w:type="dxa"/>
          </w:tcPr>
          <w:p w14:paraId="09BC0106" w14:textId="77777777" w:rsidR="005E41C3" w:rsidRDefault="005E41C3" w:rsidP="00AD1959">
            <w:pPr>
              <w:pStyle w:val="RPTableBody"/>
            </w:pPr>
            <w:r>
              <w:t>confirm that a zero, small or false declared size does not disable or relax the limit</w:t>
            </w:r>
          </w:p>
        </w:tc>
      </w:tr>
      <w:tr w:rsidR="005E41C3" w14:paraId="6FCEA296" w14:textId="77777777" w:rsidTr="00AD1959">
        <w:trPr>
          <w:cantSplit/>
        </w:trPr>
        <w:tc>
          <w:tcPr>
            <w:tcW w:w="1559" w:type="dxa"/>
          </w:tcPr>
          <w:p w14:paraId="221294A1" w14:textId="77777777" w:rsidR="005E41C3" w:rsidRDefault="005E41C3" w:rsidP="00AD1959">
            <w:pPr>
              <w:pStyle w:val="RPTableBody"/>
            </w:pPr>
            <w:r>
              <w:t>A5 limit not applied on a path</w:t>
            </w:r>
          </w:p>
        </w:tc>
        <w:tc>
          <w:tcPr>
            <w:tcW w:w="4400" w:type="dxa"/>
          </w:tcPr>
          <w:p w14:paraId="3DDCB902" w14:textId="77777777" w:rsidR="005E41C3" w:rsidRDefault="005E41C3" w:rsidP="00AD1959">
            <w:pPr>
              <w:pStyle w:val="RPTableBody"/>
            </w:pPr>
            <w:r>
              <w:t>the same budgets on every entry point (synchronous, asynchronous, streaming, each codec, redirects and cleanup paths), applied during decoding</w:t>
            </w:r>
          </w:p>
        </w:tc>
        <w:tc>
          <w:tcPr>
            <w:tcW w:w="3401" w:type="dxa"/>
          </w:tcPr>
          <w:p w14:paraId="57B2575E" w14:textId="77777777" w:rsidR="005E41C3" w:rsidRDefault="005E41C3" w:rsidP="00AD1959">
            <w:pPr>
              <w:pStyle w:val="RPTableBody"/>
            </w:pPr>
            <w:r>
              <w:t>an inventory of entry points with the limits that apply to each</w:t>
            </w:r>
          </w:p>
        </w:tc>
      </w:tr>
      <w:tr w:rsidR="005E41C3" w14:paraId="2E2EFD60" w14:textId="77777777" w:rsidTr="00AD1959">
        <w:trPr>
          <w:cantSplit/>
        </w:trPr>
        <w:tc>
          <w:tcPr>
            <w:tcW w:w="1559" w:type="dxa"/>
          </w:tcPr>
          <w:p w14:paraId="654054D8" w14:textId="77777777" w:rsidR="005E41C3" w:rsidRDefault="005E41C3" w:rsidP="00AD1959">
            <w:pPr>
              <w:pStyle w:val="RPTableBody"/>
            </w:pPr>
            <w:r>
              <w:t>D1-D3 bounds and integer faults</w:t>
            </w:r>
          </w:p>
        </w:tc>
        <w:tc>
          <w:tcPr>
            <w:tcW w:w="4400" w:type="dxa"/>
          </w:tcPr>
          <w:p w14:paraId="7003C226" w14:textId="77777777" w:rsidR="005E41C3" w:rsidRDefault="005E41C3" w:rsidP="00AD1959">
            <w:pPr>
              <w:pStyle w:val="RPTableBody"/>
            </w:pPr>
            <w:r>
              <w:t>bounds checks on every access derived from stream values; checked size arithmetic</w:t>
            </w:r>
          </w:p>
        </w:tc>
        <w:tc>
          <w:tcPr>
            <w:tcW w:w="3401" w:type="dxa"/>
          </w:tcPr>
          <w:p w14:paraId="5B3C2A48" w14:textId="77777777" w:rsidR="005E41C3" w:rsidRDefault="005E41C3" w:rsidP="00AD1959">
            <w:pPr>
              <w:pStyle w:val="RPTableBody"/>
            </w:pPr>
            <w:r>
              <w:t>decoder fuzzing and sanitizer builds in continuous integration</w:t>
            </w:r>
          </w:p>
        </w:tc>
      </w:tr>
      <w:tr w:rsidR="005E41C3" w14:paraId="6E8E2801" w14:textId="77777777" w:rsidTr="00AD1959">
        <w:trPr>
          <w:cantSplit/>
        </w:trPr>
        <w:tc>
          <w:tcPr>
            <w:tcW w:w="1559" w:type="dxa"/>
          </w:tcPr>
          <w:p w14:paraId="5BBB10F5" w14:textId="77777777" w:rsidR="005E41C3" w:rsidRDefault="005E41C3" w:rsidP="00AD1959">
            <w:pPr>
              <w:pStyle w:val="RPTableBody"/>
            </w:pPr>
            <w:r>
              <w:t>D4-D5 lifetime faults, crashes</w:t>
            </w:r>
          </w:p>
        </w:tc>
        <w:tc>
          <w:tcPr>
            <w:tcW w:w="4400" w:type="dxa"/>
          </w:tcPr>
          <w:p w14:paraId="328672FA" w14:textId="77777777" w:rsidR="005E41C3" w:rsidRDefault="005E41C3" w:rsidP="00AD1959">
            <w:pPr>
              <w:pStyle w:val="RPTableBody"/>
            </w:pPr>
            <w:r>
              <w:t>cleanup on every error path; memory-safe code or sanitizers</w:t>
            </w:r>
          </w:p>
        </w:tc>
        <w:tc>
          <w:tcPr>
            <w:tcW w:w="3401" w:type="dxa"/>
          </w:tcPr>
          <w:p w14:paraId="6AF5B0D7" w14:textId="77777777" w:rsidR="005E41C3" w:rsidRDefault="005E41C3" w:rsidP="00AD1959">
            <w:pPr>
              <w:pStyle w:val="RPTableBody"/>
            </w:pPr>
            <w:r>
              <w:t>error-path tests under sanitizers</w:t>
            </w:r>
          </w:p>
        </w:tc>
      </w:tr>
      <w:tr w:rsidR="005E41C3" w14:paraId="050A5CF7" w14:textId="77777777" w:rsidTr="00AD1959">
        <w:trPr>
          <w:cantSplit/>
        </w:trPr>
        <w:tc>
          <w:tcPr>
            <w:tcW w:w="1559" w:type="dxa"/>
          </w:tcPr>
          <w:p w14:paraId="5EA1B0F6" w14:textId="77777777" w:rsidR="005E41C3" w:rsidRDefault="005E41C3" w:rsidP="00AD1959">
            <w:pPr>
              <w:pStyle w:val="RPTableBody"/>
            </w:pPr>
            <w:r>
              <w:t>D6 allocation from a declared value</w:t>
            </w:r>
          </w:p>
        </w:tc>
        <w:tc>
          <w:tcPr>
            <w:tcW w:w="4400" w:type="dxa"/>
          </w:tcPr>
          <w:p w14:paraId="7C0EBE48" w14:textId="77777777" w:rsidR="005E41C3" w:rsidRDefault="005E41C3" w:rsidP="00AD1959">
            <w:pPr>
              <w:pStyle w:val="RPTableBody"/>
            </w:pPr>
            <w:r>
              <w:t>bound declared sizes before allocating, or allocate as output arrives</w:t>
            </w:r>
          </w:p>
        </w:tc>
        <w:tc>
          <w:tcPr>
            <w:tcW w:w="3401" w:type="dxa"/>
          </w:tcPr>
          <w:p w14:paraId="5CA6C618" w14:textId="77777777" w:rsidR="005E41C3" w:rsidRDefault="005E41C3" w:rsidP="00AD1959">
            <w:pPr>
              <w:pStyle w:val="RPTableBody"/>
            </w:pPr>
            <w:r>
              <w:t>confirm that no allocation is sized by an unbounded input field</w:t>
            </w:r>
          </w:p>
        </w:tc>
      </w:tr>
      <w:tr w:rsidR="005E41C3" w14:paraId="6DE12A9A" w14:textId="77777777" w:rsidTr="00AD1959">
        <w:trPr>
          <w:cantSplit/>
        </w:trPr>
        <w:tc>
          <w:tcPr>
            <w:tcW w:w="1559" w:type="dxa"/>
          </w:tcPr>
          <w:p w14:paraId="799D25D3" w14:textId="77777777" w:rsidR="005E41C3" w:rsidRDefault="005E41C3" w:rsidP="00AD1959">
            <w:pPr>
              <w:pStyle w:val="RPTableBody"/>
            </w:pPr>
            <w:r>
              <w:t>D7 non-termination</w:t>
            </w:r>
          </w:p>
        </w:tc>
        <w:tc>
          <w:tcPr>
            <w:tcW w:w="4400" w:type="dxa"/>
          </w:tcPr>
          <w:p w14:paraId="1CC11567" w14:textId="77777777" w:rsidR="005E41C3" w:rsidRDefault="005E41C3" w:rsidP="00AD1959">
            <w:pPr>
              <w:pStyle w:val="RPTableBody"/>
            </w:pPr>
            <w:r>
              <w:t>a work or time budget; a step bound on input-controlled references</w:t>
            </w:r>
          </w:p>
        </w:tc>
        <w:tc>
          <w:tcPr>
            <w:tcW w:w="3401" w:type="dxa"/>
          </w:tcPr>
          <w:p w14:paraId="365ECCBC" w14:textId="77777777" w:rsidR="005E41C3" w:rsidRDefault="005E41C3" w:rsidP="00AD1959">
            <w:pPr>
              <w:pStyle w:val="RPTableBody"/>
            </w:pPr>
            <w:r>
              <w:t>confirm that loops over input-controlled references carry a bound</w:t>
            </w:r>
          </w:p>
        </w:tc>
      </w:tr>
      <w:tr w:rsidR="005E41C3" w14:paraId="63059CBA" w14:textId="77777777" w:rsidTr="00AD1959">
        <w:trPr>
          <w:cantSplit/>
        </w:trPr>
        <w:tc>
          <w:tcPr>
            <w:tcW w:w="1559" w:type="dxa"/>
          </w:tcPr>
          <w:p w14:paraId="722C3BC5" w14:textId="77777777" w:rsidR="005E41C3" w:rsidRDefault="005E41C3" w:rsidP="00AD1959">
            <w:pPr>
              <w:pStyle w:val="RPTableBody"/>
            </w:pPr>
            <w:r>
              <w:t>S1-S2 entry and boundary ambiguity</w:t>
            </w:r>
          </w:p>
        </w:tc>
        <w:tc>
          <w:tcPr>
            <w:tcW w:w="4400" w:type="dxa"/>
          </w:tcPr>
          <w:p w14:paraId="25FDEF13" w14:textId="77777777" w:rsidR="005E41C3" w:rsidRDefault="005E41C3" w:rsidP="00AD1959">
            <w:pPr>
              <w:pStyle w:val="RPTableBody"/>
            </w:pPr>
            <w:r>
              <w:t>one parse result shared by both, or strict rejection of ambiguous archives</w:t>
            </w:r>
          </w:p>
        </w:tc>
        <w:tc>
          <w:tcPr>
            <w:tcW w:w="3401" w:type="dxa"/>
          </w:tcPr>
          <w:p w14:paraId="19C98525" w14:textId="77777777" w:rsidR="005E41C3" w:rsidRDefault="005E41C3" w:rsidP="00AD1959">
            <w:pPr>
              <w:pStyle w:val="RPTableBody"/>
            </w:pPr>
            <w:r>
              <w:t>confirm that the checking and the consuming component use the same parse, or that ambiguity is rejected</w:t>
            </w:r>
          </w:p>
        </w:tc>
      </w:tr>
      <w:tr w:rsidR="005E41C3" w14:paraId="1D1636A7" w14:textId="77777777" w:rsidTr="00AD1959">
        <w:trPr>
          <w:cantSplit/>
        </w:trPr>
        <w:tc>
          <w:tcPr>
            <w:tcW w:w="1559" w:type="dxa"/>
          </w:tcPr>
          <w:p w14:paraId="695A85ED" w14:textId="77777777" w:rsidR="005E41C3" w:rsidRDefault="005E41C3" w:rsidP="00AD1959">
            <w:pPr>
              <w:pStyle w:val="RPTableBody"/>
            </w:pPr>
            <w:r>
              <w:lastRenderedPageBreak/>
              <w:t>S3-S5 name, type and feature gaps</w:t>
            </w:r>
          </w:p>
        </w:tc>
        <w:tc>
          <w:tcPr>
            <w:tcW w:w="4400" w:type="dxa"/>
          </w:tcPr>
          <w:p w14:paraId="50D0C6B0" w14:textId="77777777" w:rsidR="005E41C3" w:rsidRDefault="005E41C3" w:rsidP="00AD1959">
            <w:pPr>
              <w:pStyle w:val="RPTableBody"/>
            </w:pPr>
            <w:r>
              <w:t>strict parsing; reject unknown or unsupported features</w:t>
            </w:r>
          </w:p>
        </w:tc>
        <w:tc>
          <w:tcPr>
            <w:tcW w:w="3401" w:type="dxa"/>
          </w:tcPr>
          <w:p w14:paraId="746335DC" w14:textId="77777777" w:rsidR="005E41C3" w:rsidRDefault="005E41C3" w:rsidP="00AD1959">
            <w:pPr>
              <w:pStyle w:val="RPTableBody"/>
            </w:pPr>
            <w:r>
              <w:t>compare the interpretations of the components involved</w:t>
            </w:r>
          </w:p>
        </w:tc>
      </w:tr>
      <w:tr w:rsidR="005E41C3" w14:paraId="30576ECB" w14:textId="77777777" w:rsidTr="00AD1959">
        <w:trPr>
          <w:cantSplit/>
        </w:trPr>
        <w:tc>
          <w:tcPr>
            <w:tcW w:w="1559" w:type="dxa"/>
          </w:tcPr>
          <w:p w14:paraId="783B76B6" w14:textId="77777777" w:rsidR="005E41C3" w:rsidRDefault="005E41C3" w:rsidP="00AD1959">
            <w:pPr>
              <w:pStyle w:val="RPTableBody"/>
            </w:pPr>
            <w:r>
              <w:t>P1 path traversal by name</w:t>
            </w:r>
          </w:p>
        </w:tc>
        <w:tc>
          <w:tcPr>
            <w:tcW w:w="4400" w:type="dxa"/>
          </w:tcPr>
          <w:p w14:paraId="1C46205A" w14:textId="77777777" w:rsidR="005E41C3" w:rsidRDefault="005E41C3" w:rsidP="00AD1959">
            <w:pPr>
              <w:pStyle w:val="RPTableBody"/>
            </w:pPr>
            <w:r>
              <w:t>a controlled destination root; reject absolute and parent-relative names after normalization; file operations relative to the root where available</w:t>
            </w:r>
          </w:p>
        </w:tc>
        <w:tc>
          <w:tcPr>
            <w:tcW w:w="3401" w:type="dxa"/>
          </w:tcPr>
          <w:p w14:paraId="4953D677" w14:textId="77777777" w:rsidR="005E41C3" w:rsidRDefault="005E41C3" w:rsidP="00AD1959">
            <w:pPr>
              <w:pStyle w:val="RPTableBody"/>
            </w:pPr>
            <w:r>
              <w:t>tests show every written path inside the root</w:t>
            </w:r>
          </w:p>
        </w:tc>
      </w:tr>
      <w:tr w:rsidR="005E41C3" w14:paraId="3849F1F5" w14:textId="77777777" w:rsidTr="00AD1959">
        <w:trPr>
          <w:cantSplit/>
        </w:trPr>
        <w:tc>
          <w:tcPr>
            <w:tcW w:w="1559" w:type="dxa"/>
          </w:tcPr>
          <w:p w14:paraId="25423A3D" w14:textId="77777777" w:rsidR="005E41C3" w:rsidRDefault="005E41C3" w:rsidP="00AD1959">
            <w:pPr>
              <w:pStyle w:val="RPTableBody"/>
            </w:pPr>
            <w:r>
              <w:t>P2 link following</w:t>
            </w:r>
          </w:p>
        </w:tc>
        <w:tc>
          <w:tcPr>
            <w:tcW w:w="4400" w:type="dxa"/>
          </w:tcPr>
          <w:p w14:paraId="78C0FD7D" w14:textId="77777777" w:rsidR="005E41C3" w:rsidRDefault="005E41C3" w:rsidP="00AD1959">
            <w:pPr>
              <w:pStyle w:val="RPTableBody"/>
            </w:pPr>
            <w:r>
              <w:t>an explicit link policy: reject links, or create only links that resolve inside the root, and never write through one</w:t>
            </w:r>
          </w:p>
        </w:tc>
        <w:tc>
          <w:tcPr>
            <w:tcW w:w="3401" w:type="dxa"/>
          </w:tcPr>
          <w:p w14:paraId="1EC9A19E" w14:textId="77777777" w:rsidR="005E41C3" w:rsidRDefault="005E41C3" w:rsidP="00AD1959">
            <w:pPr>
              <w:pStyle w:val="RPTableBody"/>
            </w:pPr>
            <w:r>
              <w:t>tests with link entries show them rejected or resolved inside the root</w:t>
            </w:r>
          </w:p>
        </w:tc>
      </w:tr>
      <w:tr w:rsidR="005E41C3" w14:paraId="69490976" w14:textId="77777777" w:rsidTr="00AD1959">
        <w:trPr>
          <w:cantSplit/>
        </w:trPr>
        <w:tc>
          <w:tcPr>
            <w:tcW w:w="1559" w:type="dxa"/>
          </w:tcPr>
          <w:p w14:paraId="07D40964" w14:textId="77777777" w:rsidR="005E41C3" w:rsidRDefault="005E41C3" w:rsidP="00AD1959">
            <w:pPr>
              <w:pStyle w:val="RPTableBody"/>
            </w:pPr>
            <w:r>
              <w:t>P3 overwrite, permission or special file</w:t>
            </w:r>
          </w:p>
        </w:tc>
        <w:tc>
          <w:tcPr>
            <w:tcW w:w="4400" w:type="dxa"/>
          </w:tcPr>
          <w:p w14:paraId="6C78FC72" w14:textId="77777777" w:rsidR="005E41C3" w:rsidRDefault="005E41C3" w:rsidP="00AD1959">
            <w:pPr>
              <w:pStyle w:val="RPTableBody"/>
            </w:pPr>
            <w:r>
              <w:t>an overwrite policy; no special files; no privileged modes restored</w:t>
            </w:r>
          </w:p>
        </w:tc>
        <w:tc>
          <w:tcPr>
            <w:tcW w:w="3401" w:type="dxa"/>
          </w:tcPr>
          <w:p w14:paraId="78798750" w14:textId="77777777" w:rsidR="005E41C3" w:rsidRDefault="005E41C3" w:rsidP="00AD1959">
            <w:pPr>
              <w:pStyle w:val="RPTableBody"/>
            </w:pPr>
            <w:r>
              <w:t>tests confirm the policy for each case</w:t>
            </w:r>
          </w:p>
        </w:tc>
      </w:tr>
      <w:tr w:rsidR="005E41C3" w14:paraId="6F213051" w14:textId="77777777" w:rsidTr="00AD1959">
        <w:trPr>
          <w:cantSplit/>
        </w:trPr>
        <w:tc>
          <w:tcPr>
            <w:tcW w:w="1559" w:type="dxa"/>
          </w:tcPr>
          <w:p w14:paraId="31FCE862" w14:textId="77777777" w:rsidR="005E41C3" w:rsidRDefault="005E41C3" w:rsidP="00AD1959">
            <w:pPr>
              <w:pStyle w:val="RPTableBody"/>
            </w:pPr>
            <w:r>
              <w:t>P4 name collision</w:t>
            </w:r>
          </w:p>
        </w:tc>
        <w:tc>
          <w:tcPr>
            <w:tcW w:w="4400" w:type="dxa"/>
          </w:tcPr>
          <w:p w14:paraId="4E6BBC63" w14:textId="77777777" w:rsidR="005E41C3" w:rsidRDefault="005E41C3" w:rsidP="00AD1959">
            <w:pPr>
              <w:pStyle w:val="RPTableBody"/>
            </w:pPr>
            <w:r>
              <w:t>detect collisions under the target file system's case and normalization rules</w:t>
            </w:r>
          </w:p>
        </w:tc>
        <w:tc>
          <w:tcPr>
            <w:tcW w:w="3401" w:type="dxa"/>
          </w:tcPr>
          <w:p w14:paraId="1626F211" w14:textId="77777777" w:rsidR="005E41C3" w:rsidRDefault="005E41C3" w:rsidP="00AD1959">
            <w:pPr>
              <w:pStyle w:val="RPTableBody"/>
            </w:pPr>
            <w:r>
              <w:t>tests with colliding names on the target platform</w:t>
            </w:r>
          </w:p>
        </w:tc>
      </w:tr>
    </w:tbl>
    <w:p w14:paraId="674791D4" w14:textId="77777777" w:rsidR="005E41C3" w:rsidRDefault="005E41C3" w:rsidP="005E41C3">
      <w:pPr>
        <w:pStyle w:val="RPSectionBreak"/>
      </w:pPr>
    </w:p>
    <w:p w14:paraId="1B101F20" w14:textId="77777777" w:rsidR="008B07A6" w:rsidRDefault="008B07A6"/>
    <w:sectPr w:rsidR="008B07A6" w:rsidSect="005E41C3">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urce Serif 4">
    <w:altName w:val="Cambria"/>
    <w:charset w:val="00"/>
    <w:family w:val="roman"/>
    <w:pitch w:val="variable"/>
  </w:font>
  <w:font w:name="Aptos Display">
    <w:charset w:val="00"/>
    <w:family w:val="swiss"/>
    <w:pitch w:val="variable"/>
    <w:sig w:usb0="20000287" w:usb1="00000003" w:usb2="00000000" w:usb3="00000000" w:csb0="0000019F" w:csb1="00000000"/>
  </w:font>
  <w:font w:name="Source Sans 3 SemiBold">
    <w:altName w:val="Calibri"/>
    <w:charset w:val="00"/>
    <w:family w:val="swiss"/>
    <w:pitch w:val="variable"/>
  </w:font>
  <w:font w:name="Source Sans 3">
    <w:altName w:val="Calibri"/>
    <w:charset w:val="00"/>
    <w:family w:val="swiss"/>
    <w:pitch w:val="variable"/>
  </w:font>
  <w:font w:name="Consolas">
    <w:panose1 w:val="020B0609020204030204"/>
    <w:charset w:val="00"/>
    <w:family w:val="modern"/>
    <w:pitch w:val="fixed"/>
    <w:sig w:usb0="E00006FF" w:usb1="0000FCFF" w:usb2="00000001" w:usb3="00000000" w:csb0="0000019F" w:csb1="00000000"/>
  </w:font>
  <w:font w:name="Source Serif 4 Semibold">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5C57" w14:textId="77777777" w:rsidR="005E41C3" w:rsidRDefault="005E41C3">
    <w:pPr>
      <w:pStyle w:val="RPFooter"/>
    </w:pPr>
    <w:r>
      <w:fldChar w:fldCharType="begin"/>
    </w:r>
    <w:r>
      <w:instrText xml:space="preserve"> PAGE </w:instrText>
    </w:r>
    <w:r>
      <w:fldChar w:fldCharType="separate"/>
    </w:r>
    <w: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3"/>
    <w:rsid w:val="00066677"/>
    <w:rsid w:val="00153A17"/>
    <w:rsid w:val="001A37F3"/>
    <w:rsid w:val="003A4E89"/>
    <w:rsid w:val="00556784"/>
    <w:rsid w:val="005E41C3"/>
    <w:rsid w:val="008B07A6"/>
    <w:rsid w:val="0097029A"/>
    <w:rsid w:val="00987B63"/>
    <w:rsid w:val="00990454"/>
    <w:rsid w:val="00A234E6"/>
    <w:rsid w:val="00B32C88"/>
    <w:rsid w:val="00BF13F9"/>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6EA43"/>
  <w15:chartTrackingRefBased/>
  <w15:docId w15:val="{7DF06DE2-92A4-4E73-81AA-AAA0138C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3"/>
    <w:pPr>
      <w:spacing w:after="120" w:line="293" w:lineRule="auto"/>
    </w:pPr>
    <w:rPr>
      <w:rFonts w:ascii="Source Serif 4" w:eastAsia="Source Serif 4" w:hAnsi="Source Serif 4" w:cs="Source Serif 4"/>
      <w:color w:val="22262C"/>
      <w:kern w:val="0"/>
      <w:sz w:val="22"/>
      <w:szCs w:val="22"/>
      <w14:ligatures w14:val="none"/>
    </w:rPr>
  </w:style>
  <w:style w:type="paragraph" w:styleId="Heading1">
    <w:name w:val="heading 1"/>
    <w:basedOn w:val="Normal"/>
    <w:next w:val="Normal"/>
    <w:link w:val="Heading1Char"/>
    <w:uiPriority w:val="9"/>
    <w:qFormat/>
    <w:rsid w:val="005E41C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E41C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E41C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41C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E41C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E41C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E41C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E41C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E41C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1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1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1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1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1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1C3"/>
    <w:rPr>
      <w:rFonts w:eastAsiaTheme="majorEastAsia" w:cstheme="majorBidi"/>
      <w:color w:val="272727" w:themeColor="text1" w:themeTint="D8"/>
    </w:rPr>
  </w:style>
  <w:style w:type="paragraph" w:styleId="Title">
    <w:name w:val="Title"/>
    <w:basedOn w:val="Normal"/>
    <w:next w:val="Normal"/>
    <w:link w:val="TitleChar"/>
    <w:uiPriority w:val="10"/>
    <w:qFormat/>
    <w:rsid w:val="005E41C3"/>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5E4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1C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4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1C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E41C3"/>
    <w:rPr>
      <w:i/>
      <w:iCs/>
      <w:color w:val="404040" w:themeColor="text1" w:themeTint="BF"/>
    </w:rPr>
  </w:style>
  <w:style w:type="paragraph" w:styleId="ListParagraph">
    <w:name w:val="List Paragraph"/>
    <w:basedOn w:val="Normal"/>
    <w:uiPriority w:val="34"/>
    <w:qFormat/>
    <w:rsid w:val="005E41C3"/>
    <w:pPr>
      <w:spacing w:after="160" w:line="278" w:lineRule="auto"/>
      <w:ind w:left="720"/>
      <w:contextualSpacing/>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5E41C3"/>
    <w:rPr>
      <w:i/>
      <w:iCs/>
      <w:color w:val="0F4761" w:themeColor="accent1" w:themeShade="BF"/>
    </w:rPr>
  </w:style>
  <w:style w:type="paragraph" w:styleId="IntenseQuote">
    <w:name w:val="Intense Quote"/>
    <w:basedOn w:val="Normal"/>
    <w:next w:val="Normal"/>
    <w:link w:val="IntenseQuoteChar"/>
    <w:uiPriority w:val="30"/>
    <w:qFormat/>
    <w:rsid w:val="005E41C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E41C3"/>
    <w:rPr>
      <w:i/>
      <w:iCs/>
      <w:color w:val="0F4761" w:themeColor="accent1" w:themeShade="BF"/>
    </w:rPr>
  </w:style>
  <w:style w:type="character" w:styleId="IntenseReference">
    <w:name w:val="Intense Reference"/>
    <w:basedOn w:val="DefaultParagraphFont"/>
    <w:uiPriority w:val="32"/>
    <w:qFormat/>
    <w:rsid w:val="005E41C3"/>
    <w:rPr>
      <w:b/>
      <w:bCs/>
      <w:smallCaps/>
      <w:color w:val="0F4761" w:themeColor="accent1" w:themeShade="BF"/>
      <w:spacing w:val="5"/>
    </w:rPr>
  </w:style>
  <w:style w:type="paragraph" w:customStyle="1" w:styleId="RPTableHeader">
    <w:name w:val="RP Table Header"/>
    <w:basedOn w:val="Normal"/>
    <w:uiPriority w:val="30"/>
    <w:qFormat/>
    <w:rsid w:val="005E41C3"/>
    <w:pPr>
      <w:keepNext/>
      <w:keepLines/>
      <w:spacing w:after="0" w:line="264" w:lineRule="auto"/>
    </w:pPr>
    <w:rPr>
      <w:rFonts w:ascii="Source Sans 3 SemiBold" w:eastAsia="Source Sans 3 SemiBold" w:hAnsi="Source Sans 3 SemiBold" w:cs="Source Sans 3 SemiBold"/>
      <w:sz w:val="18"/>
      <w:szCs w:val="18"/>
    </w:rPr>
  </w:style>
  <w:style w:type="paragraph" w:customStyle="1" w:styleId="RPTableBody">
    <w:name w:val="RP Table Body"/>
    <w:basedOn w:val="Normal"/>
    <w:uiPriority w:val="32"/>
    <w:qFormat/>
    <w:rsid w:val="005E41C3"/>
    <w:pPr>
      <w:keepLines/>
      <w:spacing w:after="0" w:line="264" w:lineRule="auto"/>
    </w:pPr>
    <w:rPr>
      <w:rFonts w:ascii="Source Sans 3" w:eastAsia="Source Sans 3" w:hAnsi="Source Sans 3" w:cs="Source Sans 3"/>
      <w:sz w:val="18"/>
      <w:szCs w:val="18"/>
    </w:rPr>
  </w:style>
  <w:style w:type="paragraph" w:customStyle="1" w:styleId="RPTableCaption">
    <w:name w:val="RP Table Caption"/>
    <w:basedOn w:val="Normal"/>
    <w:next w:val="RPTableHeader"/>
    <w:uiPriority w:val="34"/>
    <w:qFormat/>
    <w:rsid w:val="005E41C3"/>
    <w:pPr>
      <w:keepNext/>
      <w:keepLines/>
      <w:spacing w:before="140" w:after="80" w:line="264" w:lineRule="auto"/>
    </w:pPr>
    <w:rPr>
      <w:color w:val="555D69"/>
      <w:sz w:val="19"/>
      <w:szCs w:val="19"/>
    </w:rPr>
  </w:style>
  <w:style w:type="paragraph" w:customStyle="1" w:styleId="RPFooter">
    <w:name w:val="RP Footer"/>
    <w:basedOn w:val="Normal"/>
    <w:uiPriority w:val="45"/>
    <w:qFormat/>
    <w:rsid w:val="005E41C3"/>
    <w:pPr>
      <w:spacing w:after="0" w:line="240" w:lineRule="auto"/>
      <w:jc w:val="center"/>
    </w:pPr>
    <w:rPr>
      <w:rFonts w:ascii="Source Sans 3" w:eastAsia="Source Sans 3" w:hAnsi="Source Sans 3" w:cs="Source Sans 3"/>
      <w:color w:val="555D69"/>
      <w:sz w:val="18"/>
      <w:szCs w:val="18"/>
    </w:rPr>
  </w:style>
  <w:style w:type="paragraph" w:customStyle="1" w:styleId="RPSectionBreak">
    <w:name w:val="RP Section Break"/>
    <w:basedOn w:val="Normal"/>
    <w:uiPriority w:val="46"/>
    <w:qFormat/>
    <w:rsid w:val="005E41C3"/>
    <w:pPr>
      <w:spacing w:after="0" w:line="20" w:lineRule="exact"/>
    </w:pPr>
    <w:rPr>
      <w:sz w:val="2"/>
      <w:szCs w:val="2"/>
    </w:rPr>
  </w:style>
  <w:style w:type="character" w:customStyle="1" w:styleId="RPCodeChar">
    <w:name w:val="RP Code Char"/>
    <w:basedOn w:val="DefaultParagraphFont"/>
    <w:uiPriority w:val="1"/>
    <w:qFormat/>
    <w:rsid w:val="005E41C3"/>
    <w:rPr>
      <w:rFonts w:ascii="Consolas" w:eastAsia="Consolas" w:hAnsi="Consolas" w:cs="Consolas"/>
      <w:sz w:val="19"/>
      <w:szCs w:val="19"/>
    </w:rPr>
  </w:style>
  <w:style w:type="character" w:customStyle="1" w:styleId="RPCaptionLabel">
    <w:name w:val="RP Caption Label"/>
    <w:basedOn w:val="DefaultParagraphFont"/>
    <w:uiPriority w:val="1"/>
    <w:qFormat/>
    <w:rsid w:val="005E41C3"/>
    <w:rPr>
      <w:rFonts w:ascii="Source Serif 4 Semibold" w:eastAsia="Source Serif 4 Semibold" w:hAnsi="Source Serif 4 Semibold" w:cs="Source Serif 4 Semibold"/>
    </w:rPr>
  </w:style>
  <w:style w:type="table" w:customStyle="1" w:styleId="RPTable">
    <w:name w:val="RP Table"/>
    <w:basedOn w:val="TableNormal"/>
    <w:uiPriority w:val="59"/>
    <w:qFormat/>
    <w:rsid w:val="005E41C3"/>
    <w:pPr>
      <w:spacing w:after="0" w:line="240" w:lineRule="auto"/>
    </w:pPr>
    <w:rPr>
      <w:rFonts w:ascii="Source Serif 4" w:eastAsia="Source Serif 4" w:hAnsi="Source Serif 4" w:cs="Source Serif 4"/>
      <w:kern w:val="0"/>
      <w:sz w:val="22"/>
      <w:szCs w:val="22"/>
      <w14:ligatures w14:val="none"/>
    </w:rPr>
    <w:tblPr>
      <w:tblBorders>
        <w:top w:val="single" w:sz="4" w:space="0" w:color="D6DEE7"/>
        <w:bottom w:val="single" w:sz="4" w:space="0" w:color="D6DEE7"/>
        <w:insideH w:val="single" w:sz="4" w:space="0" w:color="D6DEE7"/>
      </w:tblBorders>
      <w:tblCellMar>
        <w:top w:w="85" w:type="dxa"/>
        <w:left w:w="120" w:type="dxa"/>
        <w:bottom w:w="85" w:type="dxa"/>
        <w:right w:w="120" w:type="dxa"/>
      </w:tblCellMar>
    </w:tblPr>
    <w:tblStylePr w:type="firstRow">
      <w:tblPr/>
      <w:tcPr>
        <w:shd w:val="clear" w:color="auto" w:fill="F1F4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2026-10-15T02:02:00Z</dcterms:created>
  <dcterms:modified xsi:type="dcterms:W3CDTF">2026-10-15T02:02:00Z</dcterms:modified>
</cp:coreProperties>
</file>