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supplementary-material"/>
    <w:p>
      <w:pPr>
        <w:pStyle w:val="Heading1"/>
      </w:pPr>
      <w:r>
        <w:t xml:space="preserve">Supplementary Material</w:t>
      </w:r>
    </w:p>
    <w:bookmarkStart w:id="26" w:name="supplementary-methods"/>
    <w:p>
      <w:pPr>
        <w:pStyle w:val="Heading2"/>
      </w:pPr>
      <w:r>
        <w:t xml:space="preserve">Supplementary Methods</w:t>
      </w:r>
    </w:p>
    <w:bookmarkStart w:id="20" w:name="implementation-of-the-apc-model"/>
    <w:p>
      <w:pPr>
        <w:pStyle w:val="Heading3"/>
      </w:pPr>
      <w:r>
        <w:t xml:space="preserve">Implementation of the APC model</w:t>
      </w:r>
    </w:p>
    <w:p>
      <w:pPr>
        <w:pStyle w:val="FirstParagraph"/>
      </w:pPr>
      <w:r>
        <w:t xml:space="preserve">The Holford design was of full rank (44 parameters for 143 cells) and gave the same deviance as an over-parameterised model with separate age, period and cohort factors (254.2), confirming that it spans the same model space. The dispersion used in F tests (deviance/df, 2.57) agreed with the Pearson-based value to two decimal places. The joint significance of period and cohort curvature was assessed with Wald F tests. Cells with missing or zero values were to be excluded; none occurred.</w:t>
      </w:r>
    </w:p>
    <w:bookmarkEnd w:id="20"/>
    <w:bookmarkStart w:id="21" w:name="screening-exposure"/>
    <w:p>
      <w:pPr>
        <w:pStyle w:val="Heading3"/>
      </w:pPr>
      <w:r>
        <w:t xml:space="preserve">Screening exposure</w:t>
      </w:r>
    </w:p>
    <w:p>
      <w:pPr>
        <w:pStyle w:val="FirstParagraph"/>
      </w:pPr>
      <w:r>
        <w:t xml:space="preserve">Binary exposure E = m(a − L, t − L) indicates whether a woman of age a in year t had been eligible L years earlier. Cumulative exposure E = Σ m(a − (t − y), y) over calendar years y from 1987 to t − L, divided by 10, is the number of eligible years accumulated up to L years earlier; its coefficient is the rate ratio per 10 years of eligibility. Cell exposure was the unweighted mean of E over the 25 single-year age × single-year period sub-cells, which assumes that deaths are spread evenly within a cell. We assessed this by weighting sub-cell exposures by annual deaths in each age group, and by refitting the models with one observation per 5-year age group and calendar year (715 observations) with the APC terms of the corresponding 5 × 5-year cell; single-year-of-age data were not available, so exposure was still averaged over the five ages in each group. Any-programme eligibility was p(a, t) = 1 if 1987 ≤ t ≤ 2003 and a ≥ 30, or t ≥ 2004 and a ≥ 40.</w:t>
      </w:r>
    </w:p>
    <w:bookmarkEnd w:id="21"/>
    <w:bookmarkStart w:id="22" w:name="separability-diagnostics"/>
    <w:p>
      <w:pPr>
        <w:pStyle w:val="Heading3"/>
      </w:pPr>
      <w:r>
        <w:t xml:space="preserve">Separability diagnostics</w:t>
      </w:r>
    </w:p>
    <w:p>
      <w:pPr>
        <w:pStyle w:val="FirstParagraph"/>
      </w:pPr>
      <w:r>
        <w:t xml:space="preserve">From the wᵢ-weighted regression of exposure on the APC design we computed R² = 1 − Σ wᵢrᵢ² / Σ wᵢ(Eᵢ − Ē)², the weighted standard deviation of exposure before and after removing the APC terms, VIF = 1/(1 − R²) and its square root (the standard-error inflation), and the smallest rate ratio below 1 detectable with 80% power at two-sided α = 0.05, exp(−2.80 × SE). The share of information contributed by cell i is wᵢrᵢ² / Σ wᵢrᵢ².</w:t>
      </w:r>
    </w:p>
    <w:bookmarkEnd w:id="22"/>
    <w:bookmarkStart w:id="23" w:name="conventional-policy-model"/>
    <w:p>
      <w:pPr>
        <w:pStyle w:val="Heading3"/>
      </w:pPr>
      <w:r>
        <w:t xml:space="preserve">Conventional policy model</w:t>
      </w:r>
    </w:p>
    <w:p>
      <w:pPr>
        <w:pStyle w:val="FirstParagraph"/>
      </w:pPr>
      <w:r>
        <w:t xml:space="preserve">For comparison with a conventional approach, we fitted a Poisson model with six age groups (30–39, 40–49, 50–59, 60–69, 70–74 and ≥75 years) and annual data, a binary screening indicator (40–49 years from 2004; ≥50 years from 2000), a linear calendar trend, and birth cohort grouped into 5-year bins. We assessed overdispersion, the condition number of the design matrix and the sensitivity of the estimates to shifting the start of the cohort bins by 1–4 years.</w:t>
      </w:r>
    </w:p>
    <w:bookmarkEnd w:id="23"/>
    <w:bookmarkStart w:id="24" w:name="incidence-analysis"/>
    <w:p>
      <w:pPr>
        <w:pStyle w:val="Heading3"/>
      </w:pPr>
      <w:r>
        <w:t xml:space="preserve">Incidence analysis</w:t>
      </w:r>
    </w:p>
    <w:p>
      <w:pPr>
        <w:pStyle w:val="FirstParagraph"/>
      </w:pPr>
      <w:r>
        <w:t xml:space="preserve">Invasive-only counts are available in the earlier incidence series only from 2003, so the long series included in situ cancer; invasive counts for 2003–2023 were used to describe the share of in situ cancer. Incidence rates used the total female population supplied with the incidence data. Robustness of the incidence cohort pattern was examined by refitting incidence and mortality on the same grid with (1) a negative binomial (NB2) model; (2) the period before the registry change (1976–2015); (3) exclusion of ages 40–69 years; (4) ages 50–84 years only; and (5) exclusion, from both data sets, of incidence cells whose relative residuals in the main model exceeded ±7%. The direct model of deaths with log incident cases as offset treats incidence counts as fixed and does not account separately for their uncertainty. To examine the registry change, we estimated the second difference of incidence period deviations across 2006–2010, 2011–2015 and 2016–2020, which, unlike a simple difference, does not depend on how the linear trend is divided between period and cohort. Local drifts were estimated by Poisson regression on period within each age group.</w:t>
      </w:r>
    </w:p>
    <w:bookmarkEnd w:id="24"/>
    <w:bookmarkStart w:id="25" w:name="X9fcf5a1aa167df1338b87361a41aea8a1577f20"/>
    <w:p>
      <w:pPr>
        <w:pStyle w:val="Heading3"/>
      </w:pPr>
      <w:r>
        <w:t xml:space="preserve">Three prefectures with high-quality registries</w:t>
      </w:r>
    </w:p>
    <w:p>
      <w:pPr>
        <w:pStyle w:val="FirstParagraph"/>
      </w:pPr>
      <w:r>
        <w:t xml:space="preserve">The National Cancer Center publishes measured incidence for Yamagata, Fukui and Nagasaki, three prefectures whose registries have been complete and stable over the long term, for 1985–2015, continued with National Cancer Registry data for these prefectures from 2016 (reference 1 of the main text). Invasive cancer (C50) and all breast cancer including in situ (C50, D05) are reported separately for the whole period. Cases and populations of women aged 30–84 years were tabulated in seven 5-year periods (1986–1990 to 2016–2020), so that the registry change again fell on a period boundary, and the same APC model was fitted to all cases, to invasive cancer only, to invasive cancer before the registry change (1986–2015) and to all cases in 1991–2020. The share of in situ cancer was calculated by age group and period.</w:t>
      </w:r>
    </w:p>
    <w:bookmarkEnd w:id="25"/>
    <w:bookmarkEnd w:id="26"/>
    <w:bookmarkStart w:id="31" w:name="supplementary-results"/>
    <w:p>
      <w:pPr>
        <w:pStyle w:val="Heading2"/>
      </w:pPr>
      <w:r>
        <w:t xml:space="preserve">Supplementary Results</w:t>
      </w:r>
    </w:p>
    <w:bookmarkStart w:id="27" w:name="mortality"/>
    <w:p>
      <w:pPr>
        <w:pStyle w:val="Heading3"/>
      </w:pPr>
      <w:r>
        <w:t xml:space="preserve">Mortality</w:t>
      </w:r>
    </w:p>
    <w:p>
      <w:pPr>
        <w:pStyle w:val="FirstParagraph"/>
      </w:pPr>
      <w:r>
        <w:t xml:space="preserve">Peak years of age-specific mortality were 1997 at 40–44 years (13.1 per 100,000), 2001 at 45–49 years (21.5), 2003 at 50–54 years (30.7), 2010 at 55–59 years (37.9) and 2015 at 60–64 years (38.9); at 80–84 years mortality doubled from 27.9 in 2000 to 55.1 in 2024. The lowest period deviations were in 1985–1994 (0.96), and deviations after 2000 ranged from 1.00 to 1.01.</w:t>
      </w:r>
    </w:p>
    <w:bookmarkEnd w:id="27"/>
    <w:bookmarkStart w:id="28" w:name="screening-sensitivity-analyses"/>
    <w:p>
      <w:pPr>
        <w:pStyle w:val="Heading3"/>
      </w:pPr>
      <w:r>
        <w:t xml:space="preserve">Screening sensitivity analyses</w:t>
      </w:r>
    </w:p>
    <w:p>
      <w:pPr>
        <w:pStyle w:val="FirstParagraph"/>
      </w:pPr>
      <w:r>
        <w:t xml:space="preserve">For binary eligibility, the weighted standard deviation of exposure fell from 0.46–0.50 to 0.12–0.14 after removal of the APC terms; for cumulative eligibility the VIF was 22–299. The ten most informative cells contributed 69% of the information (Supplementary Table S2B). Weighting sub-cell exposures by annual deaths changed no estimate by more than 0.005. Restricting the analysis to 1975–2024 gave the same conclusions: the age-cohort model again fitted far better than the age-period model (deviance 302.3 vs 8,092.7), net drift was 1.01% per year (0.92–1.10), and lagged eligibility RRs were 0.986 (0.951–1.023) at 5 years and 1.000 (0.965–1.037) at 10 years, with cumulative RRs of 1.12–1.23. Negative binomial models gave estimates within 0.02 of the quasi-Poisson RRs.</w:t>
      </w:r>
    </w:p>
    <w:p>
      <w:pPr>
        <w:pStyle w:val="BodyText"/>
      </w:pPr>
      <w:r>
        <w:t xml:space="preserve">The conventional policy model gave a screening IRR of 1.024 and a trend IRR of 1.016 per year. Its Pearson dispersion was 3.71, so the Poisson CI was too narrow; with quasi-Poisson errors it was 1.003–1.047. The design matrix was poorly conditioned (condition number about 8,800), and shifting the cohort bins by 1–4 years gave IRRs of 1.021–1.024.</w:t>
      </w:r>
    </w:p>
    <w:bookmarkEnd w:id="28"/>
    <w:bookmarkStart w:id="29" w:name="incidence"/>
    <w:p>
      <w:pPr>
        <w:pStyle w:val="Heading3"/>
      </w:pPr>
      <w:r>
        <w:t xml:space="preserve">Incidence</w:t>
      </w:r>
    </w:p>
    <w:p>
      <w:pPr>
        <w:pStyle w:val="FirstParagraph"/>
      </w:pPr>
      <w:r>
        <w:t xml:space="preserve">The incidence APC model had a deviance of 2,048.1 on 63 df. Its overdispersion was spread across periods (5–20% of the Pearson χ² per period; 11% in 2016–2020) and concentrated at ages 30–49 years (62%) and 80–84 years (14%). The median absolute relative difference between observed and fitted counts was 2.0%; with very large counts, even small systematic departures produce a large dispersion. Excluding ages 40–69 years reduced the dispersion to 13.8, and restricting incidence to 1976–2015 gave a drift of 3.86% per year. The largest departures were at ages 30–39 years in 1981–1990 (up to +22%) and at 80–84 years in 2006–2010 (−10%). Over common cohorts, the incidence cohort curve differed from the main analysis by at most 4% with the negative binomial model, 9% before the registry change, 13% when ages 40–69 years were excluded and 3% when poorly fitting cells were excluded (dispersion 19.6). The two age-restricted analyses use different age ranges and are supportive rather than directly comparable. Incidence period deviations were 1.01, 1.08 and 1.08 in 2006–2010, 2011–2015 and 2016–2020. The mortality-to-incidence ratio fell from 0.16 to 0.05 at 40–44 years and from 0.37 to 0.20 at 80–84 years between 1996–2000 and 2016–2020; with invasive cancer alone, it fell from 0.18 to 0.11 at 50–54 years between 2006–2010 and 2016–2020. The share of in situ cancer at 50–69 years rose from 3.8% in 2003 to 11.8% in 2023, with a step between 2015 and 2016.</w:t>
      </w:r>
    </w:p>
    <w:bookmarkEnd w:id="29"/>
    <w:bookmarkStart w:id="30" w:name="three-prefectures"/>
    <w:p>
      <w:pPr>
        <w:pStyle w:val="Heading3"/>
      </w:pPr>
      <w:r>
        <w:t xml:space="preserve">Three prefectures</w:t>
      </w:r>
    </w:p>
    <w:p>
      <w:pPr>
        <w:pStyle w:val="FirstParagraph"/>
      </w:pPr>
      <w:r>
        <w:t xml:space="preserve">The three prefectures contributed 49,286 cases including in situ cancer at ages 30–84 years in 1986–2020. The age-cohort model again fitted much better than the age-period model (deviance 118.2 vs 412.0), and overdispersion was small (1.3–1.7), in contrast with the national series (32.6). The cohort deviation peaked in the 1951 cohort under every specification (RR 1.21–1.24) and was 0.89–0.91 for the 1976 cohort, closely matching the national estimates (1.22 and 0.93) (Supplementary Table S5; Supplementary Figure S3A). Net drift was 4.21% per year for all cases and 3.73% for invasive cancer. The share of in situ cancer rose in every age group from below 2% in 1985–1988 to 8–16% in 2009–2013 and changed little thereafter (Supplementary Figure S3B).</w:t>
      </w:r>
    </w:p>
    <w:bookmarkEnd w:id="30"/>
    <w:bookmarkEnd w:id="31"/>
    <w:bookmarkStart w:id="32" w:name="supplementary-tables"/>
    <w:p>
      <w:pPr>
        <w:pStyle w:val="Heading2"/>
      </w:pPr>
      <w:r>
        <w:t xml:space="preserve">Supplementary Tables</w:t>
      </w:r>
    </w:p>
    <w:p>
      <w:pPr>
        <w:pStyle w:val="FirstParagraph"/>
      </w:pPr>
      <w:r>
        <w:rPr>
          <w:bCs/>
          <w:b/>
        </w:rPr>
        <w:t xml:space="preserve">Supplementary Table S1.</w:t>
      </w:r>
      <w:r>
        <w:t xml:space="preserve"> </w:t>
      </w:r>
      <w:r>
        <w:t xml:space="preserve">Screening rate ratios across exposure definitions and analyses, with separability diagnostics</w:t>
      </w:r>
    </w:p>
    <w:tbl>
      <w:tblPr>
        <w:tblStyle w:val="Table"/>
        <w:tblW w:type="pct" w:w="5000"/>
        <w:tblLook w:firstRow="1" w:lastRow="0" w:firstColumn="0" w:lastColumn="0" w:noHBand="0" w:noVBand="0" w:val="0020"/>
        <w:jc w:val="start"/>
        <w:tblBorders>
          <w:top w:val="single" w:sz="4" w:color="000000"/>
          <w:bottom w:val="single" w:sz="4" w:color="000000"/>
          <w:insideH w:val="single" w:sz="4" w:color="000000"/>
        </w:tblBorders>
      </w:tblPr>
      <w:tblGrid>
        <w:gridCol/>
        <w:gridCol/>
        <w:gridCol/>
        <w:gridCol/>
        <w:gridCol/>
        <w:gridCol/>
        <w:gridCol/>
        <w:gridCol/>
      </w:tblGrid>
      <w:tr>
        <w:trPr>
          <w:tblHeader w:val="true"/>
        </w:trPr>
        <w:tc>
          <w:tcPr/>
          <w:p>
            <w:pPr>
              <w:pStyle w:val="Compact"/>
              <w:spacing w:line="240" w:lineRule="auto"/>
              <w:jc w:val="left"/>
            </w:pPr>
            <w:r>
              <w:rPr>
                <w:sz w:val="18"/>
              </w:rPr>
              <w:t xml:space="preserve">Exposure</w:t>
            </w:r>
          </w:p>
        </w:tc>
        <w:tc>
          <w:tcPr/>
          <w:p>
            <w:pPr>
              <w:pStyle w:val="Compact"/>
              <w:spacing w:line="240" w:lineRule="auto"/>
              <w:jc w:val="left"/>
            </w:pPr>
            <w:r>
              <w:rPr>
                <w:sz w:val="18"/>
              </w:rPr>
              <w:t xml:space="preserve">Lag (y)</w:t>
            </w:r>
          </w:p>
        </w:tc>
        <w:tc>
          <w:tcPr/>
          <w:p>
            <w:pPr>
              <w:pStyle w:val="Compact"/>
              <w:spacing w:line="240" w:lineRule="auto"/>
              <w:jc w:val="left"/>
            </w:pPr>
            <w:r>
              <w:rPr>
                <w:sz w:val="18"/>
              </w:rPr>
              <w:t xml:space="preserve">RR (95% CI), main analysis 1960–2024</w:t>
            </w:r>
          </w:p>
        </w:tc>
        <w:tc>
          <w:tcPr/>
          <w:p>
            <w:pPr>
              <w:pStyle w:val="Compact"/>
              <w:spacing w:line="240" w:lineRule="auto"/>
              <w:jc w:val="left"/>
            </w:pPr>
            <w:r>
              <w:rPr>
                <w:sz w:val="18"/>
              </w:rPr>
              <w:t xml:space="preserve">R²</w:t>
            </w:r>
          </w:p>
        </w:tc>
        <w:tc>
          <w:tcPr/>
          <w:p>
            <w:pPr>
              <w:pStyle w:val="Compact"/>
              <w:spacing w:line="240" w:lineRule="auto"/>
              <w:jc w:val="left"/>
            </w:pPr>
            <w:r>
              <w:rPr>
                <w:sz w:val="18"/>
              </w:rPr>
              <w:t xml:space="preserve">VIF</w:t>
            </w:r>
          </w:p>
        </w:tc>
        <w:tc>
          <w:tcPr/>
          <w:p>
            <w:pPr>
              <w:pStyle w:val="Compact"/>
              <w:spacing w:line="240" w:lineRule="auto"/>
              <w:jc w:val="left"/>
            </w:pPr>
            <w:r>
              <w:rPr>
                <w:sz w:val="18"/>
              </w:rPr>
              <w:t xml:space="preserve">Smallest detectable RR</w:t>
            </w:r>
          </w:p>
        </w:tc>
        <w:tc>
          <w:tcPr/>
          <w:p>
            <w:pPr>
              <w:pStyle w:val="Compact"/>
              <w:spacing w:line="240" w:lineRule="auto"/>
              <w:jc w:val="left"/>
            </w:pPr>
            <w:r>
              <w:rPr>
                <w:sz w:val="18"/>
              </w:rPr>
              <w:t xml:space="preserve">RR (95% CI), 1975–2024</w:t>
            </w:r>
          </w:p>
        </w:tc>
        <w:tc>
          <w:tcPr/>
          <w:p>
            <w:pPr>
              <w:pStyle w:val="Compact"/>
              <w:spacing w:line="240" w:lineRule="auto"/>
              <w:jc w:val="left"/>
            </w:pPr>
            <w:r>
              <w:rPr>
                <w:sz w:val="18"/>
              </w:rPr>
              <w:t xml:space="preserve">RR (95% CI), annual observations</w:t>
            </w:r>
          </w:p>
        </w:tc>
      </w:tr>
      <w:tr>
        <w:tc>
          <w:tcPr/>
          <w:p>
            <w:pPr>
              <w:pStyle w:val="Compact"/>
              <w:spacing w:line="240" w:lineRule="auto"/>
              <w:jc w:val="left"/>
            </w:pPr>
            <w:r>
              <w:rPr>
                <w:sz w:val="18"/>
              </w:rPr>
              <w:t xml:space="preserve">Mammography, binary</w:t>
            </w:r>
          </w:p>
        </w:tc>
        <w:tc>
          <w:tcPr/>
          <w:p>
            <w:pPr>
              <w:pStyle w:val="Compact"/>
              <w:spacing w:line="240" w:lineRule="auto"/>
              <w:jc w:val="left"/>
            </w:pPr>
            <w:r>
              <w:rPr>
                <w:sz w:val="18"/>
              </w:rPr>
              <w:t xml:space="preserve">0</w:t>
            </w:r>
          </w:p>
        </w:tc>
        <w:tc>
          <w:tcPr/>
          <w:p>
            <w:pPr>
              <w:pStyle w:val="Compact"/>
              <w:spacing w:line="240" w:lineRule="auto"/>
              <w:jc w:val="left"/>
            </w:pPr>
            <w:r>
              <w:rPr>
                <w:sz w:val="18"/>
              </w:rPr>
              <w:t xml:space="preserve">0.955 (0.918–0.994)</w:t>
            </w:r>
          </w:p>
        </w:tc>
        <w:tc>
          <w:tcPr/>
          <w:p>
            <w:pPr>
              <w:pStyle w:val="Compact"/>
              <w:spacing w:line="240" w:lineRule="auto"/>
              <w:jc w:val="left"/>
            </w:pPr>
            <w:r>
              <w:rPr>
                <w:sz w:val="18"/>
              </w:rPr>
              <w:t xml:space="preserve">0.94</w:t>
            </w:r>
          </w:p>
        </w:tc>
        <w:tc>
          <w:tcPr/>
          <w:p>
            <w:pPr>
              <w:pStyle w:val="Compact"/>
              <w:spacing w:line="240" w:lineRule="auto"/>
              <w:jc w:val="left"/>
            </w:pPr>
            <w:r>
              <w:rPr>
                <w:sz w:val="18"/>
              </w:rPr>
              <w:t xml:space="preserve">17.6</w:t>
            </w:r>
          </w:p>
        </w:tc>
        <w:tc>
          <w:tcPr/>
          <w:p>
            <w:pPr>
              <w:pStyle w:val="Compact"/>
              <w:spacing w:line="240" w:lineRule="auto"/>
              <w:jc w:val="left"/>
            </w:pPr>
            <w:r>
              <w:rPr>
                <w:sz w:val="18"/>
              </w:rPr>
              <w:t xml:space="preserve">0.945</w:t>
            </w:r>
          </w:p>
        </w:tc>
        <w:tc>
          <w:tcPr/>
          <w:p>
            <w:pPr>
              <w:pStyle w:val="Compact"/>
              <w:spacing w:line="240" w:lineRule="auto"/>
              <w:jc w:val="left"/>
            </w:pPr>
            <w:r>
              <w:rPr>
                <w:sz w:val="18"/>
              </w:rPr>
              <w:t xml:space="preserve">0.952 (0.913–0.992)</w:t>
            </w:r>
          </w:p>
        </w:tc>
        <w:tc>
          <w:tcPr/>
          <w:p>
            <w:pPr>
              <w:pStyle w:val="Compact"/>
              <w:spacing w:line="240" w:lineRule="auto"/>
              <w:jc w:val="left"/>
            </w:pPr>
            <w:r>
              <w:rPr>
                <w:sz w:val="18"/>
              </w:rPr>
              <w:t xml:space="preserve">0.956 (0.926–0.987)</w:t>
            </w:r>
          </w:p>
        </w:tc>
      </w:tr>
      <w:tr>
        <w:tc>
          <w:tcPr/>
          <w:p>
            <w:pPr>
              <w:pStyle w:val="Compact"/>
              <w:spacing w:line="240" w:lineRule="auto"/>
              <w:jc w:val="left"/>
            </w:pPr>
            <w:r>
              <w:rPr>
                <w:sz w:val="18"/>
              </w:rPr>
              <w:t xml:space="preserve">Mammography, binary</w:t>
            </w:r>
          </w:p>
        </w:tc>
        <w:tc>
          <w:tcPr/>
          <w:p>
            <w:pPr>
              <w:pStyle w:val="Compact"/>
              <w:spacing w:line="240" w:lineRule="auto"/>
              <w:jc w:val="left"/>
            </w:pPr>
            <w:r>
              <w:rPr>
                <w:sz w:val="18"/>
              </w:rPr>
              <w:t xml:space="preserve">5</w:t>
            </w:r>
          </w:p>
        </w:tc>
        <w:tc>
          <w:tcPr/>
          <w:p>
            <w:pPr>
              <w:pStyle w:val="Compact"/>
              <w:spacing w:line="240" w:lineRule="auto"/>
              <w:jc w:val="left"/>
            </w:pPr>
            <w:r>
              <w:rPr>
                <w:sz w:val="18"/>
              </w:rPr>
              <w:t xml:space="preserve">0.990 (0.956–1.026)</w:t>
            </w:r>
          </w:p>
        </w:tc>
        <w:tc>
          <w:tcPr/>
          <w:p>
            <w:pPr>
              <w:pStyle w:val="Compact"/>
              <w:spacing w:line="240" w:lineRule="auto"/>
              <w:jc w:val="left"/>
            </w:pPr>
            <w:r>
              <w:rPr>
                <w:sz w:val="18"/>
              </w:rPr>
              <w:t xml:space="preserve">0.93</w:t>
            </w:r>
          </w:p>
        </w:tc>
        <w:tc>
          <w:tcPr/>
          <w:p>
            <w:pPr>
              <w:pStyle w:val="Compact"/>
              <w:spacing w:line="240" w:lineRule="auto"/>
              <w:jc w:val="left"/>
            </w:pPr>
            <w:r>
              <w:rPr>
                <w:sz w:val="18"/>
              </w:rPr>
              <w:t xml:space="preserve">13.4</w:t>
            </w:r>
          </w:p>
        </w:tc>
        <w:tc>
          <w:tcPr/>
          <w:p>
            <w:pPr>
              <w:pStyle w:val="Compact"/>
              <w:spacing w:line="240" w:lineRule="auto"/>
              <w:jc w:val="left"/>
            </w:pPr>
            <w:r>
              <w:rPr>
                <w:sz w:val="18"/>
              </w:rPr>
              <w:t xml:space="preserve">0.951</w:t>
            </w:r>
          </w:p>
        </w:tc>
        <w:tc>
          <w:tcPr/>
          <w:p>
            <w:pPr>
              <w:pStyle w:val="Compact"/>
              <w:spacing w:line="240" w:lineRule="auto"/>
              <w:jc w:val="left"/>
            </w:pPr>
            <w:r>
              <w:rPr>
                <w:sz w:val="18"/>
              </w:rPr>
              <w:t xml:space="preserve">0.986 (0.951–1.023)</w:t>
            </w:r>
          </w:p>
        </w:tc>
        <w:tc>
          <w:tcPr/>
          <w:p>
            <w:pPr>
              <w:pStyle w:val="Compact"/>
              <w:spacing w:line="240" w:lineRule="auto"/>
              <w:jc w:val="left"/>
            </w:pPr>
            <w:r>
              <w:rPr>
                <w:sz w:val="18"/>
              </w:rPr>
              <w:t xml:space="preserve">0.989 (0.962–1.016)</w:t>
            </w:r>
          </w:p>
        </w:tc>
      </w:tr>
      <w:tr>
        <w:tc>
          <w:tcPr/>
          <w:p>
            <w:pPr>
              <w:pStyle w:val="Compact"/>
              <w:spacing w:line="240" w:lineRule="auto"/>
              <w:jc w:val="left"/>
            </w:pPr>
            <w:r>
              <w:rPr>
                <w:sz w:val="18"/>
              </w:rPr>
              <w:t xml:space="preserve">Mammography, binary</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1.005 (0.971–1.040)</w:t>
            </w:r>
          </w:p>
        </w:tc>
        <w:tc>
          <w:tcPr/>
          <w:p>
            <w:pPr>
              <w:pStyle w:val="Compact"/>
              <w:spacing w:line="240" w:lineRule="auto"/>
              <w:jc w:val="left"/>
            </w:pPr>
            <w:r>
              <w:rPr>
                <w:sz w:val="18"/>
              </w:rPr>
              <w:t xml:space="preserve">0.91</w:t>
            </w:r>
          </w:p>
        </w:tc>
        <w:tc>
          <w:tcPr/>
          <w:p>
            <w:pPr>
              <w:pStyle w:val="Compact"/>
              <w:spacing w:line="240" w:lineRule="auto"/>
              <w:jc w:val="left"/>
            </w:pPr>
            <w:r>
              <w:rPr>
                <w:sz w:val="18"/>
              </w:rPr>
              <w:t xml:space="preserve">11.1</w:t>
            </w:r>
          </w:p>
        </w:tc>
        <w:tc>
          <w:tcPr/>
          <w:p>
            <w:pPr>
              <w:pStyle w:val="Compact"/>
              <w:spacing w:line="240" w:lineRule="auto"/>
              <w:jc w:val="left"/>
            </w:pPr>
            <w:r>
              <w:rPr>
                <w:sz w:val="18"/>
              </w:rPr>
              <w:t xml:space="preserve">0.952</w:t>
            </w:r>
          </w:p>
        </w:tc>
        <w:tc>
          <w:tcPr/>
          <w:p>
            <w:pPr>
              <w:pStyle w:val="Compact"/>
              <w:spacing w:line="240" w:lineRule="auto"/>
              <w:jc w:val="left"/>
            </w:pPr>
            <w:r>
              <w:rPr>
                <w:sz w:val="18"/>
              </w:rPr>
              <w:t xml:space="preserve">1.000 (0.965–1.037)</w:t>
            </w:r>
          </w:p>
        </w:tc>
        <w:tc>
          <w:tcPr/>
          <w:p>
            <w:pPr>
              <w:pStyle w:val="Compact"/>
              <w:spacing w:line="240" w:lineRule="auto"/>
              <w:jc w:val="left"/>
            </w:pPr>
            <w:r>
              <w:rPr>
                <w:sz w:val="18"/>
              </w:rPr>
              <w:t xml:space="preserve">0.996 (0.970–1.022)</w:t>
            </w:r>
          </w:p>
        </w:tc>
      </w:tr>
      <w:tr>
        <w:tc>
          <w:tcPr/>
          <w:p>
            <w:pPr>
              <w:pStyle w:val="Compact"/>
              <w:spacing w:line="240" w:lineRule="auto"/>
              <w:jc w:val="left"/>
            </w:pPr>
            <w:r>
              <w:rPr>
                <w:sz w:val="18"/>
              </w:rPr>
              <w:t xml:space="preserve">Mammography, cumulative (per 10 y)</w:t>
            </w:r>
          </w:p>
        </w:tc>
        <w:tc>
          <w:tcPr/>
          <w:p>
            <w:pPr>
              <w:pStyle w:val="Compact"/>
              <w:spacing w:line="240" w:lineRule="auto"/>
              <w:jc w:val="left"/>
            </w:pPr>
            <w:r>
              <w:rPr>
                <w:sz w:val="18"/>
              </w:rPr>
              <w:t xml:space="preserve">0</w:t>
            </w:r>
          </w:p>
        </w:tc>
        <w:tc>
          <w:tcPr/>
          <w:p>
            <w:pPr>
              <w:pStyle w:val="Compact"/>
              <w:spacing w:line="240" w:lineRule="auto"/>
              <w:jc w:val="left"/>
            </w:pPr>
            <w:r>
              <w:rPr>
                <w:sz w:val="18"/>
              </w:rPr>
              <w:t xml:space="preserve">1.196 (1.080–1.325)</w:t>
            </w:r>
          </w:p>
        </w:tc>
        <w:tc>
          <w:tcPr/>
          <w:p>
            <w:pPr>
              <w:pStyle w:val="Compact"/>
              <w:spacing w:line="240" w:lineRule="auto"/>
              <w:jc w:val="left"/>
            </w:pPr>
            <w:r>
              <w:rPr>
                <w:sz w:val="18"/>
              </w:rPr>
              <w:t xml:space="preserve">&gt;0.99</w:t>
            </w:r>
          </w:p>
        </w:tc>
        <w:tc>
          <w:tcPr/>
          <w:p>
            <w:pPr>
              <w:pStyle w:val="Compact"/>
              <w:spacing w:line="240" w:lineRule="auto"/>
              <w:jc w:val="left"/>
            </w:pPr>
            <w:r>
              <w:rPr>
                <w:sz w:val="18"/>
              </w:rPr>
              <w:t xml:space="preserve">299.0</w:t>
            </w:r>
          </w:p>
        </w:tc>
        <w:tc>
          <w:tcPr/>
          <w:p>
            <w:pPr>
              <w:pStyle w:val="Compact"/>
              <w:spacing w:line="240" w:lineRule="auto"/>
              <w:jc w:val="left"/>
            </w:pPr>
            <w:r>
              <w:rPr>
                <w:sz w:val="18"/>
              </w:rPr>
              <w:t xml:space="preserve">0.864</w:t>
            </w:r>
          </w:p>
        </w:tc>
        <w:tc>
          <w:tcPr/>
          <w:p>
            <w:pPr>
              <w:pStyle w:val="Compact"/>
              <w:spacing w:line="240" w:lineRule="auto"/>
              <w:jc w:val="left"/>
            </w:pPr>
            <w:r>
              <w:rPr>
                <w:sz w:val="18"/>
              </w:rPr>
              <w:t xml:space="preserve">1.235 (1.101–1.385)</w:t>
            </w:r>
          </w:p>
        </w:tc>
        <w:tc>
          <w:tcPr/>
          <w:p>
            <w:pPr>
              <w:pStyle w:val="Compact"/>
              <w:spacing w:line="240" w:lineRule="auto"/>
              <w:jc w:val="left"/>
            </w:pPr>
            <w:r>
              <w:rPr>
                <w:sz w:val="18"/>
              </w:rPr>
              <w:t xml:space="preserve">1.208 (1.163–1.254)</w:t>
            </w:r>
          </w:p>
        </w:tc>
      </w:tr>
      <w:tr>
        <w:tc>
          <w:tcPr/>
          <w:p>
            <w:pPr>
              <w:pStyle w:val="Compact"/>
              <w:spacing w:line="240" w:lineRule="auto"/>
              <w:jc w:val="left"/>
            </w:pPr>
            <w:r>
              <w:rPr>
                <w:sz w:val="18"/>
              </w:rPr>
              <w:t xml:space="preserve">Mammography, cumulative (per 10 y)</w:t>
            </w:r>
          </w:p>
        </w:tc>
        <w:tc>
          <w:tcPr/>
          <w:p>
            <w:pPr>
              <w:pStyle w:val="Compact"/>
              <w:spacing w:line="240" w:lineRule="auto"/>
              <w:jc w:val="left"/>
            </w:pPr>
            <w:r>
              <w:rPr>
                <w:sz w:val="18"/>
              </w:rPr>
              <w:t xml:space="preserve">5</w:t>
            </w:r>
          </w:p>
        </w:tc>
        <w:tc>
          <w:tcPr/>
          <w:p>
            <w:pPr>
              <w:pStyle w:val="Compact"/>
              <w:spacing w:line="240" w:lineRule="auto"/>
              <w:jc w:val="left"/>
            </w:pPr>
            <w:r>
              <w:rPr>
                <w:sz w:val="18"/>
              </w:rPr>
              <w:t xml:space="preserve">1.145 (1.074–1.221)</w:t>
            </w:r>
          </w:p>
        </w:tc>
        <w:tc>
          <w:tcPr/>
          <w:p>
            <w:pPr>
              <w:pStyle w:val="Compact"/>
              <w:spacing w:line="240" w:lineRule="auto"/>
              <w:jc w:val="left"/>
            </w:pPr>
            <w:r>
              <w:rPr>
                <w:sz w:val="18"/>
              </w:rPr>
              <w:t xml:space="preserve">0.99</w:t>
            </w:r>
          </w:p>
        </w:tc>
        <w:tc>
          <w:tcPr/>
          <w:p>
            <w:pPr>
              <w:pStyle w:val="Compact"/>
              <w:spacing w:line="240" w:lineRule="auto"/>
              <w:jc w:val="left"/>
            </w:pPr>
            <w:r>
              <w:rPr>
                <w:sz w:val="18"/>
              </w:rPr>
              <w:t xml:space="preserve">70.4</w:t>
            </w:r>
          </w:p>
        </w:tc>
        <w:tc>
          <w:tcPr/>
          <w:p>
            <w:pPr>
              <w:pStyle w:val="Compact"/>
              <w:spacing w:line="240" w:lineRule="auto"/>
              <w:jc w:val="left"/>
            </w:pPr>
            <w:r>
              <w:rPr>
                <w:sz w:val="18"/>
              </w:rPr>
              <w:t xml:space="preserve">0.913</w:t>
            </w:r>
          </w:p>
        </w:tc>
        <w:tc>
          <w:tcPr/>
          <w:p>
            <w:pPr>
              <w:pStyle w:val="Compact"/>
              <w:spacing w:line="240" w:lineRule="auto"/>
              <w:jc w:val="left"/>
            </w:pPr>
            <w:r>
              <w:rPr>
                <w:sz w:val="18"/>
              </w:rPr>
              <w:t xml:space="preserve">1.171 (1.094–1.254)</w:t>
            </w:r>
          </w:p>
        </w:tc>
        <w:tc>
          <w:tcPr/>
          <w:p>
            <w:pPr>
              <w:pStyle w:val="Compact"/>
              <w:spacing w:line="240" w:lineRule="auto"/>
              <w:jc w:val="left"/>
            </w:pPr>
            <w:r>
              <w:rPr>
                <w:sz w:val="18"/>
              </w:rPr>
              <w:t xml:space="preserve">1.185 (1.142–1.228)</w:t>
            </w:r>
          </w:p>
        </w:tc>
      </w:tr>
      <w:tr>
        <w:tc>
          <w:tcPr/>
          <w:p>
            <w:pPr>
              <w:pStyle w:val="Compact"/>
              <w:spacing w:line="240" w:lineRule="auto"/>
              <w:jc w:val="left"/>
            </w:pPr>
            <w:r>
              <w:rPr>
                <w:sz w:val="18"/>
              </w:rPr>
              <w:t xml:space="preserve">Mammography, cumulative (per 10 y)</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1.101 (1.043–1.163)</w:t>
            </w:r>
          </w:p>
        </w:tc>
        <w:tc>
          <w:tcPr/>
          <w:p>
            <w:pPr>
              <w:pStyle w:val="Compact"/>
              <w:spacing w:line="240" w:lineRule="auto"/>
              <w:jc w:val="left"/>
            </w:pPr>
            <w:r>
              <w:rPr>
                <w:sz w:val="18"/>
              </w:rPr>
              <w:t xml:space="preserve">0.95</w:t>
            </w:r>
          </w:p>
        </w:tc>
        <w:tc>
          <w:tcPr/>
          <w:p>
            <w:pPr>
              <w:pStyle w:val="Compact"/>
              <w:spacing w:line="240" w:lineRule="auto"/>
              <w:jc w:val="left"/>
            </w:pPr>
            <w:r>
              <w:rPr>
                <w:sz w:val="18"/>
              </w:rPr>
              <w:t xml:space="preserve">21.6</w:t>
            </w:r>
          </w:p>
        </w:tc>
        <w:tc>
          <w:tcPr/>
          <w:p>
            <w:pPr>
              <w:pStyle w:val="Compact"/>
              <w:spacing w:line="240" w:lineRule="auto"/>
              <w:jc w:val="left"/>
            </w:pPr>
            <w:r>
              <w:rPr>
                <w:sz w:val="18"/>
              </w:rPr>
              <w:t xml:space="preserve">0.925</w:t>
            </w:r>
          </w:p>
        </w:tc>
        <w:tc>
          <w:tcPr/>
          <w:p>
            <w:pPr>
              <w:pStyle w:val="Compact"/>
              <w:spacing w:line="240" w:lineRule="auto"/>
              <w:jc w:val="left"/>
            </w:pPr>
            <w:r>
              <w:rPr>
                <w:sz w:val="18"/>
              </w:rPr>
              <w:t xml:space="preserve">1.118 (1.057–1.183)</w:t>
            </w:r>
          </w:p>
        </w:tc>
        <w:tc>
          <w:tcPr/>
          <w:p>
            <w:pPr>
              <w:pStyle w:val="Compact"/>
              <w:spacing w:line="240" w:lineRule="auto"/>
              <w:jc w:val="left"/>
            </w:pPr>
            <w:r>
              <w:rPr>
                <w:sz w:val="18"/>
              </w:rPr>
              <w:t xml:space="preserve">1.151 (1.109–1.193)</w:t>
            </w:r>
          </w:p>
        </w:tc>
      </w:tr>
      <w:tr>
        <w:tc>
          <w:tcPr/>
          <w:p>
            <w:pPr>
              <w:pStyle w:val="Compact"/>
              <w:spacing w:line="240" w:lineRule="auto"/>
              <w:jc w:val="left"/>
            </w:pPr>
            <w:r>
              <w:rPr>
                <w:sz w:val="18"/>
              </w:rPr>
              <w:t xml:space="preserve">Any programme, binary</w:t>
            </w:r>
          </w:p>
        </w:tc>
        <w:tc>
          <w:tcPr/>
          <w:p>
            <w:pPr>
              <w:pStyle w:val="Compact"/>
              <w:spacing w:line="240" w:lineRule="auto"/>
              <w:jc w:val="left"/>
            </w:pPr>
            <w:r>
              <w:rPr>
                <w:sz w:val="18"/>
              </w:rPr>
              <w:t xml:space="preserve">0</w:t>
            </w:r>
          </w:p>
        </w:tc>
        <w:tc>
          <w:tcPr/>
          <w:p>
            <w:pPr>
              <w:pStyle w:val="Compact"/>
              <w:spacing w:line="240" w:lineRule="auto"/>
              <w:jc w:val="left"/>
            </w:pPr>
            <w:r>
              <w:rPr>
                <w:sz w:val="18"/>
              </w:rPr>
              <w:t xml:space="preserve">0.977 (0.915–1.044)</w:t>
            </w:r>
          </w:p>
        </w:tc>
        <w:tc>
          <w:tcPr/>
          <w:p>
            <w:pPr>
              <w:pStyle w:val="Compact"/>
              <w:spacing w:line="240" w:lineRule="auto"/>
              <w:jc w:val="left"/>
            </w:pPr>
            <w:r>
              <w:rPr>
                <w:sz w:val="18"/>
              </w:rPr>
              <w:t xml:space="preserve">0.96</w:t>
            </w:r>
          </w:p>
        </w:tc>
        <w:tc>
          <w:tcPr/>
          <w:p>
            <w:pPr>
              <w:pStyle w:val="Compact"/>
              <w:spacing w:line="240" w:lineRule="auto"/>
              <w:jc w:val="left"/>
            </w:pPr>
            <w:r>
              <w:rPr>
                <w:sz w:val="18"/>
              </w:rPr>
              <w:t xml:space="preserve">27.8</w:t>
            </w:r>
          </w:p>
        </w:tc>
        <w:tc>
          <w:tcPr/>
          <w:p>
            <w:pPr>
              <w:pStyle w:val="Compact"/>
              <w:spacing w:line="240" w:lineRule="auto"/>
              <w:jc w:val="left"/>
            </w:pPr>
            <w:r>
              <w:rPr>
                <w:sz w:val="18"/>
              </w:rPr>
              <w:t xml:space="preserve">0.910</w:t>
            </w:r>
          </w:p>
        </w:tc>
        <w:tc>
          <w:tcPr/>
          <w:p>
            <w:pPr>
              <w:pStyle w:val="Compact"/>
              <w:spacing w:line="240" w:lineRule="auto"/>
              <w:jc w:val="left"/>
            </w:pPr>
            <w:r>
              <w:rPr>
                <w:sz w:val="18"/>
              </w:rPr>
              <w:t xml:space="preserve">0.983 (0.916–1.056)</w:t>
            </w:r>
          </w:p>
        </w:tc>
        <w:tc>
          <w:tcPr/>
          <w:p>
            <w:pPr>
              <w:pStyle w:val="Compact"/>
              <w:spacing w:line="240" w:lineRule="auto"/>
              <w:jc w:val="left"/>
            </w:pPr>
            <w:r>
              <w:rPr>
                <w:sz w:val="18"/>
              </w:rPr>
              <w:t xml:space="preserve">1.027 (0.998–1.058)</w:t>
            </w:r>
          </w:p>
        </w:tc>
      </w:tr>
      <w:tr>
        <w:tc>
          <w:tcPr/>
          <w:p>
            <w:pPr>
              <w:pStyle w:val="Compact"/>
              <w:spacing w:line="240" w:lineRule="auto"/>
              <w:jc w:val="left"/>
            </w:pPr>
            <w:r>
              <w:rPr>
                <w:sz w:val="18"/>
              </w:rPr>
              <w:t xml:space="preserve">Any programme, binary</w:t>
            </w:r>
          </w:p>
        </w:tc>
        <w:tc>
          <w:tcPr/>
          <w:p>
            <w:pPr>
              <w:pStyle w:val="Compact"/>
              <w:spacing w:line="240" w:lineRule="auto"/>
              <w:jc w:val="left"/>
            </w:pPr>
            <w:r>
              <w:rPr>
                <w:sz w:val="18"/>
              </w:rPr>
              <w:t xml:space="preserve">5</w:t>
            </w:r>
          </w:p>
        </w:tc>
        <w:tc>
          <w:tcPr/>
          <w:p>
            <w:pPr>
              <w:pStyle w:val="Compact"/>
              <w:spacing w:line="240" w:lineRule="auto"/>
              <w:jc w:val="left"/>
            </w:pPr>
            <w:r>
              <w:rPr>
                <w:sz w:val="18"/>
              </w:rPr>
              <w:t xml:space="preserve">0.976 (0.925–1.030)</w:t>
            </w:r>
          </w:p>
        </w:tc>
        <w:tc>
          <w:tcPr/>
          <w:p>
            <w:pPr>
              <w:pStyle w:val="Compact"/>
              <w:spacing w:line="240" w:lineRule="auto"/>
              <w:jc w:val="left"/>
            </w:pPr>
            <w:r>
              <w:rPr>
                <w:sz w:val="18"/>
              </w:rPr>
              <w:t xml:space="preserve">0.96</w:t>
            </w:r>
          </w:p>
        </w:tc>
        <w:tc>
          <w:tcPr/>
          <w:p>
            <w:pPr>
              <w:pStyle w:val="Compact"/>
              <w:spacing w:line="240" w:lineRule="auto"/>
              <w:jc w:val="left"/>
            </w:pPr>
            <w:r>
              <w:rPr>
                <w:sz w:val="18"/>
              </w:rPr>
              <w:t xml:space="preserve">23.5</w:t>
            </w:r>
          </w:p>
        </w:tc>
        <w:tc>
          <w:tcPr/>
          <w:p>
            <w:pPr>
              <w:pStyle w:val="Compact"/>
              <w:spacing w:line="240" w:lineRule="auto"/>
              <w:jc w:val="left"/>
            </w:pPr>
            <w:r>
              <w:rPr>
                <w:sz w:val="18"/>
              </w:rPr>
              <w:t xml:space="preserve">0.926</w:t>
            </w:r>
          </w:p>
        </w:tc>
        <w:tc>
          <w:tcPr/>
          <w:p>
            <w:pPr>
              <w:pStyle w:val="Compact"/>
              <w:spacing w:line="240" w:lineRule="auto"/>
              <w:jc w:val="left"/>
            </w:pPr>
            <w:r>
              <w:rPr>
                <w:sz w:val="18"/>
              </w:rPr>
              <w:t xml:space="preserve">0.978 (0.923–1.036)</w:t>
            </w:r>
          </w:p>
        </w:tc>
        <w:tc>
          <w:tcPr/>
          <w:p>
            <w:pPr>
              <w:pStyle w:val="Compact"/>
              <w:spacing w:line="240" w:lineRule="auto"/>
              <w:jc w:val="left"/>
            </w:pPr>
            <w:r>
              <w:rPr>
                <w:sz w:val="18"/>
              </w:rPr>
              <w:t xml:space="preserve">1.037 (1.011–1.064)</w:t>
            </w:r>
          </w:p>
        </w:tc>
      </w:tr>
      <w:tr>
        <w:tc>
          <w:tcPr/>
          <w:p>
            <w:pPr>
              <w:pStyle w:val="Compact"/>
              <w:spacing w:line="240" w:lineRule="auto"/>
              <w:jc w:val="left"/>
            </w:pPr>
            <w:r>
              <w:rPr>
                <w:sz w:val="18"/>
              </w:rPr>
              <w:t xml:space="preserve">Any programme, binary</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0.935 (0.888–0.985)</w:t>
            </w:r>
          </w:p>
        </w:tc>
        <w:tc>
          <w:tcPr/>
          <w:p>
            <w:pPr>
              <w:pStyle w:val="Compact"/>
              <w:spacing w:line="240" w:lineRule="auto"/>
              <w:jc w:val="left"/>
            </w:pPr>
            <w:r>
              <w:rPr>
                <w:sz w:val="18"/>
              </w:rPr>
              <w:t xml:space="preserve">0.96</w:t>
            </w:r>
          </w:p>
        </w:tc>
        <w:tc>
          <w:tcPr/>
          <w:p>
            <w:pPr>
              <w:pStyle w:val="Compact"/>
              <w:spacing w:line="240" w:lineRule="auto"/>
              <w:jc w:val="left"/>
            </w:pPr>
            <w:r>
              <w:rPr>
                <w:sz w:val="18"/>
              </w:rPr>
              <w:t xml:space="preserve">26.6</w:t>
            </w:r>
          </w:p>
        </w:tc>
        <w:tc>
          <w:tcPr/>
          <w:p>
            <w:pPr>
              <w:pStyle w:val="Compact"/>
              <w:spacing w:line="240" w:lineRule="auto"/>
              <w:jc w:val="left"/>
            </w:pPr>
            <w:r>
              <w:rPr>
                <w:sz w:val="18"/>
              </w:rPr>
              <w:t xml:space="preserve">0.929</w:t>
            </w:r>
          </w:p>
        </w:tc>
        <w:tc>
          <w:tcPr/>
          <w:p>
            <w:pPr>
              <w:pStyle w:val="Compact"/>
              <w:spacing w:line="240" w:lineRule="auto"/>
              <w:jc w:val="left"/>
            </w:pPr>
            <w:r>
              <w:rPr>
                <w:sz w:val="18"/>
              </w:rPr>
              <w:t xml:space="preserve">0.929 (0.880–0.980)</w:t>
            </w:r>
          </w:p>
        </w:tc>
        <w:tc>
          <w:tcPr/>
          <w:p>
            <w:pPr>
              <w:pStyle w:val="Compact"/>
              <w:spacing w:line="240" w:lineRule="auto"/>
              <w:jc w:val="left"/>
            </w:pPr>
            <w:r>
              <w:rPr>
                <w:sz w:val="18"/>
              </w:rPr>
              <w:t xml:space="preserve">1.029 (1.005–1.053)</w:t>
            </w:r>
          </w:p>
        </w:tc>
      </w:tr>
      <w:tr>
        <w:tc>
          <w:tcPr/>
          <w:p>
            <w:pPr>
              <w:pStyle w:val="Compact"/>
              <w:spacing w:line="240" w:lineRule="auto"/>
              <w:jc w:val="left"/>
            </w:pPr>
            <w:r>
              <w:rPr>
                <w:sz w:val="18"/>
              </w:rPr>
              <w:t xml:space="preserve">Any programme, cumulative (per 10 y)</w:t>
            </w:r>
          </w:p>
        </w:tc>
        <w:tc>
          <w:tcPr/>
          <w:p>
            <w:pPr>
              <w:pStyle w:val="Compact"/>
              <w:spacing w:line="240" w:lineRule="auto"/>
              <w:jc w:val="left"/>
            </w:pPr>
            <w:r>
              <w:rPr>
                <w:sz w:val="18"/>
              </w:rPr>
              <w:t xml:space="preserve">0</w:t>
            </w:r>
          </w:p>
        </w:tc>
        <w:tc>
          <w:tcPr/>
          <w:p>
            <w:pPr>
              <w:pStyle w:val="Compact"/>
              <w:spacing w:line="240" w:lineRule="auto"/>
              <w:jc w:val="left"/>
            </w:pPr>
            <w:r>
              <w:rPr>
                <w:sz w:val="18"/>
              </w:rPr>
              <w:t xml:space="preserve">1.108 (0.959–1.281)</w:t>
            </w:r>
          </w:p>
        </w:tc>
        <w:tc>
          <w:tcPr/>
          <w:p>
            <w:pPr>
              <w:pStyle w:val="Compact"/>
              <w:spacing w:line="240" w:lineRule="auto"/>
              <w:jc w:val="left"/>
            </w:pPr>
            <w:r>
              <w:rPr>
                <w:sz w:val="18"/>
              </w:rPr>
              <w:t xml:space="preserve">&gt;0.99</w:t>
            </w:r>
          </w:p>
        </w:tc>
        <w:tc>
          <w:tcPr/>
          <w:p>
            <w:pPr>
              <w:pStyle w:val="Compact"/>
              <w:spacing w:line="240" w:lineRule="auto"/>
              <w:jc w:val="left"/>
            </w:pPr>
            <w:r>
              <w:rPr>
                <w:sz w:val="18"/>
              </w:rPr>
              <w:t xml:space="preserve">1349.9</w:t>
            </w:r>
          </w:p>
        </w:tc>
        <w:tc>
          <w:tcPr/>
          <w:p>
            <w:pPr>
              <w:pStyle w:val="Compact"/>
              <w:spacing w:line="240" w:lineRule="auto"/>
              <w:jc w:val="left"/>
            </w:pPr>
            <w:r>
              <w:rPr>
                <w:sz w:val="18"/>
              </w:rPr>
              <w:t xml:space="preserve">0.813</w:t>
            </w:r>
          </w:p>
        </w:tc>
        <w:tc>
          <w:tcPr/>
          <w:p>
            <w:pPr>
              <w:pStyle w:val="Compact"/>
              <w:spacing w:line="240" w:lineRule="auto"/>
              <w:jc w:val="left"/>
            </w:pPr>
            <w:r>
              <w:rPr>
                <w:sz w:val="18"/>
              </w:rPr>
              <w:t xml:space="preserve">1.083 (0.923–1.270)</w:t>
            </w:r>
          </w:p>
        </w:tc>
        <w:tc>
          <w:tcPr/>
          <w:p>
            <w:pPr>
              <w:pStyle w:val="Compact"/>
              <w:spacing w:line="240" w:lineRule="auto"/>
              <w:jc w:val="left"/>
            </w:pPr>
            <w:r>
              <w:rPr>
                <w:sz w:val="18"/>
              </w:rPr>
              <w:t xml:space="preserve">1.221 (1.186–1.258)</w:t>
            </w:r>
          </w:p>
        </w:tc>
      </w:tr>
      <w:tr>
        <w:tc>
          <w:tcPr/>
          <w:p>
            <w:pPr>
              <w:pStyle w:val="Compact"/>
              <w:spacing w:line="240" w:lineRule="auto"/>
              <w:jc w:val="left"/>
            </w:pPr>
            <w:r>
              <w:rPr>
                <w:sz w:val="18"/>
              </w:rPr>
              <w:t xml:space="preserve">Any programme, cumulative (per 10 y)</w:t>
            </w:r>
          </w:p>
        </w:tc>
        <w:tc>
          <w:tcPr/>
          <w:p>
            <w:pPr>
              <w:pStyle w:val="Compact"/>
              <w:spacing w:line="240" w:lineRule="auto"/>
              <w:jc w:val="left"/>
            </w:pPr>
            <w:r>
              <w:rPr>
                <w:sz w:val="18"/>
              </w:rPr>
              <w:t xml:space="preserve">5</w:t>
            </w:r>
          </w:p>
        </w:tc>
        <w:tc>
          <w:tcPr/>
          <w:p>
            <w:pPr>
              <w:pStyle w:val="Compact"/>
              <w:spacing w:line="240" w:lineRule="auto"/>
              <w:jc w:val="left"/>
            </w:pPr>
            <w:r>
              <w:rPr>
                <w:sz w:val="18"/>
              </w:rPr>
              <w:t xml:space="preserve">1.065 (0.979–1.159)</w:t>
            </w:r>
          </w:p>
        </w:tc>
        <w:tc>
          <w:tcPr/>
          <w:p>
            <w:pPr>
              <w:pStyle w:val="Compact"/>
              <w:spacing w:line="240" w:lineRule="auto"/>
              <w:jc w:val="left"/>
            </w:pPr>
            <w:r>
              <w:rPr>
                <w:sz w:val="18"/>
              </w:rPr>
              <w:t xml:space="preserve">&gt;0.99</w:t>
            </w:r>
          </w:p>
        </w:tc>
        <w:tc>
          <w:tcPr/>
          <w:p>
            <w:pPr>
              <w:pStyle w:val="Compact"/>
              <w:spacing w:line="240" w:lineRule="auto"/>
              <w:jc w:val="left"/>
            </w:pPr>
            <w:r>
              <w:rPr>
                <w:sz w:val="18"/>
              </w:rPr>
              <w:t xml:space="preserve">362.3</w:t>
            </w:r>
          </w:p>
        </w:tc>
        <w:tc>
          <w:tcPr/>
          <w:p>
            <w:pPr>
              <w:pStyle w:val="Compact"/>
              <w:spacing w:line="240" w:lineRule="auto"/>
              <w:jc w:val="left"/>
            </w:pPr>
            <w:r>
              <w:rPr>
                <w:sz w:val="18"/>
              </w:rPr>
              <w:t xml:space="preserve">0.886</w:t>
            </w:r>
          </w:p>
        </w:tc>
        <w:tc>
          <w:tcPr/>
          <w:p>
            <w:pPr>
              <w:pStyle w:val="Compact"/>
              <w:spacing w:line="240" w:lineRule="auto"/>
              <w:jc w:val="left"/>
            </w:pPr>
            <w:r>
              <w:rPr>
                <w:sz w:val="18"/>
              </w:rPr>
              <w:t xml:space="preserve">1.054 (0.961–1.157)</w:t>
            </w:r>
          </w:p>
        </w:tc>
        <w:tc>
          <w:tcPr/>
          <w:p>
            <w:pPr>
              <w:pStyle w:val="Compact"/>
              <w:spacing w:line="240" w:lineRule="auto"/>
              <w:jc w:val="left"/>
            </w:pPr>
            <w:r>
              <w:rPr>
                <w:sz w:val="18"/>
              </w:rPr>
              <w:t xml:space="preserve">1.193 (1.158–1.229)</w:t>
            </w:r>
          </w:p>
        </w:tc>
      </w:tr>
      <w:tr>
        <w:tc>
          <w:tcPr/>
          <w:p>
            <w:pPr>
              <w:pStyle w:val="Compact"/>
              <w:spacing w:line="240" w:lineRule="auto"/>
              <w:jc w:val="left"/>
            </w:pPr>
            <w:r>
              <w:rPr>
                <w:sz w:val="18"/>
              </w:rPr>
              <w:t xml:space="preserve">Any programme, cumulative (per 10 y)</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1.063 (0.999–1.131)</w:t>
            </w:r>
          </w:p>
        </w:tc>
        <w:tc>
          <w:tcPr/>
          <w:p>
            <w:pPr>
              <w:pStyle w:val="Compact"/>
              <w:spacing w:line="240" w:lineRule="auto"/>
              <w:jc w:val="left"/>
            </w:pPr>
            <w:r>
              <w:rPr>
                <w:sz w:val="18"/>
              </w:rPr>
              <w:t xml:space="preserve">0.99</w:t>
            </w:r>
          </w:p>
        </w:tc>
        <w:tc>
          <w:tcPr/>
          <w:p>
            <w:pPr>
              <w:pStyle w:val="Compact"/>
              <w:spacing w:line="240" w:lineRule="auto"/>
              <w:jc w:val="left"/>
            </w:pPr>
            <w:r>
              <w:rPr>
                <w:sz w:val="18"/>
              </w:rPr>
              <w:t xml:space="preserve">141.9</w:t>
            </w:r>
          </w:p>
        </w:tc>
        <w:tc>
          <w:tcPr/>
          <w:p>
            <w:pPr>
              <w:pStyle w:val="Compact"/>
              <w:spacing w:line="240" w:lineRule="auto"/>
              <w:jc w:val="left"/>
            </w:pPr>
            <w:r>
              <w:rPr>
                <w:sz w:val="18"/>
              </w:rPr>
              <w:t xml:space="preserve">0.915</w:t>
            </w:r>
          </w:p>
        </w:tc>
        <w:tc>
          <w:tcPr/>
          <w:p>
            <w:pPr>
              <w:pStyle w:val="Compact"/>
              <w:spacing w:line="240" w:lineRule="auto"/>
              <w:jc w:val="left"/>
            </w:pPr>
            <w:r>
              <w:rPr>
                <w:sz w:val="18"/>
              </w:rPr>
              <w:t xml:space="preserve">1.061 (0.991–1.136)</w:t>
            </w:r>
          </w:p>
        </w:tc>
        <w:tc>
          <w:tcPr/>
          <w:p>
            <w:pPr>
              <w:pStyle w:val="Compact"/>
              <w:spacing w:line="240" w:lineRule="auto"/>
              <w:jc w:val="left"/>
            </w:pPr>
            <w:r>
              <w:rPr>
                <w:sz w:val="18"/>
              </w:rPr>
              <w:t xml:space="preserve">1.164 (1.130–1.199)</w:t>
            </w:r>
          </w:p>
        </w:tc>
      </w:tr>
    </w:tbl>
    <w:p>
      <w:pPr>
        <w:pStyle w:val="BodyText"/>
      </w:pPr>
      <w:r>
        <w:t xml:space="preserve">Quasi-Poisson APC models. R², share of the weighted variation in exposure explained by the APC terms; VIF, variance inflation factor (standard errors are inflated by √VIF); smallest detectable RR, nominal value at 80% power and two-sided α = 0.05 under the specified model. Annual observations: one observation per 5-year age group and calendar year (n = 715), with the APC terms of the corresponding 5 × 5-year cell; this changes the temporal resolution and model specification, not only the aggregation. Weighting sub-cell exposures by annual deaths changed no RR in the main analysis by more than 0.005. Any programme, clinical breast examination (1987–2003, ≥30 years) or mammography eligibility.</w:t>
      </w:r>
    </w:p>
    <w:p>
      <w:pPr>
        <w:pStyle w:val="BodyText"/>
      </w:pPr>
      <w:r>
        <w:rPr>
          <w:bCs/>
          <w:b/>
        </w:rPr>
        <w:t xml:space="preserve">Supplementary Table S2.</w:t>
      </w:r>
      <w:r>
        <w:t xml:space="preserve"> </w:t>
      </w:r>
      <w:r>
        <w:t xml:space="preserve">Construction of screening exposure and the cells that identify its coefficient</w:t>
      </w:r>
    </w:p>
    <w:p>
      <w:pPr>
        <w:pStyle w:val="BodyText"/>
      </w:pPr>
      <w:r>
        <w:rPr>
          <w:iCs/>
          <w:i/>
        </w:rPr>
        <w:t xml:space="preserve">A. Worked examples of cell exposure</w:t>
      </w:r>
    </w:p>
    <w:tbl>
      <w:tblPr>
        <w:tblStyle w:val="Table"/>
        <w:tblW w:type="pct" w:w="5000"/>
        <w:tblLook w:firstRow="1" w:lastRow="0" w:firstColumn="0" w:lastColumn="0" w:noHBand="0" w:noVBand="0" w:val="0020"/>
        <w:jc w:val="start"/>
        <w:tblBorders>
          <w:top w:val="single" w:sz="4" w:color="000000"/>
          <w:bottom w:val="single" w:sz="4" w:color="000000"/>
          <w:insideH w:val="single" w:sz="4" w:color="000000"/>
        </w:tblBorders>
      </w:tblPr>
      <w:tblGrid>
        <w:gridCol/>
        <w:gridCol/>
        <w:gridCol/>
        <w:gridCol/>
        <w:gridCol/>
        <w:gridCol/>
      </w:tblGrid>
      <w:tr>
        <w:trPr>
          <w:tblHeader w:val="true"/>
        </w:trPr>
        <w:tc>
          <w:tcPr/>
          <w:p>
            <w:pPr>
              <w:pStyle w:val="Compact"/>
              <w:spacing w:line="240" w:lineRule="auto"/>
              <w:jc w:val="left"/>
            </w:pPr>
            <w:r>
              <w:rPr>
                <w:sz w:val="18"/>
              </w:rPr>
              <w:t xml:space="preserve">Age (y)</w:t>
            </w:r>
          </w:p>
        </w:tc>
        <w:tc>
          <w:tcPr/>
          <w:p>
            <w:pPr>
              <w:pStyle w:val="Compact"/>
              <w:spacing w:line="240" w:lineRule="auto"/>
              <w:jc w:val="left"/>
            </w:pPr>
            <w:r>
              <w:rPr>
                <w:sz w:val="18"/>
              </w:rPr>
              <w:t xml:space="preserve">Period</w:t>
            </w:r>
          </w:p>
        </w:tc>
        <w:tc>
          <w:tcPr/>
          <w:p>
            <w:pPr>
              <w:pStyle w:val="Compact"/>
              <w:spacing w:line="240" w:lineRule="auto"/>
              <w:jc w:val="left"/>
            </w:pPr>
            <w:r>
              <w:rPr>
                <w:sz w:val="18"/>
              </w:rPr>
              <w:t xml:space="preserve">Lag (y)</w:t>
            </w:r>
          </w:p>
        </w:tc>
        <w:tc>
          <w:tcPr/>
          <w:p>
            <w:pPr>
              <w:pStyle w:val="Compact"/>
              <w:spacing w:line="240" w:lineRule="auto"/>
              <w:jc w:val="left"/>
            </w:pPr>
            <w:r>
              <w:rPr>
                <w:sz w:val="18"/>
              </w:rPr>
              <w:t xml:space="preserve">Exposure</w:t>
            </w:r>
          </w:p>
        </w:tc>
        <w:tc>
          <w:tcPr/>
          <w:p>
            <w:pPr>
              <w:pStyle w:val="Compact"/>
              <w:spacing w:line="240" w:lineRule="auto"/>
              <w:jc w:val="left"/>
            </w:pPr>
            <w:r>
              <w:rPr>
                <w:sz w:val="18"/>
              </w:rPr>
              <w:t xml:space="preserve">Cell value</w:t>
            </w:r>
          </w:p>
        </w:tc>
        <w:tc>
          <w:tcPr/>
          <w:p>
            <w:pPr>
              <w:pStyle w:val="Compact"/>
              <w:spacing w:line="240" w:lineRule="auto"/>
              <w:jc w:val="left"/>
            </w:pPr>
            <w:r>
              <w:rPr>
                <w:sz w:val="18"/>
              </w:rPr>
              <w:t xml:space="preserve">How it arises</w:t>
            </w:r>
          </w:p>
        </w:tc>
      </w:tr>
      <w:tr>
        <w:tc>
          <w:tcPr/>
          <w:p>
            <w:pPr>
              <w:pStyle w:val="Compact"/>
              <w:spacing w:line="240" w:lineRule="auto"/>
              <w:jc w:val="left"/>
            </w:pPr>
            <w:r>
              <w:rPr>
                <w:sz w:val="18"/>
              </w:rPr>
              <w:t xml:space="preserve">50–54</w:t>
            </w:r>
          </w:p>
        </w:tc>
        <w:tc>
          <w:tcPr/>
          <w:p>
            <w:pPr>
              <w:pStyle w:val="Compact"/>
              <w:spacing w:line="240" w:lineRule="auto"/>
              <w:jc w:val="left"/>
            </w:pPr>
            <w:r>
              <w:rPr>
                <w:sz w:val="18"/>
              </w:rPr>
              <w:t xml:space="preserve">2000–2004</w:t>
            </w:r>
          </w:p>
        </w:tc>
        <w:tc>
          <w:tcPr/>
          <w:p>
            <w:pPr>
              <w:pStyle w:val="Compact"/>
              <w:spacing w:line="240" w:lineRule="auto"/>
              <w:jc w:val="left"/>
            </w:pPr>
            <w:r>
              <w:rPr>
                <w:sz w:val="18"/>
              </w:rPr>
              <w:t xml:space="preserve">0</w:t>
            </w:r>
          </w:p>
        </w:tc>
        <w:tc>
          <w:tcPr/>
          <w:p>
            <w:pPr>
              <w:pStyle w:val="Compact"/>
              <w:spacing w:line="240" w:lineRule="auto"/>
              <w:jc w:val="left"/>
            </w:pPr>
            <w:r>
              <w:rPr>
                <w:sz w:val="18"/>
              </w:rPr>
              <w:t xml:space="preserve">Mammography, binary</w:t>
            </w:r>
          </w:p>
        </w:tc>
        <w:tc>
          <w:tcPr/>
          <w:p>
            <w:pPr>
              <w:pStyle w:val="Compact"/>
              <w:spacing w:line="240" w:lineRule="auto"/>
              <w:jc w:val="left"/>
            </w:pPr>
            <w:r>
              <w:rPr>
                <w:sz w:val="18"/>
              </w:rPr>
              <w:t xml:space="preserve">1.00</w:t>
            </w:r>
          </w:p>
        </w:tc>
        <w:tc>
          <w:tcPr/>
          <w:p>
            <w:pPr>
              <w:pStyle w:val="Compact"/>
              <w:spacing w:line="240" w:lineRule="auto"/>
              <w:jc w:val="left"/>
            </w:pPr>
            <w:r>
              <w:rPr>
                <w:sz w:val="18"/>
              </w:rPr>
              <w:t xml:space="preserve">Aged ≥50 from 2000: all 25 sub-cells eligible</w:t>
            </w:r>
          </w:p>
        </w:tc>
      </w:tr>
      <w:tr>
        <w:tc>
          <w:tcPr/>
          <w:p>
            <w:pPr>
              <w:pStyle w:val="Compact"/>
              <w:spacing w:line="240" w:lineRule="auto"/>
              <w:jc w:val="left"/>
            </w:pPr>
            <w:r>
              <w:rPr>
                <w:sz w:val="18"/>
              </w:rPr>
              <w:t xml:space="preserve">45–49</w:t>
            </w:r>
          </w:p>
        </w:tc>
        <w:tc>
          <w:tcPr/>
          <w:p>
            <w:pPr>
              <w:pStyle w:val="Compact"/>
              <w:spacing w:line="240" w:lineRule="auto"/>
              <w:jc w:val="left"/>
            </w:pPr>
            <w:r>
              <w:rPr>
                <w:sz w:val="18"/>
              </w:rPr>
              <w:t xml:space="preserve">2000–2004</w:t>
            </w:r>
          </w:p>
        </w:tc>
        <w:tc>
          <w:tcPr/>
          <w:p>
            <w:pPr>
              <w:pStyle w:val="Compact"/>
              <w:spacing w:line="240" w:lineRule="auto"/>
              <w:jc w:val="left"/>
            </w:pPr>
            <w:r>
              <w:rPr>
                <w:sz w:val="18"/>
              </w:rPr>
              <w:t xml:space="preserve">0</w:t>
            </w:r>
          </w:p>
        </w:tc>
        <w:tc>
          <w:tcPr/>
          <w:p>
            <w:pPr>
              <w:pStyle w:val="Compact"/>
              <w:spacing w:line="240" w:lineRule="auto"/>
              <w:jc w:val="left"/>
            </w:pPr>
            <w:r>
              <w:rPr>
                <w:sz w:val="18"/>
              </w:rPr>
              <w:t xml:space="preserve">Mammography, binary</w:t>
            </w:r>
          </w:p>
        </w:tc>
        <w:tc>
          <w:tcPr/>
          <w:p>
            <w:pPr>
              <w:pStyle w:val="Compact"/>
              <w:spacing w:line="240" w:lineRule="auto"/>
              <w:jc w:val="left"/>
            </w:pPr>
            <w:r>
              <w:rPr>
                <w:sz w:val="18"/>
              </w:rPr>
              <w:t xml:space="preserve">0.20</w:t>
            </w:r>
          </w:p>
        </w:tc>
        <w:tc>
          <w:tcPr/>
          <w:p>
            <w:pPr>
              <w:pStyle w:val="Compact"/>
              <w:spacing w:line="240" w:lineRule="auto"/>
              <w:jc w:val="left"/>
            </w:pPr>
            <w:r>
              <w:rPr>
                <w:sz w:val="18"/>
              </w:rPr>
              <w:t xml:space="preserve">Aged 40–49 eligible only in 2004: 5 of 25 sub-cells</w:t>
            </w:r>
          </w:p>
        </w:tc>
      </w:tr>
      <w:tr>
        <w:tc>
          <w:tcPr/>
          <w:p>
            <w:pPr>
              <w:pStyle w:val="Compact"/>
              <w:spacing w:line="240" w:lineRule="auto"/>
              <w:jc w:val="left"/>
            </w:pPr>
            <w:r>
              <w:rPr>
                <w:sz w:val="18"/>
              </w:rPr>
              <w:t xml:space="preserve">60–64</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Mammography, binary</w:t>
            </w:r>
          </w:p>
        </w:tc>
        <w:tc>
          <w:tcPr/>
          <w:p>
            <w:pPr>
              <w:pStyle w:val="Compact"/>
              <w:spacing w:line="240" w:lineRule="auto"/>
              <w:jc w:val="left"/>
            </w:pPr>
            <w:r>
              <w:rPr>
                <w:sz w:val="18"/>
              </w:rPr>
              <w:t xml:space="preserve">1.00</w:t>
            </w:r>
          </w:p>
        </w:tc>
        <w:tc>
          <w:tcPr/>
          <w:p>
            <w:pPr>
              <w:pStyle w:val="Compact"/>
              <w:spacing w:line="240" w:lineRule="auto"/>
              <w:jc w:val="left"/>
            </w:pPr>
            <w:r>
              <w:rPr>
                <w:sz w:val="18"/>
              </w:rPr>
              <w:t xml:space="preserve">Aged 50–54 in 2000–2004, 10 years earlier: all eligible</w:t>
            </w:r>
          </w:p>
        </w:tc>
      </w:tr>
      <w:tr>
        <w:tc>
          <w:tcPr/>
          <w:p>
            <w:pPr>
              <w:pStyle w:val="Compact"/>
              <w:spacing w:line="240" w:lineRule="auto"/>
              <w:jc w:val="left"/>
            </w:pPr>
            <w:r>
              <w:rPr>
                <w:sz w:val="18"/>
              </w:rPr>
              <w:t xml:space="preserve">55–59</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Mammography, binary</w:t>
            </w:r>
          </w:p>
        </w:tc>
        <w:tc>
          <w:tcPr/>
          <w:p>
            <w:pPr>
              <w:pStyle w:val="Compact"/>
              <w:spacing w:line="240" w:lineRule="auto"/>
              <w:jc w:val="left"/>
            </w:pPr>
            <w:r>
              <w:rPr>
                <w:sz w:val="18"/>
              </w:rPr>
              <w:t xml:space="preserve">0.20</w:t>
            </w:r>
          </w:p>
        </w:tc>
        <w:tc>
          <w:tcPr/>
          <w:p>
            <w:pPr>
              <w:pStyle w:val="Compact"/>
              <w:spacing w:line="240" w:lineRule="auto"/>
              <w:jc w:val="left"/>
            </w:pPr>
            <w:r>
              <w:rPr>
                <w:sz w:val="18"/>
              </w:rPr>
              <w:t xml:space="preserve">Aged 45–49 in 2000–2004: eligible only in 2004</w:t>
            </w:r>
          </w:p>
        </w:tc>
      </w:tr>
      <w:tr>
        <w:tc>
          <w:tcPr/>
          <w:p>
            <w:pPr>
              <w:pStyle w:val="Compact"/>
              <w:spacing w:line="240" w:lineRule="auto"/>
              <w:jc w:val="left"/>
            </w:pPr>
            <w:r>
              <w:rPr>
                <w:sz w:val="18"/>
              </w:rPr>
              <w:t xml:space="preserve">50–54</w:t>
            </w:r>
          </w:p>
        </w:tc>
        <w:tc>
          <w:tcPr/>
          <w:p>
            <w:pPr>
              <w:pStyle w:val="Compact"/>
              <w:spacing w:line="240" w:lineRule="auto"/>
              <w:jc w:val="left"/>
            </w:pPr>
            <w:r>
              <w:rPr>
                <w:sz w:val="18"/>
              </w:rPr>
              <w:t xml:space="preserve">2005–2009</w:t>
            </w:r>
          </w:p>
        </w:tc>
        <w:tc>
          <w:tcPr/>
          <w:p>
            <w:pPr>
              <w:pStyle w:val="Compact"/>
              <w:spacing w:line="240" w:lineRule="auto"/>
              <w:jc w:val="left"/>
            </w:pPr>
            <w:r>
              <w:rPr>
                <w:sz w:val="18"/>
              </w:rPr>
              <w:t xml:space="preserve">0</w:t>
            </w:r>
          </w:p>
        </w:tc>
        <w:tc>
          <w:tcPr/>
          <w:p>
            <w:pPr>
              <w:pStyle w:val="Compact"/>
              <w:spacing w:line="240" w:lineRule="auto"/>
              <w:jc w:val="left"/>
            </w:pPr>
            <w:r>
              <w:rPr>
                <w:sz w:val="18"/>
              </w:rPr>
              <w:t xml:space="preserve">Mammography, cumulative</w:t>
            </w:r>
          </w:p>
        </w:tc>
        <w:tc>
          <w:tcPr/>
          <w:p>
            <w:pPr>
              <w:pStyle w:val="Compact"/>
              <w:spacing w:line="240" w:lineRule="auto"/>
              <w:jc w:val="left"/>
            </w:pPr>
            <w:r>
              <w:rPr>
                <w:sz w:val="18"/>
              </w:rPr>
              <w:t xml:space="preserve">0.44</w:t>
            </w:r>
          </w:p>
        </w:tc>
        <w:tc>
          <w:tcPr/>
          <w:p>
            <w:pPr>
              <w:pStyle w:val="Compact"/>
              <w:spacing w:line="240" w:lineRule="auto"/>
              <w:jc w:val="left"/>
            </w:pPr>
            <w:r>
              <w:rPr>
                <w:sz w:val="18"/>
              </w:rPr>
              <w:t xml:space="preserve">Mean of 4.4 eligible years since 1987, divided by 10</w:t>
            </w:r>
          </w:p>
        </w:tc>
      </w:tr>
      <w:tr>
        <w:tc>
          <w:tcPr/>
          <w:p>
            <w:pPr>
              <w:pStyle w:val="Compact"/>
              <w:spacing w:line="240" w:lineRule="auto"/>
              <w:jc w:val="left"/>
            </w:pPr>
            <w:r>
              <w:rPr>
                <w:sz w:val="18"/>
              </w:rPr>
              <w:t xml:space="preserve">60–64</w:t>
            </w:r>
          </w:p>
        </w:tc>
        <w:tc>
          <w:tcPr/>
          <w:p>
            <w:pPr>
              <w:pStyle w:val="Compact"/>
              <w:spacing w:line="240" w:lineRule="auto"/>
              <w:jc w:val="left"/>
            </w:pPr>
            <w:r>
              <w:rPr>
                <w:sz w:val="18"/>
              </w:rPr>
              <w:t xml:space="preserve">2015–2019</w:t>
            </w:r>
          </w:p>
        </w:tc>
        <w:tc>
          <w:tcPr/>
          <w:p>
            <w:pPr>
              <w:pStyle w:val="Compact"/>
              <w:spacing w:line="240" w:lineRule="auto"/>
              <w:jc w:val="left"/>
            </w:pPr>
            <w:r>
              <w:rPr>
                <w:sz w:val="18"/>
              </w:rPr>
              <w:t xml:space="preserve">0</w:t>
            </w:r>
          </w:p>
        </w:tc>
        <w:tc>
          <w:tcPr/>
          <w:p>
            <w:pPr>
              <w:pStyle w:val="Compact"/>
              <w:spacing w:line="240" w:lineRule="auto"/>
              <w:jc w:val="left"/>
            </w:pPr>
            <w:r>
              <w:rPr>
                <w:sz w:val="18"/>
              </w:rPr>
              <w:t xml:space="preserve">Mammography, cumulative</w:t>
            </w:r>
          </w:p>
        </w:tc>
        <w:tc>
          <w:tcPr/>
          <w:p>
            <w:pPr>
              <w:pStyle w:val="Compact"/>
              <w:spacing w:line="240" w:lineRule="auto"/>
              <w:jc w:val="left"/>
            </w:pPr>
            <w:r>
              <w:rPr>
                <w:sz w:val="18"/>
              </w:rPr>
              <w:t xml:space="preserve">1.44</w:t>
            </w:r>
          </w:p>
        </w:tc>
        <w:tc>
          <w:tcPr/>
          <w:p>
            <w:pPr>
              <w:pStyle w:val="Compact"/>
              <w:spacing w:line="240" w:lineRule="auto"/>
              <w:jc w:val="left"/>
            </w:pPr>
            <w:r>
              <w:rPr>
                <w:sz w:val="18"/>
              </w:rPr>
              <w:t xml:space="preserve">Mean of 14.4 eligible years; e.g. a woman aged 60 in 2015 was eligible in 2004–2015 (12 years)</w:t>
            </w:r>
          </w:p>
        </w:tc>
      </w:tr>
      <w:tr>
        <w:tc>
          <w:tcPr/>
          <w:p>
            <w:pPr>
              <w:pStyle w:val="Compact"/>
              <w:spacing w:line="240" w:lineRule="auto"/>
              <w:jc w:val="left"/>
            </w:pPr>
            <w:r>
              <w:rPr>
                <w:sz w:val="18"/>
              </w:rPr>
              <w:t xml:space="preserve">60–64</w:t>
            </w:r>
          </w:p>
        </w:tc>
        <w:tc>
          <w:tcPr/>
          <w:p>
            <w:pPr>
              <w:pStyle w:val="Compact"/>
              <w:spacing w:line="240" w:lineRule="auto"/>
              <w:jc w:val="left"/>
            </w:pPr>
            <w:r>
              <w:rPr>
                <w:sz w:val="18"/>
              </w:rPr>
              <w:t xml:space="preserve">2015–2019</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Mammography, cumulative</w:t>
            </w:r>
          </w:p>
        </w:tc>
        <w:tc>
          <w:tcPr/>
          <w:p>
            <w:pPr>
              <w:pStyle w:val="Compact"/>
              <w:spacing w:line="240" w:lineRule="auto"/>
              <w:jc w:val="left"/>
            </w:pPr>
            <w:r>
              <w:rPr>
                <w:sz w:val="18"/>
              </w:rPr>
              <w:t xml:space="preserve">0.44</w:t>
            </w:r>
          </w:p>
        </w:tc>
        <w:tc>
          <w:tcPr/>
          <w:p>
            <w:pPr>
              <w:pStyle w:val="Compact"/>
              <w:spacing w:line="240" w:lineRule="auto"/>
              <w:jc w:val="left"/>
            </w:pPr>
            <w:r>
              <w:rPr>
                <w:sz w:val="18"/>
              </w:rPr>
              <w:t xml:space="preserve">Eligible years counted only up to 2005–2009</w:t>
            </w:r>
          </w:p>
        </w:tc>
      </w:tr>
      <w:tr>
        <w:tc>
          <w:tcPr/>
          <w:p>
            <w:pPr>
              <w:pStyle w:val="Compact"/>
              <w:spacing w:line="240" w:lineRule="auto"/>
              <w:jc w:val="left"/>
            </w:pPr>
            <w:r>
              <w:rPr>
                <w:sz w:val="18"/>
              </w:rPr>
              <w:t xml:space="preserve">35–39</w:t>
            </w:r>
          </w:p>
        </w:tc>
        <w:tc>
          <w:tcPr/>
          <w:p>
            <w:pPr>
              <w:pStyle w:val="Compact"/>
              <w:spacing w:line="240" w:lineRule="auto"/>
              <w:jc w:val="left"/>
            </w:pPr>
            <w:r>
              <w:rPr>
                <w:sz w:val="18"/>
              </w:rPr>
              <w:t xml:space="preserve">1990–1994</w:t>
            </w:r>
          </w:p>
        </w:tc>
        <w:tc>
          <w:tcPr/>
          <w:p>
            <w:pPr>
              <w:pStyle w:val="Compact"/>
              <w:spacing w:line="240" w:lineRule="auto"/>
              <w:jc w:val="left"/>
            </w:pPr>
            <w:r>
              <w:rPr>
                <w:sz w:val="18"/>
              </w:rPr>
              <w:t xml:space="preserve">0</w:t>
            </w:r>
          </w:p>
        </w:tc>
        <w:tc>
          <w:tcPr/>
          <w:p>
            <w:pPr>
              <w:pStyle w:val="Compact"/>
              <w:spacing w:line="240" w:lineRule="auto"/>
              <w:jc w:val="left"/>
            </w:pPr>
            <w:r>
              <w:rPr>
                <w:sz w:val="18"/>
              </w:rPr>
              <w:t xml:space="preserve">Any programme, binary</w:t>
            </w:r>
          </w:p>
        </w:tc>
        <w:tc>
          <w:tcPr/>
          <w:p>
            <w:pPr>
              <w:pStyle w:val="Compact"/>
              <w:spacing w:line="240" w:lineRule="auto"/>
              <w:jc w:val="left"/>
            </w:pPr>
            <w:r>
              <w:rPr>
                <w:sz w:val="18"/>
              </w:rPr>
              <w:t xml:space="preserve">1.00</w:t>
            </w:r>
          </w:p>
        </w:tc>
        <w:tc>
          <w:tcPr/>
          <w:p>
            <w:pPr>
              <w:pStyle w:val="Compact"/>
              <w:spacing w:line="240" w:lineRule="auto"/>
              <w:jc w:val="left"/>
            </w:pPr>
            <w:r>
              <w:rPr>
                <w:sz w:val="18"/>
              </w:rPr>
              <w:t xml:space="preserve">Clinical breast examination at ≥30 years, 1987–2003</w:t>
            </w:r>
          </w:p>
        </w:tc>
      </w:tr>
    </w:tbl>
    <w:p>
      <w:pPr>
        <w:pStyle w:val="BodyText"/>
      </w:pPr>
      <w:r>
        <w:rPr>
          <w:iCs/>
          <w:i/>
        </w:rPr>
        <w:t xml:space="preserve">B. Cells contributing most to the screening coefficient (mammography, binary, 10-year lag)</w:t>
      </w:r>
    </w:p>
    <w:tbl>
      <w:tblPr>
        <w:tblStyle w:val="Table"/>
        <w:tblW w:type="pct" w:w="5000"/>
        <w:tblLook w:firstRow="1" w:lastRow="0" w:firstColumn="0" w:lastColumn="0" w:noHBand="0" w:noVBand="0" w:val="0020"/>
        <w:jc w:val="start"/>
        <w:tblBorders>
          <w:top w:val="single" w:sz="4" w:color="000000"/>
          <w:bottom w:val="single" w:sz="4" w:color="000000"/>
          <w:insideH w:val="single" w:sz="4" w:color="000000"/>
        </w:tblBorders>
      </w:tblPr>
      <w:tblGrid>
        <w:gridCol/>
        <w:gridCol/>
        <w:gridCol/>
        <w:gridCol/>
        <w:gridCol/>
        <w:gridCol/>
      </w:tblGrid>
      <w:tr>
        <w:trPr>
          <w:tblHeader w:val="true"/>
        </w:trPr>
        <w:tc>
          <w:tcPr/>
          <w:p>
            <w:pPr>
              <w:pStyle w:val="Compact"/>
              <w:spacing w:line="240" w:lineRule="auto"/>
              <w:jc w:val="left"/>
            </w:pPr>
            <w:r>
              <w:rPr>
                <w:sz w:val="18"/>
              </w:rPr>
              <w:t xml:space="preserve">Age (y)</w:t>
            </w:r>
          </w:p>
        </w:tc>
        <w:tc>
          <w:tcPr/>
          <w:p>
            <w:pPr>
              <w:pStyle w:val="Compact"/>
              <w:spacing w:line="240" w:lineRule="auto"/>
              <w:jc w:val="left"/>
            </w:pPr>
            <w:r>
              <w:rPr>
                <w:sz w:val="18"/>
              </w:rPr>
              <w:t xml:space="preserve">Period</w:t>
            </w:r>
          </w:p>
        </w:tc>
        <w:tc>
          <w:tcPr/>
          <w:p>
            <w:pPr>
              <w:pStyle w:val="Compact"/>
              <w:spacing w:line="240" w:lineRule="auto"/>
              <w:jc w:val="left"/>
            </w:pPr>
            <w:r>
              <w:rPr>
                <w:sz w:val="18"/>
              </w:rPr>
              <w:t xml:space="preserve">Birth cohort</w:t>
            </w:r>
          </w:p>
        </w:tc>
        <w:tc>
          <w:tcPr/>
          <w:p>
            <w:pPr>
              <w:pStyle w:val="Compact"/>
              <w:spacing w:line="240" w:lineRule="auto"/>
              <w:jc w:val="left"/>
            </w:pPr>
            <w:r>
              <w:rPr>
                <w:sz w:val="18"/>
              </w:rPr>
              <w:t xml:space="preserve">Exposure</w:t>
            </w:r>
          </w:p>
        </w:tc>
        <w:tc>
          <w:tcPr/>
          <w:p>
            <w:pPr>
              <w:pStyle w:val="Compact"/>
              <w:spacing w:line="240" w:lineRule="auto"/>
              <w:jc w:val="left"/>
            </w:pPr>
            <w:r>
              <w:rPr>
                <w:sz w:val="18"/>
              </w:rPr>
              <w:t xml:space="preserve">Residual exposure</w:t>
            </w:r>
          </w:p>
        </w:tc>
        <w:tc>
          <w:tcPr/>
          <w:p>
            <w:pPr>
              <w:pStyle w:val="Compact"/>
              <w:spacing w:line="240" w:lineRule="auto"/>
              <w:jc w:val="left"/>
            </w:pPr>
            <w:r>
              <w:rPr>
                <w:sz w:val="18"/>
              </w:rPr>
              <w:t xml:space="preserve">Share of information</w:t>
            </w:r>
          </w:p>
        </w:tc>
      </w:tr>
      <w:tr>
        <w:tc>
          <w:tcPr/>
          <w:p>
            <w:pPr>
              <w:pStyle w:val="Compact"/>
              <w:spacing w:line="240" w:lineRule="auto"/>
              <w:jc w:val="left"/>
            </w:pPr>
            <w:r>
              <w:rPr>
                <w:sz w:val="18"/>
              </w:rPr>
              <w:t xml:space="preserve">55–59</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1955</w:t>
            </w:r>
          </w:p>
        </w:tc>
        <w:tc>
          <w:tcPr/>
          <w:p>
            <w:pPr>
              <w:pStyle w:val="Compact"/>
              <w:spacing w:line="240" w:lineRule="auto"/>
              <w:jc w:val="left"/>
            </w:pPr>
            <w:r>
              <w:rPr>
                <w:sz w:val="18"/>
              </w:rPr>
              <w:t xml:space="preserve">0.2</w:t>
            </w:r>
          </w:p>
        </w:tc>
        <w:tc>
          <w:tcPr/>
          <w:p>
            <w:pPr>
              <w:pStyle w:val="Compact"/>
              <w:spacing w:line="240" w:lineRule="auto"/>
              <w:jc w:val="left"/>
            </w:pPr>
            <w:r>
              <w:rPr>
                <w:sz w:val="18"/>
              </w:rPr>
              <w:t xml:space="preserve">−0.378</w:t>
            </w:r>
          </w:p>
        </w:tc>
        <w:tc>
          <w:tcPr/>
          <w:p>
            <w:pPr>
              <w:pStyle w:val="Compact"/>
              <w:spacing w:line="240" w:lineRule="auto"/>
              <w:jc w:val="left"/>
            </w:pPr>
            <w:r>
              <w:rPr>
                <w:sz w:val="18"/>
              </w:rPr>
              <w:t xml:space="preserve">0.120</w:t>
            </w:r>
          </w:p>
        </w:tc>
      </w:tr>
      <w:tr>
        <w:tc>
          <w:tcPr/>
          <w:p>
            <w:pPr>
              <w:pStyle w:val="Compact"/>
              <w:spacing w:line="240" w:lineRule="auto"/>
              <w:jc w:val="left"/>
            </w:pPr>
            <w:r>
              <w:rPr>
                <w:sz w:val="18"/>
              </w:rPr>
              <w:t xml:space="preserve">50–54</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1960</w:t>
            </w:r>
          </w:p>
        </w:tc>
        <w:tc>
          <w:tcPr/>
          <w:p>
            <w:pPr>
              <w:pStyle w:val="Compact"/>
              <w:spacing w:line="240" w:lineRule="auto"/>
              <w:jc w:val="left"/>
            </w:pPr>
            <w:r>
              <w:rPr>
                <w:sz w:val="18"/>
              </w:rPr>
              <w:t xml:space="preserve">0.2</w:t>
            </w:r>
          </w:p>
        </w:tc>
        <w:tc>
          <w:tcPr/>
          <w:p>
            <w:pPr>
              <w:pStyle w:val="Compact"/>
              <w:spacing w:line="240" w:lineRule="auto"/>
              <w:jc w:val="left"/>
            </w:pPr>
            <w:r>
              <w:rPr>
                <w:sz w:val="18"/>
              </w:rPr>
              <w:t xml:space="preserve">−0.432</w:t>
            </w:r>
          </w:p>
        </w:tc>
        <w:tc>
          <w:tcPr/>
          <w:p>
            <w:pPr>
              <w:pStyle w:val="Compact"/>
              <w:spacing w:line="240" w:lineRule="auto"/>
              <w:jc w:val="left"/>
            </w:pPr>
            <w:r>
              <w:rPr>
                <w:sz w:val="18"/>
              </w:rPr>
              <w:t xml:space="preserve">0.115</w:t>
            </w:r>
          </w:p>
        </w:tc>
      </w:tr>
      <w:tr>
        <w:tc>
          <w:tcPr/>
          <w:p>
            <w:pPr>
              <w:pStyle w:val="Compact"/>
              <w:spacing w:line="240" w:lineRule="auto"/>
              <w:jc w:val="left"/>
            </w:pPr>
            <w:r>
              <w:rPr>
                <w:sz w:val="18"/>
              </w:rPr>
              <w:t xml:space="preserve">45–49</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1965</w:t>
            </w:r>
          </w:p>
        </w:tc>
        <w:tc>
          <w:tcPr/>
          <w:p>
            <w:pPr>
              <w:pStyle w:val="Compact"/>
              <w:spacing w:line="240" w:lineRule="auto"/>
              <w:jc w:val="left"/>
            </w:pPr>
            <w:r>
              <w:rPr>
                <w:sz w:val="18"/>
              </w:rPr>
              <w:t xml:space="preserve">0.0</w:t>
            </w:r>
          </w:p>
        </w:tc>
        <w:tc>
          <w:tcPr/>
          <w:p>
            <w:pPr>
              <w:pStyle w:val="Compact"/>
              <w:spacing w:line="240" w:lineRule="auto"/>
              <w:jc w:val="left"/>
            </w:pPr>
            <w:r>
              <w:rPr>
                <w:sz w:val="18"/>
              </w:rPr>
              <w:t xml:space="preserve">−0.498</w:t>
            </w:r>
          </w:p>
        </w:tc>
        <w:tc>
          <w:tcPr/>
          <w:p>
            <w:pPr>
              <w:pStyle w:val="Compact"/>
              <w:spacing w:line="240" w:lineRule="auto"/>
              <w:jc w:val="left"/>
            </w:pPr>
            <w:r>
              <w:rPr>
                <w:sz w:val="18"/>
              </w:rPr>
              <w:t xml:space="preserve">0.104</w:t>
            </w:r>
          </w:p>
        </w:tc>
      </w:tr>
      <w:tr>
        <w:tc>
          <w:tcPr/>
          <w:p>
            <w:pPr>
              <w:pStyle w:val="Compact"/>
              <w:spacing w:line="240" w:lineRule="auto"/>
              <w:jc w:val="left"/>
            </w:pPr>
            <w:r>
              <w:rPr>
                <w:sz w:val="18"/>
              </w:rPr>
              <w:t xml:space="preserve">45–49</w:t>
            </w:r>
          </w:p>
        </w:tc>
        <w:tc>
          <w:tcPr/>
          <w:p>
            <w:pPr>
              <w:pStyle w:val="Compact"/>
              <w:spacing w:line="240" w:lineRule="auto"/>
              <w:jc w:val="left"/>
            </w:pPr>
            <w:r>
              <w:rPr>
                <w:sz w:val="18"/>
              </w:rPr>
              <w:t xml:space="preserve">2015–2019</w:t>
            </w:r>
          </w:p>
        </w:tc>
        <w:tc>
          <w:tcPr/>
          <w:p>
            <w:pPr>
              <w:pStyle w:val="Compact"/>
              <w:spacing w:line="240" w:lineRule="auto"/>
              <w:jc w:val="left"/>
            </w:pPr>
            <w:r>
              <w:rPr>
                <w:sz w:val="18"/>
              </w:rPr>
              <w:t xml:space="preserve">1970</w:t>
            </w:r>
          </w:p>
        </w:tc>
        <w:tc>
          <w:tcPr/>
          <w:p>
            <w:pPr>
              <w:pStyle w:val="Compact"/>
              <w:spacing w:line="240" w:lineRule="auto"/>
              <w:jc w:val="left"/>
            </w:pPr>
            <w:r>
              <w:rPr>
                <w:sz w:val="18"/>
              </w:rPr>
              <w:t xml:space="preserve">0.0</w:t>
            </w:r>
          </w:p>
        </w:tc>
        <w:tc>
          <w:tcPr/>
          <w:p>
            <w:pPr>
              <w:pStyle w:val="Compact"/>
              <w:spacing w:line="240" w:lineRule="auto"/>
              <w:jc w:val="left"/>
            </w:pPr>
            <w:r>
              <w:rPr>
                <w:sz w:val="18"/>
              </w:rPr>
              <w:t xml:space="preserve">−0.453</w:t>
            </w:r>
          </w:p>
        </w:tc>
        <w:tc>
          <w:tcPr/>
          <w:p>
            <w:pPr>
              <w:pStyle w:val="Compact"/>
              <w:spacing w:line="240" w:lineRule="auto"/>
              <w:jc w:val="left"/>
            </w:pPr>
            <w:r>
              <w:rPr>
                <w:sz w:val="18"/>
              </w:rPr>
              <w:t xml:space="preserve">0.091</w:t>
            </w:r>
          </w:p>
        </w:tc>
      </w:tr>
      <w:tr>
        <w:tc>
          <w:tcPr/>
          <w:p>
            <w:pPr>
              <w:pStyle w:val="Compact"/>
              <w:spacing w:line="240" w:lineRule="auto"/>
              <w:jc w:val="left"/>
            </w:pPr>
            <w:r>
              <w:rPr>
                <w:sz w:val="18"/>
              </w:rPr>
              <w:t xml:space="preserve">50–54</w:t>
            </w:r>
          </w:p>
        </w:tc>
        <w:tc>
          <w:tcPr/>
          <w:p>
            <w:pPr>
              <w:pStyle w:val="Compact"/>
              <w:spacing w:line="240" w:lineRule="auto"/>
              <w:jc w:val="left"/>
            </w:pPr>
            <w:r>
              <w:rPr>
                <w:sz w:val="18"/>
              </w:rPr>
              <w:t xml:space="preserve">2020–2024</w:t>
            </w:r>
          </w:p>
        </w:tc>
        <w:tc>
          <w:tcPr/>
          <w:p>
            <w:pPr>
              <w:pStyle w:val="Compact"/>
              <w:spacing w:line="240" w:lineRule="auto"/>
              <w:jc w:val="left"/>
            </w:pPr>
            <w:r>
              <w:rPr>
                <w:sz w:val="18"/>
              </w:rPr>
              <w:t xml:space="preserve">1970</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0.346</w:t>
            </w:r>
          </w:p>
        </w:tc>
        <w:tc>
          <w:tcPr/>
          <w:p>
            <w:pPr>
              <w:pStyle w:val="Compact"/>
              <w:spacing w:line="240" w:lineRule="auto"/>
              <w:jc w:val="left"/>
            </w:pPr>
            <w:r>
              <w:rPr>
                <w:sz w:val="18"/>
              </w:rPr>
              <w:t xml:space="preserve">0.077</w:t>
            </w:r>
          </w:p>
        </w:tc>
      </w:tr>
      <w:tr>
        <w:tc>
          <w:tcPr/>
          <w:p>
            <w:pPr>
              <w:pStyle w:val="Compact"/>
              <w:spacing w:line="240" w:lineRule="auto"/>
              <w:jc w:val="left"/>
            </w:pPr>
            <w:r>
              <w:rPr>
                <w:sz w:val="18"/>
              </w:rPr>
              <w:t xml:space="preserve">70–74</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1940</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0.235</w:t>
            </w:r>
          </w:p>
        </w:tc>
        <w:tc>
          <w:tcPr/>
          <w:p>
            <w:pPr>
              <w:pStyle w:val="Compact"/>
              <w:spacing w:line="240" w:lineRule="auto"/>
              <w:jc w:val="left"/>
            </w:pPr>
            <w:r>
              <w:rPr>
                <w:sz w:val="18"/>
              </w:rPr>
              <w:t xml:space="preserve">0.044</w:t>
            </w:r>
          </w:p>
        </w:tc>
      </w:tr>
      <w:tr>
        <w:tc>
          <w:tcPr/>
          <w:p>
            <w:pPr>
              <w:pStyle w:val="Compact"/>
              <w:spacing w:line="240" w:lineRule="auto"/>
              <w:jc w:val="left"/>
            </w:pPr>
            <w:r>
              <w:rPr>
                <w:sz w:val="18"/>
              </w:rPr>
              <w:t xml:space="preserve">65–69</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1945</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0.204</w:t>
            </w:r>
          </w:p>
        </w:tc>
        <w:tc>
          <w:tcPr/>
          <w:p>
            <w:pPr>
              <w:pStyle w:val="Compact"/>
              <w:spacing w:line="240" w:lineRule="auto"/>
              <w:jc w:val="left"/>
            </w:pPr>
            <w:r>
              <w:rPr>
                <w:sz w:val="18"/>
              </w:rPr>
              <w:t xml:space="preserve">0.038</w:t>
            </w:r>
          </w:p>
        </w:tc>
      </w:tr>
      <w:tr>
        <w:tc>
          <w:tcPr/>
          <w:p>
            <w:pPr>
              <w:pStyle w:val="Compact"/>
              <w:spacing w:line="240" w:lineRule="auto"/>
              <w:jc w:val="left"/>
            </w:pPr>
            <w:r>
              <w:rPr>
                <w:sz w:val="18"/>
              </w:rPr>
              <w:t xml:space="preserve">60–64</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1950</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0.180</w:t>
            </w:r>
          </w:p>
        </w:tc>
        <w:tc>
          <w:tcPr/>
          <w:p>
            <w:pPr>
              <w:pStyle w:val="Compact"/>
              <w:spacing w:line="240" w:lineRule="auto"/>
              <w:jc w:val="left"/>
            </w:pPr>
            <w:r>
              <w:rPr>
                <w:sz w:val="18"/>
              </w:rPr>
              <w:t xml:space="preserve">0.036</w:t>
            </w:r>
          </w:p>
        </w:tc>
      </w:tr>
      <w:tr>
        <w:tc>
          <w:tcPr/>
          <w:p>
            <w:pPr>
              <w:pStyle w:val="Compact"/>
              <w:spacing w:line="240" w:lineRule="auto"/>
              <w:jc w:val="left"/>
            </w:pPr>
            <w:r>
              <w:rPr>
                <w:sz w:val="18"/>
              </w:rPr>
              <w:t xml:space="preserve">75–79</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1935</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0.217</w:t>
            </w:r>
          </w:p>
        </w:tc>
        <w:tc>
          <w:tcPr/>
          <w:p>
            <w:pPr>
              <w:pStyle w:val="Compact"/>
              <w:spacing w:line="240" w:lineRule="auto"/>
              <w:jc w:val="left"/>
            </w:pPr>
            <w:r>
              <w:rPr>
                <w:sz w:val="18"/>
              </w:rPr>
              <w:t xml:space="preserve">0.033</w:t>
            </w:r>
          </w:p>
        </w:tc>
      </w:tr>
      <w:tr>
        <w:tc>
          <w:tcPr/>
          <w:p>
            <w:pPr>
              <w:pStyle w:val="Compact"/>
              <w:spacing w:line="240" w:lineRule="auto"/>
              <w:jc w:val="left"/>
            </w:pPr>
            <w:r>
              <w:rPr>
                <w:sz w:val="18"/>
              </w:rPr>
              <w:t xml:space="preserve">80–84</w:t>
            </w:r>
          </w:p>
        </w:tc>
        <w:tc>
          <w:tcPr/>
          <w:p>
            <w:pPr>
              <w:pStyle w:val="Compact"/>
              <w:spacing w:line="240" w:lineRule="auto"/>
              <w:jc w:val="left"/>
            </w:pPr>
            <w:r>
              <w:rPr>
                <w:sz w:val="18"/>
              </w:rPr>
              <w:t xml:space="preserve">2010–2014</w:t>
            </w:r>
          </w:p>
        </w:tc>
        <w:tc>
          <w:tcPr/>
          <w:p>
            <w:pPr>
              <w:pStyle w:val="Compact"/>
              <w:spacing w:line="240" w:lineRule="auto"/>
              <w:jc w:val="left"/>
            </w:pPr>
            <w:r>
              <w:rPr>
                <w:sz w:val="18"/>
              </w:rPr>
              <w:t xml:space="preserve">1930</w:t>
            </w:r>
          </w:p>
        </w:tc>
        <w:tc>
          <w:tcPr/>
          <w:p>
            <w:pPr>
              <w:pStyle w:val="Compact"/>
              <w:spacing w:line="240" w:lineRule="auto"/>
              <w:jc w:val="left"/>
            </w:pPr>
            <w:r>
              <w:rPr>
                <w:sz w:val="18"/>
              </w:rPr>
              <w:t xml:space="preserve">1.0</w:t>
            </w:r>
          </w:p>
        </w:tc>
        <w:tc>
          <w:tcPr/>
          <w:p>
            <w:pPr>
              <w:pStyle w:val="Compact"/>
              <w:spacing w:line="240" w:lineRule="auto"/>
              <w:jc w:val="left"/>
            </w:pPr>
            <w:r>
              <w:rPr>
                <w:sz w:val="18"/>
              </w:rPr>
              <w:t xml:space="preserve">0.212</w:t>
            </w:r>
          </w:p>
        </w:tc>
        <w:tc>
          <w:tcPr/>
          <w:p>
            <w:pPr>
              <w:pStyle w:val="Compact"/>
              <w:spacing w:line="240" w:lineRule="auto"/>
              <w:jc w:val="left"/>
            </w:pPr>
            <w:r>
              <w:rPr>
                <w:sz w:val="18"/>
              </w:rPr>
              <w:t xml:space="preserve">0.029</w:t>
            </w:r>
          </w:p>
        </w:tc>
      </w:tr>
    </w:tbl>
    <w:p>
      <w:pPr>
        <w:pStyle w:val="BodyText"/>
      </w:pPr>
      <w:r>
        <w:t xml:space="preserve">Cell values are means over the 25 single-year age × single-year period sub-cells, so the cumulative coefficient is a rate ratio per 10 years of eligibility. Residual exposure is the residual from the weighted regression of exposure on the APC design; the share of information is wᵢrᵢ² / Σ wᵢrᵢ², the cell’s contribution to the precision of the screening coefficient. These ten cells together contribute 69%.</w:t>
      </w:r>
    </w:p>
    <w:p>
      <w:pPr>
        <w:pStyle w:val="BodyText"/>
      </w:pPr>
      <w:r>
        <w:rPr>
          <w:bCs/>
          <w:b/>
        </w:rPr>
        <w:t xml:space="preserve">Supplementary Table S3.</w:t>
      </w:r>
      <w:r>
        <w:t xml:space="preserve"> </w:t>
      </w:r>
      <w:r>
        <w:t xml:space="preserve">Cohort deviations from linearity for incidence and mortality, and the relative cohort curvature, 1976–2020</w:t>
      </w:r>
    </w:p>
    <w:tbl>
      <w:tblPr>
        <w:tblStyle w:val="Table"/>
        <w:tblW w:type="pct" w:w="5000"/>
        <w:tblLook w:firstRow="1" w:lastRow="0" w:firstColumn="0" w:lastColumn="0" w:noHBand="0" w:noVBand="0" w:val="0020"/>
        <w:jc w:val="start"/>
        <w:tblBorders>
          <w:top w:val="single" w:sz="4" w:color="000000"/>
          <w:bottom w:val="single" w:sz="4" w:color="000000"/>
          <w:insideH w:val="single" w:sz="4" w:color="000000"/>
        </w:tblBorders>
      </w:tblPr>
      <w:tblGrid>
        <w:gridCol/>
        <w:gridCol/>
        <w:gridCol/>
        <w:gridCol/>
        <w:gridCol/>
      </w:tblGrid>
      <w:tr>
        <w:trPr>
          <w:tblHeader w:val="true"/>
        </w:trPr>
        <w:tc>
          <w:tcPr/>
          <w:p>
            <w:pPr>
              <w:pStyle w:val="Compact"/>
              <w:spacing w:line="240" w:lineRule="auto"/>
              <w:jc w:val="left"/>
            </w:pPr>
            <w:r>
              <w:rPr>
                <w:sz w:val="18"/>
              </w:rPr>
              <w:t xml:space="preserve">Birth cohort</w:t>
            </w:r>
          </w:p>
        </w:tc>
        <w:tc>
          <w:tcPr/>
          <w:p>
            <w:pPr>
              <w:pStyle w:val="Compact"/>
              <w:spacing w:line="240" w:lineRule="auto"/>
              <w:jc w:val="left"/>
            </w:pPr>
            <w:r>
              <w:rPr>
                <w:sz w:val="18"/>
              </w:rPr>
              <w:t xml:space="preserve">Incidence RR (95% CI)</w:t>
            </w:r>
          </w:p>
        </w:tc>
        <w:tc>
          <w:tcPr/>
          <w:p>
            <w:pPr>
              <w:pStyle w:val="Compact"/>
              <w:spacing w:line="240" w:lineRule="auto"/>
              <w:jc w:val="left"/>
            </w:pPr>
            <w:r>
              <w:rPr>
                <w:sz w:val="18"/>
              </w:rPr>
              <w:t xml:space="preserve">Mortality RR (95% CI)</w:t>
            </w:r>
          </w:p>
        </w:tc>
        <w:tc>
          <w:tcPr/>
          <w:p>
            <w:pPr>
              <w:pStyle w:val="Compact"/>
              <w:spacing w:line="240" w:lineRule="auto"/>
              <w:jc w:val="left"/>
            </w:pPr>
            <w:r>
              <w:rPr>
                <w:sz w:val="18"/>
              </w:rPr>
              <w:t xml:space="preserve">Relative cohort curvature, ratio of two models (95% CI)</w:t>
            </w:r>
          </w:p>
        </w:tc>
        <w:tc>
          <w:tcPr/>
          <w:p>
            <w:pPr>
              <w:pStyle w:val="Compact"/>
              <w:spacing w:line="240" w:lineRule="auto"/>
              <w:jc w:val="left"/>
            </w:pPr>
            <w:r>
              <w:rPr>
                <w:sz w:val="18"/>
              </w:rPr>
              <w:t xml:space="preserve">Relative cohort curvature, direct model (95% CI)</w:t>
            </w:r>
          </w:p>
        </w:tc>
      </w:tr>
      <w:tr>
        <w:tc>
          <w:tcPr/>
          <w:p>
            <w:pPr>
              <w:pStyle w:val="Compact"/>
              <w:spacing w:line="240" w:lineRule="auto"/>
              <w:jc w:val="left"/>
            </w:pPr>
            <w:r>
              <w:rPr>
                <w:sz w:val="18"/>
              </w:rPr>
              <w:t xml:space="preserve">1896</w:t>
            </w:r>
          </w:p>
        </w:tc>
        <w:tc>
          <w:tcPr/>
          <w:p>
            <w:pPr>
              <w:pStyle w:val="Compact"/>
              <w:spacing w:line="240" w:lineRule="auto"/>
              <w:jc w:val="left"/>
            </w:pPr>
            <w:r>
              <w:rPr>
                <w:sz w:val="18"/>
              </w:rPr>
              <w:t xml:space="preserve">0.89 (0.68–1.18)</w:t>
            </w:r>
          </w:p>
        </w:tc>
        <w:tc>
          <w:tcPr/>
          <w:p>
            <w:pPr>
              <w:pStyle w:val="Compact"/>
              <w:spacing w:line="240" w:lineRule="auto"/>
              <w:jc w:val="left"/>
            </w:pPr>
            <w:r>
              <w:rPr>
                <w:sz w:val="18"/>
              </w:rPr>
              <w:t xml:space="preserve">0.82 (0.74–0.92)</w:t>
            </w:r>
          </w:p>
        </w:tc>
        <w:tc>
          <w:tcPr/>
          <w:p>
            <w:pPr>
              <w:pStyle w:val="Compact"/>
              <w:spacing w:line="240" w:lineRule="auto"/>
              <w:jc w:val="left"/>
            </w:pPr>
            <w:r>
              <w:rPr>
                <w:sz w:val="18"/>
              </w:rPr>
              <w:t xml:space="preserve">0.92 (0.68–1.24)</w:t>
            </w:r>
          </w:p>
        </w:tc>
        <w:tc>
          <w:tcPr/>
          <w:p>
            <w:pPr>
              <w:pStyle w:val="Compact"/>
              <w:spacing w:line="240" w:lineRule="auto"/>
              <w:jc w:val="left"/>
            </w:pPr>
            <w:r>
              <w:rPr>
                <w:sz w:val="18"/>
              </w:rPr>
              <w:t xml:space="preserve">0.92 (0.75–1.12)</w:t>
            </w:r>
          </w:p>
        </w:tc>
      </w:tr>
      <w:tr>
        <w:tc>
          <w:tcPr/>
          <w:p>
            <w:pPr>
              <w:pStyle w:val="Compact"/>
              <w:spacing w:line="240" w:lineRule="auto"/>
              <w:jc w:val="left"/>
            </w:pPr>
            <w:r>
              <w:rPr>
                <w:sz w:val="18"/>
              </w:rPr>
              <w:t xml:space="preserve">1901</w:t>
            </w:r>
          </w:p>
        </w:tc>
        <w:tc>
          <w:tcPr/>
          <w:p>
            <w:pPr>
              <w:pStyle w:val="Compact"/>
              <w:spacing w:line="240" w:lineRule="auto"/>
              <w:jc w:val="left"/>
            </w:pPr>
            <w:r>
              <w:rPr>
                <w:sz w:val="18"/>
              </w:rPr>
              <w:t xml:space="preserve">0.85 (0.72–1.01)</w:t>
            </w:r>
          </w:p>
        </w:tc>
        <w:tc>
          <w:tcPr/>
          <w:p>
            <w:pPr>
              <w:pStyle w:val="Compact"/>
              <w:spacing w:line="240" w:lineRule="auto"/>
              <w:jc w:val="left"/>
            </w:pPr>
            <w:r>
              <w:rPr>
                <w:sz w:val="18"/>
              </w:rPr>
              <w:t xml:space="preserve">0.81 (0.76–0.87)</w:t>
            </w:r>
          </w:p>
        </w:tc>
        <w:tc>
          <w:tcPr/>
          <w:p>
            <w:pPr>
              <w:pStyle w:val="Compact"/>
              <w:spacing w:line="240" w:lineRule="auto"/>
              <w:jc w:val="left"/>
            </w:pPr>
            <w:r>
              <w:rPr>
                <w:sz w:val="18"/>
              </w:rPr>
              <w:t xml:space="preserve">0.95 (0.80–1.14)</w:t>
            </w:r>
          </w:p>
        </w:tc>
        <w:tc>
          <w:tcPr/>
          <w:p>
            <w:pPr>
              <w:pStyle w:val="Compact"/>
              <w:spacing w:line="240" w:lineRule="auto"/>
              <w:jc w:val="left"/>
            </w:pPr>
            <w:r>
              <w:rPr>
                <w:sz w:val="18"/>
              </w:rPr>
              <w:t xml:space="preserve">0.95 (0.83–1.09)</w:t>
            </w:r>
          </w:p>
        </w:tc>
      </w:tr>
      <w:tr>
        <w:tc>
          <w:tcPr/>
          <w:p>
            <w:pPr>
              <w:pStyle w:val="Compact"/>
              <w:spacing w:line="240" w:lineRule="auto"/>
              <w:jc w:val="left"/>
            </w:pPr>
            <w:r>
              <w:rPr>
                <w:sz w:val="18"/>
              </w:rPr>
              <w:t xml:space="preserve">1906</w:t>
            </w:r>
          </w:p>
        </w:tc>
        <w:tc>
          <w:tcPr/>
          <w:p>
            <w:pPr>
              <w:pStyle w:val="Compact"/>
              <w:spacing w:line="240" w:lineRule="auto"/>
              <w:jc w:val="left"/>
            </w:pPr>
            <w:r>
              <w:rPr>
                <w:sz w:val="18"/>
              </w:rPr>
              <w:t xml:space="preserve">0.89 (0.79–1.01)</w:t>
            </w:r>
          </w:p>
        </w:tc>
        <w:tc>
          <w:tcPr/>
          <w:p>
            <w:pPr>
              <w:pStyle w:val="Compact"/>
              <w:spacing w:line="240" w:lineRule="auto"/>
              <w:jc w:val="left"/>
            </w:pPr>
            <w:r>
              <w:rPr>
                <w:sz w:val="18"/>
              </w:rPr>
              <w:t xml:space="preserve">0.83 (0.78–0.87)</w:t>
            </w:r>
          </w:p>
        </w:tc>
        <w:tc>
          <w:tcPr/>
          <w:p>
            <w:pPr>
              <w:pStyle w:val="Compact"/>
              <w:spacing w:line="240" w:lineRule="auto"/>
              <w:jc w:val="left"/>
            </w:pPr>
            <w:r>
              <w:rPr>
                <w:sz w:val="18"/>
              </w:rPr>
              <w:t xml:space="preserve">0.93 (0.81–1.06)</w:t>
            </w:r>
          </w:p>
        </w:tc>
        <w:tc>
          <w:tcPr/>
          <w:p>
            <w:pPr>
              <w:pStyle w:val="Compact"/>
              <w:spacing w:line="240" w:lineRule="auto"/>
              <w:jc w:val="left"/>
            </w:pPr>
            <w:r>
              <w:rPr>
                <w:sz w:val="18"/>
              </w:rPr>
              <w:t xml:space="preserve">0.92 (0.83–1.02)</w:t>
            </w:r>
          </w:p>
        </w:tc>
      </w:tr>
      <w:tr>
        <w:tc>
          <w:tcPr/>
          <w:p>
            <w:pPr>
              <w:pStyle w:val="Compact"/>
              <w:spacing w:line="240" w:lineRule="auto"/>
              <w:jc w:val="left"/>
            </w:pPr>
            <w:r>
              <w:rPr>
                <w:sz w:val="18"/>
              </w:rPr>
              <w:t xml:space="preserve">1911</w:t>
            </w:r>
          </w:p>
        </w:tc>
        <w:tc>
          <w:tcPr/>
          <w:p>
            <w:pPr>
              <w:pStyle w:val="Compact"/>
              <w:spacing w:line="240" w:lineRule="auto"/>
              <w:jc w:val="left"/>
            </w:pPr>
            <w:r>
              <w:rPr>
                <w:sz w:val="18"/>
              </w:rPr>
              <w:t xml:space="preserve">0.96 (0.88–1.06)</w:t>
            </w:r>
          </w:p>
        </w:tc>
        <w:tc>
          <w:tcPr/>
          <w:p>
            <w:pPr>
              <w:pStyle w:val="Compact"/>
              <w:spacing w:line="240" w:lineRule="auto"/>
              <w:jc w:val="left"/>
            </w:pPr>
            <w:r>
              <w:rPr>
                <w:sz w:val="18"/>
              </w:rPr>
              <w:t xml:space="preserve">0.89 (0.85–0.93)</w:t>
            </w:r>
          </w:p>
        </w:tc>
        <w:tc>
          <w:tcPr/>
          <w:p>
            <w:pPr>
              <w:pStyle w:val="Compact"/>
              <w:spacing w:line="240" w:lineRule="auto"/>
              <w:jc w:val="left"/>
            </w:pPr>
            <w:r>
              <w:rPr>
                <w:sz w:val="18"/>
              </w:rPr>
              <w:t xml:space="preserve">0.92 (0.83–1.02)</w:t>
            </w:r>
          </w:p>
        </w:tc>
        <w:tc>
          <w:tcPr/>
          <w:p>
            <w:pPr>
              <w:pStyle w:val="Compact"/>
              <w:spacing w:line="240" w:lineRule="auto"/>
              <w:jc w:val="left"/>
            </w:pPr>
            <w:r>
              <w:rPr>
                <w:sz w:val="18"/>
              </w:rPr>
              <w:t xml:space="preserve">0.92 (0.85–1.00)</w:t>
            </w:r>
          </w:p>
        </w:tc>
      </w:tr>
      <w:tr>
        <w:tc>
          <w:tcPr/>
          <w:p>
            <w:pPr>
              <w:pStyle w:val="Compact"/>
              <w:spacing w:line="240" w:lineRule="auto"/>
              <w:jc w:val="left"/>
            </w:pPr>
            <w:r>
              <w:rPr>
                <w:sz w:val="18"/>
              </w:rPr>
              <w:t xml:space="preserve">1916</w:t>
            </w:r>
          </w:p>
        </w:tc>
        <w:tc>
          <w:tcPr/>
          <w:p>
            <w:pPr>
              <w:pStyle w:val="Compact"/>
              <w:spacing w:line="240" w:lineRule="auto"/>
              <w:jc w:val="left"/>
            </w:pPr>
            <w:r>
              <w:rPr>
                <w:sz w:val="18"/>
              </w:rPr>
              <w:t xml:space="preserve">1.00 (0.93–1.08)</w:t>
            </w:r>
          </w:p>
        </w:tc>
        <w:tc>
          <w:tcPr/>
          <w:p>
            <w:pPr>
              <w:pStyle w:val="Compact"/>
              <w:spacing w:line="240" w:lineRule="auto"/>
              <w:jc w:val="left"/>
            </w:pPr>
            <w:r>
              <w:rPr>
                <w:sz w:val="18"/>
              </w:rPr>
              <w:t xml:space="preserve">0.93 (0.89–0.96)</w:t>
            </w:r>
          </w:p>
        </w:tc>
        <w:tc>
          <w:tcPr/>
          <w:p>
            <w:pPr>
              <w:pStyle w:val="Compact"/>
              <w:spacing w:line="240" w:lineRule="auto"/>
              <w:jc w:val="left"/>
            </w:pPr>
            <w:r>
              <w:rPr>
                <w:sz w:val="18"/>
              </w:rPr>
              <w:t xml:space="preserve">0.92 (0.85–1.01)</w:t>
            </w:r>
          </w:p>
        </w:tc>
        <w:tc>
          <w:tcPr/>
          <w:p>
            <w:pPr>
              <w:pStyle w:val="Compact"/>
              <w:spacing w:line="240" w:lineRule="auto"/>
              <w:jc w:val="left"/>
            </w:pPr>
            <w:r>
              <w:rPr>
                <w:sz w:val="18"/>
              </w:rPr>
              <w:t xml:space="preserve">0.93 (0.87–0.99)</w:t>
            </w:r>
          </w:p>
        </w:tc>
      </w:tr>
      <w:tr>
        <w:tc>
          <w:tcPr/>
          <w:p>
            <w:pPr>
              <w:pStyle w:val="Compact"/>
              <w:spacing w:line="240" w:lineRule="auto"/>
              <w:jc w:val="left"/>
            </w:pPr>
            <w:r>
              <w:rPr>
                <w:sz w:val="18"/>
              </w:rPr>
              <w:t xml:space="preserve">1921</w:t>
            </w:r>
          </w:p>
        </w:tc>
        <w:tc>
          <w:tcPr/>
          <w:p>
            <w:pPr>
              <w:pStyle w:val="Compact"/>
              <w:spacing w:line="240" w:lineRule="auto"/>
              <w:jc w:val="left"/>
            </w:pPr>
            <w:r>
              <w:rPr>
                <w:sz w:val="18"/>
              </w:rPr>
              <w:t xml:space="preserve">1.04 (0.97–1.11)</w:t>
            </w:r>
          </w:p>
        </w:tc>
        <w:tc>
          <w:tcPr/>
          <w:p>
            <w:pPr>
              <w:pStyle w:val="Compact"/>
              <w:spacing w:line="240" w:lineRule="auto"/>
              <w:jc w:val="left"/>
            </w:pPr>
            <w:r>
              <w:rPr>
                <w:sz w:val="18"/>
              </w:rPr>
              <w:t xml:space="preserve">1.01 (0.98–1.04)</w:t>
            </w:r>
          </w:p>
        </w:tc>
        <w:tc>
          <w:tcPr/>
          <w:p>
            <w:pPr>
              <w:pStyle w:val="Compact"/>
              <w:spacing w:line="240" w:lineRule="auto"/>
              <w:jc w:val="left"/>
            </w:pPr>
            <w:r>
              <w:rPr>
                <w:sz w:val="18"/>
              </w:rPr>
              <w:t xml:space="preserve">0.97 (0.91–1.05)</w:t>
            </w:r>
          </w:p>
        </w:tc>
        <w:tc>
          <w:tcPr/>
          <w:p>
            <w:pPr>
              <w:pStyle w:val="Compact"/>
              <w:spacing w:line="240" w:lineRule="auto"/>
              <w:jc w:val="left"/>
            </w:pPr>
            <w:r>
              <w:rPr>
                <w:sz w:val="18"/>
              </w:rPr>
              <w:t xml:space="preserve">0.98 (0.92–1.03)</w:t>
            </w:r>
          </w:p>
        </w:tc>
      </w:tr>
      <w:tr>
        <w:tc>
          <w:tcPr/>
          <w:p>
            <w:pPr>
              <w:pStyle w:val="Compact"/>
              <w:spacing w:line="240" w:lineRule="auto"/>
              <w:jc w:val="left"/>
            </w:pPr>
            <w:r>
              <w:rPr>
                <w:sz w:val="18"/>
              </w:rPr>
              <w:t xml:space="preserve">1926</w:t>
            </w:r>
          </w:p>
        </w:tc>
        <w:tc>
          <w:tcPr/>
          <w:p>
            <w:pPr>
              <w:pStyle w:val="Compact"/>
              <w:spacing w:line="240" w:lineRule="auto"/>
              <w:jc w:val="left"/>
            </w:pPr>
            <w:r>
              <w:rPr>
                <w:sz w:val="18"/>
              </w:rPr>
              <w:t xml:space="preserve">1.05 (1.00–1.11)</w:t>
            </w:r>
          </w:p>
        </w:tc>
        <w:tc>
          <w:tcPr/>
          <w:p>
            <w:pPr>
              <w:pStyle w:val="Compact"/>
              <w:spacing w:line="240" w:lineRule="auto"/>
              <w:jc w:val="left"/>
            </w:pPr>
            <w:r>
              <w:rPr>
                <w:sz w:val="18"/>
              </w:rPr>
              <w:t xml:space="preserve">1.07 (1.04–1.10)</w:t>
            </w:r>
          </w:p>
        </w:tc>
        <w:tc>
          <w:tcPr/>
          <w:p>
            <w:pPr>
              <w:pStyle w:val="Compact"/>
              <w:spacing w:line="240" w:lineRule="auto"/>
              <w:jc w:val="left"/>
            </w:pPr>
            <w:r>
              <w:rPr>
                <w:sz w:val="18"/>
              </w:rPr>
              <w:t xml:space="preserve">1.02 (0.96–1.08)</w:t>
            </w:r>
          </w:p>
        </w:tc>
        <w:tc>
          <w:tcPr/>
          <w:p>
            <w:pPr>
              <w:pStyle w:val="Compact"/>
              <w:spacing w:line="240" w:lineRule="auto"/>
              <w:jc w:val="left"/>
            </w:pPr>
            <w:r>
              <w:rPr>
                <w:sz w:val="18"/>
              </w:rPr>
              <w:t xml:space="preserve">1.02 (0.97–1.07)</w:t>
            </w:r>
          </w:p>
        </w:tc>
      </w:tr>
      <w:tr>
        <w:tc>
          <w:tcPr/>
          <w:p>
            <w:pPr>
              <w:pStyle w:val="Compact"/>
              <w:spacing w:line="240" w:lineRule="auto"/>
              <w:jc w:val="left"/>
            </w:pPr>
            <w:r>
              <w:rPr>
                <w:sz w:val="18"/>
              </w:rPr>
              <w:t xml:space="preserve">1931</w:t>
            </w:r>
          </w:p>
        </w:tc>
        <w:tc>
          <w:tcPr/>
          <w:p>
            <w:pPr>
              <w:pStyle w:val="Compact"/>
              <w:spacing w:line="240" w:lineRule="auto"/>
              <w:jc w:val="left"/>
            </w:pPr>
            <w:r>
              <w:rPr>
                <w:sz w:val="18"/>
              </w:rPr>
              <w:t xml:space="preserve">1.00 (0.96–1.05)</w:t>
            </w:r>
          </w:p>
        </w:tc>
        <w:tc>
          <w:tcPr/>
          <w:p>
            <w:pPr>
              <w:pStyle w:val="Compact"/>
              <w:spacing w:line="240" w:lineRule="auto"/>
              <w:jc w:val="left"/>
            </w:pPr>
            <w:r>
              <w:rPr>
                <w:sz w:val="18"/>
              </w:rPr>
              <w:t xml:space="preserve">1.11 (1.08–1.13)</w:t>
            </w:r>
          </w:p>
        </w:tc>
        <w:tc>
          <w:tcPr/>
          <w:p>
            <w:pPr>
              <w:pStyle w:val="Compact"/>
              <w:spacing w:line="240" w:lineRule="auto"/>
              <w:jc w:val="left"/>
            </w:pPr>
            <w:r>
              <w:rPr>
                <w:sz w:val="18"/>
              </w:rPr>
              <w:t xml:space="preserve">1.11 (1.05–1.17)</w:t>
            </w:r>
          </w:p>
        </w:tc>
        <w:tc>
          <w:tcPr/>
          <w:p>
            <w:pPr>
              <w:pStyle w:val="Compact"/>
              <w:spacing w:line="240" w:lineRule="auto"/>
              <w:jc w:val="left"/>
            </w:pPr>
            <w:r>
              <w:rPr>
                <w:sz w:val="18"/>
              </w:rPr>
              <w:t xml:space="preserve">1.11 (1.06–1.16)</w:t>
            </w:r>
          </w:p>
        </w:tc>
      </w:tr>
      <w:tr>
        <w:tc>
          <w:tcPr/>
          <w:p>
            <w:pPr>
              <w:pStyle w:val="Compact"/>
              <w:spacing w:line="240" w:lineRule="auto"/>
              <w:jc w:val="left"/>
            </w:pPr>
            <w:r>
              <w:rPr>
                <w:sz w:val="18"/>
              </w:rPr>
              <w:t xml:space="preserve">1936</w:t>
            </w:r>
          </w:p>
        </w:tc>
        <w:tc>
          <w:tcPr/>
          <w:p>
            <w:pPr>
              <w:pStyle w:val="Compact"/>
              <w:spacing w:line="240" w:lineRule="auto"/>
              <w:jc w:val="left"/>
            </w:pPr>
            <w:r>
              <w:rPr>
                <w:sz w:val="18"/>
              </w:rPr>
              <w:t xml:space="preserve">1.05 (1.01–1.09)</w:t>
            </w:r>
          </w:p>
        </w:tc>
        <w:tc>
          <w:tcPr/>
          <w:p>
            <w:pPr>
              <w:pStyle w:val="Compact"/>
              <w:spacing w:line="240" w:lineRule="auto"/>
              <w:jc w:val="left"/>
            </w:pPr>
            <w:r>
              <w:rPr>
                <w:sz w:val="18"/>
              </w:rPr>
              <w:t xml:space="preserve">1.17 (1.15–1.20)</w:t>
            </w:r>
          </w:p>
        </w:tc>
        <w:tc>
          <w:tcPr/>
          <w:p>
            <w:pPr>
              <w:pStyle w:val="Compact"/>
              <w:spacing w:line="240" w:lineRule="auto"/>
              <w:jc w:val="left"/>
            </w:pPr>
            <w:r>
              <w:rPr>
                <w:sz w:val="18"/>
              </w:rPr>
              <w:t xml:space="preserve">1.11 (1.06–1.16)</w:t>
            </w:r>
          </w:p>
        </w:tc>
        <w:tc>
          <w:tcPr/>
          <w:p>
            <w:pPr>
              <w:pStyle w:val="Compact"/>
              <w:spacing w:line="240" w:lineRule="auto"/>
              <w:jc w:val="left"/>
            </w:pPr>
            <w:r>
              <w:rPr>
                <w:sz w:val="18"/>
              </w:rPr>
              <w:t xml:space="preserve">1.12 (1.07–1.16)</w:t>
            </w:r>
          </w:p>
        </w:tc>
      </w:tr>
      <w:tr>
        <w:tc>
          <w:tcPr/>
          <w:p>
            <w:pPr>
              <w:pStyle w:val="Compact"/>
              <w:spacing w:line="240" w:lineRule="auto"/>
              <w:jc w:val="left"/>
            </w:pPr>
            <w:r>
              <w:rPr>
                <w:sz w:val="18"/>
              </w:rPr>
              <w:t xml:space="preserve">1941</w:t>
            </w:r>
          </w:p>
        </w:tc>
        <w:tc>
          <w:tcPr/>
          <w:p>
            <w:pPr>
              <w:pStyle w:val="Compact"/>
              <w:spacing w:line="240" w:lineRule="auto"/>
              <w:jc w:val="left"/>
            </w:pPr>
            <w:r>
              <w:rPr>
                <w:sz w:val="18"/>
              </w:rPr>
              <w:t xml:space="preserve">1.14 (1.10–1.18)</w:t>
            </w:r>
          </w:p>
        </w:tc>
        <w:tc>
          <w:tcPr/>
          <w:p>
            <w:pPr>
              <w:pStyle w:val="Compact"/>
              <w:spacing w:line="240" w:lineRule="auto"/>
              <w:jc w:val="left"/>
            </w:pPr>
            <w:r>
              <w:rPr>
                <w:sz w:val="18"/>
              </w:rPr>
              <w:t xml:space="preserve">1.27 (1.24–1.30)</w:t>
            </w:r>
          </w:p>
        </w:tc>
        <w:tc>
          <w:tcPr/>
          <w:p>
            <w:pPr>
              <w:pStyle w:val="Compact"/>
              <w:spacing w:line="240" w:lineRule="auto"/>
              <w:jc w:val="left"/>
            </w:pPr>
            <w:r>
              <w:rPr>
                <w:sz w:val="18"/>
              </w:rPr>
              <w:t xml:space="preserve">1.11 (1.07–1.16)</w:t>
            </w:r>
          </w:p>
        </w:tc>
        <w:tc>
          <w:tcPr/>
          <w:p>
            <w:pPr>
              <w:pStyle w:val="Compact"/>
              <w:spacing w:line="240" w:lineRule="auto"/>
              <w:jc w:val="left"/>
            </w:pPr>
            <w:r>
              <w:rPr>
                <w:sz w:val="18"/>
              </w:rPr>
              <w:t xml:space="preserve">1.11 (1.07–1.16)</w:t>
            </w:r>
          </w:p>
        </w:tc>
      </w:tr>
      <w:tr>
        <w:tc>
          <w:tcPr/>
          <w:p>
            <w:pPr>
              <w:pStyle w:val="Compact"/>
              <w:spacing w:line="240" w:lineRule="auto"/>
              <w:jc w:val="left"/>
            </w:pPr>
            <w:r>
              <w:rPr>
                <w:sz w:val="18"/>
              </w:rPr>
              <w:t xml:space="preserve">1946</w:t>
            </w:r>
          </w:p>
        </w:tc>
        <w:tc>
          <w:tcPr/>
          <w:p>
            <w:pPr>
              <w:pStyle w:val="Compact"/>
              <w:spacing w:line="240" w:lineRule="auto"/>
              <w:jc w:val="left"/>
            </w:pPr>
            <w:r>
              <w:rPr>
                <w:sz w:val="18"/>
              </w:rPr>
              <w:t xml:space="preserve">1.18 (1.15–1.22)</w:t>
            </w:r>
          </w:p>
        </w:tc>
        <w:tc>
          <w:tcPr/>
          <w:p>
            <w:pPr>
              <w:pStyle w:val="Compact"/>
              <w:spacing w:line="240" w:lineRule="auto"/>
              <w:jc w:val="left"/>
            </w:pPr>
            <w:r>
              <w:rPr>
                <w:sz w:val="18"/>
              </w:rPr>
              <w:t xml:space="preserve">1.37 (1.34–1.40)</w:t>
            </w:r>
          </w:p>
        </w:tc>
        <w:tc>
          <w:tcPr/>
          <w:p>
            <w:pPr>
              <w:pStyle w:val="Compact"/>
              <w:spacing w:line="240" w:lineRule="auto"/>
              <w:jc w:val="left"/>
            </w:pPr>
            <w:r>
              <w:rPr>
                <w:sz w:val="18"/>
              </w:rPr>
              <w:t xml:space="preserve">1.16 (1.11–1.20)</w:t>
            </w:r>
          </w:p>
        </w:tc>
        <w:tc>
          <w:tcPr/>
          <w:p>
            <w:pPr>
              <w:pStyle w:val="Compact"/>
              <w:spacing w:line="240" w:lineRule="auto"/>
              <w:jc w:val="left"/>
            </w:pPr>
            <w:r>
              <w:rPr>
                <w:sz w:val="18"/>
              </w:rPr>
              <w:t xml:space="preserve">1.16 (1.11–1.21)</w:t>
            </w:r>
          </w:p>
        </w:tc>
      </w:tr>
      <w:tr>
        <w:tc>
          <w:tcPr/>
          <w:p>
            <w:pPr>
              <w:pStyle w:val="Compact"/>
              <w:spacing w:line="240" w:lineRule="auto"/>
              <w:jc w:val="left"/>
            </w:pPr>
            <w:r>
              <w:rPr>
                <w:sz w:val="18"/>
              </w:rPr>
              <w:t xml:space="preserve">1951</w:t>
            </w:r>
          </w:p>
        </w:tc>
        <w:tc>
          <w:tcPr/>
          <w:p>
            <w:pPr>
              <w:pStyle w:val="Compact"/>
              <w:spacing w:line="240" w:lineRule="auto"/>
              <w:jc w:val="left"/>
            </w:pPr>
            <w:r>
              <w:rPr>
                <w:sz w:val="18"/>
              </w:rPr>
              <w:t xml:space="preserve">1.22 (1.18–1.26)</w:t>
            </w:r>
          </w:p>
        </w:tc>
        <w:tc>
          <w:tcPr/>
          <w:p>
            <w:pPr>
              <w:pStyle w:val="Compact"/>
              <w:spacing w:line="240" w:lineRule="auto"/>
              <w:jc w:val="left"/>
            </w:pPr>
            <w:r>
              <w:rPr>
                <w:sz w:val="18"/>
              </w:rPr>
              <w:t xml:space="preserve">1.43 (1.39–1.46)</w:t>
            </w:r>
          </w:p>
        </w:tc>
        <w:tc>
          <w:tcPr/>
          <w:p>
            <w:pPr>
              <w:pStyle w:val="Compact"/>
              <w:spacing w:line="240" w:lineRule="auto"/>
              <w:jc w:val="left"/>
            </w:pPr>
            <w:r>
              <w:rPr>
                <w:sz w:val="18"/>
              </w:rPr>
              <w:t xml:space="preserve">1.17 (1.13–1.22)</w:t>
            </w:r>
          </w:p>
        </w:tc>
        <w:tc>
          <w:tcPr/>
          <w:p>
            <w:pPr>
              <w:pStyle w:val="Compact"/>
              <w:spacing w:line="240" w:lineRule="auto"/>
              <w:jc w:val="left"/>
            </w:pPr>
            <w:r>
              <w:rPr>
                <w:sz w:val="18"/>
              </w:rPr>
              <w:t xml:space="preserve">1.17 (1.12–1.23)</w:t>
            </w:r>
          </w:p>
        </w:tc>
      </w:tr>
      <w:tr>
        <w:tc>
          <w:tcPr/>
          <w:p>
            <w:pPr>
              <w:pStyle w:val="Compact"/>
              <w:spacing w:line="240" w:lineRule="auto"/>
              <w:jc w:val="left"/>
            </w:pPr>
            <w:r>
              <w:rPr>
                <w:sz w:val="18"/>
              </w:rPr>
              <w:t xml:space="preserve">1956</w:t>
            </w:r>
          </w:p>
        </w:tc>
        <w:tc>
          <w:tcPr/>
          <w:p>
            <w:pPr>
              <w:pStyle w:val="Compact"/>
              <w:spacing w:line="240" w:lineRule="auto"/>
              <w:jc w:val="left"/>
            </w:pPr>
            <w:r>
              <w:rPr>
                <w:sz w:val="18"/>
              </w:rPr>
              <w:t xml:space="preserve">1.16 (1.12–1.20)</w:t>
            </w:r>
          </w:p>
        </w:tc>
        <w:tc>
          <w:tcPr/>
          <w:p>
            <w:pPr>
              <w:pStyle w:val="Compact"/>
              <w:spacing w:line="240" w:lineRule="auto"/>
              <w:jc w:val="left"/>
            </w:pPr>
            <w:r>
              <w:rPr>
                <w:sz w:val="18"/>
              </w:rPr>
              <w:t xml:space="preserve">1.34 (1.30–1.38)</w:t>
            </w:r>
          </w:p>
        </w:tc>
        <w:tc>
          <w:tcPr/>
          <w:p>
            <w:pPr>
              <w:pStyle w:val="Compact"/>
              <w:spacing w:line="240" w:lineRule="auto"/>
              <w:jc w:val="left"/>
            </w:pPr>
            <w:r>
              <w:rPr>
                <w:sz w:val="18"/>
              </w:rPr>
              <w:t xml:space="preserve">1.15 (1.10–1.20)</w:t>
            </w:r>
          </w:p>
        </w:tc>
        <w:tc>
          <w:tcPr/>
          <w:p>
            <w:pPr>
              <w:pStyle w:val="Compact"/>
              <w:spacing w:line="240" w:lineRule="auto"/>
              <w:jc w:val="left"/>
            </w:pPr>
            <w:r>
              <w:rPr>
                <w:sz w:val="18"/>
              </w:rPr>
              <w:t xml:space="preserve">1.15 (1.09–1.21)</w:t>
            </w:r>
          </w:p>
        </w:tc>
      </w:tr>
      <w:tr>
        <w:tc>
          <w:tcPr/>
          <w:p>
            <w:pPr>
              <w:pStyle w:val="Compact"/>
              <w:spacing w:line="240" w:lineRule="auto"/>
              <w:jc w:val="left"/>
            </w:pPr>
            <w:r>
              <w:rPr>
                <w:sz w:val="18"/>
              </w:rPr>
              <w:t xml:space="preserve">1961</w:t>
            </w:r>
          </w:p>
        </w:tc>
        <w:tc>
          <w:tcPr/>
          <w:p>
            <w:pPr>
              <w:pStyle w:val="Compact"/>
              <w:spacing w:line="240" w:lineRule="auto"/>
              <w:jc w:val="left"/>
            </w:pPr>
            <w:r>
              <w:rPr>
                <w:sz w:val="18"/>
              </w:rPr>
              <w:t xml:space="preserve">1.13 (1.09–1.17)</w:t>
            </w:r>
          </w:p>
        </w:tc>
        <w:tc>
          <w:tcPr/>
          <w:p>
            <w:pPr>
              <w:pStyle w:val="Compact"/>
              <w:spacing w:line="240" w:lineRule="auto"/>
              <w:jc w:val="left"/>
            </w:pPr>
            <w:r>
              <w:rPr>
                <w:sz w:val="18"/>
              </w:rPr>
              <w:t xml:space="preserve">1.21 (1.17–1.25)</w:t>
            </w:r>
          </w:p>
        </w:tc>
        <w:tc>
          <w:tcPr/>
          <w:p>
            <w:pPr>
              <w:pStyle w:val="Compact"/>
              <w:spacing w:line="240" w:lineRule="auto"/>
              <w:jc w:val="left"/>
            </w:pPr>
            <w:r>
              <w:rPr>
                <w:sz w:val="18"/>
              </w:rPr>
              <w:t xml:space="preserve">1.07 (1.02–1.13)</w:t>
            </w:r>
          </w:p>
        </w:tc>
        <w:tc>
          <w:tcPr/>
          <w:p>
            <w:pPr>
              <w:pStyle w:val="Compact"/>
              <w:spacing w:line="240" w:lineRule="auto"/>
              <w:jc w:val="left"/>
            </w:pPr>
            <w:r>
              <w:rPr>
                <w:sz w:val="18"/>
              </w:rPr>
              <w:t xml:space="preserve">1.07 (1.01–1.14)</w:t>
            </w:r>
          </w:p>
        </w:tc>
      </w:tr>
      <w:tr>
        <w:tc>
          <w:tcPr/>
          <w:p>
            <w:pPr>
              <w:pStyle w:val="Compact"/>
              <w:spacing w:line="240" w:lineRule="auto"/>
              <w:jc w:val="left"/>
            </w:pPr>
            <w:r>
              <w:rPr>
                <w:sz w:val="18"/>
              </w:rPr>
              <w:t xml:space="preserve">1966</w:t>
            </w:r>
          </w:p>
        </w:tc>
        <w:tc>
          <w:tcPr/>
          <w:p>
            <w:pPr>
              <w:pStyle w:val="Compact"/>
              <w:spacing w:line="240" w:lineRule="auto"/>
              <w:jc w:val="left"/>
            </w:pPr>
            <w:r>
              <w:rPr>
                <w:sz w:val="18"/>
              </w:rPr>
              <w:t xml:space="preserve">1.09 (1.05–1.14)</w:t>
            </w:r>
          </w:p>
        </w:tc>
        <w:tc>
          <w:tcPr/>
          <w:p>
            <w:pPr>
              <w:pStyle w:val="Compact"/>
              <w:spacing w:line="240" w:lineRule="auto"/>
              <w:jc w:val="left"/>
            </w:pPr>
            <w:r>
              <w:rPr>
                <w:sz w:val="18"/>
              </w:rPr>
              <w:t xml:space="preserve">1.08 (1.04–1.12)</w:t>
            </w:r>
          </w:p>
        </w:tc>
        <w:tc>
          <w:tcPr/>
          <w:p>
            <w:pPr>
              <w:pStyle w:val="Compact"/>
              <w:spacing w:line="240" w:lineRule="auto"/>
              <w:jc w:val="left"/>
            </w:pPr>
            <w:r>
              <w:rPr>
                <w:sz w:val="18"/>
              </w:rPr>
              <w:t xml:space="preserve">0.99 (0.94–1.04)</w:t>
            </w:r>
          </w:p>
        </w:tc>
        <w:tc>
          <w:tcPr/>
          <w:p>
            <w:pPr>
              <w:pStyle w:val="Compact"/>
              <w:spacing w:line="240" w:lineRule="auto"/>
              <w:jc w:val="left"/>
            </w:pPr>
            <w:r>
              <w:rPr>
                <w:sz w:val="18"/>
              </w:rPr>
              <w:t xml:space="preserve">0.98 (0.92–1.06)</w:t>
            </w:r>
          </w:p>
        </w:tc>
      </w:tr>
      <w:tr>
        <w:tc>
          <w:tcPr/>
          <w:p>
            <w:pPr>
              <w:pStyle w:val="Compact"/>
              <w:spacing w:line="240" w:lineRule="auto"/>
              <w:jc w:val="left"/>
            </w:pPr>
            <w:r>
              <w:rPr>
                <w:sz w:val="18"/>
              </w:rPr>
              <w:t xml:space="preserve">1971</w:t>
            </w:r>
          </w:p>
        </w:tc>
        <w:tc>
          <w:tcPr/>
          <w:p>
            <w:pPr>
              <w:pStyle w:val="Compact"/>
              <w:spacing w:line="240" w:lineRule="auto"/>
              <w:jc w:val="left"/>
            </w:pPr>
            <w:r>
              <w:rPr>
                <w:sz w:val="18"/>
              </w:rPr>
              <w:t xml:space="preserve">1.00 (0.95–1.04)</w:t>
            </w:r>
          </w:p>
        </w:tc>
        <w:tc>
          <w:tcPr/>
          <w:p>
            <w:pPr>
              <w:pStyle w:val="Compact"/>
              <w:spacing w:line="240" w:lineRule="auto"/>
              <w:jc w:val="left"/>
            </w:pPr>
            <w:r>
              <w:rPr>
                <w:sz w:val="18"/>
              </w:rPr>
              <w:t xml:space="preserve">0.94 (0.90–0.99)</w:t>
            </w:r>
          </w:p>
        </w:tc>
        <w:tc>
          <w:tcPr/>
          <w:p>
            <w:pPr>
              <w:pStyle w:val="Compact"/>
              <w:spacing w:line="240" w:lineRule="auto"/>
              <w:jc w:val="left"/>
            </w:pPr>
            <w:r>
              <w:rPr>
                <w:sz w:val="18"/>
              </w:rPr>
              <w:t xml:space="preserve">0.95 (0.89–1.01)</w:t>
            </w:r>
          </w:p>
        </w:tc>
        <w:tc>
          <w:tcPr/>
          <w:p>
            <w:pPr>
              <w:pStyle w:val="Compact"/>
              <w:spacing w:line="240" w:lineRule="auto"/>
              <w:jc w:val="left"/>
            </w:pPr>
            <w:r>
              <w:rPr>
                <w:sz w:val="18"/>
              </w:rPr>
              <w:t xml:space="preserve">0.94 (0.87–1.03)</w:t>
            </w:r>
          </w:p>
        </w:tc>
      </w:tr>
      <w:tr>
        <w:tc>
          <w:tcPr/>
          <w:p>
            <w:pPr>
              <w:pStyle w:val="Compact"/>
              <w:spacing w:line="240" w:lineRule="auto"/>
              <w:jc w:val="left"/>
            </w:pPr>
            <w:r>
              <w:rPr>
                <w:sz w:val="18"/>
              </w:rPr>
              <w:t xml:space="preserve">1976</w:t>
            </w:r>
          </w:p>
        </w:tc>
        <w:tc>
          <w:tcPr/>
          <w:p>
            <w:pPr>
              <w:pStyle w:val="Compact"/>
              <w:spacing w:line="240" w:lineRule="auto"/>
              <w:jc w:val="left"/>
            </w:pPr>
            <w:r>
              <w:rPr>
                <w:sz w:val="18"/>
              </w:rPr>
              <w:t xml:space="preserve">0.93 (0.88–0.98)</w:t>
            </w:r>
          </w:p>
        </w:tc>
        <w:tc>
          <w:tcPr/>
          <w:p>
            <w:pPr>
              <w:pStyle w:val="Compact"/>
              <w:spacing w:line="240" w:lineRule="auto"/>
              <w:jc w:val="left"/>
            </w:pPr>
            <w:r>
              <w:rPr>
                <w:sz w:val="18"/>
              </w:rPr>
              <w:t xml:space="preserve">0.82 (0.77–0.87)</w:t>
            </w:r>
          </w:p>
        </w:tc>
        <w:tc>
          <w:tcPr/>
          <w:p>
            <w:pPr>
              <w:pStyle w:val="Compact"/>
              <w:spacing w:line="240" w:lineRule="auto"/>
              <w:jc w:val="left"/>
            </w:pPr>
            <w:r>
              <w:rPr>
                <w:sz w:val="18"/>
              </w:rPr>
              <w:t xml:space="preserve">0.88 (0.82–0.96)</w:t>
            </w:r>
          </w:p>
        </w:tc>
        <w:tc>
          <w:tcPr/>
          <w:p>
            <w:pPr>
              <w:pStyle w:val="Compact"/>
              <w:spacing w:line="240" w:lineRule="auto"/>
              <w:jc w:val="left"/>
            </w:pPr>
            <w:r>
              <w:rPr>
                <w:sz w:val="18"/>
              </w:rPr>
              <w:t xml:space="preserve">0.88 (0.79–0.99)</w:t>
            </w:r>
          </w:p>
        </w:tc>
      </w:tr>
      <w:tr>
        <w:tc>
          <w:tcPr/>
          <w:p>
            <w:pPr>
              <w:pStyle w:val="Compact"/>
              <w:spacing w:line="240" w:lineRule="auto"/>
              <w:jc w:val="left"/>
            </w:pPr>
            <w:r>
              <w:rPr>
                <w:sz w:val="18"/>
              </w:rPr>
              <w:t xml:space="preserve">1981</w:t>
            </w:r>
          </w:p>
        </w:tc>
        <w:tc>
          <w:tcPr/>
          <w:p>
            <w:pPr>
              <w:pStyle w:val="Compact"/>
              <w:spacing w:line="240" w:lineRule="auto"/>
              <w:jc w:val="left"/>
            </w:pPr>
            <w:r>
              <w:rPr>
                <w:sz w:val="18"/>
              </w:rPr>
              <w:t xml:space="preserve">0.81 (0.74–0.87)</w:t>
            </w:r>
          </w:p>
        </w:tc>
        <w:tc>
          <w:tcPr/>
          <w:p>
            <w:pPr>
              <w:pStyle w:val="Compact"/>
              <w:spacing w:line="240" w:lineRule="auto"/>
              <w:jc w:val="left"/>
            </w:pPr>
            <w:r>
              <w:rPr>
                <w:sz w:val="18"/>
              </w:rPr>
              <w:t xml:space="preserve">0.71 (0.65–0.78)</w:t>
            </w:r>
          </w:p>
        </w:tc>
        <w:tc>
          <w:tcPr/>
          <w:p>
            <w:pPr>
              <w:pStyle w:val="Compact"/>
              <w:spacing w:line="240" w:lineRule="auto"/>
              <w:jc w:val="left"/>
            </w:pPr>
            <w:r>
              <w:rPr>
                <w:sz w:val="18"/>
              </w:rPr>
              <w:t xml:space="preserve">0.88 (0.79–0.99)</w:t>
            </w:r>
          </w:p>
        </w:tc>
        <w:tc>
          <w:tcPr/>
          <w:p>
            <w:pPr>
              <w:pStyle w:val="Compact"/>
              <w:spacing w:line="240" w:lineRule="auto"/>
              <w:jc w:val="left"/>
            </w:pPr>
            <w:r>
              <w:rPr>
                <w:sz w:val="18"/>
              </w:rPr>
              <w:t xml:space="preserve">0.89 (0.76–1.04)</w:t>
            </w:r>
          </w:p>
        </w:tc>
      </w:tr>
      <w:tr>
        <w:tc>
          <w:tcPr/>
          <w:p>
            <w:pPr>
              <w:pStyle w:val="Compact"/>
              <w:spacing w:line="240" w:lineRule="auto"/>
              <w:jc w:val="left"/>
            </w:pPr>
            <w:r>
              <w:rPr>
                <w:sz w:val="18"/>
              </w:rPr>
              <w:t xml:space="preserve">1986</w:t>
            </w:r>
          </w:p>
        </w:tc>
        <w:tc>
          <w:tcPr/>
          <w:p>
            <w:pPr>
              <w:pStyle w:val="Compact"/>
              <w:spacing w:line="240" w:lineRule="auto"/>
              <w:jc w:val="left"/>
            </w:pPr>
            <w:r>
              <w:rPr>
                <w:sz w:val="18"/>
              </w:rPr>
              <w:t xml:space="preserve">0.75 (0.66–0.86)</w:t>
            </w:r>
          </w:p>
        </w:tc>
        <w:tc>
          <w:tcPr/>
          <w:p>
            <w:pPr>
              <w:pStyle w:val="Compact"/>
              <w:spacing w:line="240" w:lineRule="auto"/>
              <w:jc w:val="left"/>
            </w:pPr>
            <w:r>
              <w:rPr>
                <w:sz w:val="18"/>
              </w:rPr>
              <w:t xml:space="preserve">0.66 (0.56–0.76)</w:t>
            </w:r>
          </w:p>
        </w:tc>
        <w:tc>
          <w:tcPr/>
          <w:p>
            <w:pPr>
              <w:pStyle w:val="Compact"/>
              <w:spacing w:line="240" w:lineRule="auto"/>
              <w:jc w:val="left"/>
            </w:pPr>
            <w:r>
              <w:rPr>
                <w:sz w:val="18"/>
              </w:rPr>
              <w:t xml:space="preserve">0.87 (0.71–1.07)</w:t>
            </w:r>
          </w:p>
        </w:tc>
        <w:tc>
          <w:tcPr/>
          <w:p>
            <w:pPr>
              <w:pStyle w:val="Compact"/>
              <w:spacing w:line="240" w:lineRule="auto"/>
              <w:jc w:val="left"/>
            </w:pPr>
            <w:r>
              <w:rPr>
                <w:sz w:val="18"/>
              </w:rPr>
              <w:t xml:space="preserve">0.87 (0.66–1.15)</w:t>
            </w:r>
          </w:p>
        </w:tc>
      </w:tr>
    </w:tbl>
    <w:p>
      <w:pPr>
        <w:pStyle w:val="BodyText"/>
      </w:pPr>
      <w:r>
        <w:t xml:space="preserve">Each RR is relative to the model’s own linear trend. Ratio of two models: quotient of the mortality and incidence deviations, with approximate CIs that treat the two models as independent. Direct model: a single APC model of deaths with log(incident cases) as offset (dispersion 9.1), which does not require that assumption but treats incidence counts as fixed. Incidence includes in situ cancer.</w:t>
      </w:r>
    </w:p>
    <w:p>
      <w:pPr>
        <w:pStyle w:val="BodyText"/>
      </w:pPr>
      <w:r>
        <w:rPr>
          <w:bCs/>
          <w:b/>
        </w:rPr>
        <w:t xml:space="preserve">Supplementary Table S4.</w:t>
      </w:r>
      <w:r>
        <w:t xml:space="preserve"> </w:t>
      </w:r>
      <w:r>
        <w:t xml:space="preserve">Robustness of the incidence cohort pattern and of the relative cohort curvature</w:t>
      </w:r>
    </w:p>
    <w:tbl>
      <w:tblPr>
        <w:tblStyle w:val="Table"/>
        <w:tblW w:type="pct" w:w="5000"/>
        <w:tblLook w:firstRow="1" w:lastRow="0" w:firstColumn="0" w:lastColumn="0" w:noHBand="0" w:noVBand="0" w:val="0020"/>
        <w:jc w:val="start"/>
        <w:tblBorders>
          <w:top w:val="single" w:sz="4" w:color="000000"/>
          <w:bottom w:val="single" w:sz="4" w:color="000000"/>
          <w:insideH w:val="single" w:sz="4" w:color="000000"/>
        </w:tblBorders>
      </w:tblPr>
      <w:tblGrid>
        <w:gridCol/>
        <w:gridCol/>
        <w:gridCol/>
        <w:gridCol/>
        <w:gridCol/>
        <w:gridCol/>
        <w:gridCol/>
      </w:tblGrid>
      <w:tr>
        <w:trPr>
          <w:tblHeader w:val="true"/>
        </w:trPr>
        <w:tc>
          <w:tcPr/>
          <w:p>
            <w:pPr>
              <w:pStyle w:val="Compact"/>
              <w:spacing w:line="240" w:lineRule="auto"/>
              <w:jc w:val="left"/>
            </w:pPr>
            <w:r>
              <w:rPr>
                <w:sz w:val="18"/>
              </w:rPr>
              <w:t xml:space="preserve">Specification</w:t>
            </w:r>
          </w:p>
        </w:tc>
        <w:tc>
          <w:tcPr/>
          <w:p>
            <w:pPr>
              <w:pStyle w:val="Compact"/>
              <w:spacing w:line="240" w:lineRule="auto"/>
              <w:jc w:val="left"/>
            </w:pPr>
            <w:r>
              <w:rPr>
                <w:sz w:val="18"/>
              </w:rPr>
              <w:t xml:space="preserve">Incidence dispersion</w:t>
            </w:r>
          </w:p>
        </w:tc>
        <w:tc>
          <w:tcPr/>
          <w:p>
            <w:pPr>
              <w:pStyle w:val="Compact"/>
              <w:spacing w:line="240" w:lineRule="auto"/>
              <w:jc w:val="left"/>
            </w:pPr>
            <w:r>
              <w:rPr>
                <w:sz w:val="18"/>
              </w:rPr>
              <w:t xml:space="preserve">Incidence peak cohort</w:t>
            </w:r>
          </w:p>
        </w:tc>
        <w:tc>
          <w:tcPr/>
          <w:p>
            <w:pPr>
              <w:pStyle w:val="Compact"/>
              <w:spacing w:line="240" w:lineRule="auto"/>
              <w:jc w:val="left"/>
            </w:pPr>
            <w:r>
              <w:rPr>
                <w:sz w:val="18"/>
              </w:rPr>
              <w:t xml:space="preserve">Incidence RR, 1951</w:t>
            </w:r>
          </w:p>
        </w:tc>
        <w:tc>
          <w:tcPr/>
          <w:p>
            <w:pPr>
              <w:pStyle w:val="Compact"/>
              <w:spacing w:line="240" w:lineRule="auto"/>
              <w:jc w:val="left"/>
            </w:pPr>
            <w:r>
              <w:rPr>
                <w:sz w:val="18"/>
              </w:rPr>
              <w:t xml:space="preserve">Mortality RR, 1951</w:t>
            </w:r>
          </w:p>
        </w:tc>
        <w:tc>
          <w:tcPr/>
          <w:p>
            <w:pPr>
              <w:pStyle w:val="Compact"/>
              <w:spacing w:line="240" w:lineRule="auto"/>
              <w:jc w:val="left"/>
            </w:pPr>
            <w:r>
              <w:rPr>
                <w:sz w:val="18"/>
              </w:rPr>
              <w:t xml:space="preserve">Relative curvature, 1951 (95% CI)</w:t>
            </w:r>
          </w:p>
        </w:tc>
        <w:tc>
          <w:tcPr/>
          <w:p>
            <w:pPr>
              <w:pStyle w:val="Compact"/>
              <w:spacing w:line="240" w:lineRule="auto"/>
              <w:jc w:val="left"/>
            </w:pPr>
            <w:r>
              <w:rPr>
                <w:sz w:val="18"/>
              </w:rPr>
              <w:t xml:space="preserve">Relative curvature, 1976 (95% CI)</w:t>
            </w:r>
          </w:p>
        </w:tc>
      </w:tr>
      <w:tr>
        <w:tc>
          <w:tcPr/>
          <w:p>
            <w:pPr>
              <w:pStyle w:val="Compact"/>
              <w:spacing w:line="240" w:lineRule="auto"/>
              <w:jc w:val="left"/>
            </w:pPr>
            <w:r>
              <w:rPr>
                <w:sz w:val="18"/>
              </w:rPr>
              <w:t xml:space="preserve">Main: quasi-Poisson, 1976–2020</w:t>
            </w:r>
          </w:p>
        </w:tc>
        <w:tc>
          <w:tcPr/>
          <w:p>
            <w:pPr>
              <w:pStyle w:val="Compact"/>
              <w:spacing w:line="240" w:lineRule="auto"/>
              <w:jc w:val="left"/>
            </w:pPr>
            <w:r>
              <w:rPr>
                <w:sz w:val="18"/>
              </w:rPr>
              <w:t xml:space="preserve">32.6</w:t>
            </w:r>
          </w:p>
        </w:tc>
        <w:tc>
          <w:tcPr/>
          <w:p>
            <w:pPr>
              <w:pStyle w:val="Compact"/>
              <w:spacing w:line="240" w:lineRule="auto"/>
              <w:jc w:val="left"/>
            </w:pPr>
            <w:r>
              <w:rPr>
                <w:sz w:val="18"/>
              </w:rPr>
              <w:t xml:space="preserve">1951</w:t>
            </w:r>
          </w:p>
        </w:tc>
        <w:tc>
          <w:tcPr/>
          <w:p>
            <w:pPr>
              <w:pStyle w:val="Compact"/>
              <w:spacing w:line="240" w:lineRule="auto"/>
              <w:jc w:val="left"/>
            </w:pPr>
            <w:r>
              <w:rPr>
                <w:sz w:val="18"/>
              </w:rPr>
              <w:t xml:space="preserve">1.22</w:t>
            </w:r>
          </w:p>
        </w:tc>
        <w:tc>
          <w:tcPr/>
          <w:p>
            <w:pPr>
              <w:pStyle w:val="Compact"/>
              <w:spacing w:line="240" w:lineRule="auto"/>
              <w:jc w:val="left"/>
            </w:pPr>
            <w:r>
              <w:rPr>
                <w:sz w:val="18"/>
              </w:rPr>
              <w:t xml:space="preserve">1.43</w:t>
            </w:r>
          </w:p>
        </w:tc>
        <w:tc>
          <w:tcPr/>
          <w:p>
            <w:pPr>
              <w:pStyle w:val="Compact"/>
              <w:spacing w:line="240" w:lineRule="auto"/>
              <w:jc w:val="left"/>
            </w:pPr>
            <w:r>
              <w:rPr>
                <w:sz w:val="18"/>
              </w:rPr>
              <w:t xml:space="preserve">1.17 (1.13–1.22)</w:t>
            </w:r>
          </w:p>
        </w:tc>
        <w:tc>
          <w:tcPr/>
          <w:p>
            <w:pPr>
              <w:pStyle w:val="Compact"/>
              <w:spacing w:line="240" w:lineRule="auto"/>
              <w:jc w:val="left"/>
            </w:pPr>
            <w:r>
              <w:rPr>
                <w:sz w:val="18"/>
              </w:rPr>
              <w:t xml:space="preserve">0.88 (0.82–0.96)</w:t>
            </w:r>
          </w:p>
        </w:tc>
      </w:tr>
      <w:tr>
        <w:tc>
          <w:tcPr/>
          <w:p>
            <w:pPr>
              <w:pStyle w:val="Compact"/>
              <w:spacing w:line="240" w:lineRule="auto"/>
              <w:jc w:val="left"/>
            </w:pPr>
            <w:r>
              <w:rPr>
                <w:sz w:val="18"/>
              </w:rPr>
              <w:t xml:space="preserve">Negative binomial, 1976–2020</w:t>
            </w:r>
          </w:p>
        </w:tc>
        <w:tc>
          <w:tcPr/>
          <w:p>
            <w:pPr>
              <w:pStyle w:val="Compact"/>
              <w:spacing w:line="240" w:lineRule="auto"/>
              <w:jc w:val="left"/>
            </w:pPr>
            <w:r>
              <w:rPr>
                <w:sz w:val="18"/>
              </w:rPr>
              <w:t xml:space="preserve">α = 0.0015</w:t>
            </w:r>
          </w:p>
        </w:tc>
        <w:tc>
          <w:tcPr/>
          <w:p>
            <w:pPr>
              <w:pStyle w:val="Compact"/>
              <w:spacing w:line="240" w:lineRule="auto"/>
              <w:jc w:val="left"/>
            </w:pPr>
            <w:r>
              <w:rPr>
                <w:sz w:val="18"/>
              </w:rPr>
              <w:t xml:space="preserve">1951</w:t>
            </w:r>
          </w:p>
        </w:tc>
        <w:tc>
          <w:tcPr/>
          <w:p>
            <w:pPr>
              <w:pStyle w:val="Compact"/>
              <w:spacing w:line="240" w:lineRule="auto"/>
              <w:jc w:val="left"/>
            </w:pPr>
            <w:r>
              <w:rPr>
                <w:sz w:val="18"/>
              </w:rPr>
              <w:t xml:space="preserve">1.27</w:t>
            </w:r>
          </w:p>
        </w:tc>
        <w:tc>
          <w:tcPr/>
          <w:p>
            <w:pPr>
              <w:pStyle w:val="Compact"/>
              <w:spacing w:line="240" w:lineRule="auto"/>
              <w:jc w:val="left"/>
            </w:pPr>
            <w:r>
              <w:rPr>
                <w:sz w:val="18"/>
              </w:rPr>
              <w:t xml:space="preserve">1.42</w:t>
            </w:r>
          </w:p>
        </w:tc>
        <w:tc>
          <w:tcPr/>
          <w:p>
            <w:pPr>
              <w:pStyle w:val="Compact"/>
              <w:spacing w:line="240" w:lineRule="auto"/>
              <w:jc w:val="left"/>
            </w:pPr>
            <w:r>
              <w:rPr>
                <w:sz w:val="18"/>
              </w:rPr>
              <w:t xml:space="preserve">1.12 (1.08–1.16)</w:t>
            </w:r>
          </w:p>
        </w:tc>
        <w:tc>
          <w:tcPr/>
          <w:p>
            <w:pPr>
              <w:pStyle w:val="Compact"/>
              <w:spacing w:line="240" w:lineRule="auto"/>
              <w:jc w:val="left"/>
            </w:pPr>
            <w:r>
              <w:rPr>
                <w:sz w:val="18"/>
              </w:rPr>
              <w:t xml:space="preserve">0.89 (0.84–0.94)</w:t>
            </w:r>
          </w:p>
        </w:tc>
      </w:tr>
      <w:tr>
        <w:tc>
          <w:tcPr/>
          <w:p>
            <w:pPr>
              <w:pStyle w:val="Compact"/>
              <w:spacing w:line="240" w:lineRule="auto"/>
              <w:jc w:val="left"/>
            </w:pPr>
            <w:r>
              <w:rPr>
                <w:sz w:val="18"/>
              </w:rPr>
              <w:t xml:space="preserve">Before registry change, 1976–2015</w:t>
            </w:r>
          </w:p>
        </w:tc>
        <w:tc>
          <w:tcPr/>
          <w:p>
            <w:pPr>
              <w:pStyle w:val="Compact"/>
              <w:spacing w:line="240" w:lineRule="auto"/>
              <w:jc w:val="left"/>
            </w:pPr>
            <w:r>
              <w:rPr>
                <w:sz w:val="18"/>
              </w:rPr>
              <w:t xml:space="preserve">29.8</w:t>
            </w:r>
          </w:p>
        </w:tc>
        <w:tc>
          <w:tcPr/>
          <w:p>
            <w:pPr>
              <w:pStyle w:val="Compact"/>
              <w:spacing w:line="240" w:lineRule="auto"/>
              <w:jc w:val="left"/>
            </w:pPr>
            <w:r>
              <w:rPr>
                <w:sz w:val="18"/>
              </w:rPr>
              <w:t xml:space="preserve">1951</w:t>
            </w:r>
          </w:p>
        </w:tc>
        <w:tc>
          <w:tcPr/>
          <w:p>
            <w:pPr>
              <w:pStyle w:val="Compact"/>
              <w:spacing w:line="240" w:lineRule="auto"/>
              <w:jc w:val="left"/>
            </w:pPr>
            <w:r>
              <w:rPr>
                <w:sz w:val="18"/>
              </w:rPr>
              <w:t xml:space="preserve">1.20</w:t>
            </w:r>
          </w:p>
        </w:tc>
        <w:tc>
          <w:tcPr/>
          <w:p>
            <w:pPr>
              <w:pStyle w:val="Compact"/>
              <w:spacing w:line="240" w:lineRule="auto"/>
              <w:jc w:val="left"/>
            </w:pPr>
            <w:r>
              <w:rPr>
                <w:sz w:val="18"/>
              </w:rPr>
              <w:t xml:space="preserve">1.36</w:t>
            </w:r>
          </w:p>
        </w:tc>
        <w:tc>
          <w:tcPr/>
          <w:p>
            <w:pPr>
              <w:pStyle w:val="Compact"/>
              <w:spacing w:line="240" w:lineRule="auto"/>
              <w:jc w:val="left"/>
            </w:pPr>
            <w:r>
              <w:rPr>
                <w:sz w:val="18"/>
              </w:rPr>
              <w:t xml:space="preserve">1.13 (1.09–1.18)</w:t>
            </w:r>
          </w:p>
        </w:tc>
        <w:tc>
          <w:tcPr/>
          <w:p>
            <w:pPr>
              <w:pStyle w:val="Compact"/>
              <w:spacing w:line="240" w:lineRule="auto"/>
              <w:jc w:val="left"/>
            </w:pPr>
            <w:r>
              <w:rPr>
                <w:sz w:val="18"/>
              </w:rPr>
              <w:t xml:space="preserve">0.86 (0.77–0.96)</w:t>
            </w:r>
          </w:p>
        </w:tc>
      </w:tr>
      <w:tr>
        <w:tc>
          <w:tcPr/>
          <w:p>
            <w:pPr>
              <w:pStyle w:val="Compact"/>
              <w:spacing w:line="240" w:lineRule="auto"/>
              <w:jc w:val="left"/>
            </w:pPr>
            <w:r>
              <w:rPr>
                <w:sz w:val="18"/>
              </w:rPr>
              <w:t xml:space="preserve">Ages outside 40–69, 1976–2020</w:t>
            </w:r>
          </w:p>
        </w:tc>
        <w:tc>
          <w:tcPr/>
          <w:p>
            <w:pPr>
              <w:pStyle w:val="Compact"/>
              <w:spacing w:line="240" w:lineRule="auto"/>
              <w:jc w:val="left"/>
            </w:pPr>
            <w:r>
              <w:rPr>
                <w:sz w:val="18"/>
              </w:rPr>
              <w:t xml:space="preserve">13.8</w:t>
            </w:r>
          </w:p>
        </w:tc>
        <w:tc>
          <w:tcPr/>
          <w:p>
            <w:pPr>
              <w:pStyle w:val="Compact"/>
              <w:spacing w:line="240" w:lineRule="auto"/>
              <w:jc w:val="left"/>
            </w:pPr>
            <w:r>
              <w:rPr>
                <w:sz w:val="18"/>
              </w:rPr>
              <w:t xml:space="preserve">1951</w:t>
            </w:r>
          </w:p>
        </w:tc>
        <w:tc>
          <w:tcPr/>
          <w:p>
            <w:pPr>
              <w:pStyle w:val="Compact"/>
              <w:spacing w:line="240" w:lineRule="auto"/>
              <w:jc w:val="left"/>
            </w:pPr>
            <w:r>
              <w:rPr>
                <w:sz w:val="18"/>
              </w:rPr>
              <w:t xml:space="preserve">1.31</w:t>
            </w:r>
          </w:p>
        </w:tc>
        <w:tc>
          <w:tcPr/>
          <w:p>
            <w:pPr>
              <w:pStyle w:val="Compact"/>
              <w:spacing w:line="240" w:lineRule="auto"/>
              <w:jc w:val="left"/>
            </w:pPr>
            <w:r>
              <w:rPr>
                <w:sz w:val="18"/>
              </w:rPr>
              <w:t xml:space="preserve">1.47</w:t>
            </w:r>
          </w:p>
        </w:tc>
        <w:tc>
          <w:tcPr/>
          <w:p>
            <w:pPr>
              <w:pStyle w:val="Compact"/>
              <w:spacing w:line="240" w:lineRule="auto"/>
              <w:jc w:val="left"/>
            </w:pPr>
            <w:r>
              <w:rPr>
                <w:sz w:val="18"/>
              </w:rPr>
              <w:t xml:space="preserve">1.11 (1.01–1.22)</w:t>
            </w:r>
          </w:p>
        </w:tc>
        <w:tc>
          <w:tcPr/>
          <w:p>
            <w:pPr>
              <w:pStyle w:val="Compact"/>
              <w:spacing w:line="240" w:lineRule="auto"/>
              <w:jc w:val="left"/>
            </w:pPr>
            <w:r>
              <w:rPr>
                <w:sz w:val="18"/>
              </w:rPr>
              <w:t xml:space="preserve">0.82 (0.76–0.89)</w:t>
            </w:r>
          </w:p>
        </w:tc>
      </w:tr>
      <w:tr>
        <w:tc>
          <w:tcPr/>
          <w:p>
            <w:pPr>
              <w:pStyle w:val="Compact"/>
              <w:spacing w:line="240" w:lineRule="auto"/>
              <w:jc w:val="left"/>
            </w:pPr>
            <w:r>
              <w:rPr>
                <w:sz w:val="18"/>
              </w:rPr>
              <w:t xml:space="preserve">Ages 50–84, 1976–2020</w:t>
            </w:r>
          </w:p>
        </w:tc>
        <w:tc>
          <w:tcPr/>
          <w:p>
            <w:pPr>
              <w:pStyle w:val="Compact"/>
              <w:spacing w:line="240" w:lineRule="auto"/>
              <w:jc w:val="left"/>
            </w:pPr>
            <w:r>
              <w:rPr>
                <w:sz w:val="18"/>
              </w:rPr>
              <w:t xml:space="preserve">18.7</w:t>
            </w:r>
          </w:p>
        </w:tc>
        <w:tc>
          <w:tcPr/>
          <w:p>
            <w:pPr>
              <w:pStyle w:val="Compact"/>
              <w:spacing w:line="240" w:lineRule="auto"/>
              <w:jc w:val="left"/>
            </w:pPr>
            <w:r>
              <w:rPr>
                <w:sz w:val="18"/>
              </w:rPr>
              <w:t xml:space="preserve">1946</w:t>
            </w:r>
          </w:p>
        </w:tc>
        <w:tc>
          <w:tcPr/>
          <w:p>
            <w:pPr>
              <w:pStyle w:val="Compact"/>
              <w:spacing w:line="240" w:lineRule="auto"/>
              <w:jc w:val="left"/>
            </w:pPr>
            <w:r>
              <w:rPr>
                <w:sz w:val="18"/>
              </w:rPr>
              <w:t xml:space="preserve">1.06</w:t>
            </w:r>
          </w:p>
        </w:tc>
        <w:tc>
          <w:tcPr/>
          <w:p>
            <w:pPr>
              <w:pStyle w:val="Compact"/>
              <w:spacing w:line="240" w:lineRule="auto"/>
              <w:jc w:val="left"/>
            </w:pPr>
            <w:r>
              <w:rPr>
                <w:sz w:val="18"/>
              </w:rPr>
              <w:t xml:space="preserve">1.16</w:t>
            </w:r>
          </w:p>
        </w:tc>
        <w:tc>
          <w:tcPr/>
          <w:p>
            <w:pPr>
              <w:pStyle w:val="Compact"/>
              <w:spacing w:line="240" w:lineRule="auto"/>
              <w:jc w:val="left"/>
            </w:pPr>
            <w:r>
              <w:rPr>
                <w:sz w:val="18"/>
              </w:rPr>
              <w:t xml:space="preserve">1.10 (1.07–1.13)</w:t>
            </w:r>
          </w:p>
        </w:tc>
        <w:tc>
          <w:tcPr/>
          <w:p>
            <w:pPr>
              <w:pStyle w:val="Compact"/>
              <w:spacing w:line="240" w:lineRule="auto"/>
              <w:jc w:val="left"/>
            </w:pPr>
            <w:r>
              <w:rPr>
                <w:sz w:val="18"/>
              </w:rPr>
              <w:t xml:space="preserve">0.86 (0.81–0.91)</w:t>
            </w:r>
          </w:p>
        </w:tc>
      </w:tr>
      <w:tr>
        <w:tc>
          <w:tcPr/>
          <w:p>
            <w:pPr>
              <w:pStyle w:val="Compact"/>
              <w:spacing w:line="240" w:lineRule="auto"/>
              <w:jc w:val="left"/>
            </w:pPr>
            <w:r>
              <w:rPr>
                <w:sz w:val="18"/>
              </w:rPr>
              <w:t xml:space="preserve">Excluding 8 cells with |relative residual| &gt; 7%, 1976–2020</w:t>
            </w:r>
          </w:p>
        </w:tc>
        <w:tc>
          <w:tcPr/>
          <w:p>
            <w:pPr>
              <w:pStyle w:val="Compact"/>
              <w:spacing w:line="240" w:lineRule="auto"/>
              <w:jc w:val="left"/>
            </w:pPr>
            <w:r>
              <w:rPr>
                <w:sz w:val="18"/>
              </w:rPr>
              <w:t xml:space="preserve">19.6</w:t>
            </w:r>
          </w:p>
        </w:tc>
        <w:tc>
          <w:tcPr/>
          <w:p>
            <w:pPr>
              <w:pStyle w:val="Compact"/>
              <w:spacing w:line="240" w:lineRule="auto"/>
              <w:jc w:val="left"/>
            </w:pPr>
            <w:r>
              <w:rPr>
                <w:sz w:val="18"/>
              </w:rPr>
              <w:t xml:space="preserve">1951</w:t>
            </w:r>
          </w:p>
        </w:tc>
        <w:tc>
          <w:tcPr/>
          <w:p>
            <w:pPr>
              <w:pStyle w:val="Compact"/>
              <w:spacing w:line="240" w:lineRule="auto"/>
              <w:jc w:val="left"/>
            </w:pPr>
            <w:r>
              <w:rPr>
                <w:sz w:val="18"/>
              </w:rPr>
              <w:t xml:space="preserve">1.19</w:t>
            </w:r>
          </w:p>
        </w:tc>
        <w:tc>
          <w:tcPr/>
          <w:p>
            <w:pPr>
              <w:pStyle w:val="Compact"/>
              <w:spacing w:line="240" w:lineRule="auto"/>
              <w:jc w:val="left"/>
            </w:pPr>
            <w:r>
              <w:rPr>
                <w:sz w:val="18"/>
              </w:rPr>
              <w:t xml:space="preserve">1.44</w:t>
            </w:r>
          </w:p>
        </w:tc>
        <w:tc>
          <w:tcPr/>
          <w:p>
            <w:pPr>
              <w:pStyle w:val="Compact"/>
              <w:spacing w:line="240" w:lineRule="auto"/>
              <w:jc w:val="left"/>
            </w:pPr>
            <w:r>
              <w:rPr>
                <w:sz w:val="18"/>
              </w:rPr>
              <w:t xml:space="preserve">1.20 (1.16–1.25)</w:t>
            </w:r>
          </w:p>
        </w:tc>
        <w:tc>
          <w:tcPr/>
          <w:p>
            <w:pPr>
              <w:pStyle w:val="Compact"/>
              <w:spacing w:line="240" w:lineRule="auto"/>
              <w:jc w:val="left"/>
            </w:pPr>
            <w:r>
              <w:rPr>
                <w:sz w:val="18"/>
              </w:rPr>
              <w:t xml:space="preserve">0.88 (0.82–0.94)</w:t>
            </w:r>
          </w:p>
        </w:tc>
      </w:tr>
    </w:tbl>
    <w:p>
      <w:pPr>
        <w:pStyle w:val="BodyText"/>
      </w:pPr>
      <w:r>
        <w:t xml:space="preserve">Incidence and mortality were fitted on the same grid in each specification. Dispersion is the Pearson dispersion for quasi-Poisson models and α for the NB2 model. The two age-restricted analyses use different age ranges, and restricting to ages 50–84 also shortens the cohort range, so they are supportive rather than directly comparable. Excluded cells: ages 30–34 in 1981–1990 and 1996–2005, 35–39 in 1976–1990, and 80–84 in 2006–2010.</w:t>
      </w:r>
    </w:p>
    <w:p>
      <w:pPr>
        <w:pStyle w:val="BodyText"/>
        <w:keepNext/>
        <w:pageBreakBefore/>
      </w:pPr>
      <w:r>
        <w:rPr>
          <w:bCs/>
          <w:b/>
        </w:rPr>
        <w:t xml:space="preserve">Supplementary Table S5.</w:t>
      </w:r>
      <w:r>
        <w:t xml:space="preserve"> </w:t>
      </w:r>
      <w:r>
        <w:t xml:space="preserve">Incidence age-period-cohort models in three prefectures with high-quality registries (Yamagata, Fukui and Nagasaki), women aged 30–84 years</w:t>
      </w:r>
    </w:p>
    <w:tbl>
      <w:tblPr>
        <w:tblStyle w:val="Table"/>
        <w:tblW w:type="pct" w:w="5000"/>
        <w:tblLook w:firstRow="1" w:lastRow="0" w:firstColumn="0" w:lastColumn="0" w:noHBand="0" w:noVBand="0" w:val="0020"/>
        <w:jc w:val="start"/>
        <w:tblBorders>
          <w:top w:val="single" w:sz="4" w:color="000000"/>
          <w:bottom w:val="single" w:sz="4" w:color="000000"/>
          <w:insideH w:val="single" w:sz="4" w:color="000000"/>
        </w:tblBorders>
      </w:tblPr>
      <w:tblGrid>
        <w:gridCol/>
        <w:gridCol/>
        <w:gridCol/>
        <w:gridCol/>
        <w:gridCol/>
        <w:gridCol/>
        <w:gridCol/>
        <w:gridCol/>
      </w:tblGrid>
      <w:tr>
        <w:trPr>
          <w:tblHeader w:val="true"/>
        </w:trPr>
        <w:tc>
          <w:tcPr/>
          <w:p>
            <w:pPr>
              <w:pStyle w:val="Compact"/>
              <w:spacing w:line="240" w:lineRule="auto"/>
              <w:jc w:val="left"/>
            </w:pPr>
            <w:r>
              <w:rPr>
                <w:sz w:val="18"/>
              </w:rPr>
              <w:t xml:space="preserve">Specification</w:t>
            </w:r>
          </w:p>
        </w:tc>
        <w:tc>
          <w:tcPr/>
          <w:p>
            <w:pPr>
              <w:pStyle w:val="Compact"/>
              <w:spacing w:line="240" w:lineRule="auto"/>
              <w:jc w:val="left"/>
            </w:pPr>
            <w:r>
              <w:rPr>
                <w:sz w:val="18"/>
              </w:rPr>
              <w:t xml:space="preserve">Cases</w:t>
            </w:r>
          </w:p>
        </w:tc>
        <w:tc>
          <w:tcPr/>
          <w:p>
            <w:pPr>
              <w:pStyle w:val="Compact"/>
              <w:spacing w:line="240" w:lineRule="auto"/>
              <w:jc w:val="left"/>
            </w:pPr>
            <w:r>
              <w:rPr>
                <w:sz w:val="18"/>
              </w:rPr>
              <w:t xml:space="preserve">Deviance, age-period (df)</w:t>
            </w:r>
          </w:p>
        </w:tc>
        <w:tc>
          <w:tcPr/>
          <w:p>
            <w:pPr>
              <w:pStyle w:val="Compact"/>
              <w:spacing w:line="240" w:lineRule="auto"/>
              <w:jc w:val="left"/>
            </w:pPr>
            <w:r>
              <w:rPr>
                <w:sz w:val="18"/>
              </w:rPr>
              <w:t xml:space="preserve">Deviance, age-cohort (df)</w:t>
            </w:r>
          </w:p>
        </w:tc>
        <w:tc>
          <w:tcPr/>
          <w:p>
            <w:pPr>
              <w:pStyle w:val="Compact"/>
              <w:spacing w:line="240" w:lineRule="auto"/>
              <w:jc w:val="left"/>
            </w:pPr>
            <w:r>
              <w:rPr>
                <w:sz w:val="18"/>
              </w:rPr>
              <w:t xml:space="preserve">Dispersion</w:t>
            </w:r>
          </w:p>
        </w:tc>
        <w:tc>
          <w:tcPr/>
          <w:p>
            <w:pPr>
              <w:pStyle w:val="Compact"/>
              <w:spacing w:line="240" w:lineRule="auto"/>
              <w:jc w:val="left"/>
            </w:pPr>
            <w:r>
              <w:rPr>
                <w:sz w:val="18"/>
              </w:rPr>
              <w:t xml:space="preserve">Net drift, %/year (95% CI)</w:t>
            </w:r>
          </w:p>
        </w:tc>
        <w:tc>
          <w:tcPr/>
          <w:p>
            <w:pPr>
              <w:pStyle w:val="Compact"/>
              <w:spacing w:line="240" w:lineRule="auto"/>
              <w:jc w:val="left"/>
            </w:pPr>
            <w:r>
              <w:rPr>
                <w:sz w:val="18"/>
              </w:rPr>
              <w:t xml:space="preserve">Cohort 1951, RR (95% CI)</w:t>
            </w:r>
          </w:p>
        </w:tc>
        <w:tc>
          <w:tcPr/>
          <w:p>
            <w:pPr>
              <w:pStyle w:val="Compact"/>
              <w:spacing w:line="240" w:lineRule="auto"/>
              <w:jc w:val="left"/>
            </w:pPr>
            <w:r>
              <w:rPr>
                <w:sz w:val="18"/>
              </w:rPr>
              <w:t xml:space="preserve">Cohort 1976, RR (95% CI)</w:t>
            </w:r>
          </w:p>
        </w:tc>
      </w:tr>
      <w:tr>
        <w:tc>
          <w:tcPr/>
          <w:p>
            <w:pPr>
              <w:pStyle w:val="Compact"/>
              <w:spacing w:line="240" w:lineRule="auto"/>
              <w:jc w:val="left"/>
            </w:pPr>
            <w:r>
              <w:rPr>
                <w:sz w:val="18"/>
              </w:rPr>
              <w:t xml:space="preserve">All cases incl. in situ, 1986–2020</w:t>
            </w:r>
          </w:p>
        </w:tc>
        <w:tc>
          <w:tcPr/>
          <w:p>
            <w:pPr>
              <w:pStyle w:val="Compact"/>
              <w:spacing w:line="240" w:lineRule="auto"/>
              <w:jc w:val="left"/>
            </w:pPr>
            <w:r>
              <w:rPr>
                <w:sz w:val="18"/>
              </w:rPr>
              <w:t xml:space="preserve">49,286</w:t>
            </w:r>
          </w:p>
        </w:tc>
        <w:tc>
          <w:tcPr/>
          <w:p>
            <w:pPr>
              <w:pStyle w:val="Compact"/>
              <w:spacing w:line="240" w:lineRule="auto"/>
              <w:jc w:val="left"/>
            </w:pPr>
            <w:r>
              <w:rPr>
                <w:sz w:val="18"/>
              </w:rPr>
              <w:t xml:space="preserve">412.0 (60)</w:t>
            </w:r>
          </w:p>
        </w:tc>
        <w:tc>
          <w:tcPr/>
          <w:p>
            <w:pPr>
              <w:pStyle w:val="Compact"/>
              <w:spacing w:line="240" w:lineRule="auto"/>
              <w:jc w:val="left"/>
            </w:pPr>
            <w:r>
              <w:rPr>
                <w:sz w:val="18"/>
              </w:rPr>
              <w:t xml:space="preserve">118.2 (50)</w:t>
            </w:r>
          </w:p>
        </w:tc>
        <w:tc>
          <w:tcPr/>
          <w:p>
            <w:pPr>
              <w:pStyle w:val="Compact"/>
              <w:spacing w:line="240" w:lineRule="auto"/>
              <w:jc w:val="left"/>
            </w:pPr>
            <w:r>
              <w:rPr>
                <w:sz w:val="18"/>
              </w:rPr>
              <w:t xml:space="preserve">1.56</w:t>
            </w:r>
          </w:p>
        </w:tc>
        <w:tc>
          <w:tcPr/>
          <w:p>
            <w:pPr>
              <w:pStyle w:val="Compact"/>
              <w:spacing w:line="240" w:lineRule="auto"/>
              <w:jc w:val="left"/>
            </w:pPr>
            <w:r>
              <w:rPr>
                <w:sz w:val="18"/>
              </w:rPr>
              <w:t xml:space="preserve">4.21 (4.02–4.40)</w:t>
            </w:r>
          </w:p>
        </w:tc>
        <w:tc>
          <w:tcPr/>
          <w:p>
            <w:pPr>
              <w:pStyle w:val="Compact"/>
              <w:spacing w:line="240" w:lineRule="auto"/>
              <w:jc w:val="left"/>
            </w:pPr>
            <w:r>
              <w:rPr>
                <w:sz w:val="18"/>
              </w:rPr>
              <w:t xml:space="preserve">1.22 (1.17–1.27)</w:t>
            </w:r>
          </w:p>
        </w:tc>
        <w:tc>
          <w:tcPr/>
          <w:p>
            <w:pPr>
              <w:pStyle w:val="Compact"/>
              <w:spacing w:line="240" w:lineRule="auto"/>
              <w:jc w:val="left"/>
            </w:pPr>
            <w:r>
              <w:rPr>
                <w:sz w:val="18"/>
              </w:rPr>
              <w:t xml:space="preserve">0.91 (0.84–0.98)</w:t>
            </w:r>
          </w:p>
        </w:tc>
      </w:tr>
      <w:tr>
        <w:tc>
          <w:tcPr/>
          <w:p>
            <w:pPr>
              <w:pStyle w:val="Compact"/>
              <w:spacing w:line="240" w:lineRule="auto"/>
              <w:jc w:val="left"/>
            </w:pPr>
            <w:r>
              <w:rPr>
                <w:sz w:val="18"/>
              </w:rPr>
              <w:t xml:space="preserve">Invasive only, 1986–2020</w:t>
            </w:r>
          </w:p>
        </w:tc>
        <w:tc>
          <w:tcPr/>
          <w:p>
            <w:pPr>
              <w:pStyle w:val="Compact"/>
              <w:spacing w:line="240" w:lineRule="auto"/>
              <w:jc w:val="left"/>
            </w:pPr>
            <w:r>
              <w:rPr>
                <w:sz w:val="18"/>
              </w:rPr>
              <w:t xml:space="preserve">45,386</w:t>
            </w:r>
          </w:p>
        </w:tc>
        <w:tc>
          <w:tcPr/>
          <w:p>
            <w:pPr>
              <w:pStyle w:val="Compact"/>
              <w:spacing w:line="240" w:lineRule="auto"/>
              <w:jc w:val="left"/>
            </w:pPr>
            <w:r>
              <w:rPr>
                <w:sz w:val="18"/>
              </w:rPr>
              <w:t xml:space="preserve">411.2 (60)</w:t>
            </w:r>
          </w:p>
        </w:tc>
        <w:tc>
          <w:tcPr/>
          <w:p>
            <w:pPr>
              <w:pStyle w:val="Compact"/>
              <w:spacing w:line="240" w:lineRule="auto"/>
              <w:jc w:val="left"/>
            </w:pPr>
            <w:r>
              <w:rPr>
                <w:sz w:val="18"/>
              </w:rPr>
              <w:t xml:space="preserve">97.7 (50)</w:t>
            </w:r>
          </w:p>
        </w:tc>
        <w:tc>
          <w:tcPr/>
          <w:p>
            <w:pPr>
              <w:pStyle w:val="Compact"/>
              <w:spacing w:line="240" w:lineRule="auto"/>
              <w:jc w:val="left"/>
            </w:pPr>
            <w:r>
              <w:rPr>
                <w:sz w:val="18"/>
              </w:rPr>
              <w:t xml:space="preserve">1.29</w:t>
            </w:r>
          </w:p>
        </w:tc>
        <w:tc>
          <w:tcPr/>
          <w:p>
            <w:pPr>
              <w:pStyle w:val="Compact"/>
              <w:spacing w:line="240" w:lineRule="auto"/>
              <w:jc w:val="left"/>
            </w:pPr>
            <w:r>
              <w:rPr>
                <w:sz w:val="18"/>
              </w:rPr>
              <w:t xml:space="preserve">3.73 (3.56–3.91)</w:t>
            </w:r>
          </w:p>
        </w:tc>
        <w:tc>
          <w:tcPr/>
          <w:p>
            <w:pPr>
              <w:pStyle w:val="Compact"/>
              <w:spacing w:line="240" w:lineRule="auto"/>
              <w:jc w:val="left"/>
            </w:pPr>
            <w:r>
              <w:rPr>
                <w:sz w:val="18"/>
              </w:rPr>
              <w:t xml:space="preserve">1.24 (1.20–1.29)</w:t>
            </w:r>
          </w:p>
        </w:tc>
        <w:tc>
          <w:tcPr/>
          <w:p>
            <w:pPr>
              <w:pStyle w:val="Compact"/>
              <w:spacing w:line="240" w:lineRule="auto"/>
              <w:jc w:val="left"/>
            </w:pPr>
            <w:r>
              <w:rPr>
                <w:sz w:val="18"/>
              </w:rPr>
              <w:t xml:space="preserve">0.89 (0.83–0.96)</w:t>
            </w:r>
          </w:p>
        </w:tc>
      </w:tr>
      <w:tr>
        <w:tc>
          <w:tcPr/>
          <w:p>
            <w:pPr>
              <w:pStyle w:val="Compact"/>
              <w:spacing w:line="240" w:lineRule="auto"/>
              <w:jc w:val="left"/>
            </w:pPr>
            <w:r>
              <w:rPr>
                <w:sz w:val="18"/>
              </w:rPr>
              <w:t xml:space="preserve">Invasive only, before registry change, 1986–2015</w:t>
            </w:r>
          </w:p>
        </w:tc>
        <w:tc>
          <w:tcPr/>
          <w:p>
            <w:pPr>
              <w:pStyle w:val="Compact"/>
              <w:spacing w:line="240" w:lineRule="auto"/>
              <w:jc w:val="left"/>
            </w:pPr>
            <w:r>
              <w:rPr>
                <w:sz w:val="18"/>
              </w:rPr>
              <w:t xml:space="preserve">34,733</w:t>
            </w:r>
          </w:p>
        </w:tc>
        <w:tc>
          <w:tcPr/>
          <w:p>
            <w:pPr>
              <w:pStyle w:val="Compact"/>
              <w:spacing w:line="240" w:lineRule="auto"/>
              <w:jc w:val="left"/>
            </w:pPr>
            <w:r>
              <w:rPr>
                <w:sz w:val="18"/>
              </w:rPr>
              <w:t xml:space="preserve">223.5 (50)</w:t>
            </w:r>
          </w:p>
        </w:tc>
        <w:tc>
          <w:tcPr/>
          <w:p>
            <w:pPr>
              <w:pStyle w:val="Compact"/>
              <w:spacing w:line="240" w:lineRule="auto"/>
              <w:jc w:val="left"/>
            </w:pPr>
            <w:r>
              <w:rPr>
                <w:sz w:val="18"/>
              </w:rPr>
              <w:t xml:space="preserve">68.6 (40)</w:t>
            </w:r>
          </w:p>
        </w:tc>
        <w:tc>
          <w:tcPr/>
          <w:p>
            <w:pPr>
              <w:pStyle w:val="Compact"/>
              <w:spacing w:line="240" w:lineRule="auto"/>
              <w:jc w:val="left"/>
            </w:pPr>
            <w:r>
              <w:rPr>
                <w:sz w:val="18"/>
              </w:rPr>
              <w:t xml:space="preserve">1.27</w:t>
            </w:r>
          </w:p>
        </w:tc>
        <w:tc>
          <w:tcPr/>
          <w:p>
            <w:pPr>
              <w:pStyle w:val="Compact"/>
              <w:spacing w:line="240" w:lineRule="auto"/>
              <w:jc w:val="left"/>
            </w:pPr>
            <w:r>
              <w:rPr>
                <w:sz w:val="18"/>
              </w:rPr>
              <w:t xml:space="preserve">3.66 (3.44–3.87)</w:t>
            </w:r>
          </w:p>
        </w:tc>
        <w:tc>
          <w:tcPr/>
          <w:p>
            <w:pPr>
              <w:pStyle w:val="Compact"/>
              <w:spacing w:line="240" w:lineRule="auto"/>
              <w:jc w:val="left"/>
            </w:pPr>
            <w:r>
              <w:rPr>
                <w:sz w:val="18"/>
              </w:rPr>
              <w:t xml:space="preserve">1.21 (1.16–1.27)</w:t>
            </w:r>
          </w:p>
        </w:tc>
        <w:tc>
          <w:tcPr/>
          <w:p>
            <w:pPr>
              <w:pStyle w:val="Compact"/>
              <w:spacing w:line="240" w:lineRule="auto"/>
              <w:jc w:val="left"/>
            </w:pPr>
            <w:r>
              <w:rPr>
                <w:sz w:val="18"/>
              </w:rPr>
              <w:t xml:space="preserve">0.89 (0.80–0.99)</w:t>
            </w:r>
          </w:p>
        </w:tc>
      </w:tr>
      <w:tr>
        <w:tc>
          <w:tcPr/>
          <w:p>
            <w:pPr>
              <w:pStyle w:val="Compact"/>
              <w:spacing w:line="240" w:lineRule="auto"/>
              <w:jc w:val="left"/>
            </w:pPr>
            <w:r>
              <w:rPr>
                <w:sz w:val="18"/>
              </w:rPr>
              <w:t xml:space="preserve">All cases incl. in situ, 1991–2020</w:t>
            </w:r>
          </w:p>
        </w:tc>
        <w:tc>
          <w:tcPr/>
          <w:p>
            <w:pPr>
              <w:pStyle w:val="Compact"/>
              <w:spacing w:line="240" w:lineRule="auto"/>
              <w:jc w:val="left"/>
            </w:pPr>
            <w:r>
              <w:rPr>
                <w:sz w:val="18"/>
              </w:rPr>
              <w:t xml:space="preserve">46,097</w:t>
            </w:r>
          </w:p>
        </w:tc>
        <w:tc>
          <w:tcPr/>
          <w:p>
            <w:pPr>
              <w:pStyle w:val="Compact"/>
              <w:spacing w:line="240" w:lineRule="auto"/>
              <w:jc w:val="left"/>
            </w:pPr>
            <w:r>
              <w:rPr>
                <w:sz w:val="18"/>
              </w:rPr>
              <w:t xml:space="preserve">341.2 (50)</w:t>
            </w:r>
          </w:p>
        </w:tc>
        <w:tc>
          <w:tcPr/>
          <w:p>
            <w:pPr>
              <w:pStyle w:val="Compact"/>
              <w:spacing w:line="240" w:lineRule="auto"/>
              <w:jc w:val="left"/>
            </w:pPr>
            <w:r>
              <w:rPr>
                <w:sz w:val="18"/>
              </w:rPr>
              <w:t xml:space="preserve">103.1 (40)</w:t>
            </w:r>
          </w:p>
        </w:tc>
        <w:tc>
          <w:tcPr/>
          <w:p>
            <w:pPr>
              <w:pStyle w:val="Compact"/>
              <w:spacing w:line="240" w:lineRule="auto"/>
              <w:jc w:val="left"/>
            </w:pPr>
            <w:r>
              <w:rPr>
                <w:sz w:val="18"/>
              </w:rPr>
              <w:t xml:space="preserve">1.74</w:t>
            </w:r>
          </w:p>
        </w:tc>
        <w:tc>
          <w:tcPr/>
          <w:p>
            <w:pPr>
              <w:pStyle w:val="Compact"/>
              <w:spacing w:line="240" w:lineRule="auto"/>
              <w:jc w:val="left"/>
            </w:pPr>
            <w:r>
              <w:rPr>
                <w:sz w:val="18"/>
              </w:rPr>
              <w:t xml:space="preserve">4.31 (4.09–4.53)</w:t>
            </w:r>
          </w:p>
        </w:tc>
        <w:tc>
          <w:tcPr/>
          <w:p>
            <w:pPr>
              <w:pStyle w:val="Compact"/>
              <w:spacing w:line="240" w:lineRule="auto"/>
              <w:jc w:val="left"/>
            </w:pPr>
            <w:r>
              <w:rPr>
                <w:sz w:val="18"/>
              </w:rPr>
              <w:t xml:space="preserve">1.21 (1.15–1.26)</w:t>
            </w:r>
          </w:p>
        </w:tc>
        <w:tc>
          <w:tcPr/>
          <w:p>
            <w:pPr>
              <w:pStyle w:val="Compact"/>
              <w:spacing w:line="240" w:lineRule="auto"/>
              <w:jc w:val="left"/>
            </w:pPr>
            <w:r>
              <w:rPr>
                <w:sz w:val="18"/>
              </w:rPr>
              <w:t xml:space="preserve">0.91 (0.84–0.99)</w:t>
            </w:r>
          </w:p>
        </w:tc>
      </w:tr>
    </w:tbl>
    <w:p>
      <w:pPr>
        <w:pStyle w:val="BodyText"/>
      </w:pPr>
      <w:r>
        <w:t xml:space="preserve">Quasi-Poisson APC models; dispersion is the Pearson χ² divided by its degrees of freedom. RR, cohort deviation from the log-linear trend. National estimates for comparison (all cases, 1976–2020): dispersion 32.6; cohort 1951, RR 1.22; cohort 1976, RR 0.93.</w:t>
      </w:r>
    </w:p>
    <w:bookmarkEnd w:id="32"/>
    <w:bookmarkStart w:id="33" w:name="supplementary-figures"/>
    <w:p>
      <w:pPr>
        <w:pStyle w:val="Heading2"/>
      </w:pPr>
      <w:r>
        <w:t xml:space="preserve">Supplementary Figures</w:t>
      </w:r>
    </w:p>
    <w:p>
      <w:pPr>
        <w:pStyle w:val="FirstParagraph"/>
      </w:pPr>
      <w:r>
        <w:rPr>
          <w:bCs/>
          <w:b/>
        </w:rPr>
        <w:t xml:space="preserve">Supplementary Figure S1.</w:t>
      </w:r>
      <w:r>
        <w:t xml:space="preserve"> </w:t>
      </w:r>
      <w:r>
        <w:t xml:space="preserve">Age-specific breast cancer mortality by birth cohort, 1960–2024 (log scale). Each line is one 5-year age group; birth cohorts are 10-year synthetic cohorts plotted at their central year of birth.</w:t>
      </w:r>
    </w:p>
    <w:p>
      <w:pPr>
        <w:pStyle w:val="BodyText"/>
      </w:pPr>
      <w:r>
        <w:rPr>
          <w:bCs/>
          <w:b/>
        </w:rPr>
        <w:t xml:space="preserve">Supplementary Figure S2.</w:t>
      </w:r>
      <w:r>
        <w:t xml:space="preserve"> </w:t>
      </w:r>
      <w:r>
        <w:t xml:space="preserve">Incidence model diagnostics, 1976–2020. (A) Relative residuals of the incidence APC model (observed/fitted − 1, %) by age group and period. (B) Incidence cohort deviations from linearity under the main quasi-Poisson model and the alternative specifications in Supplementary Table S4.</w:t>
      </w:r>
    </w:p>
    <w:p>
      <w:pPr>
        <w:pStyle w:val="BodyText"/>
      </w:pPr>
      <w:r>
        <w:rPr>
          <w:bCs/>
          <w:b/>
        </w:rPr>
        <w:t xml:space="preserve">Supplementary Figure S3.</w:t>
      </w:r>
      <w:r>
        <w:t xml:space="preserve"> </w:t>
      </w:r>
      <w:r>
        <w:t xml:space="preserve">Breast cancer incidence in three prefectures with high-quality registries (Yamagata, Fukui and Nagasaki), women aged 30–84 years. (A) Cohort deviations from linearity for all cases including in situ (orange) and invasive cancer only (green), 1986–2020, with the national incidence (dashed orange) and mortality (dashed blue) curves from the main analysis; shaded bands are quasi-Poisson 95% CIs. Each curve is relative to its own log-linear trend. (B) Share of in situ cancer among all breast cancers by age group and 5-year period; the dotted line marks the change to the National Cancer Registry in 2016.</w:t>
      </w:r>
    </w:p>
    <w:p>
      <w:pPr>
        <w:pStyle w:val="BodyText"/>
      </w:pPr>
      <w:r>
        <w:rPr>
          <w:bCs/>
          <w:b/>
        </w:rPr>
        <w:t xml:space="preserve">Supplementary Code.</w:t>
      </w:r>
      <w:r>
        <w:t xml:space="preserve"> </w:t>
      </w:r>
      <w:r>
        <w:t xml:space="preserve">breast_cancer_apc_japan.py reproduces all analyses from the public ganjoho.jp files.</w:t>
      </w:r>
    </w:p>
    <w:bookmarkEnd w:id="33"/>
    <w:bookmarkEnd w:id="34"/>
    <w:sectPr>
      <w:pgSz w:w="11906" w:h="16838"/>
      <w:pgMar w:left="1417" w:right="1417" w:top="1417" w:bottom="141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cs="Times New Roman"/>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line="480" w:lineRule="auto"/>
    </w:pPr>
    <w:rPr>
      <w:rFonts w:ascii="Times New Roman" w:hAnsi="Times New Roman"/>
      <w:sz w:val="24"/>
    </w:rPr>
  </w:style>
  <w:style w:styleId="BodyText" w:type="paragraph">
    <w:name w:val="Body Text"/>
    <w:basedOn w:val="Normal"/>
    <w:link w:val="BodyTextChar"/>
    <w:pPr>
      <w:spacing w:after="180" w:before="180" w:line="480" w:lineRule="auto"/>
    </w:pPr>
    <w:qFormat/>
    <w:rPr>
      <w:rFonts w:ascii="Times New Roman" w:hAnsi="Times New Roman"/>
      <w:sz w:val="24"/>
    </w:rPr>
  </w:style>
  <w:style w:customStyle="1" w:styleId="FirstParagraph" w:type="paragraph">
    <w:name w:val="First Paragraph"/>
    <w:basedOn w:val="BodyText"/>
    <w:next w:val="BodyText"/>
    <w:qFormat/>
    <w:pPr>
      <w:spacing w:line="480" w:lineRule="auto"/>
    </w:pPr>
    <w:rPr>
      <w:rFonts w:ascii="Times New Roman" w:hAnsi="Times New Roman"/>
      <w:sz w:val="24"/>
    </w:rPr>
  </w:style>
  <w:style w:customStyle="1" w:styleId="Compact" w:type="paragraph">
    <w:name w:val="Compact"/>
    <w:basedOn w:val="BodyText"/>
    <w:qFormat/>
    <w:pPr>
      <w:spacing w:after="36" w:before="36"/>
    </w:pPr>
    <w:rPr>
      <w:rFonts w:ascii="Times New Roman" w:hAnsi="Times New Roman"/>
      <w:sz w:val="22"/>
    </w:rPr>
  </w:style>
  <w:style w:styleId="Title" w:type="paragraph">
    <w:name w:val="Title"/>
    <w:basedOn w:val="Normal"/>
    <w:next w:val="BodyText"/>
    <w:qFormat/>
    <w:pPr>
      <w:keepNext/>
      <w:keepLines/>
      <w:spacing w:after="240" w:before="480"/>
      <w:jc w:val="center"/>
    </w:pPr>
    <w:rPr>
      <w:rFonts w:ascii="Times New Roman" w:hAnsi="Times New Roman" w:cs="Times New Roman"/>
      <w:b/>
      <w:bCs/>
      <w:sz w:val="36"/>
      <w:szCs w:val="36"/>
    </w:rPr>
  </w:style>
  <w:style w:styleId="Subtitle" w:type="paragraph">
    <w:name w:val="Subtitle"/>
    <w:basedOn w:val="Title"/>
    <w:next w:val="BodyText"/>
    <w:qFormat/>
    <w:pPr>
      <w:keepNext/>
      <w:keepLines/>
      <w:spacing w:after="240" w:before="240"/>
      <w:jc w:val="center"/>
    </w:pPr>
    <w:rPr>
      <w:rFonts w:ascii="Times New Roman" w:hAnsi="Times New Roman"/>
      <w:sz w:val="30"/>
      <w:szCs w:val="30"/>
    </w:rPr>
  </w:style>
  <w:style w:customStyle="1" w:styleId="Author" w:type="paragraph">
    <w:name w:val="Author"/>
    <w:next w:val="BodyText"/>
    <w:qFormat/>
    <w:pPr>
      <w:keepNext/>
      <w:keepLines/>
      <w:jc w:val="center"/>
    </w:pPr>
    <w:rPr>
      <w:rFonts w:ascii="Times New Roman" w:hAnsi="Times New Roman"/>
    </w:rPr>
  </w:style>
  <w:style w:styleId="Date" w:type="paragraph">
    <w:name w:val="Date"/>
    <w:next w:val="BodyText"/>
    <w:qFormat/>
    <w:pPr>
      <w:keepNext/>
      <w:keepLines/>
      <w:jc w:val="center"/>
    </w:pPr>
    <w:rPr>
      <w:rFonts w:ascii="Times New Roman" w:hAnsi="Times New Roman"/>
    </w:rPr>
  </w:style>
  <w:style w:customStyle="1" w:styleId="AbstractTitle" w:type="paragraph">
    <w:name w:val="Abstract Title"/>
    <w:basedOn w:val="Normal"/>
    <w:next w:val="Abstract"/>
    <w:qFormat/>
    <w:pPr>
      <w:keepNext/>
      <w:keepLines/>
      <w:jc w:val="center"/>
      <w:spacing w:after="0" w:before="300"/>
    </w:pPr>
    <w:rPr>
      <w:sz w:val="20"/>
      <w:szCs w:val="20"/>
      <w:rFonts w:ascii="Times New Roman" w:hAnsi="Times New Roman"/>
      <w:b/>
    </w:rPr>
  </w:style>
  <w:style w:customStyle="1" w:styleId="Abstract" w:type="paragraph">
    <w:name w:val="Abstract"/>
    <w:basedOn w:val="Normal"/>
    <w:next w:val="BodyText"/>
    <w:qFormat/>
    <w:pPr>
      <w:keepNext/>
      <w:keepLines/>
      <w:spacing w:after="300" w:before="100"/>
    </w:pPr>
    <w:rPr>
      <w:rFonts w:ascii="Times New Roman" w:hAnsi="Times New Roman"/>
      <w:sz w:val="20"/>
      <w:szCs w:val="20"/>
    </w:rPr>
  </w:style>
  <w:style w:styleId="Bibliography" w:type="paragraph">
    <w:name w:val="Bibliography"/>
    <w:basedOn w:val="Normal"/>
    <w:next w:val="Bibliography"/>
    <w:qFormat/>
    <w:pPr/>
    <w:rPr>
      <w:rFonts w:ascii="Times New Roman" w:hAnsi="Times New Roman"/>
    </w:rPr>
  </w:style>
  <w:style w:styleId="Heading1" w:type="paragraph">
    <w:name w:val="Heading 1"/>
    <w:basedOn w:val="Normal"/>
    <w:next w:val="BodyText"/>
    <w:uiPriority w:val="9"/>
    <w:qFormat/>
    <w:pPr>
      <w:keepNext/>
      <w:keepLines/>
      <w:spacing w:after="0" w:before="480"/>
      <w:outlineLvl w:val="0"/>
    </w:pPr>
    <w:rPr>
      <w:rFonts w:ascii="Times New Roman" w:hAnsi="Times New Roman" w:cs="Times New Roman"/>
      <w:b/>
      <w:bCs/>
      <w:sz w:val="32"/>
      <w:szCs w:val="32"/>
    </w:rPr>
  </w:style>
  <w:style w:styleId="Heading2" w:type="paragraph">
    <w:name w:val="Heading 2"/>
    <w:basedOn w:val="Normal"/>
    <w:next w:val="BodyText"/>
    <w:uiPriority w:val="9"/>
    <w:unhideWhenUsed/>
    <w:qFormat/>
    <w:pPr>
      <w:keepNext/>
      <w:keepLines/>
      <w:spacing w:after="0" w:before="200"/>
      <w:outlineLvl w:val="1"/>
    </w:pPr>
    <w:rPr>
      <w:rFonts w:ascii="Times New Roman" w:hAnsi="Times New Roman" w:cs="Times New Roman"/>
      <w:b/>
      <w:bCs/>
      <w:sz w:val="28"/>
      <w:szCs w:val="28"/>
    </w:rPr>
  </w:style>
  <w:style w:styleId="Heading3" w:type="paragraph">
    <w:name w:val="Heading 3"/>
    <w:basedOn w:val="Normal"/>
    <w:next w:val="BodyText"/>
    <w:uiPriority w:val="9"/>
    <w:unhideWhenUsed/>
    <w:qFormat/>
    <w:pPr>
      <w:keepNext/>
      <w:keepLines/>
      <w:spacing w:after="0" w:before="200"/>
      <w:outlineLvl w:val="2"/>
    </w:pPr>
    <w:rPr>
      <w:rFonts w:ascii="Times New Roman" w:hAnsi="Times New Roman" w:cs="Times New Roman"/>
      <w:b/>
      <w:bCs/>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hAnsi="Times New Roman" w:cs="Times New Roman"/>
      <w:i/>
      <w:bCs/>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hAnsi="Times New Roman" w:cs="Times New Roman"/>
      <w:iCs/>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hAnsi="Times New Roman" w:cs="Times New Roman"/>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hAnsi="Times New Roman" w:cs="Times New Roman"/>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hAnsi="Times New Roman" w:cs="Times New Roman"/>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hAnsi="Times New Roman" w:cs="Times New Roman"/>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hAnsi="Times New Roman"/>
    </w:rPr>
  </w:style>
  <w:style w:styleId="FootnoteText" w:type="paragraph">
    <w:name w:val="Footnote Text"/>
    <w:basedOn w:val="Normal"/>
    <w:next w:val="FootnoteText"/>
    <w:uiPriority w:val="9"/>
    <w:unhideWhenUsed/>
    <w:qFormat/>
    <w:rPr>
      <w:rFonts w:ascii="Times New Roman" w:hAnsi="Times New Roman"/>
    </w:rPr>
  </w:style>
  <w:style w:default="1" w:styleId="DefaultParagraphFont" w:type="character">
    <w:name w:val="Default Paragraph Font"/>
    <w:semiHidden/>
    <w:unhideWhenUsed/>
    <w:rPr>
      <w:rFonts w:ascii="Times New Roman" w:hAnsi="Times New Roman"/>
    </w:rPr>
  </w:style>
  <w:style w:default="1" w:styleId="Table" w:type="table">
    <w:name w:val="Table"/>
    <w:basedOn w:val="TableNormal"/>
    <w:semiHidden/>
    <w:unhideWhenUsed/>
    <w:qFormat/>
    <w:rPr>
      <w:rFonts w:ascii="Times New Roman" w:hAnsi="Times New Roman"/>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Times New Roman" w:hAnsi="Times New Roman"/>
      <w:b/>
    </w:rPr>
  </w:style>
  <w:style w:customStyle="1" w:styleId="Definition" w:type="paragraph">
    <w:name w:val="Definition"/>
    <w:basedOn w:val="Normal"/>
    <w:rPr>
      <w:rFonts w:ascii="Times New Roman" w:hAnsi="Times New Roman"/>
    </w:rPr>
  </w:style>
  <w:style w:styleId="Caption" w:type="paragraph">
    <w:name w:val="Caption"/>
    <w:basedOn w:val="Normal"/>
    <w:link w:val="BodyTextChar"/>
    <w:pPr>
      <w:spacing w:after="120" w:before="0"/>
    </w:pPr>
    <w:rPr>
      <w:rFonts w:ascii="Times New Roman" w:hAnsi="Times New Roman"/>
      <w:i/>
    </w:rPr>
  </w:style>
  <w:style w:customStyle="1" w:styleId="TableCaption" w:type="paragraph">
    <w:name w:val="Table Caption"/>
    <w:basedOn w:val="Caption"/>
    <w:pPr>
      <w:keepNext/>
    </w:pPr>
    <w:rPr>
      <w:rFonts w:ascii="Times New Roman" w:hAnsi="Times New Roman"/>
    </w:rPr>
  </w:style>
  <w:style w:customStyle="1" w:styleId="ImageCaption" w:type="paragraph">
    <w:name w:val="Image Caption"/>
    <w:basedOn w:val="Caption"/>
    <w:rPr>
      <w:rFonts w:ascii="Times New Roman" w:hAnsi="Times New Roman"/>
    </w:rPr>
  </w:style>
  <w:style w:customStyle="1" w:styleId="Figure" w:type="paragraph">
    <w:name w:val="Figure"/>
    <w:basedOn w:val="Normal"/>
    <w:rPr>
      <w:rFonts w:ascii="Times New Roman" w:hAnsi="Times New Roman"/>
    </w:rPr>
  </w:style>
  <w:style w:customStyle="1" w:styleId="CaptionedFigure" w:type="paragraph">
    <w:name w:val="Captioned Figure"/>
    <w:basedOn w:val="Figure"/>
    <w:pPr>
      <w:keepNext/>
    </w:pPr>
    <w:rPr>
      <w:rFonts w:ascii="Times New Roman" w:hAnsi="Times New Roman"/>
    </w:rPr>
  </w:style>
  <w:style w:customStyle="1" w:styleId="BodyTextChar" w:type="character">
    <w:name w:val="Body Text Char"/>
    <w:basedOn w:val="DefaultParagraphFont"/>
    <w:link w:val="BodyText"/>
    <w:rPr>
      <w:rFonts w:ascii="Times New Roman" w:hAnsi="Times New Roman"/>
    </w:rPr>
  </w:style>
  <w:style w:customStyle="1" w:styleId="VerbatimChar" w:type="character">
    <w:name w:val="Verbatim Char"/>
    <w:basedOn w:val="BodyTextChar"/>
    <w:rPr>
      <w:rFonts w:ascii="Times New Roman" w:hAnsi="Times New Roman" w:cs="Times New Roman"/>
      <w:sz w:val="22"/>
    </w:rPr>
  </w:style>
  <w:style w:customStyle="1" w:styleId="SectionNumber" w:type="character">
    <w:name w:val="Section Number"/>
    <w:basedOn w:val="BodyTextChar"/>
    <w:rPr>
      <w:rFonts w:ascii="Times New Roman" w:hAnsi="Times New Roman"/>
    </w:rPr>
  </w:style>
  <w:style w:styleId="FootnoteReference" w:type="character">
    <w:name w:val="Footnote Reference"/>
    <w:basedOn w:val="BodyTextChar"/>
    <w:rPr>
      <w:rFonts w:ascii="Times New Roman" w:hAnsi="Times New Roman"/>
      <w:vertAlign w:val="superscript"/>
    </w:rPr>
  </w:style>
  <w:style w:styleId="Hyperlink" w:type="character">
    <w:name w:val="Hyperlink"/>
    <w:basedOn w:val="BodyTextChar"/>
    <w:rPr>
      <w:rFonts w:ascii="Times New Roman" w:hAnsi="Times New Roman"/>
    </w:rPr>
  </w:style>
  <w:style w:styleId="TOCHeading" w:type="paragraph">
    <w:name w:val="TOC Heading"/>
    <w:basedOn w:val="Heading1"/>
    <w:next w:val="BodyText"/>
    <w:uiPriority w:val="39"/>
    <w:unhideWhenUsed/>
    <w:qFormat/>
    <w:pPr>
      <w:spacing w:before="240" w:line="259" w:lineRule="auto"/>
      <w:outlineLvl w:val="9"/>
    </w:pPr>
    <w:rPr>
      <w:rFonts w:ascii="Times New Roman" w:hAnsi="Times New Roman" w:cs="Times New Roman"/>
      <w:b w:val="0"/>
      <w:bCs w:val="0"/>
    </w:rPr>
  </w:style>
  <w:style w:type="paragraph" w:customStyle="1" w:styleId="SourceCode">
    <w:name w:val="Source Code"/>
    <w:basedOn w:val="Normal"/>
    <w:link w:val="VerbatimChar"/>
    <w:pPr>
      <w:wordWrap w:val="off"/>
    </w:pPr>
    <w:rPr>
      <w:rFonts w:ascii="Times New Roman" w:hAnsi="Times New Roman"/>
    </w:rPr>
  </w:style>
  <w:style w:type="character" w:customStyle="1" w:styleId="KeywordTok">
    <w:name w:val="KeywordTok"/>
    <w:basedOn w:val="VerbatimChar"/>
    <w:rPr>
      <w:rFonts w:ascii="Times New Roman" w:hAnsi="Times New Roman"/>
      <w:b/>
    </w:rPr>
  </w:style>
  <w:style w:type="character" w:customStyle="1" w:styleId="DataTypeTok">
    <w:name w:val="DataTypeTok"/>
    <w:basedOn w:val="VerbatimChar"/>
    <w:rPr>
      <w:rFonts w:ascii="Times New Roman" w:hAnsi="Times New Roman"/>
    </w:rPr>
  </w:style>
  <w:style w:type="character" w:customStyle="1" w:styleId="DecValTok">
    <w:name w:val="DecValTok"/>
    <w:basedOn w:val="VerbatimChar"/>
    <w:rPr>
      <w:rFonts w:ascii="Times New Roman" w:hAnsi="Times New Roman"/>
    </w:rPr>
  </w:style>
  <w:style w:type="character" w:customStyle="1" w:styleId="BaseNTok">
    <w:name w:val="BaseNTok"/>
    <w:basedOn w:val="VerbatimChar"/>
    <w:rPr>
      <w:rFonts w:ascii="Times New Roman" w:hAnsi="Times New Roman"/>
    </w:rPr>
  </w:style>
  <w:style w:type="character" w:customStyle="1" w:styleId="FloatTok">
    <w:name w:val="FloatTok"/>
    <w:basedOn w:val="VerbatimChar"/>
    <w:rPr>
      <w:rFonts w:ascii="Times New Roman" w:hAnsi="Times New Roman"/>
    </w:rPr>
  </w:style>
  <w:style w:type="character" w:customStyle="1" w:styleId="ConstantTok">
    <w:name w:val="ConstantTok"/>
    <w:basedOn w:val="VerbatimChar"/>
    <w:rPr>
      <w:rFonts w:ascii="Times New Roman" w:hAnsi="Times New Roman"/>
    </w:rPr>
  </w:style>
  <w:style w:type="character" w:customStyle="1" w:styleId="CharTok">
    <w:name w:val="CharTok"/>
    <w:basedOn w:val="VerbatimChar"/>
    <w:rPr>
      <w:rFonts w:ascii="Times New Roman" w:hAnsi="Times New Roman"/>
    </w:rPr>
  </w:style>
  <w:style w:type="character" w:customStyle="1" w:styleId="SpecialCharTok">
    <w:name w:val="SpecialCharTok"/>
    <w:basedOn w:val="VerbatimChar"/>
    <w:rPr>
      <w:rFonts w:ascii="Times New Roman" w:hAnsi="Times New Roman"/>
    </w:rPr>
  </w:style>
  <w:style w:type="character" w:customStyle="1" w:styleId="StringTok">
    <w:name w:val="StringTok"/>
    <w:basedOn w:val="VerbatimChar"/>
    <w:rPr>
      <w:rFonts w:ascii="Times New Roman" w:hAnsi="Times New Roman"/>
    </w:rPr>
  </w:style>
  <w:style w:type="character" w:customStyle="1" w:styleId="VerbatimStringTok">
    <w:name w:val="VerbatimStringTok"/>
    <w:basedOn w:val="VerbatimChar"/>
    <w:rPr>
      <w:rFonts w:ascii="Times New Roman" w:hAnsi="Times New Roman"/>
    </w:rPr>
  </w:style>
  <w:style w:type="character" w:customStyle="1" w:styleId="SpecialStringTok">
    <w:name w:val="SpecialStringTok"/>
    <w:basedOn w:val="VerbatimChar"/>
    <w:rPr>
      <w:rFonts w:ascii="Times New Roman" w:hAnsi="Times New Roman"/>
    </w:rPr>
  </w:style>
  <w:style w:type="character" w:customStyle="1" w:styleId="ImportTok">
    <w:name w:val="ImportTok"/>
    <w:basedOn w:val="VerbatimChar"/>
    <w:rPr>
      <w:rFonts w:ascii="Times New Roman" w:hAnsi="Times New Roman"/>
      <w:b/>
    </w:rPr>
  </w:style>
  <w:style w:type="character" w:customStyle="1" w:styleId="CommentTok">
    <w:name w:val="CommentTok"/>
    <w:basedOn w:val="VerbatimChar"/>
    <w:rPr>
      <w:rFonts w:ascii="Times New Roman" w:hAnsi="Times New Roman"/>
      <w:i/>
    </w:rPr>
  </w:style>
  <w:style w:type="character" w:customStyle="1" w:styleId="DocumentationTok">
    <w:name w:val="DocumentationTok"/>
    <w:basedOn w:val="VerbatimChar"/>
    <w:rPr>
      <w:rFonts w:ascii="Times New Roman" w:hAnsi="Times New Roman"/>
      <w:i/>
    </w:rPr>
  </w:style>
  <w:style w:type="character" w:customStyle="1" w:styleId="AnnotationTok">
    <w:name w:val="AnnotationTok"/>
    <w:basedOn w:val="VerbatimChar"/>
    <w:rPr>
      <w:rFonts w:ascii="Times New Roman" w:hAnsi="Times New Roman"/>
      <w:b/>
      <w:i/>
    </w:rPr>
  </w:style>
  <w:style w:type="character" w:customStyle="1" w:styleId="CommentVarTok">
    <w:name w:val="CommentVarTok"/>
    <w:basedOn w:val="VerbatimChar"/>
    <w:rPr>
      <w:rFonts w:ascii="Times New Roman" w:hAnsi="Times New Roman"/>
      <w:b/>
      <w:i/>
    </w:rPr>
  </w:style>
  <w:style w:type="character" w:customStyle="1" w:styleId="OtherTok">
    <w:name w:val="OtherTok"/>
    <w:basedOn w:val="VerbatimChar"/>
    <w:rPr>
      <w:rFonts w:ascii="Times New Roman" w:hAnsi="Times New Roman"/>
    </w:rPr>
  </w:style>
  <w:style w:type="character" w:customStyle="1" w:styleId="FunctionTok">
    <w:name w:val="FunctionTok"/>
    <w:basedOn w:val="VerbatimChar"/>
    <w:rPr>
      <w:rFonts w:ascii="Times New Roman" w:hAnsi="Times New Roman"/>
    </w:rPr>
  </w:style>
  <w:style w:type="character" w:customStyle="1" w:styleId="VariableTok">
    <w:name w:val="VariableTok"/>
    <w:basedOn w:val="VerbatimChar"/>
    <w:rPr>
      <w:rFonts w:ascii="Times New Roman" w:hAnsi="Times New Roman"/>
    </w:rPr>
  </w:style>
  <w:style w:type="character" w:customStyle="1" w:styleId="ControlFlowTok">
    <w:name w:val="ControlFlowTok"/>
    <w:basedOn w:val="VerbatimChar"/>
    <w:rPr>
      <w:rFonts w:ascii="Times New Roman" w:hAnsi="Times New Roman"/>
      <w:b/>
    </w:rPr>
  </w:style>
  <w:style w:type="character" w:customStyle="1" w:styleId="OperatorTok">
    <w:name w:val="OperatorTok"/>
    <w:basedOn w:val="VerbatimChar"/>
    <w:rPr>
      <w:rFonts w:ascii="Times New Roman" w:hAnsi="Times New Roman"/>
    </w:rPr>
  </w:style>
  <w:style w:type="character" w:customStyle="1" w:styleId="BuiltInTok">
    <w:name w:val="BuiltInTok"/>
    <w:basedOn w:val="VerbatimChar"/>
    <w:rPr>
      <w:rFonts w:ascii="Times New Roman" w:hAnsi="Times New Roman"/>
    </w:rPr>
  </w:style>
  <w:style w:type="character" w:customStyle="1" w:styleId="ExtensionTok">
    <w:name w:val="ExtensionTok"/>
    <w:basedOn w:val="VerbatimChar"/>
    <w:rPr>
      <w:rFonts w:ascii="Times New Roman" w:hAnsi="Times New Roman"/>
    </w:rPr>
  </w:style>
  <w:style w:type="character" w:customStyle="1" w:styleId="PreprocessorTok">
    <w:name w:val="PreprocessorTok"/>
    <w:basedOn w:val="VerbatimChar"/>
    <w:rPr>
      <w:rFonts w:ascii="Times New Roman" w:hAnsi="Times New Roman"/>
    </w:rPr>
  </w:style>
  <w:style w:type="character" w:customStyle="1" w:styleId="AttributeTok">
    <w:name w:val="AttributeTok"/>
    <w:basedOn w:val="VerbatimChar"/>
    <w:rPr>
      <w:rFonts w:ascii="Times New Roman" w:hAnsi="Times New Roman"/>
    </w:rPr>
  </w:style>
  <w:style w:type="character" w:customStyle="1" w:styleId="RegionMarkerTok">
    <w:name w:val="RegionMarkerTok"/>
    <w:basedOn w:val="VerbatimChar"/>
    <w:rPr>
      <w:rFonts w:ascii="Times New Roman" w:hAnsi="Times New Roman"/>
    </w:rPr>
  </w:style>
  <w:style w:type="character" w:customStyle="1" w:styleId="InformationTok">
    <w:name w:val="InformationTok"/>
    <w:basedOn w:val="VerbatimChar"/>
    <w:rPr>
      <w:rFonts w:ascii="Times New Roman" w:hAnsi="Times New Roman"/>
      <w:b/>
      <w:i/>
    </w:rPr>
  </w:style>
  <w:style w:type="character" w:customStyle="1" w:styleId="WarningTok">
    <w:name w:val="WarningTok"/>
    <w:basedOn w:val="VerbatimChar"/>
    <w:rPr>
      <w:rFonts w:ascii="Times New Roman" w:hAnsi="Times New Roman"/>
      <w:b/>
      <w:i/>
    </w:rPr>
  </w:style>
  <w:style w:type="character" w:customStyle="1" w:styleId="AlertTok">
    <w:name w:val="AlertTok"/>
    <w:basedOn w:val="VerbatimChar"/>
    <w:rPr>
      <w:rFonts w:ascii="Times New Roman" w:hAnsi="Times New Roman"/>
      <w:b/>
    </w:rPr>
  </w:style>
  <w:style w:type="character" w:customStyle="1" w:styleId="ErrorTok">
    <w:name w:val="ErrorTok"/>
    <w:basedOn w:val="VerbatimChar"/>
    <w:rPr>
      <w:rFonts w:ascii="Times New Roman" w:hAnsi="Times New Roman"/>
      <w:b/>
    </w:rPr>
  </w:style>
  <w:style w:type="character" w:customStyle="1" w:styleId="NormalTok">
    <w:name w:val="NormalTok"/>
    <w:basedOn w:val="VerbatimChar"/>
    <w:rPr>
      <w:rFonts w:ascii="Times New Roman" w:hAnsi="Times New Roman"/>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2026-10-12T00:49:33Z</dcterms:created>
  <dcterms:modified xsi:type="dcterms:W3CDTF">2026-10-12T00:49:33Z</dcterms:modified>
</cp:coreProperties>
</file>

<file path=docProps/custom.xml><?xml version="1.0" encoding="utf-8"?>
<Properties xmlns="http://schemas.openxmlformats.org/officeDocument/2006/custom-properties" xmlns:vt="http://schemas.openxmlformats.org/officeDocument/2006/docPropsVTypes"/>
</file>