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7A2E4" w14:textId="6B68890F" w:rsidR="00622F70" w:rsidRDefault="00622F70" w:rsidP="00622F70">
      <w:pPr>
        <w:spacing w:line="480" w:lineRule="auto"/>
        <w:rPr>
          <w:rFonts w:asciiTheme="majorBidi" w:hAnsiTheme="majorBidi" w:cstheme="majorBidi"/>
          <w:b/>
          <w:bCs/>
          <w:sz w:val="24"/>
          <w:szCs w:val="24"/>
        </w:rPr>
      </w:pPr>
      <w:r>
        <w:rPr>
          <w:rFonts w:asciiTheme="majorBidi" w:hAnsiTheme="majorBidi" w:cstheme="majorBidi"/>
          <w:b/>
          <w:bCs/>
          <w:sz w:val="24"/>
          <w:szCs w:val="24"/>
        </w:rPr>
        <w:t xml:space="preserve">Semaglutide and Kidney Outcomes in Type 2 Diabetes </w:t>
      </w:r>
      <w:r>
        <w:rPr>
          <w:rFonts w:ascii="Times New Roman" w:eastAsia="Apis For Office" w:hAnsi="Times New Roman" w:cs="Times New Roman"/>
          <w:b/>
          <w:bCs/>
          <w:sz w:val="24"/>
          <w:szCs w:val="24"/>
        </w:rPr>
        <w:t xml:space="preserve">Patients </w:t>
      </w:r>
      <w:r>
        <w:rPr>
          <w:rFonts w:asciiTheme="majorBidi" w:hAnsiTheme="majorBidi" w:cstheme="majorBidi"/>
          <w:b/>
          <w:bCs/>
          <w:sz w:val="24"/>
          <w:szCs w:val="24"/>
        </w:rPr>
        <w:t xml:space="preserve">at Low to Moderate Kidney Risk: A Retrospective Active-Comparator Cohort Study.     </w:t>
      </w:r>
    </w:p>
    <w:p w14:paraId="2BA0C365" w14:textId="1BF23E16" w:rsidR="00622F70" w:rsidRDefault="00622F70" w:rsidP="00622F70">
      <w:pPr>
        <w:spacing w:line="480" w:lineRule="auto"/>
        <w:rPr>
          <w:rFonts w:asciiTheme="majorBidi" w:hAnsiTheme="majorBidi" w:cstheme="majorBidi"/>
          <w:sz w:val="24"/>
          <w:szCs w:val="24"/>
          <w:vertAlign w:val="superscript"/>
        </w:rPr>
      </w:pPr>
      <w:r w:rsidRPr="00015FE1">
        <w:rPr>
          <w:rFonts w:asciiTheme="majorBidi" w:hAnsiTheme="majorBidi" w:cstheme="majorBidi"/>
          <w:sz w:val="24"/>
          <w:szCs w:val="24"/>
        </w:rPr>
        <w:t>Genya Aharon Hananel</w:t>
      </w:r>
      <w:r>
        <w:rPr>
          <w:rFonts w:asciiTheme="majorBidi" w:hAnsiTheme="majorBidi" w:cstheme="majorBidi"/>
          <w:sz w:val="24"/>
          <w:szCs w:val="24"/>
        </w:rPr>
        <w:t xml:space="preserve">, MD </w:t>
      </w:r>
      <w:r w:rsidRPr="00D86F51">
        <w:rPr>
          <w:rFonts w:asciiTheme="majorBidi" w:hAnsiTheme="majorBidi" w:cstheme="majorBidi"/>
          <w:sz w:val="24"/>
          <w:szCs w:val="24"/>
          <w:vertAlign w:val="superscript"/>
        </w:rPr>
        <w:t>1</w:t>
      </w:r>
      <w:r>
        <w:rPr>
          <w:rFonts w:asciiTheme="majorBidi" w:hAnsiTheme="majorBidi" w:cstheme="majorBidi"/>
          <w:sz w:val="24"/>
          <w:szCs w:val="24"/>
          <w:vertAlign w:val="superscript"/>
        </w:rPr>
        <w:t>,2</w:t>
      </w:r>
      <w:r w:rsidRPr="00015FE1">
        <w:rPr>
          <w:rFonts w:asciiTheme="majorBidi" w:hAnsiTheme="majorBidi" w:cstheme="majorBidi"/>
          <w:sz w:val="24"/>
          <w:szCs w:val="24"/>
        </w:rPr>
        <w:t>, Johannes F.</w:t>
      </w:r>
      <w:r>
        <w:rPr>
          <w:rFonts w:asciiTheme="majorBidi" w:hAnsiTheme="majorBidi" w:cstheme="majorBidi"/>
          <w:sz w:val="24"/>
          <w:szCs w:val="24"/>
        </w:rPr>
        <w:t xml:space="preserve"> E.</w:t>
      </w:r>
      <w:r w:rsidRPr="00015FE1">
        <w:rPr>
          <w:rFonts w:asciiTheme="majorBidi" w:hAnsiTheme="majorBidi" w:cstheme="majorBidi"/>
          <w:sz w:val="24"/>
          <w:szCs w:val="24"/>
        </w:rPr>
        <w:t xml:space="preserve"> Mann</w:t>
      </w:r>
      <w:r>
        <w:rPr>
          <w:rFonts w:asciiTheme="majorBidi" w:hAnsiTheme="majorBidi" w:cstheme="majorBidi"/>
          <w:sz w:val="24"/>
          <w:szCs w:val="24"/>
        </w:rPr>
        <w:t xml:space="preserve">, MD </w:t>
      </w:r>
      <w:r>
        <w:rPr>
          <w:rFonts w:asciiTheme="majorBidi" w:hAnsiTheme="majorBidi" w:cstheme="majorBidi"/>
          <w:sz w:val="24"/>
          <w:szCs w:val="24"/>
          <w:vertAlign w:val="superscript"/>
        </w:rPr>
        <w:t>3,4</w:t>
      </w:r>
      <w:r w:rsidRPr="00015FE1">
        <w:rPr>
          <w:rFonts w:asciiTheme="majorBidi" w:hAnsiTheme="majorBidi" w:cstheme="majorBidi"/>
          <w:sz w:val="24"/>
          <w:szCs w:val="24"/>
        </w:rPr>
        <w:t xml:space="preserve">, </w:t>
      </w:r>
      <w:r w:rsidR="003C3D7C">
        <w:rPr>
          <w:rFonts w:asciiTheme="majorBidi" w:hAnsiTheme="majorBidi" w:cstheme="majorBidi"/>
          <w:sz w:val="24"/>
          <w:szCs w:val="24"/>
        </w:rPr>
        <w:t xml:space="preserve">                                             </w:t>
      </w:r>
      <w:r>
        <w:rPr>
          <w:rFonts w:asciiTheme="majorBidi" w:hAnsiTheme="majorBidi" w:cstheme="majorBidi"/>
          <w:sz w:val="24"/>
          <w:szCs w:val="24"/>
        </w:rPr>
        <w:t xml:space="preserve">Alona Aharonovich, PharmD </w:t>
      </w:r>
      <w:r>
        <w:rPr>
          <w:rFonts w:asciiTheme="majorBidi" w:hAnsiTheme="majorBidi" w:cstheme="majorBidi"/>
          <w:sz w:val="24"/>
          <w:szCs w:val="24"/>
          <w:vertAlign w:val="superscript"/>
        </w:rPr>
        <w:t>5</w:t>
      </w:r>
      <w:r>
        <w:rPr>
          <w:rFonts w:asciiTheme="majorBidi" w:hAnsiTheme="majorBidi" w:cstheme="majorBidi"/>
          <w:sz w:val="24"/>
          <w:szCs w:val="24"/>
        </w:rPr>
        <w:t xml:space="preserve">, </w:t>
      </w:r>
      <w:r w:rsidRPr="00015FE1">
        <w:rPr>
          <w:rFonts w:asciiTheme="majorBidi" w:hAnsiTheme="majorBidi" w:cstheme="majorBidi"/>
          <w:sz w:val="24"/>
          <w:szCs w:val="24"/>
        </w:rPr>
        <w:t>Aliza Hammerman Rozenberg</w:t>
      </w:r>
      <w:r>
        <w:rPr>
          <w:rFonts w:asciiTheme="majorBidi" w:hAnsiTheme="majorBidi" w:cstheme="majorBidi"/>
          <w:sz w:val="24"/>
          <w:szCs w:val="24"/>
        </w:rPr>
        <w:t xml:space="preserve"> </w:t>
      </w:r>
      <w:r>
        <w:rPr>
          <w:rFonts w:asciiTheme="majorBidi" w:hAnsiTheme="majorBidi" w:cstheme="majorBidi"/>
          <w:sz w:val="24"/>
          <w:szCs w:val="24"/>
          <w:vertAlign w:val="superscript"/>
        </w:rPr>
        <w:t>6</w:t>
      </w:r>
      <w:r w:rsidRPr="00015FE1">
        <w:rPr>
          <w:rFonts w:asciiTheme="majorBidi" w:hAnsiTheme="majorBidi" w:cstheme="majorBidi"/>
          <w:sz w:val="24"/>
          <w:szCs w:val="24"/>
        </w:rPr>
        <w:t xml:space="preserve">, Ilan </w:t>
      </w:r>
      <w:proofErr w:type="spellStart"/>
      <w:r w:rsidRPr="00015FE1">
        <w:rPr>
          <w:rFonts w:asciiTheme="majorBidi" w:hAnsiTheme="majorBidi" w:cstheme="majorBidi"/>
          <w:sz w:val="24"/>
          <w:szCs w:val="24"/>
        </w:rPr>
        <w:t>Yanuv</w:t>
      </w:r>
      <w:proofErr w:type="spellEnd"/>
      <w:r>
        <w:rPr>
          <w:rFonts w:asciiTheme="majorBidi" w:hAnsiTheme="majorBidi" w:cstheme="majorBidi"/>
          <w:sz w:val="24"/>
          <w:szCs w:val="24"/>
        </w:rPr>
        <w:t xml:space="preserve"> </w:t>
      </w:r>
      <w:r>
        <w:rPr>
          <w:rFonts w:asciiTheme="majorBidi" w:hAnsiTheme="majorBidi" w:cstheme="majorBidi"/>
          <w:sz w:val="24"/>
          <w:szCs w:val="24"/>
          <w:vertAlign w:val="superscript"/>
        </w:rPr>
        <w:t>7</w:t>
      </w:r>
      <w:r w:rsidRPr="00015FE1">
        <w:rPr>
          <w:rFonts w:asciiTheme="majorBidi" w:hAnsiTheme="majorBidi" w:cstheme="majorBidi"/>
          <w:sz w:val="24"/>
          <w:szCs w:val="24"/>
        </w:rPr>
        <w:t>, Adir Dagan</w:t>
      </w:r>
      <w:r>
        <w:rPr>
          <w:rFonts w:asciiTheme="majorBidi" w:hAnsiTheme="majorBidi" w:cstheme="majorBidi"/>
          <w:sz w:val="24"/>
          <w:szCs w:val="24"/>
        </w:rPr>
        <w:t xml:space="preserve"> </w:t>
      </w:r>
      <w:r>
        <w:rPr>
          <w:rFonts w:asciiTheme="majorBidi" w:hAnsiTheme="majorBidi" w:cstheme="majorBidi"/>
          <w:sz w:val="24"/>
          <w:szCs w:val="24"/>
          <w:vertAlign w:val="superscript"/>
        </w:rPr>
        <w:t>8</w:t>
      </w:r>
      <w:r w:rsidRPr="00015FE1">
        <w:rPr>
          <w:rFonts w:asciiTheme="majorBidi" w:hAnsiTheme="majorBidi" w:cstheme="majorBidi"/>
          <w:sz w:val="24"/>
          <w:szCs w:val="24"/>
        </w:rPr>
        <w:t xml:space="preserve">, </w:t>
      </w:r>
      <w:r w:rsidRPr="00807FAF">
        <w:rPr>
          <w:rFonts w:asciiTheme="majorBidi" w:hAnsiTheme="majorBidi" w:cstheme="majorBidi"/>
          <w:sz w:val="24"/>
          <w:szCs w:val="24"/>
        </w:rPr>
        <w:t>Sivan Gazit</w:t>
      </w:r>
      <w:r>
        <w:rPr>
          <w:rFonts w:asciiTheme="majorBidi" w:hAnsiTheme="majorBidi" w:cstheme="majorBidi"/>
          <w:sz w:val="24"/>
          <w:szCs w:val="24"/>
        </w:rPr>
        <w:t xml:space="preserve">, MD </w:t>
      </w:r>
      <w:r>
        <w:rPr>
          <w:rFonts w:asciiTheme="majorBidi" w:hAnsiTheme="majorBidi" w:cstheme="majorBidi"/>
          <w:sz w:val="24"/>
          <w:szCs w:val="24"/>
          <w:vertAlign w:val="superscript"/>
        </w:rPr>
        <w:t>9</w:t>
      </w:r>
      <w:r w:rsidRPr="00807FAF">
        <w:rPr>
          <w:rFonts w:asciiTheme="majorBidi" w:hAnsiTheme="majorBidi" w:cstheme="majorBidi"/>
          <w:sz w:val="24"/>
          <w:szCs w:val="24"/>
        </w:rPr>
        <w:t>, Efrat Leopold</w:t>
      </w:r>
      <w:r>
        <w:rPr>
          <w:rFonts w:asciiTheme="majorBidi" w:hAnsiTheme="majorBidi" w:cstheme="majorBidi"/>
          <w:sz w:val="24"/>
          <w:szCs w:val="24"/>
        </w:rPr>
        <w:t xml:space="preserve">, PhD </w:t>
      </w:r>
      <w:r>
        <w:rPr>
          <w:rFonts w:asciiTheme="majorBidi" w:hAnsiTheme="majorBidi" w:cstheme="majorBidi"/>
          <w:sz w:val="24"/>
          <w:szCs w:val="24"/>
          <w:vertAlign w:val="superscript"/>
        </w:rPr>
        <w:t>9</w:t>
      </w:r>
      <w:r w:rsidRPr="00807FAF">
        <w:rPr>
          <w:rFonts w:asciiTheme="majorBidi" w:hAnsiTheme="majorBidi" w:cstheme="majorBidi"/>
          <w:sz w:val="24"/>
          <w:szCs w:val="24"/>
        </w:rPr>
        <w:t xml:space="preserve">, </w:t>
      </w:r>
      <w:r w:rsidRPr="00015FE1">
        <w:rPr>
          <w:rFonts w:asciiTheme="majorBidi" w:hAnsiTheme="majorBidi" w:cstheme="majorBidi"/>
          <w:sz w:val="24"/>
          <w:szCs w:val="24"/>
        </w:rPr>
        <w:t>Ori Mayer</w:t>
      </w:r>
      <w:r>
        <w:rPr>
          <w:rFonts w:asciiTheme="majorBidi" w:hAnsiTheme="majorBidi" w:cstheme="majorBidi"/>
          <w:sz w:val="24"/>
          <w:szCs w:val="24"/>
        </w:rPr>
        <w:t xml:space="preserve">, MD </w:t>
      </w:r>
      <w:r>
        <w:rPr>
          <w:rFonts w:asciiTheme="majorBidi" w:hAnsiTheme="majorBidi" w:cstheme="majorBidi"/>
          <w:sz w:val="24"/>
          <w:szCs w:val="24"/>
          <w:vertAlign w:val="superscript"/>
        </w:rPr>
        <w:t>8</w:t>
      </w:r>
      <w:r w:rsidRPr="00015FE1">
        <w:rPr>
          <w:rFonts w:asciiTheme="majorBidi" w:hAnsiTheme="majorBidi" w:cstheme="majorBidi"/>
          <w:sz w:val="24"/>
          <w:szCs w:val="24"/>
        </w:rPr>
        <w:t>, Gil Chernin</w:t>
      </w:r>
      <w:r>
        <w:rPr>
          <w:rFonts w:asciiTheme="majorBidi" w:hAnsiTheme="majorBidi" w:cstheme="majorBidi"/>
          <w:sz w:val="24"/>
          <w:szCs w:val="24"/>
        </w:rPr>
        <w:t>,</w:t>
      </w:r>
      <w:r w:rsidRPr="00015FE1">
        <w:rPr>
          <w:rFonts w:asciiTheme="majorBidi" w:hAnsiTheme="majorBidi" w:cstheme="majorBidi"/>
          <w:sz w:val="24"/>
          <w:szCs w:val="24"/>
        </w:rPr>
        <w:t xml:space="preserve"> </w:t>
      </w:r>
      <w:r>
        <w:rPr>
          <w:rFonts w:asciiTheme="majorBidi" w:hAnsiTheme="majorBidi" w:cstheme="majorBidi"/>
          <w:sz w:val="24"/>
          <w:szCs w:val="24"/>
        </w:rPr>
        <w:t xml:space="preserve">MD </w:t>
      </w:r>
      <w:r w:rsidRPr="00250A65">
        <w:rPr>
          <w:rFonts w:asciiTheme="majorBidi" w:hAnsiTheme="majorBidi" w:cstheme="majorBidi"/>
          <w:sz w:val="24"/>
          <w:szCs w:val="24"/>
          <w:vertAlign w:val="superscript"/>
        </w:rPr>
        <w:t>2,</w:t>
      </w:r>
      <w:r w:rsidRPr="001F45EA">
        <w:rPr>
          <w:rFonts w:asciiTheme="majorBidi" w:hAnsiTheme="majorBidi" w:cstheme="majorBidi"/>
          <w:sz w:val="24"/>
          <w:szCs w:val="24"/>
          <w:vertAlign w:val="superscript"/>
        </w:rPr>
        <w:t>1</w:t>
      </w:r>
      <w:r>
        <w:rPr>
          <w:rFonts w:asciiTheme="majorBidi" w:hAnsiTheme="majorBidi" w:cstheme="majorBidi"/>
          <w:sz w:val="24"/>
          <w:szCs w:val="24"/>
          <w:vertAlign w:val="superscript"/>
        </w:rPr>
        <w:t>0</w:t>
      </w:r>
    </w:p>
    <w:p w14:paraId="5174C6DE" w14:textId="77777777" w:rsidR="00622F70" w:rsidRPr="00B703E6" w:rsidRDefault="00622F70" w:rsidP="00622F70">
      <w:pPr>
        <w:spacing w:line="480" w:lineRule="auto"/>
        <w:rPr>
          <w:rFonts w:asciiTheme="majorBidi" w:hAnsiTheme="majorBidi" w:cstheme="majorBidi"/>
          <w:sz w:val="24"/>
          <w:szCs w:val="24"/>
        </w:rPr>
      </w:pPr>
      <w:r w:rsidRPr="00B703E6">
        <w:rPr>
          <w:rFonts w:asciiTheme="majorBidi" w:hAnsiTheme="majorBidi" w:cstheme="majorBidi"/>
          <w:sz w:val="24"/>
          <w:szCs w:val="24"/>
          <w:vertAlign w:val="superscript"/>
        </w:rPr>
        <w:t>1</w:t>
      </w:r>
      <w:r w:rsidRPr="00B703E6">
        <w:rPr>
          <w:rFonts w:asciiTheme="majorBidi" w:hAnsiTheme="majorBidi" w:cstheme="majorBidi"/>
          <w:sz w:val="24"/>
          <w:szCs w:val="24"/>
        </w:rPr>
        <w:t xml:space="preserve"> Diabetes Unit, Department of Endocrinology and Metabolism, Hadassah Medical Center, Jerusalem, Israel.</w:t>
      </w:r>
    </w:p>
    <w:p w14:paraId="07FE0FF0" w14:textId="77777777" w:rsidR="00622F70" w:rsidRPr="00B703E6" w:rsidRDefault="00622F70" w:rsidP="00622F70">
      <w:pPr>
        <w:spacing w:line="480" w:lineRule="auto"/>
        <w:rPr>
          <w:rFonts w:asciiTheme="majorBidi" w:hAnsiTheme="majorBidi" w:cstheme="majorBidi"/>
          <w:sz w:val="24"/>
          <w:szCs w:val="24"/>
        </w:rPr>
      </w:pPr>
      <w:r w:rsidRPr="00B703E6">
        <w:rPr>
          <w:rFonts w:asciiTheme="majorBidi" w:hAnsiTheme="majorBidi" w:cstheme="majorBidi"/>
          <w:sz w:val="24"/>
          <w:szCs w:val="24"/>
          <w:vertAlign w:val="superscript"/>
        </w:rPr>
        <w:t>2</w:t>
      </w:r>
      <w:r w:rsidRPr="00B703E6">
        <w:rPr>
          <w:rFonts w:asciiTheme="majorBidi" w:hAnsiTheme="majorBidi" w:cstheme="majorBidi"/>
          <w:sz w:val="24"/>
          <w:szCs w:val="24"/>
        </w:rPr>
        <w:t xml:space="preserve"> Faculty of Medicine, Hebrew University of Jerusalem, Jerusalem, Israel.</w:t>
      </w:r>
    </w:p>
    <w:p w14:paraId="38B62322" w14:textId="77777777" w:rsidR="00622F70" w:rsidRPr="00B703E6" w:rsidRDefault="00622F70" w:rsidP="00622F70">
      <w:pPr>
        <w:spacing w:line="480" w:lineRule="auto"/>
        <w:rPr>
          <w:rFonts w:asciiTheme="majorBidi" w:hAnsiTheme="majorBidi" w:cstheme="majorBidi"/>
          <w:sz w:val="24"/>
          <w:szCs w:val="24"/>
        </w:rPr>
      </w:pPr>
      <w:r w:rsidRPr="00B703E6">
        <w:rPr>
          <w:rFonts w:asciiTheme="majorBidi" w:hAnsiTheme="majorBidi" w:cstheme="majorBidi"/>
          <w:sz w:val="24"/>
          <w:szCs w:val="24"/>
          <w:vertAlign w:val="superscript"/>
        </w:rPr>
        <w:t>3</w:t>
      </w:r>
      <w:r w:rsidRPr="00B703E6">
        <w:rPr>
          <w:rFonts w:asciiTheme="majorBidi" w:hAnsiTheme="majorBidi" w:cstheme="majorBidi"/>
          <w:sz w:val="24"/>
          <w:szCs w:val="24"/>
        </w:rPr>
        <w:t xml:space="preserve"> </w:t>
      </w:r>
      <w:proofErr w:type="spellStart"/>
      <w:r w:rsidRPr="00B703E6">
        <w:rPr>
          <w:rFonts w:asciiTheme="majorBidi" w:hAnsiTheme="majorBidi" w:cstheme="majorBidi"/>
          <w:sz w:val="24"/>
          <w:szCs w:val="24"/>
        </w:rPr>
        <w:t>KfH</w:t>
      </w:r>
      <w:proofErr w:type="spellEnd"/>
      <w:r w:rsidRPr="00B703E6">
        <w:rPr>
          <w:rFonts w:asciiTheme="majorBidi" w:hAnsiTheme="majorBidi" w:cstheme="majorBidi"/>
          <w:sz w:val="24"/>
          <w:szCs w:val="24"/>
        </w:rPr>
        <w:t xml:space="preserve"> Kidney Centre, München-Schwabing, Germany</w:t>
      </w:r>
      <w:r>
        <w:rPr>
          <w:rFonts w:asciiTheme="majorBidi" w:hAnsiTheme="majorBidi" w:cstheme="majorBidi"/>
          <w:sz w:val="24"/>
          <w:szCs w:val="24"/>
        </w:rPr>
        <w:t>.</w:t>
      </w:r>
      <w:r w:rsidRPr="00B703E6">
        <w:rPr>
          <w:rFonts w:asciiTheme="majorBidi" w:hAnsiTheme="majorBidi" w:cstheme="majorBidi"/>
          <w:sz w:val="24"/>
          <w:szCs w:val="24"/>
        </w:rPr>
        <w:t xml:space="preserve"> </w:t>
      </w:r>
    </w:p>
    <w:p w14:paraId="3E6EAAFD" w14:textId="77777777" w:rsidR="00622F70" w:rsidRPr="00B703E6" w:rsidRDefault="00622F70" w:rsidP="00622F70">
      <w:pPr>
        <w:spacing w:line="480" w:lineRule="auto"/>
        <w:rPr>
          <w:rFonts w:asciiTheme="majorBidi" w:hAnsiTheme="majorBidi" w:cstheme="majorBidi"/>
          <w:sz w:val="24"/>
          <w:szCs w:val="24"/>
        </w:rPr>
      </w:pPr>
      <w:r w:rsidRPr="00B703E6">
        <w:rPr>
          <w:rFonts w:asciiTheme="majorBidi" w:hAnsiTheme="majorBidi" w:cstheme="majorBidi"/>
          <w:sz w:val="24"/>
          <w:szCs w:val="24"/>
          <w:vertAlign w:val="superscript"/>
        </w:rPr>
        <w:t>4</w:t>
      </w:r>
      <w:r w:rsidRPr="00B703E6">
        <w:rPr>
          <w:rFonts w:asciiTheme="majorBidi" w:hAnsiTheme="majorBidi" w:cstheme="majorBidi"/>
          <w:sz w:val="24"/>
          <w:szCs w:val="24"/>
        </w:rPr>
        <w:t xml:space="preserve"> Dep</w:t>
      </w:r>
      <w:r>
        <w:rPr>
          <w:rFonts w:asciiTheme="majorBidi" w:hAnsiTheme="majorBidi" w:cstheme="majorBidi"/>
          <w:sz w:val="24"/>
          <w:szCs w:val="24"/>
        </w:rPr>
        <w:t>artment</w:t>
      </w:r>
      <w:r w:rsidRPr="00B703E6">
        <w:rPr>
          <w:rFonts w:asciiTheme="majorBidi" w:hAnsiTheme="majorBidi" w:cstheme="majorBidi"/>
          <w:sz w:val="24"/>
          <w:szCs w:val="24"/>
        </w:rPr>
        <w:t xml:space="preserve"> of Medicine, Friedrich-Alexander University, Erlangen, Germany</w:t>
      </w:r>
      <w:r>
        <w:rPr>
          <w:rFonts w:asciiTheme="majorBidi" w:hAnsiTheme="majorBidi" w:cstheme="majorBidi"/>
          <w:sz w:val="24"/>
          <w:szCs w:val="24"/>
        </w:rPr>
        <w:t>.</w:t>
      </w:r>
    </w:p>
    <w:p w14:paraId="36A28B5F" w14:textId="77777777" w:rsidR="00622F70" w:rsidRPr="00B703E6" w:rsidRDefault="00622F70" w:rsidP="00622F70">
      <w:pPr>
        <w:spacing w:line="480" w:lineRule="auto"/>
        <w:rPr>
          <w:rFonts w:asciiTheme="majorBidi" w:hAnsiTheme="majorBidi" w:cstheme="majorBidi"/>
          <w:sz w:val="24"/>
          <w:szCs w:val="24"/>
        </w:rPr>
      </w:pPr>
      <w:r w:rsidRPr="00B703E6">
        <w:rPr>
          <w:rFonts w:asciiTheme="majorBidi" w:hAnsiTheme="majorBidi" w:cstheme="majorBidi"/>
          <w:sz w:val="24"/>
          <w:szCs w:val="24"/>
          <w:vertAlign w:val="superscript"/>
        </w:rPr>
        <w:t>5</w:t>
      </w:r>
      <w:r w:rsidRPr="00B703E6">
        <w:rPr>
          <w:rFonts w:asciiTheme="majorBidi" w:hAnsiTheme="majorBidi" w:cstheme="majorBidi"/>
          <w:sz w:val="24"/>
          <w:szCs w:val="24"/>
        </w:rPr>
        <w:t xml:space="preserve"> Novo Nordisk, Israel</w:t>
      </w:r>
      <w:r>
        <w:rPr>
          <w:rFonts w:asciiTheme="majorBidi" w:hAnsiTheme="majorBidi" w:cstheme="majorBidi"/>
          <w:sz w:val="24"/>
          <w:szCs w:val="24"/>
        </w:rPr>
        <w:t>.</w:t>
      </w:r>
      <w:r w:rsidRPr="00B703E6">
        <w:rPr>
          <w:rFonts w:asciiTheme="majorBidi" w:hAnsiTheme="majorBidi" w:cstheme="majorBidi"/>
          <w:sz w:val="24"/>
          <w:szCs w:val="24"/>
        </w:rPr>
        <w:t xml:space="preserve"> </w:t>
      </w:r>
    </w:p>
    <w:p w14:paraId="14C97EBA" w14:textId="77777777" w:rsidR="00622F70" w:rsidRPr="00E459FF" w:rsidRDefault="00622F70" w:rsidP="00622F70">
      <w:pPr>
        <w:spacing w:line="480" w:lineRule="auto"/>
        <w:rPr>
          <w:rFonts w:asciiTheme="majorBidi" w:hAnsiTheme="majorBidi" w:cstheme="majorBidi"/>
          <w:sz w:val="24"/>
          <w:szCs w:val="24"/>
        </w:rPr>
      </w:pPr>
      <w:r w:rsidRPr="00B703E6">
        <w:rPr>
          <w:rFonts w:asciiTheme="majorBidi" w:hAnsiTheme="majorBidi" w:cstheme="majorBidi"/>
          <w:sz w:val="24"/>
          <w:szCs w:val="24"/>
          <w:vertAlign w:val="superscript"/>
        </w:rPr>
        <w:t>6</w:t>
      </w:r>
      <w:r>
        <w:rPr>
          <w:rFonts w:asciiTheme="majorBidi" w:hAnsiTheme="majorBidi" w:cstheme="majorBidi"/>
          <w:sz w:val="24"/>
          <w:szCs w:val="24"/>
          <w:vertAlign w:val="superscript"/>
        </w:rPr>
        <w:t xml:space="preserve"> </w:t>
      </w:r>
      <w:r w:rsidRPr="00E459FF">
        <w:rPr>
          <w:rFonts w:asciiTheme="majorBidi" w:hAnsiTheme="majorBidi" w:cstheme="majorBidi"/>
          <w:sz w:val="24"/>
          <w:szCs w:val="24"/>
        </w:rPr>
        <w:t>A.I. Statistics, Statistical Consulting, Jerusalem, Israel</w:t>
      </w:r>
      <w:r>
        <w:rPr>
          <w:rFonts w:asciiTheme="majorBidi" w:hAnsiTheme="majorBidi" w:cstheme="majorBidi"/>
          <w:sz w:val="24"/>
          <w:szCs w:val="24"/>
        </w:rPr>
        <w:t>.</w:t>
      </w:r>
    </w:p>
    <w:p w14:paraId="110F566D" w14:textId="77777777" w:rsidR="00622F70" w:rsidRDefault="00622F70" w:rsidP="00622F70">
      <w:pPr>
        <w:spacing w:line="480" w:lineRule="auto"/>
        <w:rPr>
          <w:rFonts w:asciiTheme="majorBidi" w:hAnsiTheme="majorBidi" w:cstheme="majorBidi"/>
          <w:sz w:val="24"/>
          <w:szCs w:val="24"/>
        </w:rPr>
      </w:pPr>
      <w:r w:rsidRPr="00BD5BCD">
        <w:rPr>
          <w:rFonts w:asciiTheme="majorBidi" w:hAnsiTheme="majorBidi" w:cstheme="majorBidi"/>
          <w:sz w:val="24"/>
          <w:szCs w:val="24"/>
          <w:vertAlign w:val="superscript"/>
        </w:rPr>
        <w:t>7</w:t>
      </w:r>
      <w:r>
        <w:rPr>
          <w:rFonts w:asciiTheme="majorBidi" w:hAnsiTheme="majorBidi" w:cstheme="majorBidi"/>
          <w:sz w:val="24"/>
          <w:szCs w:val="24"/>
        </w:rPr>
        <w:t xml:space="preserve"> </w:t>
      </w:r>
      <w:r w:rsidRPr="00BD5BCD">
        <w:rPr>
          <w:rFonts w:asciiTheme="majorBidi" w:hAnsiTheme="majorBidi" w:cstheme="majorBidi"/>
          <w:sz w:val="24"/>
          <w:szCs w:val="24"/>
        </w:rPr>
        <w:t>Independent Statistical Consultant, Modiin, Israel</w:t>
      </w:r>
      <w:r>
        <w:rPr>
          <w:rFonts w:asciiTheme="majorBidi" w:hAnsiTheme="majorBidi" w:cstheme="majorBidi"/>
          <w:sz w:val="24"/>
          <w:szCs w:val="24"/>
        </w:rPr>
        <w:t>.</w:t>
      </w:r>
    </w:p>
    <w:p w14:paraId="14735790" w14:textId="77777777" w:rsidR="00622F70" w:rsidRPr="00E93788" w:rsidRDefault="00622F70" w:rsidP="00622F70">
      <w:pPr>
        <w:spacing w:line="480" w:lineRule="auto"/>
        <w:rPr>
          <w:rFonts w:asciiTheme="majorBidi" w:hAnsiTheme="majorBidi" w:cstheme="majorBidi"/>
          <w:sz w:val="24"/>
          <w:szCs w:val="24"/>
          <w:lang w:val="en-GB"/>
        </w:rPr>
      </w:pPr>
      <w:r w:rsidRPr="00E93788">
        <w:rPr>
          <w:rFonts w:asciiTheme="majorBidi" w:hAnsiTheme="majorBidi" w:cstheme="majorBidi"/>
          <w:sz w:val="24"/>
          <w:szCs w:val="24"/>
          <w:vertAlign w:val="superscript"/>
          <w:lang w:val="en-GB"/>
        </w:rPr>
        <w:t>8</w:t>
      </w:r>
      <w:r w:rsidRPr="00E93788">
        <w:rPr>
          <w:rFonts w:asciiTheme="majorBidi" w:hAnsiTheme="majorBidi" w:cstheme="majorBidi"/>
          <w:sz w:val="24"/>
          <w:szCs w:val="24"/>
          <w:lang w:val="en-GB"/>
        </w:rPr>
        <w:t xml:space="preserve"> Mayer Analytics</w:t>
      </w:r>
      <w:r>
        <w:rPr>
          <w:rFonts w:asciiTheme="majorBidi" w:hAnsiTheme="majorBidi" w:cstheme="majorBidi"/>
          <w:sz w:val="24"/>
          <w:szCs w:val="24"/>
          <w:lang w:val="en-GB"/>
        </w:rPr>
        <w:t xml:space="preserve"> and Research, Ramat Gan, Israel. </w:t>
      </w:r>
    </w:p>
    <w:p w14:paraId="27F2D920" w14:textId="77777777" w:rsidR="00622F70" w:rsidRPr="00B703E6" w:rsidRDefault="00622F70" w:rsidP="00622F70">
      <w:pPr>
        <w:spacing w:line="480" w:lineRule="auto"/>
        <w:rPr>
          <w:rFonts w:asciiTheme="majorBidi" w:hAnsiTheme="majorBidi" w:cstheme="majorBidi"/>
          <w:sz w:val="24"/>
          <w:szCs w:val="24"/>
        </w:rPr>
      </w:pPr>
      <w:r>
        <w:rPr>
          <w:rFonts w:asciiTheme="majorBidi" w:hAnsiTheme="majorBidi" w:cstheme="majorBidi"/>
          <w:sz w:val="24"/>
          <w:szCs w:val="24"/>
          <w:vertAlign w:val="superscript"/>
        </w:rPr>
        <w:t>9</w:t>
      </w:r>
      <w:r w:rsidRPr="00B703E6">
        <w:rPr>
          <w:rFonts w:asciiTheme="majorBidi" w:hAnsiTheme="majorBidi" w:cstheme="majorBidi"/>
          <w:sz w:val="24"/>
          <w:szCs w:val="24"/>
        </w:rPr>
        <w:t xml:space="preserve"> KSM Research Institute, Maccabi Healthcare Services, Tel Aviv, Israel</w:t>
      </w:r>
      <w:r>
        <w:rPr>
          <w:rFonts w:asciiTheme="majorBidi" w:hAnsiTheme="majorBidi" w:cstheme="majorBidi"/>
          <w:sz w:val="24"/>
          <w:szCs w:val="24"/>
        </w:rPr>
        <w:t>.</w:t>
      </w:r>
    </w:p>
    <w:p w14:paraId="2A8061BD" w14:textId="77777777" w:rsidR="00622F70" w:rsidRPr="000401AA" w:rsidRDefault="00622F70" w:rsidP="00622F70">
      <w:pPr>
        <w:spacing w:line="480" w:lineRule="auto"/>
        <w:rPr>
          <w:rFonts w:asciiTheme="majorBidi" w:hAnsiTheme="majorBidi" w:cstheme="majorBidi"/>
          <w:sz w:val="24"/>
          <w:szCs w:val="24"/>
          <w:lang w:val="es-ES"/>
        </w:rPr>
      </w:pPr>
      <w:r w:rsidRPr="000401AA">
        <w:rPr>
          <w:rFonts w:asciiTheme="majorBidi" w:hAnsiTheme="majorBidi" w:cstheme="majorBidi"/>
          <w:sz w:val="24"/>
          <w:szCs w:val="24"/>
          <w:vertAlign w:val="superscript"/>
          <w:lang w:val="es-ES"/>
        </w:rPr>
        <w:t>1</w:t>
      </w:r>
      <w:r>
        <w:rPr>
          <w:rFonts w:asciiTheme="majorBidi" w:hAnsiTheme="majorBidi" w:cstheme="majorBidi"/>
          <w:sz w:val="24"/>
          <w:szCs w:val="24"/>
          <w:vertAlign w:val="superscript"/>
          <w:lang w:val="es-ES"/>
        </w:rPr>
        <w:t>0</w:t>
      </w:r>
      <w:r w:rsidRPr="000401AA">
        <w:rPr>
          <w:rFonts w:asciiTheme="majorBidi" w:hAnsiTheme="majorBidi" w:cstheme="majorBidi"/>
          <w:sz w:val="24"/>
          <w:szCs w:val="24"/>
          <w:vertAlign w:val="superscript"/>
          <w:lang w:val="es-ES"/>
        </w:rPr>
        <w:t xml:space="preserve"> </w:t>
      </w:r>
      <w:r>
        <w:rPr>
          <w:rFonts w:asciiTheme="majorBidi" w:hAnsiTheme="majorBidi" w:cstheme="majorBidi"/>
          <w:sz w:val="24"/>
          <w:szCs w:val="24"/>
          <w:vertAlign w:val="superscript"/>
          <w:lang w:val="es-ES"/>
        </w:rPr>
        <w:t xml:space="preserve"> </w:t>
      </w:r>
      <w:r w:rsidRPr="000401AA">
        <w:rPr>
          <w:rFonts w:asciiTheme="majorBidi" w:hAnsiTheme="majorBidi" w:cstheme="majorBidi"/>
          <w:sz w:val="24"/>
          <w:szCs w:val="24"/>
          <w:lang w:val="es-ES"/>
        </w:rPr>
        <w:t xml:space="preserve">Kaplan Medical Center, </w:t>
      </w:r>
      <w:proofErr w:type="spellStart"/>
      <w:r w:rsidRPr="000401AA">
        <w:rPr>
          <w:rFonts w:asciiTheme="majorBidi" w:hAnsiTheme="majorBidi" w:cstheme="majorBidi"/>
          <w:sz w:val="24"/>
          <w:szCs w:val="24"/>
          <w:lang w:val="es-ES"/>
        </w:rPr>
        <w:t>Rehovot</w:t>
      </w:r>
      <w:proofErr w:type="spellEnd"/>
      <w:r w:rsidRPr="000401AA">
        <w:rPr>
          <w:rFonts w:asciiTheme="majorBidi" w:hAnsiTheme="majorBidi" w:cstheme="majorBidi"/>
          <w:sz w:val="24"/>
          <w:szCs w:val="24"/>
          <w:lang w:val="es-ES"/>
        </w:rPr>
        <w:t>, Israel</w:t>
      </w:r>
      <w:r>
        <w:rPr>
          <w:rFonts w:asciiTheme="majorBidi" w:hAnsiTheme="majorBidi" w:cstheme="majorBidi"/>
          <w:sz w:val="24"/>
          <w:szCs w:val="24"/>
          <w:lang w:val="es-ES"/>
        </w:rPr>
        <w:t>.</w:t>
      </w:r>
    </w:p>
    <w:p w14:paraId="1A326395" w14:textId="77777777" w:rsidR="00622F70" w:rsidRPr="006A485A" w:rsidRDefault="00622F70" w:rsidP="00622F70">
      <w:pPr>
        <w:spacing w:line="480" w:lineRule="auto"/>
        <w:rPr>
          <w:rFonts w:asciiTheme="majorBidi" w:hAnsiTheme="majorBidi" w:cstheme="majorBidi"/>
          <w:sz w:val="24"/>
          <w:szCs w:val="24"/>
        </w:rPr>
      </w:pPr>
      <w:r w:rsidRPr="003C3D7C">
        <w:rPr>
          <w:rFonts w:asciiTheme="majorBidi" w:hAnsiTheme="majorBidi" w:cstheme="majorBidi"/>
          <w:b/>
          <w:bCs/>
          <w:sz w:val="24"/>
          <w:szCs w:val="24"/>
        </w:rPr>
        <w:t>Corresponding author:</w:t>
      </w:r>
      <w:r w:rsidRPr="006A485A">
        <w:rPr>
          <w:rFonts w:asciiTheme="majorBidi" w:hAnsiTheme="majorBidi" w:cstheme="majorBidi"/>
          <w:sz w:val="24"/>
          <w:szCs w:val="24"/>
        </w:rPr>
        <w:t xml:space="preserve"> Genya Aharon Hananel, genya.ah@gmail.com</w:t>
      </w:r>
    </w:p>
    <w:p w14:paraId="1A230F64" w14:textId="77777777" w:rsidR="00622F70" w:rsidRDefault="00622F70" w:rsidP="00622F70">
      <w:pPr>
        <w:spacing w:line="480" w:lineRule="auto"/>
        <w:rPr>
          <w:rFonts w:asciiTheme="majorBidi" w:hAnsiTheme="majorBidi" w:cstheme="majorBidi"/>
          <w:sz w:val="24"/>
          <w:szCs w:val="24"/>
          <w:vertAlign w:val="superscript"/>
        </w:rPr>
      </w:pPr>
    </w:p>
    <w:p w14:paraId="24E1EA8F" w14:textId="77777777" w:rsidR="00622F70" w:rsidRDefault="00622F70" w:rsidP="00622F70">
      <w:pPr>
        <w:spacing w:line="480" w:lineRule="auto"/>
        <w:rPr>
          <w:rFonts w:asciiTheme="majorBidi" w:hAnsiTheme="majorBidi" w:cstheme="majorBidi"/>
          <w:sz w:val="24"/>
          <w:szCs w:val="24"/>
          <w:vertAlign w:val="superscript"/>
        </w:rPr>
      </w:pPr>
    </w:p>
    <w:p w14:paraId="5F323FBF" w14:textId="77777777" w:rsidR="00622F70" w:rsidRPr="00FA4DCE" w:rsidRDefault="00622F70" w:rsidP="00622F70">
      <w:pPr>
        <w:spacing w:line="480" w:lineRule="auto"/>
        <w:rPr>
          <w:rFonts w:asciiTheme="majorBidi" w:hAnsiTheme="majorBidi" w:cstheme="majorBidi"/>
          <w:sz w:val="24"/>
          <w:szCs w:val="24"/>
          <w:vertAlign w:val="superscript"/>
        </w:rPr>
      </w:pPr>
    </w:p>
    <w:p w14:paraId="0F4DBECA" w14:textId="77777777" w:rsidR="00622F70" w:rsidRPr="00A25BE7" w:rsidRDefault="00622F70" w:rsidP="00A25BE7">
      <w:pPr>
        <w:pStyle w:val="Heading1"/>
        <w:rPr>
          <w:rFonts w:asciiTheme="majorBidi" w:hAnsiTheme="majorBidi"/>
          <w:sz w:val="24"/>
          <w:szCs w:val="24"/>
          <w:lang w:bidi="he-IL"/>
        </w:rPr>
      </w:pPr>
      <w:r w:rsidRPr="00A25BE7">
        <w:rPr>
          <w:rFonts w:asciiTheme="majorBidi" w:hAnsiTheme="majorBidi"/>
          <w:sz w:val="24"/>
          <w:szCs w:val="24"/>
          <w:lang w:bidi="he-IL"/>
        </w:rPr>
        <w:lastRenderedPageBreak/>
        <w:t>Supplementary methods</w:t>
      </w:r>
    </w:p>
    <w:p w14:paraId="349D17A9" w14:textId="77777777" w:rsidR="00622F70" w:rsidRPr="00A25BE7" w:rsidRDefault="00622F70" w:rsidP="00823A77">
      <w:pPr>
        <w:pStyle w:val="Heading2"/>
        <w:spacing w:line="480" w:lineRule="auto"/>
        <w:rPr>
          <w:rFonts w:asciiTheme="majorBidi" w:hAnsiTheme="majorBidi"/>
          <w:lang w:bidi="he-IL"/>
        </w:rPr>
      </w:pPr>
      <w:r w:rsidRPr="00A25BE7">
        <w:rPr>
          <w:rFonts w:asciiTheme="majorBidi" w:hAnsiTheme="majorBidi"/>
          <w:lang w:bidi="he-IL"/>
        </w:rPr>
        <w:t>S1. Rationale for active comparator selection</w:t>
      </w:r>
    </w:p>
    <w:p w14:paraId="09A184CA" w14:textId="65E5C4E3" w:rsidR="00622F70" w:rsidRPr="009644C1" w:rsidRDefault="00622F70" w:rsidP="00823A77">
      <w:pPr>
        <w:spacing w:line="480" w:lineRule="auto"/>
        <w:rPr>
          <w:rFonts w:asciiTheme="minorBidi" w:hAnsiTheme="minorBidi"/>
          <w:sz w:val="24"/>
          <w:szCs w:val="24"/>
          <w:lang w:bidi="he-IL"/>
        </w:rPr>
      </w:pPr>
      <w:r w:rsidRPr="00B5277F">
        <w:rPr>
          <w:rFonts w:asciiTheme="minorBidi" w:hAnsiTheme="minorBidi"/>
          <w:sz w:val="24"/>
          <w:szCs w:val="24"/>
          <w:lang w:bidi="he-IL"/>
        </w:rPr>
        <w:t xml:space="preserve">DPP4i </w:t>
      </w:r>
      <w:r>
        <w:rPr>
          <w:rFonts w:ascii="Times New Roman" w:eastAsia="Apis For Office" w:hAnsi="Times New Roman" w:cs="Times New Roman"/>
          <w:sz w:val="24"/>
          <w:szCs w:val="24"/>
          <w:lang w:bidi="he-IL"/>
        </w:rPr>
        <w:t xml:space="preserve">drugs </w:t>
      </w:r>
      <w:r w:rsidRPr="00B5277F">
        <w:rPr>
          <w:rFonts w:asciiTheme="minorBidi" w:hAnsiTheme="minorBidi"/>
          <w:sz w:val="24"/>
          <w:szCs w:val="24"/>
          <w:lang w:bidi="he-IL"/>
        </w:rPr>
        <w:t xml:space="preserve">were selected as the active comparator for several methodological and clinical reasons. DPP4i </w:t>
      </w:r>
      <w:r>
        <w:rPr>
          <w:rFonts w:ascii="Times New Roman" w:eastAsia="Apis For Office" w:hAnsi="Times New Roman" w:cs="Times New Roman"/>
          <w:sz w:val="24"/>
          <w:szCs w:val="24"/>
          <w:lang w:bidi="he-IL"/>
        </w:rPr>
        <w:t xml:space="preserve">has </w:t>
      </w:r>
      <w:r w:rsidRPr="00B5277F">
        <w:rPr>
          <w:rFonts w:asciiTheme="minorBidi" w:hAnsiTheme="minorBidi"/>
          <w:sz w:val="24"/>
          <w:szCs w:val="24"/>
          <w:lang w:bidi="he-IL"/>
        </w:rPr>
        <w:t>demonstrated noninferiority for major cardiovascular outcomes in SAVOR-TIMI 53, EXAMINE, and TECOS [2</w:t>
      </w:r>
      <w:r w:rsidR="00587C68">
        <w:rPr>
          <w:rFonts w:asciiTheme="minorBidi" w:hAnsiTheme="minorBidi"/>
          <w:sz w:val="24"/>
          <w:szCs w:val="24"/>
          <w:lang w:bidi="he-IL"/>
        </w:rPr>
        <w:t>1</w:t>
      </w:r>
      <w:r w:rsidRPr="00B5277F">
        <w:rPr>
          <w:rFonts w:asciiTheme="minorBidi" w:hAnsiTheme="minorBidi"/>
          <w:sz w:val="24"/>
          <w:szCs w:val="24"/>
          <w:lang w:bidi="he-IL"/>
        </w:rPr>
        <w:t>, 2</w:t>
      </w:r>
      <w:r w:rsidR="00587C68">
        <w:rPr>
          <w:rFonts w:asciiTheme="minorBidi" w:hAnsiTheme="minorBidi"/>
          <w:sz w:val="24"/>
          <w:szCs w:val="24"/>
          <w:lang w:bidi="he-IL"/>
        </w:rPr>
        <w:t>2</w:t>
      </w:r>
      <w:r w:rsidRPr="00B5277F">
        <w:rPr>
          <w:rFonts w:asciiTheme="minorBidi" w:hAnsiTheme="minorBidi"/>
          <w:sz w:val="24"/>
          <w:szCs w:val="24"/>
          <w:lang w:bidi="he-IL"/>
        </w:rPr>
        <w:t>, 2</w:t>
      </w:r>
      <w:r w:rsidR="00587C68">
        <w:rPr>
          <w:rFonts w:asciiTheme="minorBidi" w:hAnsiTheme="minorBidi"/>
          <w:sz w:val="24"/>
          <w:szCs w:val="24"/>
          <w:lang w:bidi="he-IL"/>
        </w:rPr>
        <w:t>3</w:t>
      </w:r>
      <w:r w:rsidRPr="00B5277F">
        <w:rPr>
          <w:rFonts w:asciiTheme="minorBidi" w:hAnsiTheme="minorBidi"/>
          <w:sz w:val="24"/>
          <w:szCs w:val="24"/>
          <w:lang w:bidi="he-IL"/>
        </w:rPr>
        <w:t xml:space="preserve">]. While </w:t>
      </w:r>
      <w:r>
        <w:rPr>
          <w:rFonts w:ascii="Times New Roman" w:eastAsia="Apis For Office" w:hAnsi="Times New Roman" w:cs="Times New Roman"/>
          <w:sz w:val="24"/>
          <w:szCs w:val="24"/>
          <w:lang w:bidi="he-IL"/>
        </w:rPr>
        <w:t>DPP4is have</w:t>
      </w:r>
      <w:r w:rsidRPr="00B5277F">
        <w:rPr>
          <w:rFonts w:asciiTheme="minorBidi" w:hAnsiTheme="minorBidi"/>
          <w:sz w:val="24"/>
          <w:szCs w:val="24"/>
          <w:lang w:bidi="he-IL"/>
        </w:rPr>
        <w:t xml:space="preserve"> modest effects on albuminuria—for example, a 14% lower hazard of categorical albuminuria progression in CARMELINA and a pooled reduction in </w:t>
      </w:r>
      <w:r>
        <w:rPr>
          <w:rFonts w:ascii="Times New Roman" w:eastAsia="Apis For Office" w:hAnsi="Times New Roman" w:cs="Times New Roman"/>
          <w:sz w:val="24"/>
          <w:szCs w:val="24"/>
          <w:lang w:bidi="he-IL"/>
        </w:rPr>
        <w:t xml:space="preserve">the </w:t>
      </w:r>
      <w:r w:rsidRPr="00B5277F">
        <w:rPr>
          <w:rFonts w:asciiTheme="minorBidi" w:hAnsiTheme="minorBidi"/>
          <w:sz w:val="24"/>
          <w:szCs w:val="24"/>
          <w:lang w:bidi="he-IL"/>
        </w:rPr>
        <w:t>albumin-to-creatinine ratio of 2.76 mg/g (0.31 mg/mmol) [2</w:t>
      </w:r>
      <w:r w:rsidR="00587C68">
        <w:rPr>
          <w:rFonts w:asciiTheme="minorBidi" w:hAnsiTheme="minorBidi"/>
          <w:sz w:val="24"/>
          <w:szCs w:val="24"/>
          <w:lang w:bidi="he-IL"/>
        </w:rPr>
        <w:t>4</w:t>
      </w:r>
      <w:r w:rsidRPr="00B5277F">
        <w:rPr>
          <w:rFonts w:asciiTheme="minorBidi" w:hAnsiTheme="minorBidi"/>
          <w:sz w:val="24"/>
          <w:szCs w:val="24"/>
          <w:lang w:bidi="he-IL"/>
        </w:rPr>
        <w:t>, 2</w:t>
      </w:r>
      <w:r w:rsidR="00587C68">
        <w:rPr>
          <w:rFonts w:asciiTheme="minorBidi" w:hAnsiTheme="minorBidi"/>
          <w:sz w:val="24"/>
          <w:szCs w:val="24"/>
          <w:lang w:bidi="he-IL"/>
        </w:rPr>
        <w:t>5</w:t>
      </w:r>
      <w:r w:rsidRPr="00B5277F">
        <w:rPr>
          <w:rFonts w:asciiTheme="minorBidi" w:hAnsiTheme="minorBidi"/>
          <w:sz w:val="24"/>
          <w:szCs w:val="24"/>
          <w:lang w:bidi="he-IL"/>
        </w:rPr>
        <w:t xml:space="preserve">]—randomized trials and meta-analyses have not demonstrated </w:t>
      </w:r>
      <w:r>
        <w:rPr>
          <w:rFonts w:ascii="Times New Roman" w:eastAsia="Apis For Office" w:hAnsi="Times New Roman" w:cs="Times New Roman"/>
          <w:sz w:val="24"/>
          <w:szCs w:val="24"/>
          <w:lang w:bidi="he-IL"/>
        </w:rPr>
        <w:t>an improvement in</w:t>
      </w:r>
      <w:r w:rsidRPr="00B5277F">
        <w:rPr>
          <w:rFonts w:asciiTheme="minorBidi" w:hAnsiTheme="minorBidi"/>
          <w:sz w:val="24"/>
          <w:szCs w:val="24"/>
          <w:lang w:bidi="he-IL"/>
        </w:rPr>
        <w:t xml:space="preserve"> hard kidney outcomes</w:t>
      </w:r>
      <w:r>
        <w:rPr>
          <w:rFonts w:asciiTheme="minorBidi" w:hAnsiTheme="minorBidi"/>
          <w:sz w:val="24"/>
          <w:szCs w:val="24"/>
          <w:lang w:bidi="he-IL"/>
        </w:rPr>
        <w:t xml:space="preserve"> </w:t>
      </w:r>
      <w:r w:rsidRPr="00B5277F">
        <w:rPr>
          <w:rFonts w:asciiTheme="minorBidi" w:hAnsiTheme="minorBidi"/>
          <w:sz w:val="24"/>
          <w:szCs w:val="24"/>
          <w:lang w:bidi="he-IL"/>
        </w:rPr>
        <w:t>[2</w:t>
      </w:r>
      <w:r w:rsidR="00587C68">
        <w:rPr>
          <w:rFonts w:asciiTheme="minorBidi" w:hAnsiTheme="minorBidi"/>
          <w:sz w:val="24"/>
          <w:szCs w:val="24"/>
          <w:lang w:bidi="he-IL"/>
        </w:rPr>
        <w:t>4</w:t>
      </w:r>
      <w:r w:rsidRPr="00B5277F">
        <w:rPr>
          <w:rFonts w:asciiTheme="minorBidi" w:hAnsiTheme="minorBidi"/>
          <w:sz w:val="24"/>
          <w:szCs w:val="24"/>
          <w:lang w:bidi="he-IL"/>
        </w:rPr>
        <w:t>, 2</w:t>
      </w:r>
      <w:r w:rsidR="00587C68">
        <w:rPr>
          <w:rFonts w:asciiTheme="minorBidi" w:hAnsiTheme="minorBidi"/>
          <w:sz w:val="24"/>
          <w:szCs w:val="24"/>
          <w:lang w:bidi="he-IL"/>
        </w:rPr>
        <w:t>6</w:t>
      </w:r>
      <w:r w:rsidRPr="00B5277F">
        <w:rPr>
          <w:rFonts w:asciiTheme="minorBidi" w:hAnsiTheme="minorBidi"/>
          <w:sz w:val="24"/>
          <w:szCs w:val="24"/>
          <w:lang w:bidi="he-IL"/>
        </w:rPr>
        <w:t xml:space="preserve">]. These characteristics </w:t>
      </w:r>
      <w:r>
        <w:rPr>
          <w:rFonts w:ascii="Times New Roman" w:eastAsia="Apis For Office" w:hAnsi="Times New Roman" w:cs="Times New Roman"/>
          <w:sz w:val="24"/>
          <w:szCs w:val="24"/>
          <w:lang w:bidi="he-IL"/>
        </w:rPr>
        <w:t>support</w:t>
      </w:r>
      <w:r w:rsidRPr="00B5277F">
        <w:rPr>
          <w:rFonts w:asciiTheme="minorBidi" w:hAnsiTheme="minorBidi"/>
          <w:sz w:val="24"/>
          <w:szCs w:val="24"/>
          <w:lang w:bidi="he-IL"/>
        </w:rPr>
        <w:t xml:space="preserve"> their selection as active </w:t>
      </w:r>
      <w:r>
        <w:rPr>
          <w:rFonts w:ascii="Times New Roman" w:eastAsia="Apis For Office" w:hAnsi="Times New Roman" w:cs="Times New Roman"/>
          <w:sz w:val="24"/>
          <w:szCs w:val="24"/>
          <w:lang w:bidi="he-IL"/>
        </w:rPr>
        <w:t>comparators</w:t>
      </w:r>
      <w:r w:rsidRPr="00B5277F">
        <w:rPr>
          <w:rFonts w:asciiTheme="minorBidi" w:hAnsiTheme="minorBidi"/>
          <w:sz w:val="24"/>
          <w:szCs w:val="24"/>
          <w:lang w:bidi="he-IL"/>
        </w:rPr>
        <w:t xml:space="preserve"> for evaluating clinically meaningful kidney endpoints.</w:t>
      </w:r>
    </w:p>
    <w:p w14:paraId="146FFD6C" w14:textId="77777777" w:rsidR="00622F70" w:rsidRPr="009644C1" w:rsidRDefault="00622F70" w:rsidP="00622F70">
      <w:pPr>
        <w:spacing w:line="480" w:lineRule="auto"/>
        <w:rPr>
          <w:rFonts w:asciiTheme="minorBidi" w:hAnsiTheme="minorBidi"/>
          <w:sz w:val="24"/>
          <w:szCs w:val="24"/>
          <w:lang w:bidi="he-IL"/>
        </w:rPr>
      </w:pPr>
      <w:r>
        <w:rPr>
          <w:rFonts w:asciiTheme="minorBidi" w:hAnsiTheme="minorBidi"/>
          <w:sz w:val="24"/>
          <w:szCs w:val="24"/>
          <w:lang w:bidi="he-IL"/>
        </w:rPr>
        <w:t>Second, active comparator designs control for confounding by indication, treatment intensity, and healthcare engagement that systematically bias comparisons with untreated controls.</w:t>
      </w:r>
    </w:p>
    <w:p w14:paraId="2759C904" w14:textId="7747AF75" w:rsidR="00622F70" w:rsidRPr="009644C1" w:rsidRDefault="00622F70" w:rsidP="00622F70">
      <w:pPr>
        <w:spacing w:line="480" w:lineRule="auto"/>
        <w:rPr>
          <w:rFonts w:asciiTheme="minorBidi" w:hAnsiTheme="minorBidi"/>
          <w:sz w:val="24"/>
          <w:szCs w:val="24"/>
          <w:lang w:bidi="he-IL"/>
        </w:rPr>
      </w:pPr>
      <w:r>
        <w:rPr>
          <w:rFonts w:asciiTheme="minorBidi" w:hAnsiTheme="minorBidi"/>
          <w:sz w:val="24"/>
          <w:szCs w:val="24"/>
          <w:lang w:bidi="he-IL"/>
        </w:rPr>
        <w:t xml:space="preserve">While </w:t>
      </w:r>
      <w:r>
        <w:rPr>
          <w:rFonts w:ascii="Times New Roman" w:eastAsia="Apis For Office" w:hAnsi="Times New Roman" w:cs="Times New Roman"/>
          <w:sz w:val="24"/>
          <w:szCs w:val="24"/>
          <w:lang w:bidi="he-IL"/>
        </w:rPr>
        <w:t>DPP4is</w:t>
      </w:r>
      <w:r>
        <w:rPr>
          <w:rFonts w:asciiTheme="minorBidi" w:hAnsiTheme="minorBidi"/>
          <w:sz w:val="24"/>
          <w:szCs w:val="24"/>
          <w:lang w:bidi="he-IL"/>
        </w:rPr>
        <w:t xml:space="preserve"> differ from semaglutide in </w:t>
      </w:r>
      <w:r>
        <w:rPr>
          <w:rFonts w:ascii="Times New Roman" w:eastAsia="Apis For Office" w:hAnsi="Times New Roman" w:cs="Times New Roman"/>
          <w:sz w:val="24"/>
          <w:szCs w:val="24"/>
          <w:lang w:bidi="he-IL"/>
        </w:rPr>
        <w:t xml:space="preserve">terms of </w:t>
      </w:r>
      <w:r>
        <w:rPr>
          <w:rFonts w:asciiTheme="minorBidi" w:hAnsiTheme="minorBidi"/>
          <w:sz w:val="24"/>
          <w:szCs w:val="24"/>
          <w:lang w:bidi="he-IL"/>
        </w:rPr>
        <w:t xml:space="preserve">glycemic efficacy, weight reduction, and cardiorenal benefits, they represent a more methodologically sound comparator than </w:t>
      </w:r>
      <w:r>
        <w:rPr>
          <w:rFonts w:ascii="Times New Roman" w:eastAsia="Apis For Office" w:hAnsi="Times New Roman" w:cs="Times New Roman"/>
          <w:sz w:val="24"/>
          <w:szCs w:val="24"/>
          <w:lang w:bidi="he-IL"/>
        </w:rPr>
        <w:t>SGLT2is</w:t>
      </w:r>
      <w:r>
        <w:rPr>
          <w:rFonts w:asciiTheme="minorBidi" w:hAnsiTheme="minorBidi"/>
          <w:sz w:val="24"/>
          <w:szCs w:val="24"/>
          <w:lang w:bidi="he-IL"/>
        </w:rPr>
        <w:t xml:space="preserve">, which have established independent kidney benefits that would obscure </w:t>
      </w:r>
      <w:r>
        <w:rPr>
          <w:rFonts w:ascii="Times New Roman" w:eastAsia="Apis For Office" w:hAnsi="Times New Roman" w:cs="Times New Roman"/>
          <w:sz w:val="24"/>
          <w:szCs w:val="24"/>
          <w:lang w:bidi="he-IL"/>
        </w:rPr>
        <w:t>the</w:t>
      </w:r>
      <w:r>
        <w:rPr>
          <w:rFonts w:asciiTheme="minorBidi" w:hAnsiTheme="minorBidi"/>
          <w:sz w:val="24"/>
          <w:szCs w:val="24"/>
          <w:lang w:bidi="he-IL"/>
        </w:rPr>
        <w:t xml:space="preserve"> impact</w:t>
      </w:r>
      <w:r>
        <w:rPr>
          <w:rFonts w:ascii="Times New Roman" w:eastAsia="Apis For Office" w:hAnsi="Times New Roman" w:cs="Times New Roman"/>
          <w:sz w:val="24"/>
          <w:szCs w:val="24"/>
          <w:lang w:bidi="he-IL"/>
        </w:rPr>
        <w:t xml:space="preserve"> of semaglutide</w:t>
      </w:r>
      <w:r>
        <w:rPr>
          <w:rFonts w:asciiTheme="minorBidi" w:hAnsiTheme="minorBidi"/>
          <w:sz w:val="24"/>
          <w:szCs w:val="24"/>
          <w:lang w:bidi="he-IL"/>
        </w:rPr>
        <w:t xml:space="preserve">. Alternative second-line agents—including sulfonylureas, insulin, and thiazolidinediones—were not suitable comparators </w:t>
      </w:r>
      <w:r>
        <w:rPr>
          <w:rFonts w:ascii="Times New Roman" w:eastAsia="Apis For Office" w:hAnsi="Times New Roman" w:cs="Times New Roman"/>
          <w:sz w:val="24"/>
          <w:szCs w:val="24"/>
          <w:lang w:bidi="he-IL"/>
        </w:rPr>
        <w:t>because of their</w:t>
      </w:r>
      <w:r>
        <w:rPr>
          <w:rFonts w:asciiTheme="minorBidi" w:hAnsiTheme="minorBidi"/>
          <w:sz w:val="24"/>
          <w:szCs w:val="24"/>
          <w:lang w:bidi="he-IL"/>
        </w:rPr>
        <w:t xml:space="preserve"> opposite effects on weight and declining contemporary use. The study employed robust multivariable adjustment</w:t>
      </w:r>
      <w:r>
        <w:rPr>
          <w:rFonts w:ascii="Times New Roman" w:eastAsia="Apis For Office" w:hAnsi="Times New Roman" w:cs="Times New Roman"/>
          <w:sz w:val="24"/>
          <w:szCs w:val="24"/>
          <w:lang w:bidi="he-IL"/>
        </w:rPr>
        <w:t>,</w:t>
      </w:r>
      <w:r>
        <w:rPr>
          <w:rFonts w:asciiTheme="minorBidi" w:hAnsiTheme="minorBidi"/>
          <w:sz w:val="24"/>
          <w:szCs w:val="24"/>
          <w:lang w:bidi="he-IL"/>
        </w:rPr>
        <w:t xml:space="preserve"> including baseline HbA1c, BMI, and cardiovascular disease status</w:t>
      </w:r>
      <w:r>
        <w:rPr>
          <w:rFonts w:ascii="Times New Roman" w:eastAsia="Apis For Office" w:hAnsi="Times New Roman" w:cs="Times New Roman"/>
          <w:sz w:val="24"/>
          <w:szCs w:val="24"/>
          <w:lang w:bidi="he-IL"/>
        </w:rPr>
        <w:t>,</w:t>
      </w:r>
      <w:r>
        <w:rPr>
          <w:rFonts w:asciiTheme="minorBidi" w:hAnsiTheme="minorBidi"/>
          <w:sz w:val="24"/>
          <w:szCs w:val="24"/>
          <w:lang w:bidi="he-IL"/>
        </w:rPr>
        <w:t xml:space="preserve"> to control for differences in treatment </w:t>
      </w:r>
      <w:r>
        <w:rPr>
          <w:rFonts w:ascii="Times New Roman" w:eastAsia="Apis For Office" w:hAnsi="Times New Roman" w:cs="Times New Roman"/>
          <w:sz w:val="24"/>
          <w:szCs w:val="24"/>
          <w:lang w:bidi="he-IL"/>
        </w:rPr>
        <w:t>indications</w:t>
      </w:r>
      <w:r>
        <w:rPr>
          <w:rFonts w:asciiTheme="minorBidi" w:hAnsiTheme="minorBidi"/>
          <w:sz w:val="24"/>
          <w:szCs w:val="24"/>
          <w:lang w:bidi="he-IL"/>
        </w:rPr>
        <w:t xml:space="preserve"> between semaglutide </w:t>
      </w:r>
      <w:r>
        <w:rPr>
          <w:rFonts w:ascii="Times New Roman" w:eastAsia="Apis For Office" w:hAnsi="Times New Roman" w:cs="Times New Roman"/>
          <w:sz w:val="24"/>
          <w:szCs w:val="24"/>
          <w:lang w:bidi="he-IL"/>
        </w:rPr>
        <w:t xml:space="preserve">initiators </w:t>
      </w:r>
      <w:r>
        <w:rPr>
          <w:rFonts w:asciiTheme="minorBidi" w:hAnsiTheme="minorBidi"/>
          <w:sz w:val="24"/>
          <w:szCs w:val="24"/>
          <w:lang w:bidi="he-IL"/>
        </w:rPr>
        <w:t>and DPP4i initiators.</w:t>
      </w:r>
    </w:p>
    <w:p w14:paraId="3A815B72" w14:textId="77777777" w:rsidR="00622F70" w:rsidRPr="00337F9C" w:rsidRDefault="00622F70" w:rsidP="00622F70">
      <w:pPr>
        <w:spacing w:line="480" w:lineRule="auto"/>
        <w:rPr>
          <w:rFonts w:asciiTheme="minorBidi" w:hAnsiTheme="minorBidi"/>
          <w:sz w:val="24"/>
          <w:szCs w:val="24"/>
          <w:lang w:bidi="he-IL"/>
        </w:rPr>
      </w:pPr>
      <w:r w:rsidRPr="00337F9C">
        <w:rPr>
          <w:rFonts w:asciiTheme="minorBidi" w:hAnsiTheme="minorBidi"/>
          <w:sz w:val="24"/>
          <w:szCs w:val="24"/>
          <w:lang w:bidi="he-IL"/>
        </w:rPr>
        <w:lastRenderedPageBreak/>
        <w:t xml:space="preserve">Third, </w:t>
      </w:r>
      <w:r>
        <w:rPr>
          <w:rFonts w:ascii="Times New Roman" w:eastAsia="Apis For Office" w:hAnsi="Times New Roman" w:cs="Times New Roman"/>
          <w:sz w:val="24"/>
          <w:szCs w:val="24"/>
          <w:lang w:bidi="he-IL"/>
        </w:rPr>
        <w:t>DPP4is</w:t>
      </w:r>
      <w:r w:rsidRPr="00337F9C">
        <w:rPr>
          <w:rFonts w:asciiTheme="minorBidi" w:hAnsiTheme="minorBidi"/>
          <w:sz w:val="24"/>
          <w:szCs w:val="24"/>
          <w:lang w:bidi="he-IL"/>
        </w:rPr>
        <w:t xml:space="preserve"> remained in widespread clinical use throughout the study period (2019-</w:t>
      </w:r>
      <w:r>
        <w:rPr>
          <w:rFonts w:ascii="Times New Roman" w:eastAsia="Apis For Office" w:hAnsi="Times New Roman" w:cs="Times New Roman"/>
          <w:sz w:val="24"/>
          <w:szCs w:val="24"/>
          <w:lang w:bidi="he-IL"/>
        </w:rPr>
        <w:t>-</w:t>
      </w:r>
      <w:r w:rsidRPr="00337F9C">
        <w:rPr>
          <w:rFonts w:asciiTheme="minorBidi" w:hAnsiTheme="minorBidi"/>
          <w:sz w:val="24"/>
          <w:szCs w:val="24"/>
          <w:lang w:bidi="he-IL"/>
        </w:rPr>
        <w:t>2024), particularly in primary care settings, providing a contemporaneous and clinically relevant comparison group.</w:t>
      </w:r>
    </w:p>
    <w:p w14:paraId="0F9DF8B6" w14:textId="77777777" w:rsidR="00622F70" w:rsidRPr="00A25BE7" w:rsidRDefault="00622F70" w:rsidP="00823A77">
      <w:pPr>
        <w:pStyle w:val="Heading2"/>
        <w:spacing w:line="480" w:lineRule="auto"/>
        <w:rPr>
          <w:rFonts w:asciiTheme="majorBidi" w:hAnsiTheme="majorBidi"/>
          <w:lang w:bidi="he-IL"/>
        </w:rPr>
      </w:pPr>
      <w:r w:rsidRPr="00A25BE7">
        <w:rPr>
          <w:rFonts w:asciiTheme="majorBidi" w:hAnsiTheme="majorBidi"/>
          <w:lang w:bidi="he-IL"/>
        </w:rPr>
        <w:t>S2. Detailed primary endpoint definition rationale</w:t>
      </w:r>
    </w:p>
    <w:p w14:paraId="3A5B1EDB" w14:textId="77777777" w:rsidR="00622F70" w:rsidRPr="009644C1" w:rsidRDefault="00622F70" w:rsidP="00823A77">
      <w:pPr>
        <w:spacing w:line="480" w:lineRule="auto"/>
        <w:rPr>
          <w:rFonts w:asciiTheme="minorBidi" w:hAnsiTheme="minorBidi"/>
          <w:sz w:val="24"/>
          <w:szCs w:val="24"/>
          <w:lang w:bidi="he-IL"/>
        </w:rPr>
      </w:pPr>
      <w:r>
        <w:rPr>
          <w:rFonts w:asciiTheme="minorBidi" w:hAnsiTheme="minorBidi"/>
          <w:sz w:val="24"/>
          <w:szCs w:val="24"/>
          <w:lang w:bidi="he-IL"/>
        </w:rPr>
        <w:t xml:space="preserve">The composite kidney outcome was designed to capture clinically meaningful kidney deterioration in a population at low to moderate baseline risk for renal complications. In such populations, progression to end-stage kidney disease is uncommon, necessitating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inclusion of earlier markers of kidney function decline to ensure adequate statistical power and clinical relevance.</w:t>
      </w:r>
    </w:p>
    <w:p w14:paraId="54BB8F00" w14:textId="0D8BF403" w:rsidR="00622F70" w:rsidRPr="009644C1" w:rsidRDefault="00622F70" w:rsidP="00622F70">
      <w:pPr>
        <w:spacing w:line="480" w:lineRule="auto"/>
        <w:rPr>
          <w:rFonts w:asciiTheme="minorBidi" w:hAnsiTheme="minorBidi"/>
          <w:sz w:val="24"/>
          <w:szCs w:val="24"/>
          <w:lang w:bidi="he-IL"/>
        </w:rPr>
      </w:pPr>
      <w:r>
        <w:rPr>
          <w:rFonts w:asciiTheme="minorBidi" w:hAnsiTheme="minorBidi"/>
          <w:b/>
          <w:bCs/>
          <w:sz w:val="24"/>
          <w:szCs w:val="24"/>
          <w:lang w:bidi="he-IL"/>
        </w:rPr>
        <w:t>eGFR decline ≥30%:</w:t>
      </w:r>
      <w:r w:rsidRPr="007411B6">
        <w:rPr>
          <w:rFonts w:asciiTheme="minorBidi" w:hAnsiTheme="minorBidi"/>
          <w:sz w:val="24"/>
          <w:szCs w:val="24"/>
          <w:lang w:bidi="he-IL"/>
        </w:rPr>
        <w:t xml:space="preserve"> The FDA and EMA are willing to consider a 30–40% GFR decline as a surrogate endpoint for kidney failure under appropriate conditions [2</w:t>
      </w:r>
      <w:r w:rsidR="00587C68">
        <w:rPr>
          <w:rFonts w:asciiTheme="minorBidi" w:hAnsiTheme="minorBidi"/>
          <w:sz w:val="24"/>
          <w:szCs w:val="24"/>
          <w:lang w:bidi="he-IL"/>
        </w:rPr>
        <w:t>7</w:t>
      </w:r>
      <w:r w:rsidRPr="007411B6">
        <w:rPr>
          <w:rFonts w:asciiTheme="minorBidi" w:hAnsiTheme="minorBidi"/>
          <w:sz w:val="24"/>
          <w:szCs w:val="24"/>
          <w:lang w:bidi="he-IL"/>
        </w:rPr>
        <w:t xml:space="preserve">]. In a meta-analysis of more than 1.7 million participants, a 30% </w:t>
      </w:r>
      <w:r>
        <w:rPr>
          <w:rFonts w:ascii="Times New Roman" w:eastAsia="Apis For Office" w:hAnsi="Times New Roman" w:cs="Times New Roman"/>
          <w:sz w:val="24"/>
          <w:szCs w:val="24"/>
          <w:lang w:bidi="he-IL"/>
        </w:rPr>
        <w:t>decrease in the eGFR</w:t>
      </w:r>
      <w:r w:rsidRPr="007411B6">
        <w:rPr>
          <w:rFonts w:asciiTheme="minorBidi" w:hAnsiTheme="minorBidi"/>
          <w:sz w:val="24"/>
          <w:szCs w:val="24"/>
          <w:lang w:bidi="he-IL"/>
        </w:rPr>
        <w:t xml:space="preserve"> was strongly associated with subsequent ESKD and mortality, with associations preserved among participants with baseline </w:t>
      </w:r>
      <w:r>
        <w:rPr>
          <w:rFonts w:ascii="Times New Roman" w:eastAsia="Apis For Office" w:hAnsi="Times New Roman" w:cs="Times New Roman"/>
          <w:sz w:val="24"/>
          <w:szCs w:val="24"/>
          <w:lang w:bidi="he-IL"/>
        </w:rPr>
        <w:t>eGFRs</w:t>
      </w:r>
      <w:r w:rsidRPr="007411B6">
        <w:rPr>
          <w:rFonts w:asciiTheme="minorBidi" w:hAnsiTheme="minorBidi"/>
          <w:sz w:val="24"/>
          <w:szCs w:val="24"/>
          <w:lang w:bidi="he-IL"/>
        </w:rPr>
        <w:t xml:space="preserve"> ≥60 mL/min/1.73 m² [4].</w:t>
      </w:r>
    </w:p>
    <w:p w14:paraId="3A69CBDE" w14:textId="77777777" w:rsidR="00622F70" w:rsidRPr="009644C1" w:rsidRDefault="00622F70" w:rsidP="00622F70">
      <w:pPr>
        <w:spacing w:line="480" w:lineRule="auto"/>
        <w:rPr>
          <w:rFonts w:asciiTheme="minorBidi" w:hAnsiTheme="minorBidi"/>
          <w:sz w:val="24"/>
          <w:szCs w:val="24"/>
          <w:lang w:bidi="he-IL"/>
        </w:rPr>
      </w:pPr>
      <w:r>
        <w:rPr>
          <w:rFonts w:asciiTheme="minorBidi" w:hAnsiTheme="minorBidi"/>
          <w:b/>
          <w:bCs/>
          <w:sz w:val="24"/>
          <w:szCs w:val="24"/>
          <w:lang w:bidi="he-IL"/>
        </w:rPr>
        <w:t>New-onset or worsening albuminuria:</w:t>
      </w:r>
      <w:r>
        <w:rPr>
          <w:rFonts w:asciiTheme="minorBidi" w:hAnsiTheme="minorBidi"/>
          <w:sz w:val="24"/>
          <w:szCs w:val="24"/>
          <w:lang w:bidi="he-IL"/>
        </w:rPr>
        <w:t xml:space="preserve"> </w:t>
      </w:r>
      <w:r>
        <w:rPr>
          <w:rFonts w:ascii="Times New Roman" w:eastAsia="Apis For Office" w:hAnsi="Times New Roman" w:cs="Times New Roman"/>
          <w:sz w:val="24"/>
          <w:szCs w:val="24"/>
          <w:lang w:bidi="he-IL"/>
        </w:rPr>
        <w:t>Albuminuria</w:t>
      </w:r>
      <w:r>
        <w:rPr>
          <w:rFonts w:asciiTheme="minorBidi" w:hAnsiTheme="minorBidi"/>
          <w:sz w:val="24"/>
          <w:szCs w:val="24"/>
          <w:lang w:bidi="he-IL"/>
        </w:rPr>
        <w:t xml:space="preserve"> was included</w:t>
      </w:r>
      <w:r>
        <w:rPr>
          <w:rFonts w:ascii="Times New Roman" w:eastAsia="Apis For Office" w:hAnsi="Times New Roman" w:cs="Times New Roman"/>
          <w:sz w:val="24"/>
          <w:szCs w:val="24"/>
          <w:lang w:bidi="he-IL"/>
        </w:rPr>
        <w:t>,</w:t>
      </w:r>
      <w:r>
        <w:rPr>
          <w:rFonts w:asciiTheme="minorBidi" w:hAnsiTheme="minorBidi"/>
          <w:sz w:val="24"/>
          <w:szCs w:val="24"/>
          <w:lang w:bidi="he-IL"/>
        </w:rPr>
        <w:t xml:space="preserve"> as it frequently represents the first detectable marker of kidney damage in patients with low to moderate KDIGO risk and preserved eGFR. In patients with type 2 diabetes and preserved kidney function, albuminuria </w:t>
      </w:r>
      <w:r>
        <w:rPr>
          <w:rFonts w:ascii="Times New Roman" w:eastAsia="Apis For Office" w:hAnsi="Times New Roman" w:cs="Times New Roman"/>
          <w:sz w:val="24"/>
          <w:szCs w:val="24"/>
          <w:lang w:bidi="he-IL"/>
        </w:rPr>
        <w:t>is associated with</w:t>
      </w:r>
      <w:r>
        <w:rPr>
          <w:rFonts w:asciiTheme="minorBidi" w:hAnsiTheme="minorBidi"/>
          <w:sz w:val="24"/>
          <w:szCs w:val="24"/>
          <w:lang w:bidi="he-IL"/>
        </w:rPr>
        <w:t xml:space="preserve"> early morphologic kidney damage when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 xml:space="preserve">eGFR is still preserved and is superior to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 xml:space="preserve">eGFR for predicting early structural glomerular lesions [12]. Albuminuria independently predicts kidney failure, cardiovascular events, and mortality even in patients with </w:t>
      </w:r>
      <w:r>
        <w:rPr>
          <w:rFonts w:ascii="Times New Roman" w:eastAsia="Apis For Office" w:hAnsi="Times New Roman" w:cs="Times New Roman"/>
          <w:sz w:val="24"/>
          <w:szCs w:val="24"/>
          <w:lang w:bidi="he-IL"/>
        </w:rPr>
        <w:t>eGFRs</w:t>
      </w:r>
      <w:r>
        <w:rPr>
          <w:rFonts w:asciiTheme="minorBidi" w:hAnsiTheme="minorBidi"/>
          <w:sz w:val="24"/>
          <w:szCs w:val="24"/>
          <w:lang w:bidi="he-IL"/>
        </w:rPr>
        <w:t xml:space="preserve"> &gt;60 mL/min/1.</w:t>
      </w:r>
      <w:r>
        <w:rPr>
          <w:rFonts w:ascii="Times New Roman" w:eastAsia="Apis For Office" w:hAnsi="Times New Roman" w:cs="Times New Roman"/>
          <w:sz w:val="24"/>
          <w:szCs w:val="24"/>
          <w:lang w:bidi="he-IL"/>
        </w:rPr>
        <w:t>73 m²</w:t>
      </w:r>
      <w:r>
        <w:rPr>
          <w:rFonts w:asciiTheme="minorBidi" w:hAnsiTheme="minorBidi"/>
          <w:sz w:val="24"/>
          <w:szCs w:val="24"/>
          <w:lang w:bidi="he-IL"/>
        </w:rPr>
        <w:t xml:space="preserve"> [13, 14, 15].</w:t>
      </w:r>
    </w:p>
    <w:p w14:paraId="07BEC776" w14:textId="77777777" w:rsidR="00622F70" w:rsidRPr="009644C1" w:rsidRDefault="00622F70" w:rsidP="00622F70">
      <w:pPr>
        <w:spacing w:line="480" w:lineRule="auto"/>
        <w:rPr>
          <w:rFonts w:asciiTheme="minorBidi" w:hAnsiTheme="minorBidi"/>
          <w:sz w:val="24"/>
          <w:szCs w:val="24"/>
          <w:lang w:bidi="he-IL"/>
        </w:rPr>
      </w:pPr>
      <w:r>
        <w:rPr>
          <w:rFonts w:asciiTheme="minorBidi" w:hAnsiTheme="minorBidi"/>
          <w:b/>
          <w:bCs/>
          <w:sz w:val="24"/>
          <w:szCs w:val="24"/>
          <w:lang w:bidi="he-IL"/>
        </w:rPr>
        <w:lastRenderedPageBreak/>
        <w:t>All-cause death:</w:t>
      </w:r>
      <w:r>
        <w:rPr>
          <w:rFonts w:asciiTheme="minorBidi" w:hAnsiTheme="minorBidi"/>
          <w:sz w:val="24"/>
          <w:szCs w:val="24"/>
          <w:lang w:bidi="he-IL"/>
        </w:rPr>
        <w:t xml:space="preserve"> Due to the retrospective nature of the study and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absence of adjudicated cause-of-death data in the database, all-cause death was included in the composite endpoint</w:t>
      </w:r>
      <w:r>
        <w:rPr>
          <w:rFonts w:ascii="Times New Roman" w:eastAsia="Apis For Office" w:hAnsi="Times New Roman" w:cs="Times New Roman"/>
          <w:sz w:val="24"/>
          <w:szCs w:val="24"/>
          <w:lang w:bidi="he-IL"/>
        </w:rPr>
        <w:t xml:space="preserve"> </w:t>
      </w:r>
      <w:r>
        <w:rPr>
          <w:rFonts w:asciiTheme="minorBidi" w:hAnsiTheme="minorBidi"/>
          <w:sz w:val="24"/>
          <w:szCs w:val="24"/>
          <w:lang w:bidi="he-IL"/>
        </w:rPr>
        <w:t>instead of</w:t>
      </w:r>
      <w:r>
        <w:rPr>
          <w:rFonts w:ascii="Times New Roman" w:eastAsia="Apis For Office" w:hAnsi="Times New Roman" w:cs="Times New Roman"/>
          <w:sz w:val="24"/>
          <w:szCs w:val="24"/>
          <w:lang w:bidi="he-IL"/>
        </w:rPr>
        <w:t xml:space="preserve"> </w:t>
      </w:r>
      <w:r>
        <w:rPr>
          <w:rFonts w:asciiTheme="minorBidi" w:hAnsiTheme="minorBidi"/>
          <w:sz w:val="24"/>
          <w:szCs w:val="24"/>
          <w:lang w:bidi="he-IL"/>
        </w:rPr>
        <w:t>cardiovascular death.</w:t>
      </w:r>
    </w:p>
    <w:p w14:paraId="3CF6BC1B" w14:textId="77777777" w:rsidR="00622F70" w:rsidRPr="00A25BE7" w:rsidRDefault="00622F70" w:rsidP="00823A77">
      <w:pPr>
        <w:pStyle w:val="Heading2"/>
        <w:spacing w:line="480" w:lineRule="auto"/>
        <w:rPr>
          <w:rFonts w:asciiTheme="majorBidi" w:hAnsiTheme="majorBidi"/>
          <w:lang w:bidi="he-IL"/>
        </w:rPr>
      </w:pPr>
      <w:r w:rsidRPr="00A25BE7">
        <w:rPr>
          <w:rFonts w:asciiTheme="majorBidi" w:hAnsiTheme="majorBidi"/>
          <w:lang w:bidi="he-IL"/>
        </w:rPr>
        <w:t>S3. Secondary endpoint analysis</w:t>
      </w:r>
    </w:p>
    <w:p w14:paraId="609B2129" w14:textId="77777777" w:rsidR="00622F70" w:rsidRPr="009644C1" w:rsidRDefault="00622F70" w:rsidP="00823A77">
      <w:pPr>
        <w:spacing w:line="480" w:lineRule="auto"/>
        <w:rPr>
          <w:rFonts w:asciiTheme="minorBidi" w:hAnsiTheme="minorBidi"/>
          <w:sz w:val="24"/>
          <w:szCs w:val="24"/>
          <w:lang w:bidi="he-IL"/>
        </w:rPr>
      </w:pPr>
      <w:r>
        <w:rPr>
          <w:rFonts w:asciiTheme="minorBidi" w:hAnsiTheme="minorBidi"/>
          <w:sz w:val="24"/>
          <w:szCs w:val="24"/>
          <w:lang w:bidi="he-IL"/>
        </w:rPr>
        <w:t>For the outcomes related to time to event, Cox proportional hazards models were fitted. Similar to the primary composite outcome, the analysis followed an intention-to-treat principle</w:t>
      </w:r>
      <w:r>
        <w:rPr>
          <w:rFonts w:ascii="Times New Roman" w:eastAsia="Apis For Office" w:hAnsi="Times New Roman" w:cs="Times New Roman"/>
          <w:sz w:val="24"/>
          <w:szCs w:val="24"/>
          <w:lang w:bidi="he-IL"/>
        </w:rPr>
        <w:t>,</w:t>
      </w:r>
      <w:r>
        <w:rPr>
          <w:rFonts w:asciiTheme="minorBidi" w:hAnsiTheme="minorBidi"/>
          <w:sz w:val="24"/>
          <w:szCs w:val="24"/>
          <w:lang w:bidi="he-IL"/>
        </w:rPr>
        <w:t xml:space="preserve"> and HRs were adjusted for prespecified covariates.</w:t>
      </w:r>
    </w:p>
    <w:p w14:paraId="563BF73C" w14:textId="3BF557CC" w:rsidR="00622F70" w:rsidRDefault="00622F70" w:rsidP="00823A77">
      <w:pPr>
        <w:spacing w:line="480" w:lineRule="auto"/>
        <w:rPr>
          <w:rFonts w:asciiTheme="minorBidi" w:hAnsiTheme="minorBidi"/>
          <w:sz w:val="24"/>
          <w:szCs w:val="24"/>
          <w:lang w:bidi="he-IL"/>
        </w:rPr>
      </w:pPr>
      <w:r>
        <w:rPr>
          <w:rFonts w:asciiTheme="minorBidi" w:hAnsiTheme="minorBidi"/>
          <w:b/>
          <w:bCs/>
          <w:sz w:val="24"/>
          <w:szCs w:val="24"/>
          <w:lang w:bidi="he-IL"/>
        </w:rPr>
        <w:t xml:space="preserve">Analysis of transitions across KDIGO categories                                                                                            </w:t>
      </w:r>
      <w:r>
        <w:rPr>
          <w:rFonts w:asciiTheme="minorBidi" w:hAnsiTheme="minorBidi"/>
          <w:sz w:val="24"/>
          <w:szCs w:val="24"/>
          <w:lang w:bidi="he-IL"/>
        </w:rPr>
        <w:t xml:space="preserve">KDIGO risk categories were determined at each assessment </w:t>
      </w:r>
      <w:r>
        <w:rPr>
          <w:rFonts w:ascii="Times New Roman" w:eastAsia="Apis For Office" w:hAnsi="Times New Roman" w:cs="Times New Roman"/>
          <w:sz w:val="24"/>
          <w:szCs w:val="24"/>
          <w:lang w:bidi="he-IL"/>
        </w:rPr>
        <w:t>via the</w:t>
      </w:r>
      <w:r>
        <w:rPr>
          <w:rFonts w:asciiTheme="minorBidi" w:hAnsiTheme="minorBidi"/>
          <w:sz w:val="24"/>
          <w:szCs w:val="24"/>
          <w:lang w:bidi="he-IL"/>
        </w:rPr>
        <w:t xml:space="preserve"> eGFR and UACR according to the KDIGO classification [5]. Transitions between KDIGO categories at the end of the follow-up were analyzed. For each participant,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 xml:space="preserve">follow-up KDIGO category was defined as the last available measurements of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 xml:space="preserve">eGFR and UACR. When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 xml:space="preserve">eGFR and UACR were not measured on the same date, values obtained within ±90 days were paired for risk classification. For participants whose final follow-up category represented deterioration or regression, </w:t>
      </w:r>
      <w:r>
        <w:rPr>
          <w:rFonts w:ascii="Times New Roman" w:eastAsia="Apis For Office" w:hAnsi="Times New Roman" w:cs="Times New Roman"/>
          <w:sz w:val="24"/>
          <w:szCs w:val="24"/>
          <w:lang w:bidi="he-IL"/>
        </w:rPr>
        <w:t xml:space="preserve">the </w:t>
      </w:r>
      <w:r>
        <w:rPr>
          <w:rFonts w:asciiTheme="minorBidi" w:hAnsiTheme="minorBidi"/>
          <w:sz w:val="24"/>
          <w:szCs w:val="24"/>
          <w:lang w:bidi="he-IL"/>
        </w:rPr>
        <w:t xml:space="preserve">time to transition was defined as the first date on which that final category was reached. KDIGO categories were treated as ordinal outcomes, such that progression to a given category included all transitions to that category or to a more severe category, as appropriate. Transition rates across KDIGO categories were analyzed </w:t>
      </w:r>
      <w:r>
        <w:rPr>
          <w:rFonts w:ascii="Times New Roman" w:eastAsia="Apis For Office" w:hAnsi="Times New Roman" w:cs="Times New Roman"/>
          <w:sz w:val="24"/>
          <w:szCs w:val="24"/>
          <w:lang w:bidi="he-IL"/>
        </w:rPr>
        <w:t>via</w:t>
      </w:r>
      <w:r>
        <w:rPr>
          <w:rFonts w:asciiTheme="minorBidi" w:hAnsiTheme="minorBidi"/>
          <w:sz w:val="24"/>
          <w:szCs w:val="24"/>
          <w:lang w:bidi="he-IL"/>
        </w:rPr>
        <w:t xml:space="preserve"> Cox proportional hazards models.</w:t>
      </w:r>
      <w:r w:rsidR="003309A6">
        <w:rPr>
          <w:rFonts w:asciiTheme="minorBidi" w:hAnsiTheme="minorBidi"/>
          <w:sz w:val="24"/>
          <w:szCs w:val="24"/>
          <w:lang w:bidi="he-IL"/>
        </w:rPr>
        <w:t xml:space="preserve"> </w:t>
      </w:r>
      <w:r w:rsidRPr="00181AEF">
        <w:rPr>
          <w:rFonts w:asciiTheme="minorBidi" w:hAnsiTheme="minorBidi"/>
          <w:sz w:val="24"/>
          <w:szCs w:val="24"/>
          <w:lang w:bidi="he-IL"/>
        </w:rPr>
        <w:t>Death was included as a component of deterioration outcomes to avoid treating death as noninformative censoring.</w:t>
      </w:r>
    </w:p>
    <w:p w14:paraId="6C3CDDDD" w14:textId="0F47672D" w:rsidR="008C773D" w:rsidRPr="008C773D" w:rsidRDefault="00AE1670" w:rsidP="00270ACF">
      <w:pPr>
        <w:spacing w:line="480" w:lineRule="auto"/>
        <w:rPr>
          <w:rFonts w:asciiTheme="minorBidi" w:hAnsiTheme="minorBidi"/>
          <w:b/>
          <w:bCs/>
          <w:sz w:val="24"/>
          <w:szCs w:val="24"/>
          <w:lang w:bidi="he-IL"/>
        </w:rPr>
      </w:pPr>
      <w:r w:rsidRPr="00AE1670">
        <w:rPr>
          <w:rFonts w:asciiTheme="minorBidi" w:hAnsiTheme="minorBidi"/>
          <w:b/>
          <w:bCs/>
          <w:sz w:val="24"/>
          <w:szCs w:val="24"/>
          <w:lang w:bidi="he-IL"/>
        </w:rPr>
        <w:t>Exploratory joint subgroup analysis by baseline HbA1c and diabetes duration</w:t>
      </w:r>
    </w:p>
    <w:p w14:paraId="4385FA91" w14:textId="766842CF" w:rsidR="00AE1670" w:rsidRPr="00E57C5E" w:rsidRDefault="008C773D" w:rsidP="00E57C5E">
      <w:pPr>
        <w:spacing w:line="480" w:lineRule="auto"/>
        <w:rPr>
          <w:rFonts w:asciiTheme="minorBidi" w:hAnsiTheme="minorBidi"/>
          <w:sz w:val="24"/>
          <w:szCs w:val="24"/>
          <w:lang w:bidi="he-IL"/>
        </w:rPr>
      </w:pPr>
      <w:r w:rsidRPr="008C773D">
        <w:rPr>
          <w:rFonts w:asciiTheme="minorBidi" w:hAnsiTheme="minorBidi"/>
          <w:sz w:val="24"/>
          <w:szCs w:val="24"/>
          <w:lang w:bidi="he-IL"/>
        </w:rPr>
        <w:lastRenderedPageBreak/>
        <w:t>In an exploratory analysis, treatment effects were examined across eight jointly defined strata of baseline HbA1c (&lt;7% vs ≥7%) and diabetes duration (&lt;5, 5–&lt;10, 10–&lt;15, ≥15 years), using a single Cox model including a three-way interaction between treatment assignment, HbA1c category and diabetes duration category. Stratum-specific HRs were derived from this model, and the three-way interaction term was tested to assess whether effect modification by HbA1c differed by diabetes duration.</w:t>
      </w:r>
    </w:p>
    <w:p w14:paraId="55888C0B" w14:textId="77777777" w:rsidR="00622F70" w:rsidRPr="00A25BE7" w:rsidRDefault="00622F70" w:rsidP="00823A77">
      <w:pPr>
        <w:pStyle w:val="Heading2"/>
        <w:spacing w:line="480" w:lineRule="auto"/>
        <w:rPr>
          <w:rFonts w:asciiTheme="majorBidi" w:hAnsiTheme="majorBidi"/>
          <w:lang w:bidi="he-IL"/>
        </w:rPr>
      </w:pPr>
      <w:r w:rsidRPr="00A25BE7">
        <w:rPr>
          <w:rFonts w:asciiTheme="majorBidi" w:hAnsiTheme="majorBidi"/>
          <w:lang w:bidi="he-IL"/>
        </w:rPr>
        <w:t>S4. Statistical power estimation</w:t>
      </w:r>
    </w:p>
    <w:p w14:paraId="72715444" w14:textId="06A027E2" w:rsidR="00622F70" w:rsidRPr="003920C0" w:rsidRDefault="00622F70" w:rsidP="00823A77">
      <w:pPr>
        <w:spacing w:line="480" w:lineRule="auto"/>
        <w:rPr>
          <w:rFonts w:asciiTheme="minorBidi" w:hAnsiTheme="minorBidi"/>
          <w:sz w:val="24"/>
          <w:szCs w:val="24"/>
          <w:lang w:bidi="he-IL"/>
        </w:rPr>
      </w:pPr>
      <w:r w:rsidRPr="003920C0">
        <w:rPr>
          <w:rFonts w:asciiTheme="minorBidi" w:hAnsiTheme="minorBidi"/>
          <w:sz w:val="24"/>
          <w:szCs w:val="24"/>
          <w:lang w:bidi="he-IL"/>
        </w:rPr>
        <w:t>The feasibility assessment of the MHS database revealed that approximately 30,000 semaglutide initiators and 11,000 DPP4i initiators met the initial inclusion criteria between August 2019 and August 2024. Sample size assumptions are based on a retrospective study from the same database comparing kidney outcomes between SGLT2i and DPP4i cohorts [2</w:t>
      </w:r>
      <w:r w:rsidR="00587C68">
        <w:rPr>
          <w:rFonts w:asciiTheme="minorBidi" w:hAnsiTheme="minorBidi"/>
          <w:sz w:val="24"/>
          <w:szCs w:val="24"/>
          <w:lang w:bidi="he-IL"/>
        </w:rPr>
        <w:t>8</w:t>
      </w:r>
      <w:r w:rsidRPr="003920C0">
        <w:rPr>
          <w:rFonts w:asciiTheme="minorBidi" w:hAnsiTheme="minorBidi"/>
          <w:sz w:val="24"/>
          <w:szCs w:val="24"/>
          <w:lang w:bidi="he-IL"/>
        </w:rPr>
        <w:t>]. In the subpopulation without evident renal disease, the cumulative incidence of the composite outcome (eGFR decline ≥40%, kidney failure, and all-cause death) was ~6.0% in the DPP4i group after 5 years.</w:t>
      </w:r>
    </w:p>
    <w:p w14:paraId="00BA9F7B" w14:textId="69076C2B" w:rsidR="00622F70" w:rsidRPr="003920C0" w:rsidRDefault="00622F70" w:rsidP="00622F70">
      <w:pPr>
        <w:spacing w:line="480" w:lineRule="auto"/>
        <w:rPr>
          <w:rFonts w:asciiTheme="minorBidi" w:hAnsiTheme="minorBidi"/>
          <w:sz w:val="24"/>
          <w:szCs w:val="24"/>
          <w:lang w:bidi="he-IL"/>
        </w:rPr>
      </w:pPr>
      <w:r w:rsidRPr="003920C0">
        <w:rPr>
          <w:rFonts w:asciiTheme="minorBidi" w:hAnsiTheme="minorBidi"/>
          <w:sz w:val="24"/>
          <w:szCs w:val="24"/>
          <w:lang w:bidi="he-IL"/>
        </w:rPr>
        <w:t>Our study incorporates an expanded composite outcome including an eGFR decline ≥30%, new-onset or worsening albuminuria, kidney failure, and all-cause death. In a European cohort of screen-detected type 2 diabetes patients, 15% developed new albuminuria over 5.3 years [2</w:t>
      </w:r>
      <w:r w:rsidR="00587C68">
        <w:rPr>
          <w:rFonts w:asciiTheme="minorBidi" w:hAnsiTheme="minorBidi"/>
          <w:sz w:val="24"/>
          <w:szCs w:val="24"/>
          <w:lang w:bidi="he-IL"/>
        </w:rPr>
        <w:t>9</w:t>
      </w:r>
      <w:r w:rsidRPr="003920C0">
        <w:rPr>
          <w:rFonts w:asciiTheme="minorBidi" w:hAnsiTheme="minorBidi"/>
          <w:sz w:val="24"/>
          <w:szCs w:val="24"/>
          <w:lang w:bidi="he-IL"/>
        </w:rPr>
        <w:t xml:space="preserve">]. Adjusting for the assumed shorter follow-up period and accounting for time-to-first-event censoring, where albuminuria progression and 30% eGFR decline often precede the harder outcomes of kidney failure or death, we conservatively estimated a composite </w:t>
      </w:r>
      <w:r w:rsidRPr="003920C0">
        <w:rPr>
          <w:rFonts w:asciiTheme="minorBidi" w:hAnsiTheme="minorBidi"/>
          <w:sz w:val="24"/>
          <w:szCs w:val="24"/>
          <w:lang w:bidi="he-IL"/>
        </w:rPr>
        <w:lastRenderedPageBreak/>
        <w:t>event rate of approximately 10–12% in the DPP4i group among patients at low to moderate KDIGO risk.</w:t>
      </w:r>
    </w:p>
    <w:p w14:paraId="1284DF05" w14:textId="77777777" w:rsidR="00622F70" w:rsidRPr="003920C0" w:rsidRDefault="00622F70" w:rsidP="00622F70">
      <w:pPr>
        <w:spacing w:line="480" w:lineRule="auto"/>
        <w:rPr>
          <w:rFonts w:asciiTheme="minorBidi" w:hAnsiTheme="minorBidi"/>
          <w:sz w:val="24"/>
          <w:szCs w:val="24"/>
          <w:lang w:bidi="he-IL"/>
        </w:rPr>
      </w:pPr>
      <w:r w:rsidRPr="003920C0">
        <w:rPr>
          <w:rFonts w:asciiTheme="minorBidi" w:hAnsiTheme="minorBidi"/>
          <w:sz w:val="24"/>
          <w:szCs w:val="24"/>
          <w:lang w:bidi="he-IL"/>
        </w:rPr>
        <w:t>With this event rate, the required sample sizes per group are as follows:</w:t>
      </w:r>
    </w:p>
    <w:p w14:paraId="0E6C722D" w14:textId="77777777" w:rsidR="00622F70" w:rsidRPr="003920C0" w:rsidRDefault="00622F70" w:rsidP="00622F70">
      <w:pPr>
        <w:spacing w:line="480" w:lineRule="auto"/>
        <w:rPr>
          <w:rFonts w:asciiTheme="minorBidi" w:hAnsiTheme="minorBidi"/>
          <w:sz w:val="24"/>
          <w:szCs w:val="24"/>
          <w:lang w:bidi="he-IL"/>
        </w:rPr>
      </w:pPr>
      <w:r w:rsidRPr="003920C0">
        <w:rPr>
          <w:rFonts w:asciiTheme="minorBidi" w:hAnsiTheme="minorBidi"/>
          <w:sz w:val="24"/>
          <w:szCs w:val="24"/>
          <w:lang w:bidi="he-IL"/>
        </w:rPr>
        <w:t>to detect 15% risk reduction (HR 0.85): approximately 3,200–3,600 participants per group</w:t>
      </w:r>
    </w:p>
    <w:p w14:paraId="7164DF88" w14:textId="77777777" w:rsidR="00622F70" w:rsidRPr="003920C0" w:rsidRDefault="00622F70" w:rsidP="00622F70">
      <w:pPr>
        <w:spacing w:line="480" w:lineRule="auto"/>
        <w:rPr>
          <w:rFonts w:asciiTheme="minorBidi" w:hAnsiTheme="minorBidi"/>
          <w:sz w:val="24"/>
          <w:szCs w:val="24"/>
          <w:lang w:bidi="he-IL"/>
        </w:rPr>
      </w:pPr>
      <w:r w:rsidRPr="003920C0">
        <w:rPr>
          <w:rFonts w:asciiTheme="minorBidi" w:hAnsiTheme="minorBidi"/>
          <w:sz w:val="24"/>
          <w:szCs w:val="24"/>
          <w:lang w:bidi="he-IL"/>
        </w:rPr>
        <w:t>to detect 20% risk reduction (HR 0.80): approximately 1,800–2,000 participants per group</w:t>
      </w:r>
    </w:p>
    <w:p w14:paraId="45E048EC" w14:textId="77777777" w:rsidR="00622F70" w:rsidRPr="003920C0" w:rsidRDefault="00622F70" w:rsidP="00622F70">
      <w:pPr>
        <w:spacing w:line="480" w:lineRule="auto"/>
        <w:rPr>
          <w:rFonts w:asciiTheme="minorBidi" w:hAnsiTheme="minorBidi"/>
          <w:sz w:val="24"/>
          <w:szCs w:val="24"/>
          <w:lang w:bidi="he-IL"/>
        </w:rPr>
      </w:pPr>
      <w:r w:rsidRPr="003920C0">
        <w:rPr>
          <w:rFonts w:asciiTheme="minorBidi" w:hAnsiTheme="minorBidi"/>
          <w:sz w:val="24"/>
          <w:szCs w:val="24"/>
          <w:lang w:bidi="he-IL"/>
        </w:rPr>
        <w:t>(80% power, α=0.05, two-sided)</w:t>
      </w:r>
    </w:p>
    <w:p w14:paraId="485A662B" w14:textId="77777777" w:rsidR="00622F70" w:rsidRPr="009644C1" w:rsidRDefault="00622F70" w:rsidP="00622F70">
      <w:pPr>
        <w:spacing w:line="480" w:lineRule="auto"/>
        <w:rPr>
          <w:rFonts w:asciiTheme="minorBidi" w:hAnsiTheme="minorBidi"/>
          <w:sz w:val="24"/>
          <w:szCs w:val="24"/>
          <w:lang w:bidi="he-IL"/>
        </w:rPr>
      </w:pPr>
      <w:r w:rsidRPr="003920C0">
        <w:rPr>
          <w:rFonts w:asciiTheme="minorBidi" w:hAnsiTheme="minorBidi"/>
          <w:sz w:val="24"/>
          <w:szCs w:val="24"/>
          <w:lang w:bidi="he-IL"/>
        </w:rPr>
        <w:t>The available sample of ~30,000 semaglutide and &gt;10,000 DPP4i initiators (before being restricted to low to moderate KDIGO risk categories and 1:1 matching) was anticipated to provide adequate power to detect a 15–20% risk reduction in the composite kidney outcome, representing a clinically meaningful difference.</w:t>
      </w:r>
    </w:p>
    <w:p w14:paraId="4F0E50B1" w14:textId="77777777" w:rsidR="00622F70" w:rsidRPr="00A25BE7" w:rsidRDefault="00622F70" w:rsidP="00823A77">
      <w:pPr>
        <w:pStyle w:val="Heading2"/>
        <w:spacing w:line="480" w:lineRule="auto"/>
        <w:rPr>
          <w:rFonts w:asciiTheme="majorBidi" w:hAnsiTheme="majorBidi"/>
          <w:lang w:bidi="he-IL"/>
        </w:rPr>
      </w:pPr>
      <w:r w:rsidRPr="00A25BE7">
        <w:rPr>
          <w:rFonts w:asciiTheme="majorBidi" w:hAnsiTheme="majorBidi"/>
          <w:lang w:bidi="he-IL"/>
        </w:rPr>
        <w:t>S5. Software statement</w:t>
      </w:r>
    </w:p>
    <w:p w14:paraId="0F1B9057" w14:textId="763A5CCD" w:rsidR="00622F70" w:rsidRPr="008B797D" w:rsidRDefault="00622F70" w:rsidP="00823A77">
      <w:pPr>
        <w:spacing w:line="480" w:lineRule="auto"/>
        <w:rPr>
          <w:lang w:bidi="he-IL"/>
        </w:rPr>
      </w:pPr>
      <w:r w:rsidRPr="0096009C">
        <w:rPr>
          <w:rFonts w:asciiTheme="minorBidi" w:hAnsiTheme="minorBidi"/>
          <w:sz w:val="24"/>
          <w:szCs w:val="24"/>
          <w:lang w:bidi="he-IL"/>
        </w:rPr>
        <w:t xml:space="preserve">Statistical analyses and preparation of tables and figures were performed </w:t>
      </w:r>
      <w:r w:rsidR="00E1555D">
        <w:rPr>
          <w:rFonts w:asciiTheme="minorBidi" w:hAnsiTheme="minorBidi"/>
          <w:sz w:val="24"/>
          <w:szCs w:val="24"/>
          <w:lang w:bidi="he-IL"/>
        </w:rPr>
        <w:t>via</w:t>
      </w:r>
      <w:r w:rsidRPr="0096009C">
        <w:rPr>
          <w:rFonts w:asciiTheme="minorBidi" w:hAnsiTheme="minorBidi"/>
          <w:sz w:val="24"/>
          <w:szCs w:val="24"/>
          <w:lang w:bidi="he-IL"/>
        </w:rPr>
        <w:t xml:space="preserve"> R version 4.5.0. The R packages used, with their versions, were car (3.1.3), CBPS (0.23), </w:t>
      </w:r>
      <w:proofErr w:type="spellStart"/>
      <w:r w:rsidRPr="0096009C">
        <w:rPr>
          <w:rFonts w:asciiTheme="minorBidi" w:hAnsiTheme="minorBidi"/>
          <w:sz w:val="24"/>
          <w:szCs w:val="24"/>
          <w:lang w:bidi="he-IL"/>
        </w:rPr>
        <w:t>corrplot</w:t>
      </w:r>
      <w:proofErr w:type="spellEnd"/>
      <w:r w:rsidRPr="0096009C">
        <w:rPr>
          <w:rFonts w:asciiTheme="minorBidi" w:hAnsiTheme="minorBidi"/>
          <w:sz w:val="24"/>
          <w:szCs w:val="24"/>
          <w:lang w:bidi="he-IL"/>
        </w:rPr>
        <w:t xml:space="preserve"> (0.</w:t>
      </w:r>
      <w:r w:rsidR="009D0AE3">
        <w:rPr>
          <w:rFonts w:asciiTheme="minorBidi" w:hAnsiTheme="minorBidi"/>
          <w:sz w:val="24"/>
          <w:szCs w:val="24"/>
          <w:lang w:bidi="he-IL"/>
        </w:rPr>
        <w:t>0.</w:t>
      </w:r>
      <w:r w:rsidRPr="0096009C">
        <w:rPr>
          <w:rFonts w:asciiTheme="minorBidi" w:hAnsiTheme="minorBidi"/>
          <w:sz w:val="24"/>
          <w:szCs w:val="24"/>
          <w:lang w:bidi="he-IL"/>
        </w:rPr>
        <w:t xml:space="preserve">95), </w:t>
      </w:r>
      <w:proofErr w:type="spellStart"/>
      <w:r w:rsidRPr="0096009C">
        <w:rPr>
          <w:rFonts w:asciiTheme="minorBidi" w:hAnsiTheme="minorBidi"/>
          <w:sz w:val="24"/>
          <w:szCs w:val="24"/>
          <w:lang w:bidi="he-IL"/>
        </w:rPr>
        <w:t>DataExplorer</w:t>
      </w:r>
      <w:proofErr w:type="spellEnd"/>
      <w:r w:rsidRPr="0096009C">
        <w:rPr>
          <w:rFonts w:asciiTheme="minorBidi" w:hAnsiTheme="minorBidi"/>
          <w:sz w:val="24"/>
          <w:szCs w:val="24"/>
          <w:lang w:bidi="he-IL"/>
        </w:rPr>
        <w:t xml:space="preserve"> (0.8.4), DT (0.34.0), </w:t>
      </w:r>
      <w:proofErr w:type="spellStart"/>
      <w:r w:rsidRPr="0096009C">
        <w:rPr>
          <w:rFonts w:asciiTheme="minorBidi" w:hAnsiTheme="minorBidi"/>
          <w:sz w:val="24"/>
          <w:szCs w:val="24"/>
          <w:lang w:bidi="he-IL"/>
        </w:rPr>
        <w:t>dtrackr</w:t>
      </w:r>
      <w:proofErr w:type="spellEnd"/>
      <w:r w:rsidRPr="0096009C">
        <w:rPr>
          <w:rFonts w:asciiTheme="minorBidi" w:hAnsiTheme="minorBidi"/>
          <w:sz w:val="24"/>
          <w:szCs w:val="24"/>
          <w:lang w:bidi="he-IL"/>
        </w:rPr>
        <w:t xml:space="preserve"> (0.5.0), </w:t>
      </w:r>
      <w:proofErr w:type="spellStart"/>
      <w:r w:rsidRPr="0096009C">
        <w:rPr>
          <w:rFonts w:asciiTheme="minorBidi" w:hAnsiTheme="minorBidi"/>
          <w:sz w:val="24"/>
          <w:szCs w:val="24"/>
          <w:lang w:bidi="he-IL"/>
        </w:rPr>
        <w:t>emmeans</w:t>
      </w:r>
      <w:proofErr w:type="spellEnd"/>
      <w:r w:rsidRPr="0096009C">
        <w:rPr>
          <w:rFonts w:asciiTheme="minorBidi" w:hAnsiTheme="minorBidi"/>
          <w:sz w:val="24"/>
          <w:szCs w:val="24"/>
          <w:lang w:bidi="he-IL"/>
        </w:rPr>
        <w:t xml:space="preserve"> (2.0.2), </w:t>
      </w:r>
      <w:proofErr w:type="spellStart"/>
      <w:r w:rsidRPr="0096009C">
        <w:rPr>
          <w:rFonts w:asciiTheme="minorBidi" w:hAnsiTheme="minorBidi"/>
          <w:sz w:val="24"/>
          <w:szCs w:val="24"/>
          <w:lang w:bidi="he-IL"/>
        </w:rPr>
        <w:t>forestploter</w:t>
      </w:r>
      <w:proofErr w:type="spellEnd"/>
      <w:r w:rsidRPr="0096009C">
        <w:rPr>
          <w:rFonts w:asciiTheme="minorBidi" w:hAnsiTheme="minorBidi"/>
          <w:sz w:val="24"/>
          <w:szCs w:val="24"/>
          <w:lang w:bidi="he-IL"/>
        </w:rPr>
        <w:t xml:space="preserve"> (1.1.3), </w:t>
      </w:r>
      <w:proofErr w:type="spellStart"/>
      <w:r w:rsidRPr="0096009C">
        <w:rPr>
          <w:rFonts w:asciiTheme="minorBidi" w:hAnsiTheme="minorBidi"/>
          <w:sz w:val="24"/>
          <w:szCs w:val="24"/>
          <w:lang w:bidi="he-IL"/>
        </w:rPr>
        <w:t>ggsurvfit</w:t>
      </w:r>
      <w:proofErr w:type="spellEnd"/>
      <w:r w:rsidRPr="0096009C">
        <w:rPr>
          <w:rFonts w:asciiTheme="minorBidi" w:hAnsiTheme="minorBidi"/>
          <w:sz w:val="24"/>
          <w:szCs w:val="24"/>
          <w:lang w:bidi="he-IL"/>
        </w:rPr>
        <w:t xml:space="preserve"> (1.2.0), grid (4.5.0), </w:t>
      </w:r>
      <w:proofErr w:type="spellStart"/>
      <w:r w:rsidRPr="0096009C">
        <w:rPr>
          <w:rFonts w:asciiTheme="minorBidi" w:hAnsiTheme="minorBidi"/>
          <w:sz w:val="24"/>
          <w:szCs w:val="24"/>
          <w:lang w:bidi="he-IL"/>
        </w:rPr>
        <w:t>gt</w:t>
      </w:r>
      <w:proofErr w:type="spellEnd"/>
      <w:r w:rsidRPr="0096009C">
        <w:rPr>
          <w:rFonts w:asciiTheme="minorBidi" w:hAnsiTheme="minorBidi"/>
          <w:sz w:val="24"/>
          <w:szCs w:val="24"/>
          <w:lang w:bidi="he-IL"/>
        </w:rPr>
        <w:t xml:space="preserve"> (1.1.0), </w:t>
      </w:r>
      <w:proofErr w:type="spellStart"/>
      <w:r w:rsidRPr="0096009C">
        <w:rPr>
          <w:rFonts w:asciiTheme="minorBidi" w:hAnsiTheme="minorBidi"/>
          <w:sz w:val="24"/>
          <w:szCs w:val="24"/>
          <w:lang w:bidi="he-IL"/>
        </w:rPr>
        <w:t>gtsummary</w:t>
      </w:r>
      <w:proofErr w:type="spellEnd"/>
      <w:r w:rsidRPr="0096009C">
        <w:rPr>
          <w:rFonts w:asciiTheme="minorBidi" w:hAnsiTheme="minorBidi"/>
          <w:sz w:val="24"/>
          <w:szCs w:val="24"/>
          <w:lang w:bidi="he-IL"/>
        </w:rPr>
        <w:t xml:space="preserve"> (2.4.0), here (1.0.2), </w:t>
      </w:r>
      <w:proofErr w:type="spellStart"/>
      <w:r w:rsidRPr="0096009C">
        <w:rPr>
          <w:rFonts w:asciiTheme="minorBidi" w:hAnsiTheme="minorBidi"/>
          <w:sz w:val="24"/>
          <w:szCs w:val="24"/>
          <w:lang w:bidi="he-IL"/>
        </w:rPr>
        <w:t>htmltools</w:t>
      </w:r>
      <w:proofErr w:type="spellEnd"/>
      <w:r w:rsidRPr="0096009C">
        <w:rPr>
          <w:rFonts w:asciiTheme="minorBidi" w:hAnsiTheme="minorBidi"/>
          <w:sz w:val="24"/>
          <w:szCs w:val="24"/>
          <w:lang w:bidi="he-IL"/>
        </w:rPr>
        <w:t xml:space="preserve"> (0.5.8.1), janitor (2.2.1), </w:t>
      </w:r>
      <w:proofErr w:type="spellStart"/>
      <w:r w:rsidRPr="0096009C">
        <w:rPr>
          <w:rFonts w:asciiTheme="minorBidi" w:hAnsiTheme="minorBidi"/>
          <w:sz w:val="24"/>
          <w:szCs w:val="24"/>
          <w:lang w:bidi="he-IL"/>
        </w:rPr>
        <w:t>kableExtra</w:t>
      </w:r>
      <w:proofErr w:type="spellEnd"/>
      <w:r w:rsidRPr="0096009C">
        <w:rPr>
          <w:rFonts w:asciiTheme="minorBidi" w:hAnsiTheme="minorBidi"/>
          <w:sz w:val="24"/>
          <w:szCs w:val="24"/>
          <w:lang w:bidi="he-IL"/>
        </w:rPr>
        <w:t xml:space="preserve"> (1.4.0), </w:t>
      </w:r>
      <w:proofErr w:type="spellStart"/>
      <w:r w:rsidRPr="0096009C">
        <w:rPr>
          <w:rFonts w:asciiTheme="minorBidi" w:hAnsiTheme="minorBidi"/>
          <w:sz w:val="24"/>
          <w:szCs w:val="24"/>
          <w:lang w:bidi="he-IL"/>
        </w:rPr>
        <w:t>knitr</w:t>
      </w:r>
      <w:proofErr w:type="spellEnd"/>
      <w:r w:rsidRPr="0096009C">
        <w:rPr>
          <w:rFonts w:asciiTheme="minorBidi" w:hAnsiTheme="minorBidi"/>
          <w:sz w:val="24"/>
          <w:szCs w:val="24"/>
          <w:lang w:bidi="he-IL"/>
        </w:rPr>
        <w:t xml:space="preserve"> (1.50), </w:t>
      </w:r>
      <w:proofErr w:type="spellStart"/>
      <w:r w:rsidRPr="0096009C">
        <w:rPr>
          <w:rFonts w:asciiTheme="minorBidi" w:hAnsiTheme="minorBidi"/>
          <w:sz w:val="24"/>
          <w:szCs w:val="24"/>
          <w:lang w:bidi="he-IL"/>
        </w:rPr>
        <w:t>MatchIt</w:t>
      </w:r>
      <w:proofErr w:type="spellEnd"/>
      <w:r w:rsidRPr="0096009C">
        <w:rPr>
          <w:rFonts w:asciiTheme="minorBidi" w:hAnsiTheme="minorBidi"/>
          <w:sz w:val="24"/>
          <w:szCs w:val="24"/>
          <w:lang w:bidi="he-IL"/>
        </w:rPr>
        <w:t xml:space="preserve"> (4.7.2), mice (3.19.0), patchwork (1.3.2), </w:t>
      </w:r>
      <w:proofErr w:type="spellStart"/>
      <w:r w:rsidRPr="0096009C">
        <w:rPr>
          <w:rFonts w:asciiTheme="minorBidi" w:hAnsiTheme="minorBidi"/>
          <w:sz w:val="24"/>
          <w:szCs w:val="24"/>
          <w:lang w:bidi="he-IL"/>
        </w:rPr>
        <w:t>RColorBrewer</w:t>
      </w:r>
      <w:proofErr w:type="spellEnd"/>
      <w:r w:rsidRPr="0096009C">
        <w:rPr>
          <w:rFonts w:asciiTheme="minorBidi" w:hAnsiTheme="minorBidi"/>
          <w:sz w:val="24"/>
          <w:szCs w:val="24"/>
          <w:lang w:bidi="he-IL"/>
        </w:rPr>
        <w:t xml:space="preserve"> (1.1.3), </w:t>
      </w:r>
      <w:proofErr w:type="spellStart"/>
      <w:r w:rsidRPr="0096009C">
        <w:rPr>
          <w:rFonts w:asciiTheme="minorBidi" w:hAnsiTheme="minorBidi"/>
          <w:sz w:val="24"/>
          <w:szCs w:val="24"/>
          <w:lang w:bidi="he-IL"/>
        </w:rPr>
        <w:t>renv</w:t>
      </w:r>
      <w:proofErr w:type="spellEnd"/>
      <w:r w:rsidRPr="0096009C">
        <w:rPr>
          <w:rFonts w:asciiTheme="minorBidi" w:hAnsiTheme="minorBidi"/>
          <w:sz w:val="24"/>
          <w:szCs w:val="24"/>
          <w:lang w:bidi="he-IL"/>
        </w:rPr>
        <w:t xml:space="preserve"> (1.1.5), </w:t>
      </w:r>
      <w:proofErr w:type="spellStart"/>
      <w:r w:rsidRPr="0096009C">
        <w:rPr>
          <w:rFonts w:asciiTheme="minorBidi" w:hAnsiTheme="minorBidi"/>
          <w:sz w:val="24"/>
          <w:szCs w:val="24"/>
          <w:lang w:bidi="he-IL"/>
        </w:rPr>
        <w:t>rmarkdown</w:t>
      </w:r>
      <w:proofErr w:type="spellEnd"/>
      <w:r w:rsidRPr="0096009C">
        <w:rPr>
          <w:rFonts w:asciiTheme="minorBidi" w:hAnsiTheme="minorBidi"/>
          <w:sz w:val="24"/>
          <w:szCs w:val="24"/>
          <w:lang w:bidi="he-IL"/>
        </w:rPr>
        <w:t xml:space="preserve"> (2.30), scales (1.4.0), </w:t>
      </w:r>
      <w:proofErr w:type="spellStart"/>
      <w:r w:rsidRPr="0096009C">
        <w:rPr>
          <w:rFonts w:asciiTheme="minorBidi" w:hAnsiTheme="minorBidi"/>
          <w:sz w:val="24"/>
          <w:szCs w:val="24"/>
          <w:lang w:bidi="he-IL"/>
        </w:rPr>
        <w:t>sessioninfo</w:t>
      </w:r>
      <w:proofErr w:type="spellEnd"/>
      <w:r w:rsidRPr="0096009C">
        <w:rPr>
          <w:rFonts w:asciiTheme="minorBidi" w:hAnsiTheme="minorBidi"/>
          <w:sz w:val="24"/>
          <w:szCs w:val="24"/>
          <w:lang w:bidi="he-IL"/>
        </w:rPr>
        <w:t xml:space="preserve"> (1.2.3), </w:t>
      </w:r>
      <w:proofErr w:type="spellStart"/>
      <w:r w:rsidRPr="0096009C">
        <w:rPr>
          <w:rFonts w:asciiTheme="minorBidi" w:hAnsiTheme="minorBidi"/>
          <w:sz w:val="24"/>
          <w:szCs w:val="24"/>
          <w:lang w:bidi="he-IL"/>
        </w:rPr>
        <w:t>SmartEDA</w:t>
      </w:r>
      <w:proofErr w:type="spellEnd"/>
      <w:r w:rsidRPr="0096009C">
        <w:rPr>
          <w:rFonts w:asciiTheme="minorBidi" w:hAnsiTheme="minorBidi"/>
          <w:sz w:val="24"/>
          <w:szCs w:val="24"/>
          <w:lang w:bidi="he-IL"/>
        </w:rPr>
        <w:t xml:space="preserve"> (0.3.10), </w:t>
      </w:r>
      <w:proofErr w:type="spellStart"/>
      <w:r w:rsidRPr="0096009C">
        <w:rPr>
          <w:rFonts w:asciiTheme="minorBidi" w:hAnsiTheme="minorBidi"/>
          <w:sz w:val="24"/>
          <w:szCs w:val="24"/>
          <w:lang w:bidi="he-IL"/>
        </w:rPr>
        <w:t>snakecase</w:t>
      </w:r>
      <w:proofErr w:type="spellEnd"/>
      <w:r w:rsidRPr="0096009C">
        <w:rPr>
          <w:rFonts w:asciiTheme="minorBidi" w:hAnsiTheme="minorBidi"/>
          <w:sz w:val="24"/>
          <w:szCs w:val="24"/>
          <w:lang w:bidi="he-IL"/>
        </w:rPr>
        <w:t xml:space="preserve"> (0.11.1), survival (3.8.3), </w:t>
      </w:r>
      <w:proofErr w:type="spellStart"/>
      <w:r w:rsidRPr="0096009C">
        <w:rPr>
          <w:rFonts w:asciiTheme="minorBidi" w:hAnsiTheme="minorBidi"/>
          <w:sz w:val="24"/>
          <w:szCs w:val="24"/>
          <w:lang w:bidi="he-IL"/>
        </w:rPr>
        <w:t>survminer</w:t>
      </w:r>
      <w:proofErr w:type="spellEnd"/>
      <w:r w:rsidRPr="0096009C">
        <w:rPr>
          <w:rFonts w:asciiTheme="minorBidi" w:hAnsiTheme="minorBidi"/>
          <w:sz w:val="24"/>
          <w:szCs w:val="24"/>
          <w:lang w:bidi="he-IL"/>
        </w:rPr>
        <w:t xml:space="preserve"> (0.5.1), </w:t>
      </w:r>
      <w:proofErr w:type="spellStart"/>
      <w:r w:rsidRPr="0096009C">
        <w:rPr>
          <w:rFonts w:asciiTheme="minorBidi" w:hAnsiTheme="minorBidi"/>
          <w:sz w:val="24"/>
          <w:szCs w:val="24"/>
          <w:lang w:bidi="he-IL"/>
        </w:rPr>
        <w:t>tidycmprsk</w:t>
      </w:r>
      <w:proofErr w:type="spellEnd"/>
      <w:r w:rsidRPr="0096009C">
        <w:rPr>
          <w:rFonts w:asciiTheme="minorBidi" w:hAnsiTheme="minorBidi"/>
          <w:sz w:val="24"/>
          <w:szCs w:val="24"/>
          <w:lang w:bidi="he-IL"/>
        </w:rPr>
        <w:t xml:space="preserve"> (1.1.2), </w:t>
      </w:r>
      <w:proofErr w:type="spellStart"/>
      <w:r w:rsidRPr="0096009C">
        <w:rPr>
          <w:rFonts w:asciiTheme="minorBidi" w:hAnsiTheme="minorBidi"/>
          <w:sz w:val="24"/>
          <w:szCs w:val="24"/>
          <w:lang w:bidi="he-IL"/>
        </w:rPr>
        <w:t>tidyselect</w:t>
      </w:r>
      <w:proofErr w:type="spellEnd"/>
      <w:r w:rsidRPr="0096009C">
        <w:rPr>
          <w:rFonts w:asciiTheme="minorBidi" w:hAnsiTheme="minorBidi"/>
          <w:sz w:val="24"/>
          <w:szCs w:val="24"/>
          <w:lang w:bidi="he-IL"/>
        </w:rPr>
        <w:t xml:space="preserve"> (1.2.1), </w:t>
      </w:r>
      <w:proofErr w:type="spellStart"/>
      <w:r w:rsidRPr="0096009C">
        <w:rPr>
          <w:rFonts w:asciiTheme="minorBidi" w:hAnsiTheme="minorBidi"/>
          <w:sz w:val="24"/>
          <w:szCs w:val="24"/>
          <w:lang w:bidi="he-IL"/>
        </w:rPr>
        <w:t>tidyverse</w:t>
      </w:r>
      <w:proofErr w:type="spellEnd"/>
      <w:r w:rsidRPr="0096009C">
        <w:rPr>
          <w:rFonts w:asciiTheme="minorBidi" w:hAnsiTheme="minorBidi"/>
          <w:sz w:val="24"/>
          <w:szCs w:val="24"/>
          <w:lang w:bidi="he-IL"/>
        </w:rPr>
        <w:t xml:space="preserve"> (2.0.0), validate (1.1.6), </w:t>
      </w:r>
      <w:proofErr w:type="spellStart"/>
      <w:r w:rsidRPr="0096009C">
        <w:rPr>
          <w:rFonts w:asciiTheme="minorBidi" w:hAnsiTheme="minorBidi"/>
          <w:sz w:val="24"/>
          <w:szCs w:val="24"/>
          <w:lang w:bidi="he-IL"/>
        </w:rPr>
        <w:t>withr</w:t>
      </w:r>
      <w:proofErr w:type="spellEnd"/>
      <w:r w:rsidRPr="0096009C">
        <w:rPr>
          <w:rFonts w:asciiTheme="minorBidi" w:hAnsiTheme="minorBidi"/>
          <w:sz w:val="24"/>
          <w:szCs w:val="24"/>
          <w:lang w:bidi="he-IL"/>
        </w:rPr>
        <w:t xml:space="preserve"> (3.0.2), and </w:t>
      </w:r>
      <w:proofErr w:type="spellStart"/>
      <w:r w:rsidRPr="0096009C">
        <w:rPr>
          <w:rFonts w:asciiTheme="minorBidi" w:hAnsiTheme="minorBidi"/>
          <w:sz w:val="24"/>
          <w:szCs w:val="24"/>
          <w:lang w:bidi="he-IL"/>
        </w:rPr>
        <w:t>writexl</w:t>
      </w:r>
      <w:proofErr w:type="spellEnd"/>
      <w:r w:rsidRPr="0096009C">
        <w:rPr>
          <w:rFonts w:asciiTheme="minorBidi" w:hAnsiTheme="minorBidi"/>
          <w:sz w:val="24"/>
          <w:szCs w:val="24"/>
          <w:lang w:bidi="he-IL"/>
        </w:rPr>
        <w:t xml:space="preserve"> (1.5.4).</w:t>
      </w:r>
    </w:p>
    <w:p w14:paraId="634763DC" w14:textId="0D4A2589" w:rsidR="00622F70" w:rsidRPr="00801127" w:rsidRDefault="00622F70" w:rsidP="00801127">
      <w:pPr>
        <w:pStyle w:val="Heading1"/>
        <w:rPr>
          <w:rFonts w:asciiTheme="majorBidi" w:hAnsiTheme="majorBidi"/>
          <w:sz w:val="24"/>
          <w:szCs w:val="24"/>
          <w:lang w:bidi="he-IL"/>
        </w:rPr>
      </w:pPr>
      <w:r w:rsidRPr="008B1D39">
        <w:rPr>
          <w:rFonts w:asciiTheme="majorBidi" w:hAnsiTheme="majorBidi"/>
          <w:sz w:val="24"/>
          <w:szCs w:val="24"/>
          <w:lang w:bidi="he-IL"/>
        </w:rPr>
        <w:lastRenderedPageBreak/>
        <w:t>Supplementary tables</w:t>
      </w:r>
    </w:p>
    <w:p w14:paraId="44CEDB31" w14:textId="77777777" w:rsidR="00622F70" w:rsidRDefault="00622F70" w:rsidP="00427924">
      <w:pPr>
        <w:pStyle w:val="Heading2"/>
        <w:rPr>
          <w:rFonts w:asciiTheme="majorBidi" w:hAnsiTheme="majorBidi"/>
          <w:b w:val="0"/>
          <w:bCs w:val="0"/>
          <w:lang w:bidi="he-IL"/>
        </w:rPr>
      </w:pPr>
      <w:r w:rsidRPr="00427924">
        <w:rPr>
          <w:rFonts w:asciiTheme="majorBidi" w:hAnsiTheme="majorBidi"/>
          <w:lang w:bidi="he-IL"/>
        </w:rPr>
        <w:t xml:space="preserve">Table S1. </w:t>
      </w:r>
      <w:r w:rsidRPr="006D4ED5">
        <w:rPr>
          <w:rFonts w:asciiTheme="majorBidi" w:hAnsiTheme="majorBidi"/>
          <w:b w:val="0"/>
          <w:bCs w:val="0"/>
          <w:lang w:bidi="he-IL"/>
        </w:rPr>
        <w:t>Propensity score model variables</w:t>
      </w:r>
    </w:p>
    <w:p w14:paraId="7DFE7255" w14:textId="77777777" w:rsidR="00BA4ABC" w:rsidRPr="00BA4ABC" w:rsidRDefault="00BA4ABC" w:rsidP="00BA4ABC">
      <w:pPr>
        <w:rPr>
          <w:lang w:val="en-GB" w:bidi="he-IL"/>
        </w:rPr>
      </w:pPr>
    </w:p>
    <w:tbl>
      <w:tblPr>
        <w:tblStyle w:val="TableGrid"/>
        <w:tblW w:w="0" w:type="auto"/>
        <w:tblLook w:val="04A0" w:firstRow="1" w:lastRow="0" w:firstColumn="1" w:lastColumn="0" w:noHBand="0" w:noVBand="1"/>
      </w:tblPr>
      <w:tblGrid>
        <w:gridCol w:w="2875"/>
        <w:gridCol w:w="3210"/>
        <w:gridCol w:w="2931"/>
      </w:tblGrid>
      <w:tr w:rsidR="00622F70" w14:paraId="205B9FAC" w14:textId="77777777" w:rsidTr="009B07AC">
        <w:tc>
          <w:tcPr>
            <w:tcW w:w="2875" w:type="dxa"/>
            <w:tcBorders>
              <w:top w:val="single" w:sz="4" w:space="0" w:color="auto"/>
              <w:left w:val="single" w:sz="4" w:space="0" w:color="auto"/>
              <w:bottom w:val="single" w:sz="4" w:space="0" w:color="auto"/>
              <w:right w:val="single" w:sz="4" w:space="0" w:color="auto"/>
            </w:tcBorders>
            <w:hideMark/>
          </w:tcPr>
          <w:p w14:paraId="4EBBD2B2" w14:textId="77777777" w:rsidR="00622F70" w:rsidRPr="009644C1" w:rsidRDefault="00622F70" w:rsidP="009B07AC">
            <w:pPr>
              <w:rPr>
                <w:rFonts w:asciiTheme="minorBidi" w:hAnsiTheme="minorBidi"/>
                <w:b/>
                <w:bCs/>
                <w:lang w:bidi="he-IL"/>
              </w:rPr>
            </w:pPr>
            <w:r>
              <w:rPr>
                <w:rFonts w:asciiTheme="minorBidi" w:hAnsiTheme="minorBidi"/>
                <w:b/>
                <w:bCs/>
                <w:lang w:bidi="he-IL"/>
              </w:rPr>
              <w:t>Demographic parameters</w:t>
            </w:r>
          </w:p>
        </w:tc>
        <w:tc>
          <w:tcPr>
            <w:tcW w:w="3210" w:type="dxa"/>
            <w:tcBorders>
              <w:top w:val="single" w:sz="4" w:space="0" w:color="auto"/>
              <w:left w:val="single" w:sz="4" w:space="0" w:color="auto"/>
              <w:bottom w:val="single" w:sz="4" w:space="0" w:color="auto"/>
              <w:right w:val="single" w:sz="4" w:space="0" w:color="auto"/>
            </w:tcBorders>
            <w:hideMark/>
          </w:tcPr>
          <w:p w14:paraId="168EE616" w14:textId="77777777" w:rsidR="00622F70" w:rsidRPr="009644C1" w:rsidRDefault="00622F70" w:rsidP="009B07AC">
            <w:pPr>
              <w:rPr>
                <w:rFonts w:asciiTheme="minorBidi" w:hAnsiTheme="minorBidi"/>
                <w:b/>
                <w:bCs/>
                <w:lang w:bidi="he-IL"/>
              </w:rPr>
            </w:pPr>
            <w:r>
              <w:rPr>
                <w:rFonts w:asciiTheme="minorBidi" w:hAnsiTheme="minorBidi"/>
                <w:b/>
                <w:bCs/>
                <w:lang w:bidi="he-IL"/>
              </w:rPr>
              <w:t>Clinical parameters</w:t>
            </w:r>
            <w:r>
              <w:rPr>
                <w:rFonts w:asciiTheme="minorBidi" w:hAnsiTheme="minorBidi"/>
                <w:lang w:bidi="he-IL"/>
              </w:rPr>
              <w:t xml:space="preserve"> </w:t>
            </w:r>
          </w:p>
        </w:tc>
        <w:tc>
          <w:tcPr>
            <w:tcW w:w="2931" w:type="dxa"/>
            <w:tcBorders>
              <w:top w:val="single" w:sz="4" w:space="0" w:color="auto"/>
              <w:left w:val="single" w:sz="4" w:space="0" w:color="auto"/>
              <w:bottom w:val="single" w:sz="4" w:space="0" w:color="auto"/>
              <w:right w:val="single" w:sz="4" w:space="0" w:color="auto"/>
            </w:tcBorders>
            <w:hideMark/>
          </w:tcPr>
          <w:p w14:paraId="031D914B" w14:textId="77777777" w:rsidR="00622F70" w:rsidRPr="009644C1" w:rsidRDefault="00622F70" w:rsidP="009B07AC">
            <w:pPr>
              <w:rPr>
                <w:rFonts w:asciiTheme="minorBidi" w:hAnsiTheme="minorBidi"/>
                <w:b/>
                <w:bCs/>
                <w:lang w:bidi="he-IL"/>
              </w:rPr>
            </w:pPr>
            <w:r>
              <w:rPr>
                <w:rFonts w:asciiTheme="minorBidi" w:hAnsiTheme="minorBidi"/>
                <w:b/>
                <w:bCs/>
                <w:lang w:bidi="he-IL"/>
              </w:rPr>
              <w:t>Comorbidities/medications</w:t>
            </w:r>
          </w:p>
        </w:tc>
      </w:tr>
      <w:tr w:rsidR="00622F70" w14:paraId="780A6C70" w14:textId="77777777" w:rsidTr="009B07AC">
        <w:trPr>
          <w:trHeight w:val="1849"/>
        </w:trPr>
        <w:tc>
          <w:tcPr>
            <w:tcW w:w="2875" w:type="dxa"/>
            <w:tcBorders>
              <w:top w:val="single" w:sz="4" w:space="0" w:color="auto"/>
              <w:left w:val="single" w:sz="4" w:space="0" w:color="auto"/>
              <w:bottom w:val="single" w:sz="4" w:space="0" w:color="auto"/>
              <w:right w:val="single" w:sz="4" w:space="0" w:color="auto"/>
            </w:tcBorders>
            <w:hideMark/>
          </w:tcPr>
          <w:p w14:paraId="76095084" w14:textId="77777777" w:rsidR="00622F70" w:rsidRPr="009644C1" w:rsidRDefault="00622F70" w:rsidP="009B07AC">
            <w:pPr>
              <w:rPr>
                <w:rFonts w:asciiTheme="minorBidi" w:hAnsiTheme="minorBidi"/>
                <w:b/>
                <w:bCs/>
                <w:lang w:bidi="he-IL"/>
              </w:rPr>
            </w:pPr>
            <w:r>
              <w:rPr>
                <w:rFonts w:asciiTheme="minorBidi" w:hAnsiTheme="minorBidi"/>
                <w:b/>
                <w:bCs/>
                <w:lang w:bidi="he-IL"/>
              </w:rPr>
              <w:t>Sex</w:t>
            </w:r>
          </w:p>
          <w:p w14:paraId="5E62D049" w14:textId="77777777" w:rsidR="00622F70" w:rsidRPr="009644C1" w:rsidRDefault="00622F70" w:rsidP="009B07AC">
            <w:pPr>
              <w:rPr>
                <w:rFonts w:asciiTheme="minorBidi" w:hAnsiTheme="minorBidi"/>
                <w:lang w:bidi="he-IL"/>
              </w:rPr>
            </w:pPr>
            <w:r>
              <w:rPr>
                <w:rFonts w:asciiTheme="minorBidi" w:hAnsiTheme="minorBidi"/>
                <w:lang w:bidi="he-IL"/>
              </w:rPr>
              <w:t>Female/male</w:t>
            </w:r>
          </w:p>
        </w:tc>
        <w:tc>
          <w:tcPr>
            <w:tcW w:w="3210" w:type="dxa"/>
            <w:tcBorders>
              <w:top w:val="single" w:sz="4" w:space="0" w:color="auto"/>
              <w:left w:val="single" w:sz="4" w:space="0" w:color="auto"/>
              <w:bottom w:val="single" w:sz="4" w:space="0" w:color="auto"/>
              <w:right w:val="single" w:sz="4" w:space="0" w:color="auto"/>
            </w:tcBorders>
            <w:hideMark/>
          </w:tcPr>
          <w:p w14:paraId="0FDD75EF" w14:textId="77777777" w:rsidR="00622F70" w:rsidRPr="009644C1" w:rsidRDefault="00622F70" w:rsidP="009B07AC">
            <w:pPr>
              <w:rPr>
                <w:rFonts w:asciiTheme="minorBidi" w:hAnsiTheme="minorBidi"/>
                <w:b/>
                <w:bCs/>
                <w:lang w:bidi="he-IL"/>
              </w:rPr>
            </w:pPr>
            <w:r>
              <w:rPr>
                <w:rFonts w:asciiTheme="minorBidi" w:hAnsiTheme="minorBidi"/>
                <w:b/>
                <w:bCs/>
                <w:lang w:bidi="he-IL"/>
              </w:rPr>
              <w:t>eGFR (mL/min/1.73 m²), categorical</w:t>
            </w:r>
          </w:p>
          <w:p w14:paraId="3E021D81" w14:textId="77777777" w:rsidR="00622F70" w:rsidRPr="009644C1" w:rsidRDefault="00622F70" w:rsidP="009B07AC">
            <w:pPr>
              <w:rPr>
                <w:rFonts w:asciiTheme="minorBidi" w:hAnsiTheme="minorBidi"/>
                <w:lang w:bidi="he-IL"/>
              </w:rPr>
            </w:pPr>
            <w:r>
              <w:rPr>
                <w:rFonts w:asciiTheme="minorBidi" w:hAnsiTheme="minorBidi"/>
                <w:lang w:bidi="he-IL"/>
              </w:rPr>
              <w:t>45-&lt;60</w:t>
            </w:r>
          </w:p>
          <w:p w14:paraId="7232A2DF" w14:textId="77777777" w:rsidR="00622F70" w:rsidRPr="009644C1" w:rsidRDefault="00622F70" w:rsidP="009B07AC">
            <w:pPr>
              <w:rPr>
                <w:rFonts w:asciiTheme="minorBidi" w:hAnsiTheme="minorBidi"/>
                <w:lang w:bidi="he-IL"/>
              </w:rPr>
            </w:pPr>
            <w:r>
              <w:rPr>
                <w:rFonts w:asciiTheme="minorBidi" w:hAnsiTheme="minorBidi"/>
                <w:lang w:bidi="he-IL"/>
              </w:rPr>
              <w:t>60-&lt;90</w:t>
            </w:r>
          </w:p>
          <w:p w14:paraId="1B9F2A05" w14:textId="77777777" w:rsidR="00622F70" w:rsidRPr="009644C1" w:rsidRDefault="00622F70" w:rsidP="009B07AC">
            <w:pPr>
              <w:rPr>
                <w:rFonts w:asciiTheme="minorBidi" w:hAnsiTheme="minorBidi"/>
                <w:b/>
                <w:bCs/>
                <w:lang w:bidi="he-IL"/>
              </w:rPr>
            </w:pPr>
            <w:r>
              <w:rPr>
                <w:rFonts w:asciiTheme="minorBidi" w:hAnsiTheme="minorBidi"/>
                <w:lang w:bidi="he-IL"/>
              </w:rPr>
              <w:t>≥90</w:t>
            </w:r>
          </w:p>
        </w:tc>
        <w:tc>
          <w:tcPr>
            <w:tcW w:w="2931" w:type="dxa"/>
            <w:tcBorders>
              <w:top w:val="single" w:sz="4" w:space="0" w:color="auto"/>
              <w:left w:val="single" w:sz="4" w:space="0" w:color="auto"/>
              <w:bottom w:val="single" w:sz="4" w:space="0" w:color="auto"/>
              <w:right w:val="single" w:sz="4" w:space="0" w:color="auto"/>
            </w:tcBorders>
            <w:hideMark/>
          </w:tcPr>
          <w:p w14:paraId="441BAF99" w14:textId="77777777" w:rsidR="00622F70" w:rsidRPr="009644C1" w:rsidRDefault="00622F70" w:rsidP="009B07AC">
            <w:pPr>
              <w:rPr>
                <w:rFonts w:asciiTheme="minorBidi" w:hAnsiTheme="minorBidi"/>
                <w:b/>
                <w:bCs/>
                <w:lang w:bidi="he-IL"/>
              </w:rPr>
            </w:pPr>
            <w:r>
              <w:rPr>
                <w:rFonts w:asciiTheme="minorBidi" w:hAnsiTheme="minorBidi"/>
                <w:b/>
                <w:bCs/>
                <w:lang w:bidi="he-IL"/>
              </w:rPr>
              <w:t>Medications</w:t>
            </w:r>
          </w:p>
          <w:p w14:paraId="752C59BE" w14:textId="77777777" w:rsidR="00622F70" w:rsidRPr="009644C1" w:rsidRDefault="00622F70" w:rsidP="009B07AC">
            <w:pPr>
              <w:rPr>
                <w:rFonts w:asciiTheme="minorBidi" w:hAnsiTheme="minorBidi"/>
                <w:lang w:val="da-DK" w:bidi="he-IL"/>
              </w:rPr>
            </w:pPr>
            <w:r>
              <w:rPr>
                <w:rFonts w:asciiTheme="minorBidi" w:hAnsiTheme="minorBidi"/>
                <w:lang w:bidi="he-IL"/>
              </w:rPr>
              <w:t>Metformin</w:t>
            </w:r>
          </w:p>
          <w:p w14:paraId="417BD412" w14:textId="77777777" w:rsidR="00622F70" w:rsidRPr="009644C1" w:rsidRDefault="00622F70" w:rsidP="009B07AC">
            <w:pPr>
              <w:rPr>
                <w:rFonts w:asciiTheme="minorBidi" w:hAnsiTheme="minorBidi"/>
                <w:lang w:val="da-DK" w:bidi="he-IL"/>
              </w:rPr>
            </w:pPr>
            <w:r>
              <w:rPr>
                <w:rFonts w:asciiTheme="minorBidi" w:hAnsiTheme="minorBidi"/>
                <w:lang w:bidi="he-IL"/>
              </w:rPr>
              <w:t>Insulin</w:t>
            </w:r>
          </w:p>
          <w:p w14:paraId="46838EBB" w14:textId="77777777" w:rsidR="00622F70" w:rsidRPr="009644C1" w:rsidRDefault="00622F70" w:rsidP="009B07AC">
            <w:pPr>
              <w:rPr>
                <w:rFonts w:asciiTheme="minorBidi" w:hAnsiTheme="minorBidi"/>
                <w:lang w:val="da-DK" w:bidi="he-IL"/>
              </w:rPr>
            </w:pPr>
            <w:r>
              <w:rPr>
                <w:rFonts w:asciiTheme="minorBidi" w:hAnsiTheme="minorBidi"/>
                <w:lang w:bidi="he-IL"/>
              </w:rPr>
              <w:t>Renin-angiotensin system inhibitor</w:t>
            </w:r>
          </w:p>
          <w:p w14:paraId="40076DC1" w14:textId="77777777" w:rsidR="00622F70" w:rsidRPr="009644C1" w:rsidRDefault="00622F70" w:rsidP="009B07AC">
            <w:pPr>
              <w:rPr>
                <w:rFonts w:asciiTheme="minorBidi" w:hAnsiTheme="minorBidi"/>
                <w:rtl/>
                <w:lang w:bidi="he-IL"/>
              </w:rPr>
            </w:pPr>
            <w:r>
              <w:rPr>
                <w:rFonts w:asciiTheme="minorBidi" w:hAnsiTheme="minorBidi"/>
                <w:lang w:bidi="he-IL"/>
              </w:rPr>
              <w:t>Mineralocorticoid receptor antagonist</w:t>
            </w:r>
          </w:p>
        </w:tc>
      </w:tr>
      <w:tr w:rsidR="00622F70" w14:paraId="49412EAD" w14:textId="77777777" w:rsidTr="009B07AC">
        <w:tc>
          <w:tcPr>
            <w:tcW w:w="2875" w:type="dxa"/>
            <w:tcBorders>
              <w:top w:val="single" w:sz="4" w:space="0" w:color="auto"/>
              <w:left w:val="single" w:sz="4" w:space="0" w:color="auto"/>
              <w:bottom w:val="single" w:sz="4" w:space="0" w:color="auto"/>
              <w:right w:val="single" w:sz="4" w:space="0" w:color="auto"/>
            </w:tcBorders>
            <w:hideMark/>
          </w:tcPr>
          <w:p w14:paraId="42EEF109" w14:textId="77777777" w:rsidR="00622F70" w:rsidRPr="009644C1" w:rsidRDefault="00622F70" w:rsidP="009B07AC">
            <w:pPr>
              <w:rPr>
                <w:rFonts w:asciiTheme="minorBidi" w:hAnsiTheme="minorBidi"/>
                <w:b/>
                <w:bCs/>
                <w:lang w:bidi="he-IL"/>
              </w:rPr>
            </w:pPr>
            <w:r>
              <w:rPr>
                <w:rFonts w:asciiTheme="minorBidi" w:hAnsiTheme="minorBidi"/>
                <w:b/>
                <w:bCs/>
                <w:lang w:bidi="he-IL"/>
              </w:rPr>
              <w:t>Age (years), categorical</w:t>
            </w:r>
          </w:p>
          <w:p w14:paraId="63A1B2EB" w14:textId="77777777" w:rsidR="00622F70" w:rsidRPr="009644C1" w:rsidRDefault="00622F70" w:rsidP="009B07AC">
            <w:pPr>
              <w:rPr>
                <w:rFonts w:asciiTheme="minorBidi" w:hAnsiTheme="minorBidi"/>
                <w:lang w:bidi="he-IL"/>
              </w:rPr>
            </w:pPr>
            <w:r>
              <w:rPr>
                <w:rFonts w:asciiTheme="minorBidi" w:hAnsiTheme="minorBidi"/>
                <w:lang w:bidi="he-IL"/>
              </w:rPr>
              <w:t>18-&lt;35; 35-&lt;45; 45-&lt;55; 55-&lt;65;</w:t>
            </w:r>
          </w:p>
          <w:p w14:paraId="4D59DA9B" w14:textId="77777777" w:rsidR="00622F70" w:rsidRPr="009644C1" w:rsidRDefault="00622F70" w:rsidP="009B07AC">
            <w:pPr>
              <w:rPr>
                <w:rFonts w:asciiTheme="minorBidi" w:hAnsiTheme="minorBidi"/>
                <w:lang w:bidi="he-IL"/>
              </w:rPr>
            </w:pPr>
            <w:r>
              <w:rPr>
                <w:rFonts w:asciiTheme="minorBidi" w:hAnsiTheme="minorBidi"/>
                <w:lang w:bidi="he-IL"/>
              </w:rPr>
              <w:t>65-&lt;75; ≥75</w:t>
            </w:r>
          </w:p>
        </w:tc>
        <w:tc>
          <w:tcPr>
            <w:tcW w:w="3210" w:type="dxa"/>
            <w:tcBorders>
              <w:top w:val="single" w:sz="4" w:space="0" w:color="auto"/>
              <w:left w:val="single" w:sz="4" w:space="0" w:color="auto"/>
              <w:bottom w:val="single" w:sz="4" w:space="0" w:color="auto"/>
              <w:right w:val="single" w:sz="4" w:space="0" w:color="auto"/>
            </w:tcBorders>
            <w:hideMark/>
          </w:tcPr>
          <w:p w14:paraId="0B24421B" w14:textId="2BFE0FC7" w:rsidR="00622F70" w:rsidRPr="009644C1" w:rsidRDefault="00622F70" w:rsidP="009B07AC">
            <w:pPr>
              <w:rPr>
                <w:rFonts w:asciiTheme="minorBidi" w:hAnsiTheme="minorBidi"/>
                <w:b/>
                <w:bCs/>
                <w:lang w:bidi="he-IL"/>
              </w:rPr>
            </w:pPr>
            <w:r>
              <w:rPr>
                <w:rFonts w:asciiTheme="minorBidi" w:hAnsiTheme="minorBidi"/>
                <w:b/>
                <w:bCs/>
                <w:lang w:bidi="he-IL"/>
              </w:rPr>
              <w:t>UACR (mg/g), categorical</w:t>
            </w:r>
            <w:r w:rsidR="005079B3">
              <w:rPr>
                <w:rFonts w:asciiTheme="minorBidi" w:hAnsiTheme="minorBidi"/>
                <w:b/>
                <w:bCs/>
                <w:lang w:bidi="he-IL"/>
              </w:rPr>
              <w:t xml:space="preserve"> </w:t>
            </w:r>
            <w:r w:rsidR="005079B3" w:rsidRPr="005079B3">
              <w:rPr>
                <w:rFonts w:asciiTheme="minorBidi" w:hAnsiTheme="minorBidi"/>
                <w:b/>
                <w:bCs/>
                <w:vertAlign w:val="superscript"/>
                <w:lang w:bidi="he-IL"/>
              </w:rPr>
              <w:t>a</w:t>
            </w:r>
          </w:p>
          <w:p w14:paraId="0908B877" w14:textId="77777777" w:rsidR="00622F70" w:rsidRPr="009644C1" w:rsidRDefault="00622F70" w:rsidP="009B07AC">
            <w:pPr>
              <w:rPr>
                <w:rFonts w:asciiTheme="minorBidi" w:hAnsiTheme="minorBidi"/>
                <w:lang w:bidi="he-IL"/>
              </w:rPr>
            </w:pPr>
            <w:r>
              <w:rPr>
                <w:rFonts w:asciiTheme="minorBidi" w:hAnsiTheme="minorBidi"/>
                <w:lang w:bidi="he-IL"/>
              </w:rPr>
              <w:t>0; &lt;15; ≥15-&lt;30; 30-&lt;300</w:t>
            </w:r>
          </w:p>
        </w:tc>
        <w:tc>
          <w:tcPr>
            <w:tcW w:w="2931" w:type="dxa"/>
            <w:tcBorders>
              <w:top w:val="single" w:sz="4" w:space="0" w:color="auto"/>
              <w:left w:val="single" w:sz="4" w:space="0" w:color="auto"/>
              <w:bottom w:val="single" w:sz="4" w:space="0" w:color="auto"/>
              <w:right w:val="single" w:sz="4" w:space="0" w:color="auto"/>
            </w:tcBorders>
            <w:hideMark/>
          </w:tcPr>
          <w:p w14:paraId="2E99589E" w14:textId="77777777" w:rsidR="00622F70" w:rsidRPr="009644C1" w:rsidRDefault="00622F70" w:rsidP="009B07AC">
            <w:pPr>
              <w:rPr>
                <w:rFonts w:asciiTheme="minorBidi" w:hAnsiTheme="minorBidi"/>
                <w:b/>
                <w:bCs/>
                <w:lang w:bidi="he-IL"/>
              </w:rPr>
            </w:pPr>
            <w:r>
              <w:rPr>
                <w:rFonts w:asciiTheme="minorBidi" w:hAnsiTheme="minorBidi"/>
                <w:b/>
                <w:bCs/>
                <w:lang w:bidi="he-IL"/>
              </w:rPr>
              <w:t>Medical history</w:t>
            </w:r>
          </w:p>
          <w:p w14:paraId="4BE95F64" w14:textId="77777777" w:rsidR="00622F70" w:rsidRPr="009644C1" w:rsidRDefault="00622F70" w:rsidP="009B07AC">
            <w:pPr>
              <w:rPr>
                <w:rFonts w:asciiTheme="minorBidi" w:hAnsiTheme="minorBidi"/>
                <w:lang w:bidi="he-IL"/>
              </w:rPr>
            </w:pPr>
            <w:r>
              <w:rPr>
                <w:rFonts w:asciiTheme="minorBidi" w:hAnsiTheme="minorBidi"/>
                <w:lang w:bidi="he-IL"/>
              </w:rPr>
              <w:t>Acute Kidney Injury</w:t>
            </w:r>
          </w:p>
          <w:p w14:paraId="52FD6FCB" w14:textId="77777777" w:rsidR="00622F70" w:rsidRPr="009644C1" w:rsidRDefault="00622F70" w:rsidP="009B07AC">
            <w:pPr>
              <w:rPr>
                <w:rFonts w:asciiTheme="minorBidi" w:hAnsiTheme="minorBidi"/>
                <w:lang w:bidi="he-IL"/>
              </w:rPr>
            </w:pPr>
            <w:r>
              <w:rPr>
                <w:rFonts w:asciiTheme="minorBidi" w:hAnsiTheme="minorBidi"/>
                <w:lang w:bidi="he-IL"/>
              </w:rPr>
              <w:t>Retinopathy</w:t>
            </w:r>
          </w:p>
          <w:p w14:paraId="5FB6B13C" w14:textId="77777777" w:rsidR="00622F70" w:rsidRPr="009644C1" w:rsidRDefault="00622F70" w:rsidP="009B07AC">
            <w:pPr>
              <w:rPr>
                <w:rFonts w:asciiTheme="minorBidi" w:hAnsiTheme="minorBidi"/>
                <w:lang w:bidi="he-IL"/>
              </w:rPr>
            </w:pPr>
            <w:r>
              <w:rPr>
                <w:rFonts w:asciiTheme="minorBidi" w:hAnsiTheme="minorBidi"/>
                <w:lang w:bidi="he-IL"/>
              </w:rPr>
              <w:t>Ischemic Heart Disease</w:t>
            </w:r>
          </w:p>
          <w:p w14:paraId="7EBA399D" w14:textId="77777777" w:rsidR="00622F70" w:rsidRPr="009644C1" w:rsidRDefault="00622F70" w:rsidP="009B07AC">
            <w:pPr>
              <w:rPr>
                <w:rFonts w:asciiTheme="minorBidi" w:hAnsiTheme="minorBidi"/>
                <w:lang w:bidi="he-IL"/>
              </w:rPr>
            </w:pPr>
            <w:r>
              <w:rPr>
                <w:rFonts w:asciiTheme="minorBidi" w:hAnsiTheme="minorBidi"/>
                <w:lang w:bidi="he-IL"/>
              </w:rPr>
              <w:t>Heart Failure</w:t>
            </w:r>
          </w:p>
        </w:tc>
      </w:tr>
      <w:tr w:rsidR="00622F70" w14:paraId="5E6E3001" w14:textId="77777777" w:rsidTr="009B07AC">
        <w:tc>
          <w:tcPr>
            <w:tcW w:w="2875" w:type="dxa"/>
            <w:tcBorders>
              <w:top w:val="single" w:sz="4" w:space="0" w:color="auto"/>
              <w:left w:val="single" w:sz="4" w:space="0" w:color="auto"/>
              <w:bottom w:val="single" w:sz="4" w:space="0" w:color="auto"/>
              <w:right w:val="single" w:sz="4" w:space="0" w:color="auto"/>
            </w:tcBorders>
            <w:hideMark/>
          </w:tcPr>
          <w:p w14:paraId="64A87963" w14:textId="77777777" w:rsidR="00622F70" w:rsidRPr="009644C1" w:rsidRDefault="00622F70" w:rsidP="009B07AC">
            <w:pPr>
              <w:rPr>
                <w:rFonts w:asciiTheme="minorBidi" w:hAnsiTheme="minorBidi"/>
                <w:b/>
                <w:bCs/>
                <w:lang w:bidi="he-IL"/>
              </w:rPr>
            </w:pPr>
            <w:r>
              <w:rPr>
                <w:rFonts w:asciiTheme="minorBidi" w:hAnsiTheme="minorBidi"/>
                <w:b/>
                <w:bCs/>
                <w:lang w:bidi="he-IL"/>
              </w:rPr>
              <w:t>Socioeconomic status, categorical</w:t>
            </w:r>
          </w:p>
          <w:p w14:paraId="2E45C34D" w14:textId="77777777" w:rsidR="00622F70" w:rsidRPr="009644C1" w:rsidRDefault="00622F70" w:rsidP="009B07AC">
            <w:pPr>
              <w:rPr>
                <w:rFonts w:asciiTheme="minorBidi" w:hAnsiTheme="minorBidi"/>
                <w:lang w:bidi="he-IL"/>
              </w:rPr>
            </w:pPr>
            <w:r>
              <w:rPr>
                <w:rFonts w:asciiTheme="minorBidi" w:hAnsiTheme="minorBidi"/>
                <w:lang w:bidi="he-IL"/>
              </w:rPr>
              <w:t>1-3 (low); 4-5 (medium-low);</w:t>
            </w:r>
          </w:p>
          <w:p w14:paraId="45622FDF" w14:textId="77777777" w:rsidR="00622F70" w:rsidRPr="009644C1" w:rsidRDefault="00622F70" w:rsidP="009B07AC">
            <w:pPr>
              <w:rPr>
                <w:rFonts w:asciiTheme="minorBidi" w:hAnsiTheme="minorBidi"/>
                <w:lang w:bidi="he-IL"/>
              </w:rPr>
            </w:pPr>
            <w:r>
              <w:rPr>
                <w:rFonts w:asciiTheme="minorBidi" w:hAnsiTheme="minorBidi"/>
                <w:lang w:bidi="he-IL"/>
              </w:rPr>
              <w:t>6-7 (medium-high); 8-10 (high)</w:t>
            </w:r>
          </w:p>
        </w:tc>
        <w:tc>
          <w:tcPr>
            <w:tcW w:w="3210" w:type="dxa"/>
            <w:tcBorders>
              <w:top w:val="single" w:sz="4" w:space="0" w:color="auto"/>
              <w:left w:val="single" w:sz="4" w:space="0" w:color="auto"/>
              <w:bottom w:val="single" w:sz="4" w:space="0" w:color="auto"/>
              <w:right w:val="single" w:sz="4" w:space="0" w:color="auto"/>
            </w:tcBorders>
            <w:hideMark/>
          </w:tcPr>
          <w:p w14:paraId="62D3621D" w14:textId="77777777" w:rsidR="00622F70" w:rsidRPr="009644C1" w:rsidRDefault="00622F70" w:rsidP="009B07AC">
            <w:pPr>
              <w:rPr>
                <w:rFonts w:asciiTheme="minorBidi" w:hAnsiTheme="minorBidi"/>
                <w:b/>
                <w:bCs/>
                <w:lang w:bidi="he-IL"/>
              </w:rPr>
            </w:pPr>
            <w:r>
              <w:rPr>
                <w:rFonts w:asciiTheme="minorBidi" w:hAnsiTheme="minorBidi"/>
                <w:b/>
                <w:bCs/>
                <w:lang w:bidi="he-IL"/>
              </w:rPr>
              <w:t>Systolic blood pressure (mm Hg),</w:t>
            </w:r>
          </w:p>
          <w:p w14:paraId="6267E626" w14:textId="77777777" w:rsidR="00622F70" w:rsidRPr="009644C1" w:rsidRDefault="00622F70" w:rsidP="009B07AC">
            <w:pPr>
              <w:rPr>
                <w:rFonts w:asciiTheme="minorBidi" w:hAnsiTheme="minorBidi"/>
                <w:b/>
                <w:bCs/>
                <w:lang w:bidi="he-IL"/>
              </w:rPr>
            </w:pPr>
            <w:r>
              <w:rPr>
                <w:rFonts w:asciiTheme="minorBidi" w:hAnsiTheme="minorBidi"/>
                <w:b/>
                <w:bCs/>
                <w:lang w:bidi="he-IL"/>
              </w:rPr>
              <w:t>categorical</w:t>
            </w:r>
          </w:p>
          <w:p w14:paraId="46F5240F" w14:textId="77777777" w:rsidR="00622F70" w:rsidRPr="009644C1" w:rsidRDefault="00622F70" w:rsidP="009B07AC">
            <w:pPr>
              <w:rPr>
                <w:rFonts w:asciiTheme="minorBidi" w:hAnsiTheme="minorBidi"/>
                <w:lang w:bidi="he-IL"/>
              </w:rPr>
            </w:pPr>
            <w:r>
              <w:rPr>
                <w:rFonts w:asciiTheme="minorBidi" w:hAnsiTheme="minorBidi"/>
                <w:lang w:bidi="he-IL"/>
              </w:rPr>
              <w:t>&lt;120; 120-&lt;130; 130-&lt;140</w:t>
            </w:r>
          </w:p>
          <w:p w14:paraId="45752EA3" w14:textId="77777777" w:rsidR="00622F70" w:rsidRPr="009644C1" w:rsidRDefault="00622F70" w:rsidP="009B07AC">
            <w:pPr>
              <w:rPr>
                <w:rFonts w:asciiTheme="minorBidi" w:hAnsiTheme="minorBidi"/>
                <w:lang w:bidi="he-IL"/>
              </w:rPr>
            </w:pPr>
            <w:r>
              <w:rPr>
                <w:rFonts w:asciiTheme="minorBidi" w:hAnsiTheme="minorBidi"/>
                <w:lang w:bidi="he-IL"/>
              </w:rPr>
              <w:t>140-&lt;150; ≥150; missing</w:t>
            </w:r>
          </w:p>
        </w:tc>
        <w:tc>
          <w:tcPr>
            <w:tcW w:w="2931" w:type="dxa"/>
            <w:tcBorders>
              <w:top w:val="single" w:sz="4" w:space="0" w:color="auto"/>
              <w:left w:val="single" w:sz="4" w:space="0" w:color="auto"/>
              <w:bottom w:val="single" w:sz="4" w:space="0" w:color="auto"/>
              <w:right w:val="single" w:sz="4" w:space="0" w:color="auto"/>
            </w:tcBorders>
          </w:tcPr>
          <w:p w14:paraId="3B8AFF3A" w14:textId="77777777" w:rsidR="00622F70" w:rsidRPr="009644C1" w:rsidRDefault="00622F70" w:rsidP="009B07AC">
            <w:pPr>
              <w:rPr>
                <w:rFonts w:asciiTheme="minorBidi" w:hAnsiTheme="minorBidi"/>
                <w:b/>
                <w:bCs/>
                <w:lang w:bidi="he-IL"/>
              </w:rPr>
            </w:pPr>
          </w:p>
        </w:tc>
      </w:tr>
      <w:tr w:rsidR="00622F70" w14:paraId="6634D853" w14:textId="77777777" w:rsidTr="009B07AC">
        <w:tc>
          <w:tcPr>
            <w:tcW w:w="2875" w:type="dxa"/>
            <w:tcBorders>
              <w:top w:val="single" w:sz="4" w:space="0" w:color="auto"/>
              <w:left w:val="single" w:sz="4" w:space="0" w:color="auto"/>
              <w:bottom w:val="single" w:sz="4" w:space="0" w:color="auto"/>
              <w:right w:val="single" w:sz="4" w:space="0" w:color="auto"/>
            </w:tcBorders>
          </w:tcPr>
          <w:p w14:paraId="443491B2" w14:textId="77777777" w:rsidR="00622F70" w:rsidRPr="009644C1" w:rsidRDefault="00622F70" w:rsidP="009B07AC">
            <w:pPr>
              <w:rPr>
                <w:rFonts w:asciiTheme="minorBidi" w:hAnsiTheme="minorBidi"/>
                <w:lang w:bidi="he-IL"/>
              </w:rPr>
            </w:pPr>
          </w:p>
        </w:tc>
        <w:tc>
          <w:tcPr>
            <w:tcW w:w="3210" w:type="dxa"/>
            <w:tcBorders>
              <w:top w:val="single" w:sz="4" w:space="0" w:color="auto"/>
              <w:left w:val="single" w:sz="4" w:space="0" w:color="auto"/>
              <w:bottom w:val="single" w:sz="4" w:space="0" w:color="auto"/>
              <w:right w:val="single" w:sz="4" w:space="0" w:color="auto"/>
            </w:tcBorders>
            <w:hideMark/>
          </w:tcPr>
          <w:p w14:paraId="2FC632C1" w14:textId="77777777" w:rsidR="00622F70" w:rsidRPr="009644C1" w:rsidRDefault="00622F70" w:rsidP="009B07AC">
            <w:pPr>
              <w:rPr>
                <w:rFonts w:asciiTheme="minorBidi" w:hAnsiTheme="minorBidi"/>
                <w:b/>
                <w:bCs/>
                <w:lang w:bidi="he-IL"/>
              </w:rPr>
            </w:pPr>
            <w:r>
              <w:rPr>
                <w:rFonts w:asciiTheme="minorBidi" w:hAnsiTheme="minorBidi"/>
                <w:b/>
                <w:bCs/>
                <w:lang w:bidi="he-IL"/>
              </w:rPr>
              <w:t>Diabetes duration (years),</w:t>
            </w:r>
          </w:p>
          <w:p w14:paraId="6195EED4" w14:textId="77777777" w:rsidR="00622F70" w:rsidRPr="009644C1" w:rsidRDefault="00622F70" w:rsidP="009B07AC">
            <w:pPr>
              <w:rPr>
                <w:rFonts w:asciiTheme="minorBidi" w:hAnsiTheme="minorBidi"/>
                <w:b/>
                <w:bCs/>
                <w:lang w:bidi="he-IL"/>
              </w:rPr>
            </w:pPr>
            <w:r>
              <w:rPr>
                <w:rFonts w:asciiTheme="minorBidi" w:hAnsiTheme="minorBidi"/>
                <w:b/>
                <w:bCs/>
                <w:lang w:bidi="he-IL"/>
              </w:rPr>
              <w:t>categorical</w:t>
            </w:r>
          </w:p>
          <w:p w14:paraId="4FF81740" w14:textId="77777777" w:rsidR="00622F70" w:rsidRPr="009644C1" w:rsidRDefault="00622F70" w:rsidP="009B07AC">
            <w:pPr>
              <w:rPr>
                <w:rFonts w:asciiTheme="minorBidi" w:hAnsiTheme="minorBidi"/>
                <w:lang w:bidi="he-IL"/>
              </w:rPr>
            </w:pPr>
            <w:r>
              <w:rPr>
                <w:rFonts w:asciiTheme="minorBidi" w:hAnsiTheme="minorBidi"/>
                <w:lang w:bidi="he-IL"/>
              </w:rPr>
              <w:t>&lt;1; 1-&lt;5; 5-&lt;10; 10-&lt;15; ≥15</w:t>
            </w:r>
          </w:p>
        </w:tc>
        <w:tc>
          <w:tcPr>
            <w:tcW w:w="2931" w:type="dxa"/>
            <w:tcBorders>
              <w:top w:val="single" w:sz="4" w:space="0" w:color="auto"/>
              <w:left w:val="single" w:sz="4" w:space="0" w:color="auto"/>
              <w:bottom w:val="single" w:sz="4" w:space="0" w:color="auto"/>
              <w:right w:val="single" w:sz="4" w:space="0" w:color="auto"/>
            </w:tcBorders>
            <w:hideMark/>
          </w:tcPr>
          <w:p w14:paraId="7BA0E317" w14:textId="77777777" w:rsidR="00622F70" w:rsidRPr="009644C1" w:rsidRDefault="00622F70" w:rsidP="009B07AC">
            <w:pPr>
              <w:rPr>
                <w:rFonts w:asciiTheme="minorBidi" w:hAnsiTheme="minorBidi"/>
                <w:b/>
                <w:bCs/>
                <w:lang w:bidi="he-IL"/>
              </w:rPr>
            </w:pPr>
            <w:r>
              <w:rPr>
                <w:rFonts w:asciiTheme="minorBidi" w:hAnsiTheme="minorBidi"/>
                <w:lang w:bidi="he-IL"/>
              </w:rPr>
              <w:t xml:space="preserve"> </w:t>
            </w:r>
          </w:p>
        </w:tc>
      </w:tr>
      <w:tr w:rsidR="00622F70" w14:paraId="60CFED47" w14:textId="77777777" w:rsidTr="009B07AC">
        <w:tc>
          <w:tcPr>
            <w:tcW w:w="2875" w:type="dxa"/>
            <w:tcBorders>
              <w:top w:val="single" w:sz="4" w:space="0" w:color="auto"/>
              <w:left w:val="single" w:sz="4" w:space="0" w:color="auto"/>
              <w:bottom w:val="single" w:sz="4" w:space="0" w:color="auto"/>
              <w:right w:val="single" w:sz="4" w:space="0" w:color="auto"/>
            </w:tcBorders>
          </w:tcPr>
          <w:p w14:paraId="145BC272" w14:textId="77777777" w:rsidR="00622F70" w:rsidRPr="009644C1" w:rsidRDefault="00622F70" w:rsidP="009B07AC">
            <w:pPr>
              <w:rPr>
                <w:rFonts w:asciiTheme="minorBidi" w:hAnsiTheme="minorBidi"/>
                <w:lang w:bidi="he-IL"/>
              </w:rPr>
            </w:pPr>
          </w:p>
        </w:tc>
        <w:tc>
          <w:tcPr>
            <w:tcW w:w="3210" w:type="dxa"/>
            <w:tcBorders>
              <w:top w:val="single" w:sz="4" w:space="0" w:color="auto"/>
              <w:left w:val="single" w:sz="4" w:space="0" w:color="auto"/>
              <w:bottom w:val="single" w:sz="4" w:space="0" w:color="auto"/>
              <w:right w:val="single" w:sz="4" w:space="0" w:color="auto"/>
            </w:tcBorders>
            <w:hideMark/>
          </w:tcPr>
          <w:p w14:paraId="1F3F3E2C" w14:textId="18967055" w:rsidR="00622F70" w:rsidRPr="009644C1" w:rsidRDefault="00622F70" w:rsidP="009B07AC">
            <w:pPr>
              <w:rPr>
                <w:rFonts w:asciiTheme="minorBidi" w:hAnsiTheme="minorBidi"/>
                <w:b/>
                <w:bCs/>
                <w:lang w:bidi="he-IL"/>
              </w:rPr>
            </w:pPr>
            <w:r>
              <w:rPr>
                <w:rFonts w:asciiTheme="minorBidi" w:hAnsiTheme="minorBidi"/>
                <w:b/>
                <w:bCs/>
                <w:lang w:bidi="he-IL"/>
              </w:rPr>
              <w:t>HbA1c (%), categorical</w:t>
            </w:r>
            <w:r w:rsidR="005079B3">
              <w:rPr>
                <w:rFonts w:asciiTheme="minorBidi" w:hAnsiTheme="minorBidi"/>
                <w:b/>
                <w:bCs/>
                <w:lang w:bidi="he-IL"/>
              </w:rPr>
              <w:t xml:space="preserve"> </w:t>
            </w:r>
            <w:r w:rsidR="005079B3" w:rsidRPr="005079B3">
              <w:rPr>
                <w:rFonts w:asciiTheme="minorBidi" w:hAnsiTheme="minorBidi"/>
                <w:b/>
                <w:bCs/>
                <w:vertAlign w:val="superscript"/>
                <w:lang w:bidi="he-IL"/>
              </w:rPr>
              <w:t>a</w:t>
            </w:r>
          </w:p>
          <w:p w14:paraId="5840DEA5" w14:textId="77777777" w:rsidR="00622F70" w:rsidRPr="009644C1" w:rsidRDefault="00622F70" w:rsidP="009B07AC">
            <w:pPr>
              <w:rPr>
                <w:rFonts w:asciiTheme="minorBidi" w:hAnsiTheme="minorBidi"/>
                <w:lang w:bidi="he-IL"/>
              </w:rPr>
            </w:pPr>
            <w:r>
              <w:rPr>
                <w:rFonts w:asciiTheme="minorBidi" w:hAnsiTheme="minorBidi"/>
                <w:lang w:bidi="he-IL"/>
              </w:rPr>
              <w:t>&lt;6; 6-&lt;7; 7-&lt;8; 8-&lt;9; ≥9; missing</w:t>
            </w:r>
          </w:p>
        </w:tc>
        <w:tc>
          <w:tcPr>
            <w:tcW w:w="2931" w:type="dxa"/>
            <w:tcBorders>
              <w:top w:val="single" w:sz="4" w:space="0" w:color="auto"/>
              <w:left w:val="single" w:sz="4" w:space="0" w:color="auto"/>
              <w:bottom w:val="single" w:sz="4" w:space="0" w:color="auto"/>
              <w:right w:val="single" w:sz="4" w:space="0" w:color="auto"/>
            </w:tcBorders>
          </w:tcPr>
          <w:p w14:paraId="4BAA56C7" w14:textId="77777777" w:rsidR="00622F70" w:rsidRPr="009644C1" w:rsidRDefault="00622F70" w:rsidP="009B07AC">
            <w:pPr>
              <w:rPr>
                <w:rFonts w:asciiTheme="minorBidi" w:hAnsiTheme="minorBidi"/>
                <w:b/>
                <w:bCs/>
                <w:lang w:bidi="he-IL"/>
              </w:rPr>
            </w:pPr>
          </w:p>
        </w:tc>
      </w:tr>
      <w:tr w:rsidR="00622F70" w14:paraId="7B6E0C0D" w14:textId="77777777" w:rsidTr="009B07AC">
        <w:tc>
          <w:tcPr>
            <w:tcW w:w="2875" w:type="dxa"/>
            <w:tcBorders>
              <w:top w:val="single" w:sz="4" w:space="0" w:color="auto"/>
              <w:left w:val="single" w:sz="4" w:space="0" w:color="auto"/>
              <w:bottom w:val="single" w:sz="4" w:space="0" w:color="auto"/>
              <w:right w:val="single" w:sz="4" w:space="0" w:color="auto"/>
            </w:tcBorders>
          </w:tcPr>
          <w:p w14:paraId="23CEA698" w14:textId="77777777" w:rsidR="00622F70" w:rsidRPr="009644C1" w:rsidRDefault="00622F70" w:rsidP="009B07AC">
            <w:pPr>
              <w:rPr>
                <w:rFonts w:asciiTheme="minorBidi" w:hAnsiTheme="minorBidi"/>
                <w:lang w:bidi="he-IL"/>
              </w:rPr>
            </w:pPr>
          </w:p>
        </w:tc>
        <w:tc>
          <w:tcPr>
            <w:tcW w:w="3210" w:type="dxa"/>
            <w:tcBorders>
              <w:top w:val="single" w:sz="4" w:space="0" w:color="auto"/>
              <w:left w:val="single" w:sz="4" w:space="0" w:color="auto"/>
              <w:bottom w:val="single" w:sz="4" w:space="0" w:color="auto"/>
              <w:right w:val="single" w:sz="4" w:space="0" w:color="auto"/>
            </w:tcBorders>
            <w:hideMark/>
          </w:tcPr>
          <w:p w14:paraId="49D9DAFA" w14:textId="77777777" w:rsidR="00622F70" w:rsidRPr="009644C1" w:rsidRDefault="00622F70" w:rsidP="009B07AC">
            <w:pPr>
              <w:rPr>
                <w:rFonts w:asciiTheme="minorBidi" w:hAnsiTheme="minorBidi"/>
                <w:b/>
                <w:bCs/>
                <w:lang w:bidi="he-IL"/>
              </w:rPr>
            </w:pPr>
            <w:r>
              <w:rPr>
                <w:rFonts w:asciiTheme="minorBidi" w:hAnsiTheme="minorBidi"/>
                <w:b/>
                <w:bCs/>
                <w:lang w:bidi="he-IL"/>
              </w:rPr>
              <w:t>BMI (kg/m</w:t>
            </w:r>
            <w:r>
              <w:rPr>
                <w:rFonts w:asciiTheme="minorBidi" w:hAnsiTheme="minorBidi"/>
                <w:b/>
                <w:bCs/>
                <w:vertAlign w:val="superscript"/>
                <w:lang w:bidi="he-IL"/>
              </w:rPr>
              <w:t>2</w:t>
            </w:r>
            <w:r>
              <w:rPr>
                <w:rFonts w:asciiTheme="minorBidi" w:hAnsiTheme="minorBidi"/>
                <w:b/>
                <w:bCs/>
                <w:lang w:bidi="he-IL"/>
              </w:rPr>
              <w:t>), categorical</w:t>
            </w:r>
          </w:p>
          <w:p w14:paraId="45B286C8" w14:textId="77777777" w:rsidR="00622F70" w:rsidRPr="009644C1" w:rsidRDefault="00622F70" w:rsidP="009B07AC">
            <w:pPr>
              <w:rPr>
                <w:rFonts w:asciiTheme="minorBidi" w:hAnsiTheme="minorBidi"/>
                <w:lang w:bidi="he-IL"/>
              </w:rPr>
            </w:pPr>
            <w:r>
              <w:rPr>
                <w:rFonts w:asciiTheme="minorBidi" w:hAnsiTheme="minorBidi"/>
                <w:lang w:bidi="he-IL"/>
              </w:rPr>
              <w:t>&lt;25; 25-&lt;27; 27-&lt;30; 30-&lt;35; 35-&lt;40;</w:t>
            </w:r>
          </w:p>
          <w:p w14:paraId="6CE977F3" w14:textId="77777777" w:rsidR="00622F70" w:rsidRPr="009644C1" w:rsidRDefault="00622F70" w:rsidP="009B07AC">
            <w:pPr>
              <w:rPr>
                <w:rFonts w:asciiTheme="minorBidi" w:hAnsiTheme="minorBidi"/>
                <w:lang w:bidi="he-IL"/>
              </w:rPr>
            </w:pPr>
            <w:r>
              <w:rPr>
                <w:rFonts w:asciiTheme="minorBidi" w:hAnsiTheme="minorBidi"/>
                <w:lang w:bidi="he-IL"/>
              </w:rPr>
              <w:t>≥40; missing</w:t>
            </w:r>
          </w:p>
        </w:tc>
        <w:tc>
          <w:tcPr>
            <w:tcW w:w="2931" w:type="dxa"/>
            <w:tcBorders>
              <w:top w:val="single" w:sz="4" w:space="0" w:color="auto"/>
              <w:left w:val="single" w:sz="4" w:space="0" w:color="auto"/>
              <w:bottom w:val="single" w:sz="4" w:space="0" w:color="auto"/>
              <w:right w:val="single" w:sz="4" w:space="0" w:color="auto"/>
            </w:tcBorders>
          </w:tcPr>
          <w:p w14:paraId="53ABA88D" w14:textId="77777777" w:rsidR="00622F70" w:rsidRPr="009644C1" w:rsidRDefault="00622F70" w:rsidP="009B07AC">
            <w:pPr>
              <w:rPr>
                <w:rFonts w:asciiTheme="minorBidi" w:hAnsiTheme="minorBidi"/>
                <w:b/>
                <w:bCs/>
                <w:lang w:bidi="he-IL"/>
              </w:rPr>
            </w:pPr>
          </w:p>
        </w:tc>
      </w:tr>
    </w:tbl>
    <w:p w14:paraId="47D13EF7" w14:textId="3E6BE8AE" w:rsidR="00622F70" w:rsidRDefault="002549C5" w:rsidP="00622F70">
      <w:pPr>
        <w:spacing w:line="480" w:lineRule="auto"/>
        <w:rPr>
          <w:rFonts w:asciiTheme="minorBidi" w:hAnsiTheme="minorBidi"/>
        </w:rPr>
      </w:pPr>
      <w:r w:rsidRPr="00BF47FD">
        <w:rPr>
          <w:rFonts w:asciiTheme="minorBidi" w:hAnsiTheme="minorBidi"/>
          <w:vertAlign w:val="superscript"/>
          <w:lang w:val="en-GB"/>
        </w:rPr>
        <w:t>a</w:t>
      </w:r>
      <w:r w:rsidR="00BF47FD" w:rsidRPr="00BF47FD">
        <w:rPr>
          <w:rFonts w:asciiTheme="minorBidi" w:hAnsiTheme="minorBidi"/>
          <w:vertAlign w:val="superscript"/>
          <w:lang w:val="en-GB"/>
        </w:rPr>
        <w:t xml:space="preserve"> </w:t>
      </w:r>
      <w:r w:rsidR="00BF47FD" w:rsidRPr="00BF47FD">
        <w:rPr>
          <w:rFonts w:asciiTheme="minorBidi" w:hAnsiTheme="minorBidi"/>
          <w:lang w:val="en-GB"/>
        </w:rPr>
        <w:t xml:space="preserve">HbA1c and </w:t>
      </w:r>
      <w:r w:rsidR="00BF47FD">
        <w:rPr>
          <w:rFonts w:asciiTheme="minorBidi" w:hAnsiTheme="minorBidi"/>
          <w:lang w:val="en-GB"/>
        </w:rPr>
        <w:t xml:space="preserve">UACR </w:t>
      </w:r>
      <w:r w:rsidR="00BF47FD" w:rsidRPr="00BF47FD">
        <w:rPr>
          <w:rFonts w:asciiTheme="minorBidi" w:hAnsiTheme="minorBidi"/>
          <w:lang w:val="en-GB"/>
        </w:rPr>
        <w:t>variables are presented in the units used in the fitted models; corresponding SI values are reported in Tables 1 and S4.</w:t>
      </w:r>
      <w:r w:rsidR="00BF47FD" w:rsidRPr="00BF47FD">
        <w:rPr>
          <w:rFonts w:asciiTheme="minorBidi" w:hAnsiTheme="minorBidi"/>
          <w:vertAlign w:val="superscript"/>
          <w:lang w:val="en-GB"/>
        </w:rPr>
        <w:t xml:space="preserve"> </w:t>
      </w:r>
      <w:r w:rsidR="00622F70" w:rsidRPr="00BF47FD">
        <w:rPr>
          <w:rFonts w:asciiTheme="minorBidi" w:hAnsiTheme="minorBidi"/>
          <w:lang w:val="en-GB"/>
        </w:rPr>
        <w:t xml:space="preserve">SI equivalents: UACR 15/30/300 mg/g = 1.7/3.4/33.9 mg/mmol; HbA1c 6/7/8/9% = 42/53/64/75 mmol/mol. </w:t>
      </w:r>
      <w:r w:rsidR="00622F70" w:rsidRPr="008B7B1B">
        <w:rPr>
          <w:rFonts w:asciiTheme="minorBidi" w:hAnsiTheme="minorBidi"/>
        </w:rPr>
        <w:t xml:space="preserve">BMI, body mass index; eGFR, estimated glomerular filtration rate; HbA1c, glycated </w:t>
      </w:r>
      <w:r w:rsidR="00622F70">
        <w:rPr>
          <w:rFonts w:ascii="Times New Roman" w:eastAsia="Apis For Office" w:hAnsi="Times New Roman" w:cs="Times New Roman"/>
        </w:rPr>
        <w:t>hemoglobin</w:t>
      </w:r>
      <w:r w:rsidR="00622F70" w:rsidRPr="008B7B1B">
        <w:rPr>
          <w:rFonts w:asciiTheme="minorBidi" w:hAnsiTheme="minorBidi"/>
        </w:rPr>
        <w:t xml:space="preserve">; MHS, Maccabi Healthcare Services; UACR, urine </w:t>
      </w:r>
      <w:r w:rsidR="00CB385A" w:rsidRPr="00CB385A">
        <w:rPr>
          <w:rFonts w:asciiTheme="minorBidi" w:hAnsiTheme="minorBidi"/>
        </w:rPr>
        <w:t xml:space="preserve">albumin‒creatinine </w:t>
      </w:r>
      <w:r w:rsidR="00622F70" w:rsidRPr="008B7B1B">
        <w:rPr>
          <w:rFonts w:asciiTheme="minorBidi" w:hAnsiTheme="minorBidi"/>
        </w:rPr>
        <w:t>ratio.</w:t>
      </w:r>
    </w:p>
    <w:p w14:paraId="6B568456" w14:textId="1DA5146F" w:rsidR="0061565A" w:rsidRDefault="0061565A" w:rsidP="006D4ED5">
      <w:pPr>
        <w:pStyle w:val="Heading2"/>
        <w:rPr>
          <w:rFonts w:asciiTheme="majorBidi" w:hAnsiTheme="majorBidi"/>
          <w:b w:val="0"/>
          <w:bCs w:val="0"/>
          <w:lang w:bidi="he-IL"/>
        </w:rPr>
      </w:pPr>
      <w:r w:rsidRPr="006D4ED5">
        <w:rPr>
          <w:rFonts w:asciiTheme="majorBidi" w:hAnsiTheme="majorBidi"/>
          <w:lang w:bidi="he-IL"/>
        </w:rPr>
        <w:lastRenderedPageBreak/>
        <w:t xml:space="preserve">Table S2. </w:t>
      </w:r>
      <w:r w:rsidRPr="006D4ED5">
        <w:rPr>
          <w:rFonts w:asciiTheme="majorBidi" w:hAnsiTheme="majorBidi"/>
          <w:b w:val="0"/>
          <w:bCs w:val="0"/>
          <w:lang w:bidi="he-IL"/>
        </w:rPr>
        <w:t xml:space="preserve">Variable definitions </w:t>
      </w:r>
    </w:p>
    <w:p w14:paraId="7B62A73F" w14:textId="77777777" w:rsidR="00BA4ABC" w:rsidRPr="00BA4ABC" w:rsidRDefault="00BA4ABC" w:rsidP="00BA4ABC">
      <w:pPr>
        <w:rPr>
          <w:lang w:val="en-GB" w:bidi="he-IL"/>
        </w:rPr>
      </w:pPr>
    </w:p>
    <w:tbl>
      <w:tblPr>
        <w:tblStyle w:val="TableGrid"/>
        <w:tblW w:w="0" w:type="auto"/>
        <w:tblLook w:val="04A0" w:firstRow="1" w:lastRow="0" w:firstColumn="1" w:lastColumn="0" w:noHBand="0" w:noVBand="1"/>
      </w:tblPr>
      <w:tblGrid>
        <w:gridCol w:w="2868"/>
        <w:gridCol w:w="6148"/>
      </w:tblGrid>
      <w:tr w:rsidR="0061565A" w14:paraId="3674A4A0" w14:textId="77777777" w:rsidTr="00316CA3">
        <w:trPr>
          <w:tblHeader/>
        </w:trPr>
        <w:tc>
          <w:tcPr>
            <w:tcW w:w="2868" w:type="dxa"/>
          </w:tcPr>
          <w:p w14:paraId="711FB6C1" w14:textId="77777777" w:rsidR="0061565A" w:rsidRPr="007A3E1B" w:rsidRDefault="0061565A" w:rsidP="002F7697">
            <w:pPr>
              <w:spacing w:line="480" w:lineRule="auto"/>
              <w:rPr>
                <w:rFonts w:asciiTheme="minorBidi" w:hAnsiTheme="minorBidi"/>
                <w:b/>
                <w:bCs/>
              </w:rPr>
            </w:pPr>
            <w:r w:rsidRPr="007A3E1B">
              <w:rPr>
                <w:rFonts w:asciiTheme="minorBidi" w:hAnsiTheme="minorBidi"/>
                <w:b/>
                <w:bCs/>
              </w:rPr>
              <w:t xml:space="preserve">Variable </w:t>
            </w:r>
          </w:p>
        </w:tc>
        <w:tc>
          <w:tcPr>
            <w:tcW w:w="6148" w:type="dxa"/>
          </w:tcPr>
          <w:p w14:paraId="68B30285" w14:textId="77777777" w:rsidR="0061565A" w:rsidRPr="007A3E1B" w:rsidRDefault="0061565A" w:rsidP="002F7697">
            <w:pPr>
              <w:spacing w:line="480" w:lineRule="auto"/>
              <w:rPr>
                <w:rFonts w:asciiTheme="minorBidi" w:hAnsiTheme="minorBidi"/>
                <w:b/>
                <w:bCs/>
              </w:rPr>
            </w:pPr>
            <w:r w:rsidRPr="007A3E1B">
              <w:rPr>
                <w:rFonts w:asciiTheme="minorBidi" w:hAnsiTheme="minorBidi"/>
                <w:b/>
                <w:bCs/>
              </w:rPr>
              <w:t xml:space="preserve">Definition </w:t>
            </w:r>
          </w:p>
        </w:tc>
      </w:tr>
      <w:tr w:rsidR="0061565A" w14:paraId="25C48BFD" w14:textId="77777777" w:rsidTr="00316CA3">
        <w:tc>
          <w:tcPr>
            <w:tcW w:w="9016" w:type="dxa"/>
            <w:gridSpan w:val="2"/>
          </w:tcPr>
          <w:p w14:paraId="33DC4EB7" w14:textId="77777777" w:rsidR="0061565A" w:rsidRDefault="0061565A" w:rsidP="002F7697">
            <w:pPr>
              <w:spacing w:line="480" w:lineRule="auto"/>
              <w:rPr>
                <w:rFonts w:asciiTheme="minorBidi" w:hAnsiTheme="minorBidi"/>
              </w:rPr>
            </w:pPr>
            <w:r w:rsidRPr="003476C7">
              <w:rPr>
                <w:rFonts w:asciiTheme="minorBidi" w:hAnsiTheme="minorBidi"/>
                <w:b/>
                <w:bCs/>
              </w:rPr>
              <w:t xml:space="preserve">Demographics </w:t>
            </w:r>
          </w:p>
        </w:tc>
      </w:tr>
      <w:tr w:rsidR="0061565A" w14:paraId="0DBE0D01" w14:textId="77777777" w:rsidTr="00316CA3">
        <w:tc>
          <w:tcPr>
            <w:tcW w:w="2868" w:type="dxa"/>
          </w:tcPr>
          <w:p w14:paraId="003B23A8" w14:textId="77777777" w:rsidR="0061565A" w:rsidRDefault="0061565A" w:rsidP="002F7697">
            <w:pPr>
              <w:spacing w:line="480" w:lineRule="auto"/>
              <w:rPr>
                <w:rFonts w:asciiTheme="minorBidi" w:hAnsiTheme="minorBidi"/>
              </w:rPr>
            </w:pPr>
            <w:r>
              <w:rPr>
                <w:rFonts w:asciiTheme="minorBidi" w:hAnsiTheme="minorBidi"/>
              </w:rPr>
              <w:t xml:space="preserve">Age </w:t>
            </w:r>
          </w:p>
        </w:tc>
        <w:tc>
          <w:tcPr>
            <w:tcW w:w="6148" w:type="dxa"/>
          </w:tcPr>
          <w:p w14:paraId="77D3A717" w14:textId="77777777" w:rsidR="0061565A" w:rsidRDefault="0061565A" w:rsidP="002F7697">
            <w:pPr>
              <w:spacing w:line="480" w:lineRule="auto"/>
              <w:rPr>
                <w:rFonts w:asciiTheme="minorBidi" w:hAnsiTheme="minorBidi"/>
              </w:rPr>
            </w:pPr>
            <w:r>
              <w:rPr>
                <w:rFonts w:asciiTheme="minorBidi" w:hAnsiTheme="minorBidi"/>
              </w:rPr>
              <w:t xml:space="preserve">Age at the index date </w:t>
            </w:r>
          </w:p>
        </w:tc>
      </w:tr>
      <w:tr w:rsidR="0061565A" w14:paraId="0EC6B598" w14:textId="77777777" w:rsidTr="00316CA3">
        <w:tc>
          <w:tcPr>
            <w:tcW w:w="2868" w:type="dxa"/>
          </w:tcPr>
          <w:p w14:paraId="4F059396" w14:textId="77777777" w:rsidR="0061565A" w:rsidRDefault="0061565A" w:rsidP="002F7697">
            <w:pPr>
              <w:spacing w:line="480" w:lineRule="auto"/>
              <w:rPr>
                <w:rFonts w:asciiTheme="minorBidi" w:hAnsiTheme="minorBidi"/>
              </w:rPr>
            </w:pPr>
            <w:r>
              <w:rPr>
                <w:rFonts w:asciiTheme="minorBidi" w:hAnsiTheme="minorBidi"/>
              </w:rPr>
              <w:t xml:space="preserve">Sex </w:t>
            </w:r>
          </w:p>
        </w:tc>
        <w:tc>
          <w:tcPr>
            <w:tcW w:w="6148" w:type="dxa"/>
          </w:tcPr>
          <w:p w14:paraId="23FBD27C" w14:textId="77777777" w:rsidR="0061565A" w:rsidRDefault="0061565A" w:rsidP="002F7697">
            <w:pPr>
              <w:spacing w:line="480" w:lineRule="auto"/>
              <w:rPr>
                <w:rFonts w:asciiTheme="minorBidi" w:hAnsiTheme="minorBidi"/>
              </w:rPr>
            </w:pPr>
            <w:r>
              <w:rPr>
                <w:rFonts w:asciiTheme="minorBidi" w:hAnsiTheme="minorBidi"/>
              </w:rPr>
              <w:t xml:space="preserve">Male /female </w:t>
            </w:r>
          </w:p>
        </w:tc>
      </w:tr>
      <w:tr w:rsidR="0061565A" w14:paraId="567B6730" w14:textId="77777777" w:rsidTr="00316CA3">
        <w:tc>
          <w:tcPr>
            <w:tcW w:w="2868" w:type="dxa"/>
          </w:tcPr>
          <w:p w14:paraId="783133D3" w14:textId="77777777" w:rsidR="0061565A" w:rsidRDefault="0061565A" w:rsidP="002F7697">
            <w:pPr>
              <w:spacing w:line="480" w:lineRule="auto"/>
              <w:rPr>
                <w:rFonts w:asciiTheme="minorBidi" w:hAnsiTheme="minorBidi"/>
              </w:rPr>
            </w:pPr>
            <w:r>
              <w:rPr>
                <w:rFonts w:asciiTheme="minorBidi" w:hAnsiTheme="minorBidi"/>
              </w:rPr>
              <w:t>Socioeconomic status (SES)</w:t>
            </w:r>
          </w:p>
        </w:tc>
        <w:tc>
          <w:tcPr>
            <w:tcW w:w="6148" w:type="dxa"/>
          </w:tcPr>
          <w:p w14:paraId="129E1AEB" w14:textId="223CD4C4" w:rsidR="0061565A" w:rsidRDefault="00A70A1D" w:rsidP="002F7697">
            <w:pPr>
              <w:spacing w:line="480" w:lineRule="auto"/>
              <w:rPr>
                <w:rFonts w:asciiTheme="minorBidi" w:hAnsiTheme="minorBidi"/>
              </w:rPr>
            </w:pPr>
            <w:r w:rsidRPr="00A70A1D">
              <w:rPr>
                <w:rFonts w:asciiTheme="minorBidi" w:hAnsiTheme="minorBidi"/>
              </w:rPr>
              <w:t>Area-level score based on the residential statistical area (1–10; higher scores indicate greater socioeconomic advantage); most recent score recorded within the 365 days before the index date</w:t>
            </w:r>
          </w:p>
        </w:tc>
      </w:tr>
      <w:tr w:rsidR="0061565A" w14:paraId="4518BD2A" w14:textId="77777777" w:rsidTr="00316CA3">
        <w:tc>
          <w:tcPr>
            <w:tcW w:w="9016" w:type="dxa"/>
            <w:gridSpan w:val="2"/>
          </w:tcPr>
          <w:p w14:paraId="573270A8" w14:textId="77777777" w:rsidR="0061565A" w:rsidRDefault="0061565A" w:rsidP="002F7697">
            <w:pPr>
              <w:spacing w:line="480" w:lineRule="auto"/>
              <w:rPr>
                <w:rFonts w:asciiTheme="minorBidi" w:hAnsiTheme="minorBidi"/>
              </w:rPr>
            </w:pPr>
            <w:r w:rsidRPr="00503D5A">
              <w:rPr>
                <w:rFonts w:asciiTheme="minorBidi" w:hAnsiTheme="minorBidi"/>
                <w:b/>
                <w:bCs/>
              </w:rPr>
              <w:t xml:space="preserve">Measurements </w:t>
            </w:r>
          </w:p>
        </w:tc>
      </w:tr>
      <w:tr w:rsidR="0061565A" w14:paraId="415E56FD" w14:textId="77777777" w:rsidTr="00316CA3">
        <w:tc>
          <w:tcPr>
            <w:tcW w:w="2868" w:type="dxa"/>
          </w:tcPr>
          <w:p w14:paraId="611DCFD2" w14:textId="77777777" w:rsidR="0061565A" w:rsidRDefault="0061565A" w:rsidP="002F7697">
            <w:pPr>
              <w:spacing w:line="480" w:lineRule="auto"/>
              <w:rPr>
                <w:rFonts w:asciiTheme="minorBidi" w:hAnsiTheme="minorBidi"/>
              </w:rPr>
            </w:pPr>
            <w:r>
              <w:rPr>
                <w:rFonts w:asciiTheme="minorBidi" w:hAnsiTheme="minorBidi"/>
              </w:rPr>
              <w:t xml:space="preserve">Blood pressure (mm Hg)  </w:t>
            </w:r>
          </w:p>
        </w:tc>
        <w:tc>
          <w:tcPr>
            <w:tcW w:w="6148" w:type="dxa"/>
          </w:tcPr>
          <w:p w14:paraId="4FBA83C7" w14:textId="12BB36E7" w:rsidR="0061565A" w:rsidRDefault="00243370" w:rsidP="002F7697">
            <w:pPr>
              <w:spacing w:line="480" w:lineRule="auto"/>
              <w:rPr>
                <w:rFonts w:asciiTheme="minorBidi" w:hAnsiTheme="minorBidi"/>
              </w:rPr>
            </w:pPr>
            <w:r w:rsidRPr="00243370">
              <w:rPr>
                <w:rFonts w:asciiTheme="minorBidi" w:hAnsiTheme="minorBidi"/>
              </w:rPr>
              <w:t>Most recent measurement obtained from 365 days before through 30 days after the index date</w:t>
            </w:r>
          </w:p>
        </w:tc>
      </w:tr>
      <w:tr w:rsidR="0061565A" w14:paraId="187C2100" w14:textId="77777777" w:rsidTr="00316CA3">
        <w:tc>
          <w:tcPr>
            <w:tcW w:w="2868" w:type="dxa"/>
          </w:tcPr>
          <w:p w14:paraId="5B3BFEC0" w14:textId="77777777" w:rsidR="0061565A" w:rsidRPr="00A15DB4" w:rsidRDefault="0061565A" w:rsidP="002F7697">
            <w:pPr>
              <w:spacing w:line="480" w:lineRule="auto"/>
              <w:rPr>
                <w:rFonts w:asciiTheme="minorBidi" w:hAnsiTheme="minorBidi"/>
              </w:rPr>
            </w:pPr>
            <w:r w:rsidRPr="00A15DB4">
              <w:rPr>
                <w:rFonts w:asciiTheme="minorBidi" w:hAnsiTheme="minorBidi"/>
              </w:rPr>
              <w:t>BMI (kg/m</w:t>
            </w:r>
            <w:r w:rsidRPr="00A15DB4">
              <w:rPr>
                <w:rFonts w:asciiTheme="minorBidi" w:hAnsiTheme="minorBidi"/>
                <w:vertAlign w:val="superscript"/>
              </w:rPr>
              <w:t>2</w:t>
            </w:r>
            <w:r w:rsidRPr="00A15DB4">
              <w:rPr>
                <w:rFonts w:asciiTheme="minorBidi" w:hAnsiTheme="minorBidi"/>
              </w:rPr>
              <w:t>)</w:t>
            </w:r>
          </w:p>
        </w:tc>
        <w:tc>
          <w:tcPr>
            <w:tcW w:w="6148" w:type="dxa"/>
          </w:tcPr>
          <w:p w14:paraId="27A8F999" w14:textId="3335EB46" w:rsidR="0061565A" w:rsidRDefault="00456ABC" w:rsidP="002F7697">
            <w:pPr>
              <w:spacing w:line="480" w:lineRule="auto"/>
              <w:rPr>
                <w:rFonts w:asciiTheme="minorBidi" w:hAnsiTheme="minorBidi"/>
              </w:rPr>
            </w:pPr>
            <w:r w:rsidRPr="00456ABC">
              <w:rPr>
                <w:rFonts w:asciiTheme="minorBidi" w:hAnsiTheme="minorBidi"/>
              </w:rPr>
              <w:t>Most recent measurement obtained from 365 days before through 30 days after the index date</w:t>
            </w:r>
          </w:p>
        </w:tc>
      </w:tr>
      <w:tr w:rsidR="0061565A" w14:paraId="4FE455B0" w14:textId="77777777" w:rsidTr="00316CA3">
        <w:tc>
          <w:tcPr>
            <w:tcW w:w="9016" w:type="dxa"/>
            <w:gridSpan w:val="2"/>
          </w:tcPr>
          <w:p w14:paraId="6D0ABC3D" w14:textId="77777777" w:rsidR="0061565A" w:rsidRDefault="0061565A" w:rsidP="002F7697">
            <w:pPr>
              <w:spacing w:line="480" w:lineRule="auto"/>
              <w:rPr>
                <w:rFonts w:asciiTheme="minorBidi" w:hAnsiTheme="minorBidi"/>
              </w:rPr>
            </w:pPr>
            <w:r w:rsidRPr="00503D5A">
              <w:rPr>
                <w:rFonts w:asciiTheme="minorBidi" w:hAnsiTheme="minorBidi"/>
                <w:b/>
                <w:bCs/>
              </w:rPr>
              <w:t xml:space="preserve">Laboratory tests </w:t>
            </w:r>
            <w:r>
              <w:rPr>
                <w:rFonts w:asciiTheme="minorBidi" w:hAnsiTheme="minorBidi"/>
                <w:b/>
                <w:bCs/>
              </w:rPr>
              <w:t xml:space="preserve">and related parameters </w:t>
            </w:r>
          </w:p>
        </w:tc>
      </w:tr>
      <w:tr w:rsidR="0061565A" w14:paraId="2E39F720" w14:textId="77777777" w:rsidTr="00316CA3">
        <w:tc>
          <w:tcPr>
            <w:tcW w:w="2868" w:type="dxa"/>
          </w:tcPr>
          <w:p w14:paraId="7340C2A1" w14:textId="371FD709" w:rsidR="00316CA3" w:rsidRDefault="0061565A" w:rsidP="002F7697">
            <w:pPr>
              <w:spacing w:line="480" w:lineRule="auto"/>
              <w:rPr>
                <w:rFonts w:asciiTheme="minorBidi" w:hAnsiTheme="minorBidi"/>
              </w:rPr>
            </w:pPr>
            <w:r w:rsidRPr="00A15DB4">
              <w:rPr>
                <w:rFonts w:asciiTheme="minorBidi" w:hAnsiTheme="minorBidi"/>
              </w:rPr>
              <w:t>HbA1c (%)</w:t>
            </w:r>
            <w:r w:rsidR="00316CA3">
              <w:rPr>
                <w:rFonts w:asciiTheme="minorBidi" w:hAnsiTheme="minorBidi"/>
              </w:rPr>
              <w:t xml:space="preserve"> </w:t>
            </w:r>
            <w:r w:rsidR="00316CA3" w:rsidRPr="00316CA3">
              <w:rPr>
                <w:rFonts w:asciiTheme="minorBidi" w:hAnsiTheme="minorBidi"/>
                <w:vertAlign w:val="superscript"/>
              </w:rPr>
              <w:t>a</w:t>
            </w:r>
          </w:p>
          <w:p w14:paraId="3D6F3262" w14:textId="1BD6CED6" w:rsidR="00316CA3" w:rsidRDefault="00316CA3" w:rsidP="002F7697">
            <w:pPr>
              <w:spacing w:line="480" w:lineRule="auto"/>
              <w:rPr>
                <w:rFonts w:asciiTheme="minorBidi" w:hAnsiTheme="minorBidi"/>
              </w:rPr>
            </w:pPr>
            <w:r w:rsidRPr="00316CA3">
              <w:rPr>
                <w:rFonts w:asciiTheme="minorBidi" w:hAnsiTheme="minorBidi"/>
              </w:rPr>
              <w:t>LDL cholesterol (mg/dL)</w:t>
            </w:r>
            <w:r>
              <w:rPr>
                <w:rFonts w:asciiTheme="minorBidi" w:hAnsiTheme="minorBidi"/>
              </w:rPr>
              <w:t xml:space="preserve"> </w:t>
            </w:r>
            <w:r w:rsidRPr="00316CA3">
              <w:rPr>
                <w:rFonts w:asciiTheme="minorBidi" w:hAnsiTheme="minorBidi"/>
                <w:vertAlign w:val="superscript"/>
              </w:rPr>
              <w:t>a</w:t>
            </w:r>
          </w:p>
          <w:p w14:paraId="1A660ECE" w14:textId="477EF509" w:rsidR="00316CA3" w:rsidRDefault="00316CA3" w:rsidP="002F7697">
            <w:pPr>
              <w:spacing w:line="480" w:lineRule="auto"/>
              <w:rPr>
                <w:rFonts w:asciiTheme="minorBidi" w:hAnsiTheme="minorBidi"/>
              </w:rPr>
            </w:pPr>
            <w:r w:rsidRPr="00316CA3">
              <w:rPr>
                <w:rFonts w:asciiTheme="minorBidi" w:hAnsiTheme="minorBidi"/>
              </w:rPr>
              <w:t>HDL cholesterol (mg/dL)</w:t>
            </w:r>
            <w:r>
              <w:rPr>
                <w:rFonts w:asciiTheme="minorBidi" w:hAnsiTheme="minorBidi"/>
              </w:rPr>
              <w:t xml:space="preserve"> </w:t>
            </w:r>
            <w:r w:rsidRPr="00316CA3">
              <w:rPr>
                <w:rFonts w:asciiTheme="minorBidi" w:hAnsiTheme="minorBidi"/>
                <w:vertAlign w:val="superscript"/>
              </w:rPr>
              <w:t>a</w:t>
            </w:r>
          </w:p>
          <w:p w14:paraId="40E9451A" w14:textId="5C439E02" w:rsidR="00316CA3" w:rsidRDefault="00316CA3" w:rsidP="002F7697">
            <w:pPr>
              <w:spacing w:line="480" w:lineRule="auto"/>
              <w:rPr>
                <w:rFonts w:asciiTheme="minorBidi" w:hAnsiTheme="minorBidi"/>
              </w:rPr>
            </w:pPr>
            <w:r w:rsidRPr="00316CA3">
              <w:rPr>
                <w:rFonts w:asciiTheme="minorBidi" w:hAnsiTheme="minorBidi"/>
              </w:rPr>
              <w:t>Triglycerides (mg/dL)</w:t>
            </w:r>
            <w:r w:rsidRPr="00316CA3">
              <w:rPr>
                <w:rFonts w:asciiTheme="minorBidi" w:hAnsiTheme="minorBidi"/>
                <w:vertAlign w:val="superscript"/>
              </w:rPr>
              <w:t xml:space="preserve"> a</w:t>
            </w:r>
          </w:p>
          <w:p w14:paraId="05B81F93" w14:textId="5E39C370" w:rsidR="0061565A" w:rsidRDefault="00316CA3" w:rsidP="00316CA3">
            <w:pPr>
              <w:spacing w:line="480" w:lineRule="auto"/>
              <w:rPr>
                <w:rFonts w:asciiTheme="minorBidi" w:hAnsiTheme="minorBidi"/>
              </w:rPr>
            </w:pPr>
            <w:r w:rsidRPr="00316CA3">
              <w:rPr>
                <w:rFonts w:asciiTheme="minorBidi" w:hAnsiTheme="minorBidi"/>
              </w:rPr>
              <w:t xml:space="preserve">UACR (mg/g) </w:t>
            </w:r>
            <w:r w:rsidRPr="00316CA3">
              <w:rPr>
                <w:rFonts w:asciiTheme="minorBidi" w:hAnsiTheme="minorBidi"/>
                <w:vertAlign w:val="superscript"/>
              </w:rPr>
              <w:t>a</w:t>
            </w:r>
          </w:p>
        </w:tc>
        <w:tc>
          <w:tcPr>
            <w:tcW w:w="6148" w:type="dxa"/>
          </w:tcPr>
          <w:p w14:paraId="03A00DB1" w14:textId="368FAE7A" w:rsidR="0061565A" w:rsidRDefault="00316CA3" w:rsidP="002F7697">
            <w:pPr>
              <w:spacing w:line="480" w:lineRule="auto"/>
              <w:rPr>
                <w:rFonts w:asciiTheme="minorBidi" w:hAnsiTheme="minorBidi"/>
              </w:rPr>
            </w:pPr>
            <w:r w:rsidRPr="00316CA3">
              <w:rPr>
                <w:rFonts w:asciiTheme="minorBidi" w:hAnsiTheme="minorBidi"/>
              </w:rPr>
              <w:t>Most recent measurement obtained within the 365 days before the index date</w:t>
            </w:r>
          </w:p>
        </w:tc>
      </w:tr>
      <w:tr w:rsidR="0061565A" w14:paraId="2BC93639" w14:textId="77777777" w:rsidTr="00316CA3">
        <w:tc>
          <w:tcPr>
            <w:tcW w:w="2868" w:type="dxa"/>
          </w:tcPr>
          <w:p w14:paraId="69F6DAD2" w14:textId="77777777" w:rsidR="0061565A" w:rsidRPr="00177DF3" w:rsidRDefault="0061565A" w:rsidP="002F7697">
            <w:pPr>
              <w:spacing w:line="480" w:lineRule="auto"/>
              <w:rPr>
                <w:rFonts w:asciiTheme="minorBidi" w:hAnsiTheme="minorBidi"/>
              </w:rPr>
            </w:pPr>
            <w:r w:rsidRPr="00775BDE">
              <w:rPr>
                <w:rFonts w:asciiTheme="minorBidi" w:hAnsiTheme="minorBidi"/>
              </w:rPr>
              <w:t>eGFR</w:t>
            </w:r>
            <w:r>
              <w:rPr>
                <w:rFonts w:asciiTheme="minorBidi" w:hAnsiTheme="minorBidi"/>
              </w:rPr>
              <w:t xml:space="preserve"> </w:t>
            </w:r>
            <w:r w:rsidRPr="00775BDE">
              <w:rPr>
                <w:rFonts w:asciiTheme="minorBidi" w:hAnsiTheme="minorBidi"/>
              </w:rPr>
              <w:t xml:space="preserve">(mL/min/1.73 m²) </w:t>
            </w:r>
          </w:p>
        </w:tc>
        <w:tc>
          <w:tcPr>
            <w:tcW w:w="6148" w:type="dxa"/>
          </w:tcPr>
          <w:p w14:paraId="3E35AA0B" w14:textId="70539D6E" w:rsidR="0061565A" w:rsidRPr="00177DF3" w:rsidRDefault="007047C5" w:rsidP="002F7697">
            <w:pPr>
              <w:spacing w:line="480" w:lineRule="auto"/>
              <w:rPr>
                <w:rFonts w:asciiTheme="minorBidi" w:hAnsiTheme="minorBidi"/>
              </w:rPr>
            </w:pPr>
            <w:r w:rsidRPr="007047C5">
              <w:rPr>
                <w:rFonts w:asciiTheme="minorBidi" w:hAnsiTheme="minorBidi"/>
              </w:rPr>
              <w:t>Most recent eGFR value recorded within the 365 days before the index date, calculated using the 2009 CKD-EPI equation</w:t>
            </w:r>
          </w:p>
        </w:tc>
      </w:tr>
      <w:tr w:rsidR="0061565A" w14:paraId="38B8255A" w14:textId="77777777" w:rsidTr="00316CA3">
        <w:tc>
          <w:tcPr>
            <w:tcW w:w="2868" w:type="dxa"/>
          </w:tcPr>
          <w:p w14:paraId="6131F475" w14:textId="77777777" w:rsidR="0061565A" w:rsidRDefault="0061565A" w:rsidP="002F7697">
            <w:pPr>
              <w:spacing w:line="480" w:lineRule="auto"/>
              <w:rPr>
                <w:rFonts w:asciiTheme="minorBidi" w:hAnsiTheme="minorBidi"/>
              </w:rPr>
            </w:pPr>
            <w:r w:rsidRPr="00177DF3">
              <w:rPr>
                <w:rFonts w:asciiTheme="minorBidi" w:hAnsiTheme="minorBidi"/>
              </w:rPr>
              <w:t>KDIGO kidney risk category</w:t>
            </w:r>
          </w:p>
        </w:tc>
        <w:tc>
          <w:tcPr>
            <w:tcW w:w="6148" w:type="dxa"/>
          </w:tcPr>
          <w:p w14:paraId="547C1ED8" w14:textId="52CB7CC5" w:rsidR="0061565A" w:rsidRPr="007F41C0" w:rsidRDefault="00E06B2F" w:rsidP="002F7697">
            <w:pPr>
              <w:spacing w:line="480" w:lineRule="auto"/>
              <w:rPr>
                <w:rFonts w:asciiTheme="minorBidi" w:hAnsiTheme="minorBidi"/>
              </w:rPr>
            </w:pPr>
            <w:r w:rsidRPr="00E06B2F">
              <w:rPr>
                <w:rFonts w:asciiTheme="minorBidi" w:hAnsiTheme="minorBidi"/>
              </w:rPr>
              <w:t>Category assigned using baseline eGFR and UACR</w:t>
            </w:r>
          </w:p>
        </w:tc>
      </w:tr>
      <w:tr w:rsidR="0061565A" w14:paraId="72908D9F" w14:textId="77777777" w:rsidTr="00316CA3">
        <w:tc>
          <w:tcPr>
            <w:tcW w:w="9016" w:type="dxa"/>
            <w:gridSpan w:val="2"/>
          </w:tcPr>
          <w:p w14:paraId="0B7DC238" w14:textId="77777777" w:rsidR="0061565A" w:rsidRDefault="0061565A" w:rsidP="002F7697">
            <w:pPr>
              <w:spacing w:line="480" w:lineRule="auto"/>
              <w:rPr>
                <w:rFonts w:asciiTheme="minorBidi" w:hAnsiTheme="minorBidi"/>
              </w:rPr>
            </w:pPr>
            <w:r w:rsidRPr="00901D97">
              <w:rPr>
                <w:rFonts w:asciiTheme="minorBidi" w:hAnsiTheme="minorBidi"/>
                <w:b/>
                <w:bCs/>
              </w:rPr>
              <w:t xml:space="preserve">Medical history </w:t>
            </w:r>
          </w:p>
        </w:tc>
      </w:tr>
      <w:tr w:rsidR="0061565A" w14:paraId="54565916" w14:textId="77777777" w:rsidTr="00316CA3">
        <w:tc>
          <w:tcPr>
            <w:tcW w:w="2868" w:type="dxa"/>
          </w:tcPr>
          <w:p w14:paraId="2E95FE34" w14:textId="77777777" w:rsidR="0061565A" w:rsidRDefault="0061565A" w:rsidP="002F7697">
            <w:pPr>
              <w:spacing w:line="480" w:lineRule="auto"/>
              <w:rPr>
                <w:rFonts w:asciiTheme="minorBidi" w:hAnsiTheme="minorBidi"/>
              </w:rPr>
            </w:pPr>
            <w:r>
              <w:rPr>
                <w:rFonts w:asciiTheme="minorBidi" w:hAnsiTheme="minorBidi"/>
              </w:rPr>
              <w:lastRenderedPageBreak/>
              <w:t xml:space="preserve">Diabetes duration (years)  </w:t>
            </w:r>
          </w:p>
        </w:tc>
        <w:tc>
          <w:tcPr>
            <w:tcW w:w="6148" w:type="dxa"/>
          </w:tcPr>
          <w:p w14:paraId="4B45EB07" w14:textId="1AF1F81A" w:rsidR="0061565A" w:rsidRDefault="005F12E3" w:rsidP="002F7697">
            <w:pPr>
              <w:spacing w:line="480" w:lineRule="auto"/>
              <w:rPr>
                <w:rFonts w:asciiTheme="minorBidi" w:hAnsiTheme="minorBidi"/>
              </w:rPr>
            </w:pPr>
            <w:r w:rsidRPr="005F12E3">
              <w:rPr>
                <w:rFonts w:asciiTheme="minorBidi" w:hAnsiTheme="minorBidi"/>
              </w:rPr>
              <w:t>Time from inclusion in the MHS T2D registry to the index date</w:t>
            </w:r>
          </w:p>
        </w:tc>
      </w:tr>
      <w:tr w:rsidR="0061565A" w14:paraId="0D3D8BD8" w14:textId="77777777" w:rsidTr="00316CA3">
        <w:tc>
          <w:tcPr>
            <w:tcW w:w="2868" w:type="dxa"/>
          </w:tcPr>
          <w:p w14:paraId="0FA49044" w14:textId="77777777" w:rsidR="0061565A" w:rsidRDefault="0061565A" w:rsidP="002F7697">
            <w:pPr>
              <w:spacing w:line="480" w:lineRule="auto"/>
              <w:rPr>
                <w:rFonts w:asciiTheme="minorBidi" w:hAnsiTheme="minorBidi"/>
              </w:rPr>
            </w:pPr>
            <w:r>
              <w:rPr>
                <w:rFonts w:asciiTheme="minorBidi" w:hAnsiTheme="minorBidi"/>
              </w:rPr>
              <w:t>Ischemic Heart Disease (IHD)</w:t>
            </w:r>
          </w:p>
        </w:tc>
        <w:tc>
          <w:tcPr>
            <w:tcW w:w="6148" w:type="dxa"/>
          </w:tcPr>
          <w:p w14:paraId="373F2A10" w14:textId="698C1DEA" w:rsidR="0061565A" w:rsidRDefault="00EC5914" w:rsidP="002F7697">
            <w:pPr>
              <w:spacing w:line="480" w:lineRule="auto"/>
              <w:rPr>
                <w:rFonts w:asciiTheme="minorBidi" w:hAnsiTheme="minorBidi"/>
              </w:rPr>
            </w:pPr>
            <w:r w:rsidRPr="00EC5914">
              <w:rPr>
                <w:rFonts w:asciiTheme="minorBidi" w:hAnsiTheme="minorBidi"/>
              </w:rPr>
              <w:t xml:space="preserve">Confirmed inclusion in the MHS </w:t>
            </w:r>
            <w:r w:rsidR="00E471EF">
              <w:rPr>
                <w:rFonts w:asciiTheme="minorBidi" w:hAnsiTheme="minorBidi"/>
              </w:rPr>
              <w:t>IHD</w:t>
            </w:r>
            <w:r w:rsidRPr="00EC5914">
              <w:rPr>
                <w:rFonts w:asciiTheme="minorBidi" w:hAnsiTheme="minorBidi"/>
              </w:rPr>
              <w:t xml:space="preserve"> registry before the index date (yes/no)</w:t>
            </w:r>
          </w:p>
        </w:tc>
      </w:tr>
      <w:tr w:rsidR="0061565A" w14:paraId="16DAD771" w14:textId="77777777" w:rsidTr="00316CA3">
        <w:tc>
          <w:tcPr>
            <w:tcW w:w="2868" w:type="dxa"/>
          </w:tcPr>
          <w:p w14:paraId="0D2AA3C1" w14:textId="72614BCE" w:rsidR="0061565A" w:rsidRDefault="0061565A" w:rsidP="002F7697">
            <w:pPr>
              <w:spacing w:line="480" w:lineRule="auto"/>
              <w:rPr>
                <w:rFonts w:asciiTheme="minorBidi" w:hAnsiTheme="minorBidi"/>
              </w:rPr>
            </w:pPr>
            <w:r>
              <w:rPr>
                <w:rFonts w:asciiTheme="minorBidi" w:hAnsiTheme="minorBidi"/>
              </w:rPr>
              <w:t>Heart Failure</w:t>
            </w:r>
            <w:r w:rsidR="009E137B">
              <w:rPr>
                <w:rFonts w:asciiTheme="minorBidi" w:hAnsiTheme="minorBidi"/>
              </w:rPr>
              <w:t xml:space="preserve"> (HF)</w:t>
            </w:r>
          </w:p>
        </w:tc>
        <w:tc>
          <w:tcPr>
            <w:tcW w:w="6148" w:type="dxa"/>
          </w:tcPr>
          <w:p w14:paraId="37D8E520" w14:textId="24DB23CA" w:rsidR="0061565A" w:rsidRDefault="00EC5914" w:rsidP="002F7697">
            <w:pPr>
              <w:spacing w:line="480" w:lineRule="auto"/>
              <w:rPr>
                <w:rFonts w:asciiTheme="minorBidi" w:hAnsiTheme="minorBidi"/>
              </w:rPr>
            </w:pPr>
            <w:r w:rsidRPr="00EC5914">
              <w:rPr>
                <w:rFonts w:asciiTheme="minorBidi" w:hAnsiTheme="minorBidi"/>
              </w:rPr>
              <w:t xml:space="preserve">Confirmed inclusion in the MHS </w:t>
            </w:r>
            <w:r w:rsidR="00E471EF">
              <w:rPr>
                <w:rFonts w:asciiTheme="minorBidi" w:hAnsiTheme="minorBidi"/>
              </w:rPr>
              <w:t>HF</w:t>
            </w:r>
            <w:r w:rsidRPr="00EC5914">
              <w:rPr>
                <w:rFonts w:asciiTheme="minorBidi" w:hAnsiTheme="minorBidi"/>
              </w:rPr>
              <w:t xml:space="preserve"> registry before the index date (yes/no)</w:t>
            </w:r>
          </w:p>
        </w:tc>
      </w:tr>
      <w:tr w:rsidR="0061565A" w:rsidRPr="002075B7" w14:paraId="42F5768F" w14:textId="77777777" w:rsidTr="00316CA3">
        <w:tc>
          <w:tcPr>
            <w:tcW w:w="2868" w:type="dxa"/>
          </w:tcPr>
          <w:p w14:paraId="6487C338" w14:textId="77777777" w:rsidR="0061565A" w:rsidRDefault="0061565A" w:rsidP="002F7697">
            <w:pPr>
              <w:spacing w:line="480" w:lineRule="auto"/>
              <w:rPr>
                <w:rFonts w:asciiTheme="minorBidi" w:hAnsiTheme="minorBidi"/>
              </w:rPr>
            </w:pPr>
            <w:r>
              <w:rPr>
                <w:rFonts w:asciiTheme="minorBidi" w:hAnsiTheme="minorBidi"/>
              </w:rPr>
              <w:t xml:space="preserve">Stroke </w:t>
            </w:r>
          </w:p>
        </w:tc>
        <w:tc>
          <w:tcPr>
            <w:tcW w:w="6148" w:type="dxa"/>
          </w:tcPr>
          <w:p w14:paraId="47592BE3" w14:textId="612B0E53" w:rsidR="0061565A" w:rsidRPr="002075B7" w:rsidRDefault="00EC5914" w:rsidP="002F7697">
            <w:pPr>
              <w:spacing w:line="480" w:lineRule="auto"/>
              <w:rPr>
                <w:rFonts w:asciiTheme="minorBidi" w:hAnsiTheme="minorBidi"/>
                <w:lang w:val="en-GB"/>
              </w:rPr>
            </w:pPr>
            <w:r w:rsidRPr="00EC5914">
              <w:rPr>
                <w:rFonts w:asciiTheme="minorBidi" w:hAnsiTheme="minorBidi"/>
                <w:lang w:val="en-GB"/>
              </w:rPr>
              <w:t>Confirmed inclusion in the MHS Stroke (Cerebrovascular Accident</w:t>
            </w:r>
            <w:r>
              <w:rPr>
                <w:rFonts w:asciiTheme="minorBidi" w:hAnsiTheme="minorBidi"/>
                <w:lang w:val="en-GB"/>
              </w:rPr>
              <w:t xml:space="preserve">)    </w:t>
            </w:r>
            <w:r w:rsidRPr="00EC5914">
              <w:rPr>
                <w:rFonts w:asciiTheme="minorBidi" w:hAnsiTheme="minorBidi"/>
                <w:lang w:val="en-GB"/>
              </w:rPr>
              <w:t>registry before the index date (yes/no)</w:t>
            </w:r>
          </w:p>
        </w:tc>
      </w:tr>
      <w:tr w:rsidR="0061565A" w:rsidRPr="00023A6D" w14:paraId="35536BE0" w14:textId="77777777" w:rsidTr="00316CA3">
        <w:tc>
          <w:tcPr>
            <w:tcW w:w="2868" w:type="dxa"/>
          </w:tcPr>
          <w:p w14:paraId="5DD236A5" w14:textId="77777777" w:rsidR="0061565A" w:rsidRPr="008F0B73" w:rsidRDefault="0061565A" w:rsidP="002F7697">
            <w:pPr>
              <w:spacing w:line="480" w:lineRule="auto"/>
              <w:rPr>
                <w:rFonts w:asciiTheme="minorBidi" w:hAnsiTheme="minorBidi"/>
                <w:lang w:val="en-GB"/>
              </w:rPr>
            </w:pPr>
            <w:r w:rsidRPr="008F0B73">
              <w:rPr>
                <w:rFonts w:asciiTheme="minorBidi" w:hAnsiTheme="minorBidi"/>
                <w:lang w:val="en-GB"/>
              </w:rPr>
              <w:t>Peripheral Vascular Disease (PVD)</w:t>
            </w:r>
          </w:p>
        </w:tc>
        <w:tc>
          <w:tcPr>
            <w:tcW w:w="6148" w:type="dxa"/>
          </w:tcPr>
          <w:p w14:paraId="64874AF4" w14:textId="5EFFB845" w:rsidR="0061565A" w:rsidRPr="00581F78" w:rsidRDefault="00EC5914" w:rsidP="002F7697">
            <w:pPr>
              <w:spacing w:line="480" w:lineRule="auto"/>
              <w:rPr>
                <w:rFonts w:asciiTheme="minorBidi" w:hAnsiTheme="minorBidi"/>
                <w:lang w:val="en-GB"/>
              </w:rPr>
            </w:pPr>
            <w:r w:rsidRPr="00EC5914">
              <w:rPr>
                <w:rFonts w:asciiTheme="minorBidi" w:hAnsiTheme="minorBidi"/>
                <w:lang w:val="en-GB"/>
              </w:rPr>
              <w:t xml:space="preserve">Confirmed inclusion in the </w:t>
            </w:r>
            <w:r w:rsidR="00E471EF">
              <w:rPr>
                <w:rFonts w:asciiTheme="minorBidi" w:hAnsiTheme="minorBidi"/>
                <w:lang w:val="en-GB"/>
              </w:rPr>
              <w:t>MHS PVD</w:t>
            </w:r>
            <w:r w:rsidRPr="00EC5914">
              <w:rPr>
                <w:rFonts w:asciiTheme="minorBidi" w:hAnsiTheme="minorBidi"/>
                <w:lang w:val="en-GB"/>
              </w:rPr>
              <w:t xml:space="preserve"> registry before the index date (yes/no)</w:t>
            </w:r>
          </w:p>
        </w:tc>
      </w:tr>
      <w:tr w:rsidR="0061565A" w:rsidRPr="00023A6D" w14:paraId="27D616F7" w14:textId="77777777" w:rsidTr="00316CA3">
        <w:tc>
          <w:tcPr>
            <w:tcW w:w="2868" w:type="dxa"/>
          </w:tcPr>
          <w:p w14:paraId="5C5E462B" w14:textId="77777777" w:rsidR="0061565A" w:rsidRPr="00622F70" w:rsidRDefault="0061565A" w:rsidP="002F7697">
            <w:pPr>
              <w:spacing w:line="480" w:lineRule="auto"/>
              <w:rPr>
                <w:rFonts w:asciiTheme="minorBidi" w:hAnsiTheme="minorBidi"/>
                <w:lang w:val="it-IT"/>
              </w:rPr>
            </w:pPr>
            <w:r w:rsidRPr="00622F70">
              <w:rPr>
                <w:rFonts w:asciiTheme="minorBidi" w:hAnsiTheme="minorBidi"/>
                <w:lang w:val="it-IT"/>
              </w:rPr>
              <w:t xml:space="preserve">Acute Kidney Injury (AKI) </w:t>
            </w:r>
          </w:p>
        </w:tc>
        <w:tc>
          <w:tcPr>
            <w:tcW w:w="6148" w:type="dxa"/>
          </w:tcPr>
          <w:p w14:paraId="27B6B8A3" w14:textId="7E825EB6" w:rsidR="0061565A" w:rsidRPr="00622F70" w:rsidRDefault="00EC6167" w:rsidP="002F7697">
            <w:pPr>
              <w:spacing w:line="480" w:lineRule="auto"/>
              <w:rPr>
                <w:rFonts w:asciiTheme="minorBidi" w:hAnsiTheme="minorBidi"/>
                <w:lang w:val="en-GB"/>
              </w:rPr>
            </w:pPr>
            <w:r w:rsidRPr="00EC6167">
              <w:rPr>
                <w:rFonts w:asciiTheme="minorBidi" w:hAnsiTheme="minorBidi"/>
                <w:lang w:val="en-GB"/>
              </w:rPr>
              <w:t>Confirmed diagnosis recorded in MHS electronic records before the index date</w:t>
            </w:r>
            <w:r w:rsidR="00B352A7">
              <w:rPr>
                <w:rFonts w:asciiTheme="minorBidi" w:hAnsiTheme="minorBidi"/>
                <w:lang w:val="en-GB"/>
              </w:rPr>
              <w:t>:</w:t>
            </w:r>
            <w:r w:rsidRPr="00EC6167">
              <w:rPr>
                <w:rFonts w:asciiTheme="minorBidi" w:hAnsiTheme="minorBidi"/>
                <w:lang w:val="en-GB"/>
              </w:rPr>
              <w:t xml:space="preserve"> ICD-9</w:t>
            </w:r>
            <w:r w:rsidR="00B352A7">
              <w:rPr>
                <w:rFonts w:asciiTheme="minorBidi" w:hAnsiTheme="minorBidi"/>
                <w:lang w:val="en-GB"/>
              </w:rPr>
              <w:t xml:space="preserve"> codes</w:t>
            </w:r>
            <w:r w:rsidRPr="00EC6167">
              <w:rPr>
                <w:rFonts w:asciiTheme="minorBidi" w:hAnsiTheme="minorBidi"/>
                <w:lang w:val="en-GB"/>
              </w:rPr>
              <w:t xml:space="preserve"> 584.5-584.9; yes/no</w:t>
            </w:r>
            <w:r w:rsidR="0061565A" w:rsidRPr="00622F70">
              <w:rPr>
                <w:rFonts w:asciiTheme="minorBidi" w:hAnsiTheme="minorBidi"/>
                <w:lang w:val="en-GB"/>
              </w:rPr>
              <w:t xml:space="preserve"> </w:t>
            </w:r>
          </w:p>
        </w:tc>
      </w:tr>
      <w:tr w:rsidR="0061565A" w:rsidRPr="00E3274C" w14:paraId="41F6F0FA" w14:textId="77777777" w:rsidTr="00316CA3">
        <w:tc>
          <w:tcPr>
            <w:tcW w:w="2868" w:type="dxa"/>
          </w:tcPr>
          <w:p w14:paraId="5B3BBBB9" w14:textId="77777777" w:rsidR="0061565A" w:rsidRPr="00622F70" w:rsidRDefault="0061565A" w:rsidP="002F7697">
            <w:pPr>
              <w:rPr>
                <w:rFonts w:asciiTheme="minorBidi" w:hAnsiTheme="minorBidi"/>
                <w:lang w:bidi="he-IL"/>
              </w:rPr>
            </w:pPr>
            <w:r w:rsidRPr="00622F70">
              <w:rPr>
                <w:rFonts w:asciiTheme="minorBidi" w:hAnsiTheme="minorBidi"/>
                <w:lang w:bidi="he-IL"/>
              </w:rPr>
              <w:t>Atrial Fibrillation</w:t>
            </w:r>
          </w:p>
        </w:tc>
        <w:tc>
          <w:tcPr>
            <w:tcW w:w="6148" w:type="dxa"/>
          </w:tcPr>
          <w:p w14:paraId="1D9D98AD" w14:textId="43E5416E" w:rsidR="0061565A" w:rsidRPr="00622F70" w:rsidRDefault="00B352A7" w:rsidP="002F7697">
            <w:pPr>
              <w:spacing w:line="480" w:lineRule="auto"/>
              <w:rPr>
                <w:rFonts w:asciiTheme="minorBidi" w:hAnsiTheme="minorBidi"/>
                <w:lang w:val="en-GB"/>
              </w:rPr>
            </w:pPr>
            <w:r w:rsidRPr="00B352A7">
              <w:rPr>
                <w:rFonts w:asciiTheme="minorBidi" w:hAnsiTheme="minorBidi"/>
                <w:lang w:val="en-GB"/>
              </w:rPr>
              <w:t xml:space="preserve">Confirmed diagnosis recorded in MHS electronic records before the index date: ICD-9 code </w:t>
            </w:r>
            <w:r w:rsidR="000844AC" w:rsidRPr="000844AC">
              <w:rPr>
                <w:rFonts w:asciiTheme="minorBidi" w:hAnsiTheme="minorBidi"/>
                <w:lang w:val="en-GB"/>
              </w:rPr>
              <w:t>427.31</w:t>
            </w:r>
            <w:r w:rsidRPr="00B352A7">
              <w:rPr>
                <w:rFonts w:asciiTheme="minorBidi" w:hAnsiTheme="minorBidi"/>
                <w:lang w:val="en-GB"/>
              </w:rPr>
              <w:t xml:space="preserve">; yes/no </w:t>
            </w:r>
          </w:p>
        </w:tc>
      </w:tr>
      <w:tr w:rsidR="0061565A" w:rsidRPr="00E3274C" w14:paraId="667C5FEE" w14:textId="77777777" w:rsidTr="00316CA3">
        <w:tc>
          <w:tcPr>
            <w:tcW w:w="2868" w:type="dxa"/>
          </w:tcPr>
          <w:p w14:paraId="39876F47" w14:textId="77777777" w:rsidR="0061565A" w:rsidRPr="00622F70" w:rsidRDefault="0061565A" w:rsidP="002F7697">
            <w:pPr>
              <w:spacing w:line="480" w:lineRule="auto"/>
              <w:rPr>
                <w:rFonts w:asciiTheme="minorBidi" w:hAnsiTheme="minorBidi"/>
                <w:lang w:val="en-GB"/>
              </w:rPr>
            </w:pPr>
            <w:r w:rsidRPr="00622F70">
              <w:rPr>
                <w:rFonts w:asciiTheme="minorBidi" w:hAnsiTheme="minorBidi"/>
                <w:lang w:val="en-GB"/>
              </w:rPr>
              <w:t>Chronic Liver Disease</w:t>
            </w:r>
          </w:p>
        </w:tc>
        <w:tc>
          <w:tcPr>
            <w:tcW w:w="6148" w:type="dxa"/>
          </w:tcPr>
          <w:p w14:paraId="1BC4C313" w14:textId="1AAAF67D" w:rsidR="0061565A" w:rsidRPr="00622F70" w:rsidRDefault="000844AC" w:rsidP="002F7697">
            <w:pPr>
              <w:spacing w:line="480" w:lineRule="auto"/>
              <w:rPr>
                <w:rFonts w:asciiTheme="minorBidi" w:hAnsiTheme="minorBidi"/>
                <w:lang w:val="en-GB"/>
              </w:rPr>
            </w:pPr>
            <w:r w:rsidRPr="000844AC">
              <w:rPr>
                <w:rFonts w:asciiTheme="minorBidi" w:hAnsiTheme="minorBidi"/>
                <w:lang w:val="en-GB"/>
              </w:rPr>
              <w:t>Confirmed diagnosis recorded in MHS electronic records before the index date: ICD-9 code</w:t>
            </w:r>
            <w:r>
              <w:rPr>
                <w:rFonts w:asciiTheme="minorBidi" w:hAnsiTheme="minorBidi"/>
                <w:lang w:val="en-GB"/>
              </w:rPr>
              <w:t>s</w:t>
            </w:r>
            <w:r w:rsidRPr="000844AC">
              <w:rPr>
                <w:rFonts w:asciiTheme="minorBidi" w:hAnsiTheme="minorBidi"/>
                <w:lang w:val="en-GB"/>
              </w:rPr>
              <w:t xml:space="preserve"> 571.X; yes/no </w:t>
            </w:r>
          </w:p>
        </w:tc>
      </w:tr>
      <w:tr w:rsidR="0061565A" w:rsidRPr="00E3274C" w14:paraId="617B8B2A" w14:textId="77777777" w:rsidTr="00316CA3">
        <w:tc>
          <w:tcPr>
            <w:tcW w:w="2868" w:type="dxa"/>
          </w:tcPr>
          <w:p w14:paraId="4C7917DC" w14:textId="77777777" w:rsidR="0061565A" w:rsidRPr="00622F70" w:rsidRDefault="0061565A" w:rsidP="002F7697">
            <w:pPr>
              <w:spacing w:line="480" w:lineRule="auto"/>
              <w:rPr>
                <w:rFonts w:asciiTheme="minorBidi" w:hAnsiTheme="minorBidi"/>
                <w:lang w:val="en-GB"/>
              </w:rPr>
            </w:pPr>
            <w:r w:rsidRPr="00622F70">
              <w:rPr>
                <w:rFonts w:asciiTheme="minorBidi" w:hAnsiTheme="minorBidi"/>
                <w:lang w:val="en-GB"/>
              </w:rPr>
              <w:t>Retinopathy</w:t>
            </w:r>
          </w:p>
        </w:tc>
        <w:tc>
          <w:tcPr>
            <w:tcW w:w="6148" w:type="dxa"/>
          </w:tcPr>
          <w:p w14:paraId="5C952A10" w14:textId="6622AA94" w:rsidR="0061565A" w:rsidRPr="00622F70" w:rsidRDefault="000844AC" w:rsidP="002F7697">
            <w:pPr>
              <w:spacing w:line="480" w:lineRule="auto"/>
              <w:rPr>
                <w:rFonts w:asciiTheme="minorBidi" w:hAnsiTheme="minorBidi"/>
                <w:lang w:val="en-GB"/>
              </w:rPr>
            </w:pPr>
            <w:r w:rsidRPr="000844AC">
              <w:rPr>
                <w:rFonts w:asciiTheme="minorBidi" w:hAnsiTheme="minorBidi"/>
                <w:lang w:val="en-GB"/>
              </w:rPr>
              <w:t>Confirmed diagnosis recorded in MHS electronic records before the index date: ICD-9 code</w:t>
            </w:r>
            <w:r w:rsidR="00CC2CE3">
              <w:rPr>
                <w:rFonts w:asciiTheme="minorBidi" w:hAnsiTheme="minorBidi"/>
                <w:lang w:val="en-GB"/>
              </w:rPr>
              <w:t>s</w:t>
            </w:r>
            <w:r w:rsidRPr="000844AC">
              <w:rPr>
                <w:rFonts w:asciiTheme="minorBidi" w:hAnsiTheme="minorBidi"/>
                <w:lang w:val="en-GB"/>
              </w:rPr>
              <w:t xml:space="preserve"> </w:t>
            </w:r>
            <w:r w:rsidR="00CC2CE3" w:rsidRPr="00CC2CE3">
              <w:rPr>
                <w:rFonts w:asciiTheme="minorBidi" w:hAnsiTheme="minorBidi"/>
                <w:lang w:val="en-GB"/>
              </w:rPr>
              <w:t>362.X</w:t>
            </w:r>
            <w:r w:rsidRPr="000844AC">
              <w:rPr>
                <w:rFonts w:asciiTheme="minorBidi" w:hAnsiTheme="minorBidi"/>
                <w:lang w:val="en-GB"/>
              </w:rPr>
              <w:t xml:space="preserve">; yes/no </w:t>
            </w:r>
          </w:p>
        </w:tc>
      </w:tr>
      <w:tr w:rsidR="0061565A" w:rsidRPr="006001F1" w14:paraId="420D2C1C" w14:textId="77777777" w:rsidTr="00316CA3">
        <w:tc>
          <w:tcPr>
            <w:tcW w:w="9016" w:type="dxa"/>
            <w:gridSpan w:val="2"/>
          </w:tcPr>
          <w:p w14:paraId="5B96C4EA" w14:textId="753E600C" w:rsidR="0061565A" w:rsidRPr="00C15411" w:rsidRDefault="0061565A" w:rsidP="002F7697">
            <w:pPr>
              <w:spacing w:line="480" w:lineRule="auto"/>
              <w:rPr>
                <w:rFonts w:asciiTheme="minorBidi" w:hAnsiTheme="minorBidi"/>
                <w:lang w:val="en-GB"/>
              </w:rPr>
            </w:pPr>
            <w:r w:rsidRPr="00901D97">
              <w:rPr>
                <w:rFonts w:asciiTheme="minorBidi" w:hAnsiTheme="minorBidi"/>
                <w:b/>
                <w:bCs/>
                <w:lang w:val="en-GB"/>
              </w:rPr>
              <w:t>Background medications</w:t>
            </w:r>
            <w:r>
              <w:rPr>
                <w:rFonts w:asciiTheme="minorBidi" w:hAnsiTheme="minorBidi"/>
                <w:b/>
                <w:bCs/>
                <w:lang w:val="en-GB"/>
              </w:rPr>
              <w:t xml:space="preserve"> </w:t>
            </w:r>
            <w:r w:rsidR="00DB207F">
              <w:rPr>
                <w:rFonts w:asciiTheme="minorBidi" w:hAnsiTheme="minorBidi"/>
                <w:b/>
                <w:bCs/>
                <w:vertAlign w:val="superscript"/>
                <w:lang w:val="en-GB"/>
              </w:rPr>
              <w:t>b</w:t>
            </w:r>
          </w:p>
        </w:tc>
      </w:tr>
      <w:tr w:rsidR="0061565A" w:rsidRPr="006001F1" w14:paraId="4126D1BA" w14:textId="77777777" w:rsidTr="00316CA3">
        <w:tc>
          <w:tcPr>
            <w:tcW w:w="2868" w:type="dxa"/>
          </w:tcPr>
          <w:p w14:paraId="0E62059E" w14:textId="77777777" w:rsidR="0061565A" w:rsidRPr="00E3274C" w:rsidRDefault="0061565A" w:rsidP="002F7697">
            <w:pPr>
              <w:spacing w:line="480" w:lineRule="auto"/>
              <w:rPr>
                <w:rFonts w:asciiTheme="minorBidi" w:hAnsiTheme="minorBidi"/>
                <w:lang w:val="en-GB"/>
              </w:rPr>
            </w:pPr>
            <w:r>
              <w:rPr>
                <w:rFonts w:asciiTheme="minorBidi" w:hAnsiTheme="minorBidi"/>
                <w:lang w:val="en-GB"/>
              </w:rPr>
              <w:t xml:space="preserve">Metformin </w:t>
            </w:r>
          </w:p>
        </w:tc>
        <w:tc>
          <w:tcPr>
            <w:tcW w:w="6148" w:type="dxa"/>
          </w:tcPr>
          <w:p w14:paraId="617E30E6" w14:textId="3F8E400F" w:rsidR="0061565A" w:rsidRPr="006001F1" w:rsidRDefault="00D32D01" w:rsidP="002F7697">
            <w:pPr>
              <w:spacing w:line="480" w:lineRule="auto"/>
              <w:rPr>
                <w:rFonts w:asciiTheme="minorBidi" w:hAnsiTheme="minorBidi"/>
                <w:lang w:val="en-GB"/>
              </w:rPr>
            </w:pPr>
            <w:r w:rsidRPr="00D32D01">
              <w:rPr>
                <w:rFonts w:asciiTheme="minorBidi" w:hAnsiTheme="minorBidi"/>
                <w:lang w:val="en-GB"/>
              </w:rPr>
              <w:t>Baseline use: purchase of at least three packages from 90 days before through 90 days after the index date</w:t>
            </w:r>
            <w:r w:rsidR="0061565A">
              <w:rPr>
                <w:rFonts w:asciiTheme="minorBidi" w:hAnsiTheme="minorBidi"/>
                <w:lang w:val="en-GB"/>
              </w:rPr>
              <w:t xml:space="preserve">. </w:t>
            </w:r>
            <w:r w:rsidR="0061565A" w:rsidRPr="006001F1">
              <w:rPr>
                <w:rFonts w:asciiTheme="minorBidi" w:hAnsiTheme="minorBidi"/>
                <w:lang w:val="en-GB"/>
              </w:rPr>
              <w:t>ATC-5 codes: A10BA02, A10BD07, A10BD08, A10BD11, A10BD10, A10BD15, A10BD20</w:t>
            </w:r>
          </w:p>
        </w:tc>
      </w:tr>
      <w:tr w:rsidR="0061565A" w:rsidRPr="006F0AA9" w14:paraId="544136C6" w14:textId="77777777" w:rsidTr="00316CA3">
        <w:tc>
          <w:tcPr>
            <w:tcW w:w="2868" w:type="dxa"/>
          </w:tcPr>
          <w:p w14:paraId="0948B52D" w14:textId="77777777" w:rsidR="0061565A" w:rsidRPr="006F0AA9" w:rsidRDefault="0061565A" w:rsidP="002F7697">
            <w:pPr>
              <w:spacing w:line="480" w:lineRule="auto"/>
              <w:rPr>
                <w:rFonts w:asciiTheme="minorBidi" w:hAnsiTheme="minorBidi"/>
                <w:lang w:val="pt-BR"/>
              </w:rPr>
            </w:pPr>
            <w:r>
              <w:rPr>
                <w:rFonts w:asciiTheme="minorBidi" w:hAnsiTheme="minorBidi"/>
                <w:lang w:val="pt-BR"/>
              </w:rPr>
              <w:t xml:space="preserve">Insulin </w:t>
            </w:r>
          </w:p>
        </w:tc>
        <w:tc>
          <w:tcPr>
            <w:tcW w:w="6148" w:type="dxa"/>
          </w:tcPr>
          <w:p w14:paraId="455B2257" w14:textId="274F94E3" w:rsidR="0061565A" w:rsidRPr="006001F1" w:rsidRDefault="0061565A" w:rsidP="002F7697">
            <w:pPr>
              <w:spacing w:line="480" w:lineRule="auto"/>
              <w:rPr>
                <w:rFonts w:asciiTheme="minorBidi" w:hAnsiTheme="minorBidi"/>
                <w:lang w:val="en-GB"/>
              </w:rPr>
            </w:pPr>
            <w:r w:rsidRPr="006001F1">
              <w:rPr>
                <w:rFonts w:asciiTheme="minorBidi" w:hAnsiTheme="minorBidi"/>
                <w:lang w:val="en-GB"/>
              </w:rPr>
              <w:t xml:space="preserve">Baseline use: purchase of at least </w:t>
            </w:r>
            <w:r w:rsidR="007D3A35">
              <w:rPr>
                <w:rFonts w:asciiTheme="minorBidi" w:hAnsiTheme="minorBidi"/>
                <w:lang w:val="en-GB"/>
              </w:rPr>
              <w:t>one</w:t>
            </w:r>
            <w:r w:rsidRPr="006001F1">
              <w:rPr>
                <w:rFonts w:asciiTheme="minorBidi" w:hAnsiTheme="minorBidi"/>
                <w:lang w:val="en-GB"/>
              </w:rPr>
              <w:t xml:space="preserve"> package </w:t>
            </w:r>
            <w:r w:rsidR="007D3A35" w:rsidRPr="007D3A35">
              <w:rPr>
                <w:rFonts w:asciiTheme="minorBidi" w:hAnsiTheme="minorBidi"/>
                <w:lang w:val="en-GB"/>
              </w:rPr>
              <w:t xml:space="preserve">from 90 days before through 90 days after </w:t>
            </w:r>
            <w:r w:rsidRPr="006001F1">
              <w:rPr>
                <w:rFonts w:asciiTheme="minorBidi" w:hAnsiTheme="minorBidi"/>
                <w:lang w:val="en-GB"/>
              </w:rPr>
              <w:t xml:space="preserve">the index date. </w:t>
            </w:r>
            <w:r>
              <w:rPr>
                <w:rFonts w:asciiTheme="minorBidi" w:hAnsiTheme="minorBidi"/>
                <w:lang w:val="en-GB"/>
              </w:rPr>
              <w:t xml:space="preserve">ATC-3 code: </w:t>
            </w:r>
            <w:r w:rsidRPr="006001F1">
              <w:rPr>
                <w:rFonts w:asciiTheme="minorBidi" w:hAnsiTheme="minorBidi"/>
                <w:lang w:val="en-GB"/>
              </w:rPr>
              <w:t>A10A</w:t>
            </w:r>
          </w:p>
        </w:tc>
      </w:tr>
      <w:tr w:rsidR="0061565A" w:rsidRPr="00F334C4" w14:paraId="50D04CDF" w14:textId="77777777" w:rsidTr="00316CA3">
        <w:tc>
          <w:tcPr>
            <w:tcW w:w="2868" w:type="dxa"/>
          </w:tcPr>
          <w:p w14:paraId="64DF3B98" w14:textId="77777777" w:rsidR="0061565A" w:rsidRPr="006F0AA9" w:rsidRDefault="0061565A" w:rsidP="002F7697">
            <w:pPr>
              <w:spacing w:line="480" w:lineRule="auto"/>
              <w:rPr>
                <w:rFonts w:asciiTheme="minorBidi" w:hAnsiTheme="minorBidi"/>
                <w:lang w:val="pt-BR"/>
              </w:rPr>
            </w:pPr>
            <w:r w:rsidRPr="000367C1">
              <w:rPr>
                <w:rFonts w:asciiTheme="minorBidi" w:hAnsiTheme="minorBidi"/>
                <w:lang w:val="pt-BR"/>
              </w:rPr>
              <w:lastRenderedPageBreak/>
              <w:t>Renin-angiotensin system inhibitor</w:t>
            </w:r>
          </w:p>
        </w:tc>
        <w:tc>
          <w:tcPr>
            <w:tcW w:w="6148" w:type="dxa"/>
          </w:tcPr>
          <w:p w14:paraId="72A576ED" w14:textId="1E93D884" w:rsidR="0061565A" w:rsidRPr="007D3A35" w:rsidRDefault="007D3A35" w:rsidP="007D3A35">
            <w:pPr>
              <w:spacing w:line="480" w:lineRule="auto"/>
              <w:rPr>
                <w:rFonts w:asciiTheme="minorBidi" w:hAnsiTheme="minorBidi"/>
                <w:lang w:val="en-GB"/>
              </w:rPr>
            </w:pPr>
            <w:r w:rsidRPr="007D3A35">
              <w:rPr>
                <w:rFonts w:asciiTheme="minorBidi" w:hAnsiTheme="minorBidi"/>
                <w:lang w:val="en-GB"/>
              </w:rPr>
              <w:t>Baseline use: purchase of at least three packages from 90 days before through 90 days after the index date.</w:t>
            </w:r>
            <w:r>
              <w:rPr>
                <w:rFonts w:asciiTheme="minorBidi" w:hAnsiTheme="minorBidi"/>
                <w:lang w:val="en-GB"/>
              </w:rPr>
              <w:t xml:space="preserve"> </w:t>
            </w:r>
            <w:r w:rsidR="0061565A" w:rsidRPr="007D3A35">
              <w:rPr>
                <w:rFonts w:asciiTheme="minorBidi" w:hAnsiTheme="minorBidi"/>
                <w:lang w:val="en-GB"/>
              </w:rPr>
              <w:t>ATC-5 codes: C09AA01, C09AA02, C09AA03, C09AA05, C09AA06, C09AA07, C09AA08, C09AA09, C09AA13, C09CA01, C09CA03, C09CA04, C09CA06, C09CA08,</w:t>
            </w:r>
            <w:r w:rsidRPr="007D3A35">
              <w:rPr>
                <w:rFonts w:asciiTheme="minorBidi" w:hAnsiTheme="minorBidi"/>
                <w:lang w:val="en-GB"/>
              </w:rPr>
              <w:t xml:space="preserve"> </w:t>
            </w:r>
            <w:r w:rsidR="0061565A" w:rsidRPr="007D3A35">
              <w:rPr>
                <w:rFonts w:asciiTheme="minorBidi" w:hAnsiTheme="minorBidi"/>
                <w:lang w:val="en-GB"/>
              </w:rPr>
              <w:t>C09DX02, C09DX04, C09DA01, C09DA03, C09DA04, C09DA06, C09BA05,</w:t>
            </w:r>
            <w:r>
              <w:rPr>
                <w:rFonts w:asciiTheme="minorBidi" w:hAnsiTheme="minorBidi"/>
                <w:lang w:val="en-GB"/>
              </w:rPr>
              <w:t xml:space="preserve"> </w:t>
            </w:r>
            <w:r w:rsidR="0061565A" w:rsidRPr="007D3A35">
              <w:rPr>
                <w:rFonts w:asciiTheme="minorBidi" w:hAnsiTheme="minorBidi"/>
                <w:lang w:val="en-GB"/>
              </w:rPr>
              <w:t>C09BA08, C09BA09, C09BB02, C09DB01</w:t>
            </w:r>
          </w:p>
        </w:tc>
      </w:tr>
      <w:tr w:rsidR="0061565A" w:rsidRPr="00F334C4" w14:paraId="17871F02" w14:textId="77777777" w:rsidTr="00316CA3">
        <w:tc>
          <w:tcPr>
            <w:tcW w:w="2868" w:type="dxa"/>
          </w:tcPr>
          <w:p w14:paraId="6221DAB4" w14:textId="77777777" w:rsidR="0061565A" w:rsidRPr="00F334C4" w:rsidRDefault="0061565A" w:rsidP="002F7697">
            <w:pPr>
              <w:spacing w:line="480" w:lineRule="auto"/>
              <w:rPr>
                <w:rFonts w:asciiTheme="minorBidi" w:hAnsiTheme="minorBidi"/>
                <w:lang w:val="fi-FI"/>
              </w:rPr>
            </w:pPr>
            <w:r w:rsidRPr="00211198">
              <w:rPr>
                <w:rFonts w:asciiTheme="minorBidi" w:hAnsiTheme="minorBidi"/>
                <w:lang w:val="fi-FI"/>
              </w:rPr>
              <w:t>Mineralocorticoid receptor antagonist</w:t>
            </w:r>
          </w:p>
        </w:tc>
        <w:tc>
          <w:tcPr>
            <w:tcW w:w="6148" w:type="dxa"/>
          </w:tcPr>
          <w:p w14:paraId="47D02779" w14:textId="602D3808" w:rsidR="0061565A" w:rsidRPr="007D3A35" w:rsidRDefault="007D3A35" w:rsidP="002F7697">
            <w:pPr>
              <w:spacing w:line="480" w:lineRule="auto"/>
              <w:rPr>
                <w:rFonts w:asciiTheme="minorBidi" w:hAnsiTheme="minorBidi"/>
                <w:lang w:val="en-GB"/>
              </w:rPr>
            </w:pPr>
            <w:r w:rsidRPr="007D3A35">
              <w:rPr>
                <w:rFonts w:asciiTheme="minorBidi" w:hAnsiTheme="minorBidi"/>
                <w:lang w:val="en-GB"/>
              </w:rPr>
              <w:t>Baseline use: purchase of at least three packages from 90 days before through 90 days after the index date.</w:t>
            </w:r>
            <w:r>
              <w:rPr>
                <w:rFonts w:asciiTheme="minorBidi" w:hAnsiTheme="minorBidi"/>
                <w:lang w:val="en-GB"/>
              </w:rPr>
              <w:t xml:space="preserve"> </w:t>
            </w:r>
            <w:r w:rsidR="0061565A" w:rsidRPr="007D3A35">
              <w:rPr>
                <w:rFonts w:asciiTheme="minorBidi" w:hAnsiTheme="minorBidi"/>
                <w:lang w:val="en-GB"/>
              </w:rPr>
              <w:t>ATC-5 codes: C03DA01, C03DA04, C03DA05</w:t>
            </w:r>
          </w:p>
        </w:tc>
      </w:tr>
      <w:tr w:rsidR="0061565A" w:rsidRPr="00F334C4" w14:paraId="1543C880" w14:textId="77777777" w:rsidTr="00316CA3">
        <w:tc>
          <w:tcPr>
            <w:tcW w:w="2868" w:type="dxa"/>
          </w:tcPr>
          <w:p w14:paraId="35BD3F3B" w14:textId="77777777" w:rsidR="0061565A" w:rsidRPr="00F334C4" w:rsidRDefault="0061565A" w:rsidP="002F7697">
            <w:pPr>
              <w:spacing w:line="480" w:lineRule="auto"/>
              <w:rPr>
                <w:rFonts w:asciiTheme="minorBidi" w:hAnsiTheme="minorBidi"/>
                <w:lang w:val="fi-FI"/>
              </w:rPr>
            </w:pPr>
            <w:r w:rsidRPr="004770E2">
              <w:rPr>
                <w:rFonts w:asciiTheme="minorBidi" w:hAnsiTheme="minorBidi"/>
                <w:lang w:val="fi-FI"/>
              </w:rPr>
              <w:t>SGLT2i</w:t>
            </w:r>
          </w:p>
        </w:tc>
        <w:tc>
          <w:tcPr>
            <w:tcW w:w="6148" w:type="dxa"/>
          </w:tcPr>
          <w:p w14:paraId="382F9A6B" w14:textId="55FB3397" w:rsidR="0061565A" w:rsidRPr="00C15411" w:rsidRDefault="0061565A" w:rsidP="002F7697">
            <w:pPr>
              <w:spacing w:line="480" w:lineRule="auto"/>
              <w:rPr>
                <w:rFonts w:asciiTheme="minorBidi" w:hAnsiTheme="minorBidi"/>
                <w:lang w:val="en-GB"/>
              </w:rPr>
            </w:pPr>
            <w:r w:rsidRPr="006001F1">
              <w:rPr>
                <w:rFonts w:asciiTheme="minorBidi" w:hAnsiTheme="minorBidi"/>
                <w:lang w:val="en-GB"/>
              </w:rPr>
              <w:t xml:space="preserve">Baseline use: purchase of at least </w:t>
            </w:r>
            <w:r>
              <w:rPr>
                <w:rFonts w:asciiTheme="minorBidi" w:hAnsiTheme="minorBidi"/>
                <w:lang w:val="en-GB"/>
              </w:rPr>
              <w:t>1</w:t>
            </w:r>
            <w:r w:rsidRPr="006001F1">
              <w:rPr>
                <w:rFonts w:asciiTheme="minorBidi" w:hAnsiTheme="minorBidi"/>
                <w:lang w:val="en-GB"/>
              </w:rPr>
              <w:t xml:space="preserve"> package within </w:t>
            </w:r>
            <w:r>
              <w:rPr>
                <w:rFonts w:asciiTheme="minorBidi" w:hAnsiTheme="minorBidi"/>
                <w:lang w:val="en-GB"/>
              </w:rPr>
              <w:t>180</w:t>
            </w:r>
            <w:r w:rsidRPr="006001F1">
              <w:rPr>
                <w:rFonts w:asciiTheme="minorBidi" w:hAnsiTheme="minorBidi"/>
                <w:lang w:val="en-GB"/>
              </w:rPr>
              <w:t xml:space="preserve"> days before the index date. ATC-5 codes: A10BK03, A10BK01, A10BK04, A10BD15, A10BD20 </w:t>
            </w:r>
          </w:p>
        </w:tc>
      </w:tr>
      <w:tr w:rsidR="0061565A" w:rsidRPr="00F334C4" w14:paraId="7F19821A" w14:textId="77777777" w:rsidTr="00316CA3">
        <w:tc>
          <w:tcPr>
            <w:tcW w:w="2868" w:type="dxa"/>
          </w:tcPr>
          <w:p w14:paraId="646F90DE" w14:textId="3C3CB9B2" w:rsidR="0061565A" w:rsidRPr="00F334C4" w:rsidRDefault="003454F3" w:rsidP="002F7697">
            <w:pPr>
              <w:spacing w:line="480" w:lineRule="auto"/>
              <w:rPr>
                <w:rFonts w:asciiTheme="minorBidi" w:hAnsiTheme="minorBidi"/>
                <w:lang w:val="fi-FI"/>
              </w:rPr>
            </w:pPr>
            <w:r w:rsidRPr="003454F3">
              <w:rPr>
                <w:rFonts w:asciiTheme="minorBidi" w:hAnsiTheme="minorBidi"/>
                <w:lang w:val="fi-FI"/>
              </w:rPr>
              <w:t>Beta-blockers</w:t>
            </w:r>
          </w:p>
        </w:tc>
        <w:tc>
          <w:tcPr>
            <w:tcW w:w="6148" w:type="dxa"/>
          </w:tcPr>
          <w:p w14:paraId="27158199" w14:textId="49DCE643" w:rsidR="0061565A" w:rsidRPr="006001F1" w:rsidRDefault="0006098D" w:rsidP="002F7697">
            <w:pPr>
              <w:spacing w:line="480" w:lineRule="auto"/>
              <w:rPr>
                <w:rFonts w:asciiTheme="minorBidi" w:hAnsiTheme="minorBidi"/>
                <w:lang w:val="en-GB"/>
              </w:rPr>
            </w:pPr>
            <w:r w:rsidRPr="0006098D">
              <w:rPr>
                <w:rFonts w:asciiTheme="minorBidi" w:hAnsiTheme="minorBidi"/>
                <w:lang w:val="en-GB"/>
              </w:rPr>
              <w:t xml:space="preserve">Baseline use: purchase of at least three packages from 90 days before through 90 days after the index date. </w:t>
            </w:r>
            <w:r w:rsidR="0061565A" w:rsidRPr="006001F1">
              <w:rPr>
                <w:rFonts w:asciiTheme="minorBidi" w:hAnsiTheme="minorBidi"/>
                <w:lang w:val="en-GB"/>
              </w:rPr>
              <w:t>ATC-3 code: C07A</w:t>
            </w:r>
          </w:p>
        </w:tc>
      </w:tr>
      <w:tr w:rsidR="0061565A" w:rsidRPr="00F334C4" w14:paraId="089E54D9" w14:textId="77777777" w:rsidTr="00316CA3">
        <w:tc>
          <w:tcPr>
            <w:tcW w:w="2868" w:type="dxa"/>
          </w:tcPr>
          <w:p w14:paraId="10A11024" w14:textId="77777777" w:rsidR="0061565A" w:rsidRPr="00F334C4" w:rsidRDefault="0061565A" w:rsidP="002F7697">
            <w:pPr>
              <w:spacing w:line="480" w:lineRule="auto"/>
              <w:rPr>
                <w:rFonts w:asciiTheme="minorBidi" w:hAnsiTheme="minorBidi"/>
                <w:lang w:val="fi-FI"/>
              </w:rPr>
            </w:pPr>
            <w:r w:rsidRPr="00565E87">
              <w:rPr>
                <w:rFonts w:asciiTheme="minorBidi" w:hAnsiTheme="minorBidi"/>
                <w:lang w:val="fi-FI"/>
              </w:rPr>
              <w:t>Antithrombotic agents</w:t>
            </w:r>
          </w:p>
        </w:tc>
        <w:tc>
          <w:tcPr>
            <w:tcW w:w="6148" w:type="dxa"/>
          </w:tcPr>
          <w:p w14:paraId="0DF4EFC0" w14:textId="75552BF1" w:rsidR="0061565A" w:rsidRPr="006001F1" w:rsidRDefault="00144EF2" w:rsidP="002F7697">
            <w:pPr>
              <w:spacing w:line="480" w:lineRule="auto"/>
              <w:rPr>
                <w:rFonts w:asciiTheme="minorBidi" w:hAnsiTheme="minorBidi"/>
                <w:lang w:val="en-GB"/>
              </w:rPr>
            </w:pPr>
            <w:r w:rsidRPr="00144EF2">
              <w:rPr>
                <w:rFonts w:asciiTheme="minorBidi" w:hAnsiTheme="minorBidi"/>
                <w:lang w:val="en-GB"/>
              </w:rPr>
              <w:t xml:space="preserve">Baseline use: purchase of at least three packages from 90 days before through 90 days after the index date. </w:t>
            </w:r>
            <w:r w:rsidR="0061565A" w:rsidRPr="006001F1">
              <w:rPr>
                <w:rFonts w:asciiTheme="minorBidi" w:hAnsiTheme="minorBidi"/>
                <w:lang w:val="en-GB"/>
              </w:rPr>
              <w:t>ATC-3 code: B01A</w:t>
            </w:r>
          </w:p>
        </w:tc>
      </w:tr>
      <w:tr w:rsidR="0061565A" w:rsidRPr="00F334C4" w14:paraId="33E8100D" w14:textId="77777777" w:rsidTr="00316CA3">
        <w:tc>
          <w:tcPr>
            <w:tcW w:w="2868" w:type="dxa"/>
          </w:tcPr>
          <w:p w14:paraId="3D29AFDF" w14:textId="77777777" w:rsidR="0061565A" w:rsidRPr="00F334C4" w:rsidRDefault="0061565A" w:rsidP="002F7697">
            <w:pPr>
              <w:spacing w:line="480" w:lineRule="auto"/>
              <w:rPr>
                <w:rFonts w:asciiTheme="minorBidi" w:hAnsiTheme="minorBidi"/>
                <w:lang w:val="fi-FI"/>
              </w:rPr>
            </w:pPr>
            <w:r w:rsidRPr="00E51BF4">
              <w:rPr>
                <w:rFonts w:asciiTheme="minorBidi" w:hAnsiTheme="minorBidi"/>
                <w:lang w:val="fi-FI"/>
              </w:rPr>
              <w:t>Lipid modifying agents</w:t>
            </w:r>
          </w:p>
        </w:tc>
        <w:tc>
          <w:tcPr>
            <w:tcW w:w="6148" w:type="dxa"/>
          </w:tcPr>
          <w:p w14:paraId="034CC9D8" w14:textId="6EF4A5B5" w:rsidR="0061565A" w:rsidRPr="00F334C4" w:rsidRDefault="00144EF2" w:rsidP="002F7697">
            <w:pPr>
              <w:spacing w:line="480" w:lineRule="auto"/>
              <w:rPr>
                <w:rFonts w:asciiTheme="minorBidi" w:hAnsiTheme="minorBidi"/>
                <w:lang w:val="fi-FI"/>
              </w:rPr>
            </w:pPr>
            <w:r w:rsidRPr="00144EF2">
              <w:rPr>
                <w:rFonts w:asciiTheme="minorBidi" w:hAnsiTheme="minorBidi"/>
                <w:lang w:val="en-GB"/>
              </w:rPr>
              <w:t xml:space="preserve">Baseline use: purchase of at least three packages from 90 days before through 90 days after the index date. </w:t>
            </w:r>
            <w:r w:rsidR="0061565A" w:rsidRPr="006001F1">
              <w:rPr>
                <w:rFonts w:asciiTheme="minorBidi" w:hAnsiTheme="minorBidi"/>
                <w:lang w:val="en-GB"/>
              </w:rPr>
              <w:t xml:space="preserve"> </w:t>
            </w:r>
            <w:r w:rsidR="0061565A" w:rsidRPr="006001F1">
              <w:rPr>
                <w:rFonts w:asciiTheme="minorBidi" w:hAnsiTheme="minorBidi"/>
                <w:lang w:val="fi-FI"/>
              </w:rPr>
              <w:t>ATC-3 code</w:t>
            </w:r>
            <w:r w:rsidR="0061565A">
              <w:rPr>
                <w:rFonts w:asciiTheme="minorBidi" w:hAnsiTheme="minorBidi"/>
                <w:lang w:val="fi-FI"/>
              </w:rPr>
              <w:t>s:</w:t>
            </w:r>
            <w:r w:rsidR="0061565A" w:rsidRPr="006001F1">
              <w:rPr>
                <w:rFonts w:asciiTheme="minorBidi" w:hAnsiTheme="minorBidi"/>
                <w:lang w:val="fi-FI"/>
              </w:rPr>
              <w:t xml:space="preserve"> </w:t>
            </w:r>
            <w:r w:rsidR="0061565A" w:rsidRPr="00E51BF4">
              <w:rPr>
                <w:rFonts w:asciiTheme="minorBidi" w:hAnsiTheme="minorBidi"/>
                <w:lang w:val="fi-FI"/>
              </w:rPr>
              <w:t>C10A, C10B</w:t>
            </w:r>
          </w:p>
        </w:tc>
      </w:tr>
    </w:tbl>
    <w:p w14:paraId="75D5DCDB" w14:textId="5EA2F6F1" w:rsidR="00536E44" w:rsidRPr="0061565A" w:rsidRDefault="00DB207F" w:rsidP="0061565A">
      <w:pPr>
        <w:spacing w:line="480" w:lineRule="auto"/>
        <w:rPr>
          <w:rFonts w:asciiTheme="minorBidi" w:hAnsiTheme="minorBidi"/>
          <w:lang w:val="en-GB"/>
        </w:rPr>
      </w:pPr>
      <w:r>
        <w:rPr>
          <w:rFonts w:asciiTheme="minorBidi" w:hAnsiTheme="minorBidi"/>
          <w:vertAlign w:val="superscript"/>
          <w:lang w:val="en-GB"/>
        </w:rPr>
        <w:t>a</w:t>
      </w:r>
      <w:r w:rsidR="00C43243">
        <w:rPr>
          <w:rFonts w:asciiTheme="minorBidi" w:hAnsiTheme="minorBidi"/>
          <w:vertAlign w:val="superscript"/>
          <w:lang w:val="en-GB"/>
        </w:rPr>
        <w:t xml:space="preserve"> </w:t>
      </w:r>
      <w:r>
        <w:rPr>
          <w:rFonts w:asciiTheme="minorBidi" w:hAnsiTheme="minorBidi"/>
          <w:vertAlign w:val="superscript"/>
          <w:lang w:val="en-GB"/>
        </w:rPr>
        <w:t xml:space="preserve"> </w:t>
      </w:r>
      <w:r w:rsidR="00C43243" w:rsidRPr="00C43243">
        <w:rPr>
          <w:rFonts w:asciiTheme="minorBidi" w:hAnsiTheme="minorBidi"/>
          <w:lang w:val="en-GB"/>
        </w:rPr>
        <w:t>HbA1c</w:t>
      </w:r>
      <w:r w:rsidR="00C43243">
        <w:rPr>
          <w:rFonts w:asciiTheme="minorBidi" w:hAnsiTheme="minorBidi"/>
          <w:lang w:val="en-GB"/>
        </w:rPr>
        <w:t>, UACR</w:t>
      </w:r>
      <w:r w:rsidR="00C43243" w:rsidRPr="00C43243">
        <w:rPr>
          <w:rFonts w:asciiTheme="minorBidi" w:hAnsiTheme="minorBidi"/>
          <w:lang w:val="en-GB"/>
        </w:rPr>
        <w:t xml:space="preserve"> and lipid variables are presented in the units used in the fitted models; corresponding SI values are reported in Tables 1 and S4</w:t>
      </w:r>
      <w:r w:rsidR="00E14ED5">
        <w:rPr>
          <w:rFonts w:asciiTheme="minorBidi" w:hAnsiTheme="minorBidi"/>
          <w:lang w:val="en-GB"/>
        </w:rPr>
        <w:t>.</w:t>
      </w:r>
      <w:r w:rsidR="00C43243" w:rsidRPr="00C43243">
        <w:rPr>
          <w:rFonts w:asciiTheme="minorBidi" w:hAnsiTheme="minorBidi"/>
          <w:vertAlign w:val="superscript"/>
          <w:lang w:val="en-GB"/>
        </w:rPr>
        <w:t xml:space="preserve">. </w:t>
      </w:r>
      <w:r>
        <w:rPr>
          <w:rFonts w:asciiTheme="minorBidi" w:hAnsiTheme="minorBidi"/>
          <w:vertAlign w:val="superscript"/>
          <w:lang w:val="en-GB"/>
        </w:rPr>
        <w:t>b</w:t>
      </w:r>
      <w:r w:rsidR="0061565A">
        <w:rPr>
          <w:rFonts w:asciiTheme="minorBidi" w:hAnsiTheme="minorBidi"/>
          <w:vertAlign w:val="superscript"/>
          <w:lang w:val="en-GB"/>
        </w:rPr>
        <w:t xml:space="preserve"> </w:t>
      </w:r>
      <w:r w:rsidR="0061565A" w:rsidRPr="00C136AE">
        <w:rPr>
          <w:rFonts w:asciiTheme="minorBidi" w:hAnsiTheme="minorBidi"/>
          <w:lang w:val="en-GB"/>
        </w:rPr>
        <w:t>Exposure windows and package thresholds were tailored to each medication's typical dispensing pattern and daily dosing regimen rather than applying a uniform rule across all drug classes</w:t>
      </w:r>
      <w:r w:rsidR="0061565A">
        <w:rPr>
          <w:rFonts w:asciiTheme="minorBidi" w:hAnsiTheme="minorBidi"/>
          <w:lang w:val="en-GB"/>
        </w:rPr>
        <w:t xml:space="preserve">. </w:t>
      </w:r>
      <w:r w:rsidR="0061565A" w:rsidRPr="00C136AE">
        <w:rPr>
          <w:rFonts w:asciiTheme="minorBidi" w:hAnsiTheme="minorBidi"/>
          <w:lang w:val="en-GB"/>
        </w:rPr>
        <w:t xml:space="preserve">Because SGLT2 inhibitor status was central to stratification and outcome analyses, a more sensitive single-package/180-day definition was used to minimize misclassification of true users as unexposed; the 3-package/±90-day rule applied to other background medications was tested for SGLT2 inhibitors in a sensitivity analysis, with </w:t>
      </w:r>
      <w:r w:rsidR="0061565A" w:rsidRPr="00C136AE">
        <w:rPr>
          <w:rFonts w:asciiTheme="minorBidi" w:hAnsiTheme="minorBidi"/>
          <w:lang w:val="en-GB"/>
        </w:rPr>
        <w:lastRenderedPageBreak/>
        <w:t xml:space="preserve">results essentially unchanged (see Supplementary Table </w:t>
      </w:r>
      <w:r w:rsidR="0061565A">
        <w:rPr>
          <w:rFonts w:asciiTheme="minorBidi" w:hAnsiTheme="minorBidi"/>
          <w:lang w:val="en-GB"/>
        </w:rPr>
        <w:t>S7</w:t>
      </w:r>
      <w:r w:rsidR="0061565A" w:rsidRPr="00C136AE">
        <w:rPr>
          <w:rFonts w:asciiTheme="minorBidi" w:hAnsiTheme="minorBidi"/>
          <w:lang w:val="en-GB"/>
        </w:rPr>
        <w:t>).</w:t>
      </w:r>
      <w:r w:rsidR="0061565A" w:rsidRPr="008A438D">
        <w:rPr>
          <w:rFonts w:asciiTheme="minorBidi" w:hAnsiTheme="minorBidi"/>
          <w:lang w:val="en-GB"/>
        </w:rPr>
        <w:t xml:space="preserve"> ATC, Anatomical Therapeutic Chemical; BMI, body mass index; eGFR, estimated glomerular filtration rate; HbA1c, glycated </w:t>
      </w:r>
      <w:proofErr w:type="spellStart"/>
      <w:r w:rsidR="0061565A" w:rsidRPr="008A438D">
        <w:rPr>
          <w:rFonts w:asciiTheme="minorBidi" w:hAnsiTheme="minorBidi"/>
          <w:lang w:val="en-GB"/>
        </w:rPr>
        <w:t>hemoglobin</w:t>
      </w:r>
      <w:proofErr w:type="spellEnd"/>
      <w:r w:rsidR="0061565A" w:rsidRPr="008A438D">
        <w:rPr>
          <w:rFonts w:asciiTheme="minorBidi" w:hAnsiTheme="minorBidi"/>
          <w:lang w:val="en-GB"/>
        </w:rPr>
        <w:t xml:space="preserve">; HDL, high-density lipoprotein; ICD, International Classification of Diseases; IHD, ischemic heart disease; LDL, low-density lipoprotein; MHS, Maccabi Healthcare Services; PVD, peripheral vascular disease; SGLT2i, sodium–glucose cotransporter-2 inhibitor; T2D, type 2 diabetes; UACR, urine </w:t>
      </w:r>
      <w:r w:rsidR="00B51D5D">
        <w:rPr>
          <w:rFonts w:ascii="Times New Roman" w:eastAsia="Apis For Office" w:hAnsi="Times New Roman" w:cs="Times New Roman"/>
        </w:rPr>
        <w:t>albumin‒creatinine</w:t>
      </w:r>
      <w:r w:rsidR="00B51D5D" w:rsidRPr="00205515">
        <w:rPr>
          <w:rFonts w:asciiTheme="minorBidi" w:hAnsiTheme="minorBidi"/>
        </w:rPr>
        <w:t xml:space="preserve"> ratio</w:t>
      </w:r>
      <w:r w:rsidR="0061565A" w:rsidRPr="008A438D">
        <w:rPr>
          <w:rFonts w:asciiTheme="minorBidi" w:hAnsiTheme="minorBidi"/>
          <w:lang w:val="en-GB"/>
        </w:rPr>
        <w:t>.</w:t>
      </w:r>
      <w:r w:rsidR="0061565A">
        <w:rPr>
          <w:rFonts w:asciiTheme="minorBidi" w:hAnsiTheme="minorBidi"/>
          <w:lang w:val="en-GB"/>
        </w:rPr>
        <w:t xml:space="preserve"> </w:t>
      </w:r>
      <w:r w:rsidR="0061565A" w:rsidRPr="008A438D">
        <w:rPr>
          <w:rFonts w:asciiTheme="minorBidi" w:hAnsiTheme="minorBidi"/>
          <w:lang w:val="en-GB"/>
        </w:rPr>
        <w:t xml:space="preserve">  </w:t>
      </w:r>
    </w:p>
    <w:p w14:paraId="41696777" w14:textId="3D08046C" w:rsidR="00622F70" w:rsidRDefault="00622F70" w:rsidP="006D4ED5">
      <w:pPr>
        <w:pStyle w:val="Heading2"/>
        <w:rPr>
          <w:rFonts w:asciiTheme="majorBidi" w:hAnsiTheme="majorBidi"/>
          <w:b w:val="0"/>
          <w:bCs w:val="0"/>
          <w:lang w:bidi="he-IL"/>
        </w:rPr>
      </w:pPr>
      <w:r w:rsidRPr="006D4ED5">
        <w:rPr>
          <w:rFonts w:asciiTheme="majorBidi" w:hAnsiTheme="majorBidi"/>
          <w:lang w:bidi="he-IL"/>
        </w:rPr>
        <w:t>Table S</w:t>
      </w:r>
      <w:r w:rsidR="0061565A" w:rsidRPr="006D4ED5">
        <w:rPr>
          <w:rFonts w:asciiTheme="majorBidi" w:hAnsiTheme="majorBidi"/>
          <w:lang w:bidi="he-IL"/>
        </w:rPr>
        <w:t>3</w:t>
      </w:r>
      <w:r w:rsidRPr="006D4ED5">
        <w:rPr>
          <w:rFonts w:asciiTheme="majorBidi" w:hAnsiTheme="majorBidi"/>
          <w:lang w:bidi="he-IL"/>
        </w:rPr>
        <w:t xml:space="preserve">. </w:t>
      </w:r>
      <w:r w:rsidRPr="006D4ED5">
        <w:rPr>
          <w:rFonts w:asciiTheme="majorBidi" w:hAnsiTheme="majorBidi"/>
          <w:b w:val="0"/>
          <w:bCs w:val="0"/>
          <w:lang w:bidi="he-IL"/>
        </w:rPr>
        <w:t>Adjustment model variables</w:t>
      </w:r>
    </w:p>
    <w:p w14:paraId="7734508A" w14:textId="77777777" w:rsidR="00BA4ABC" w:rsidRPr="00BA4ABC" w:rsidRDefault="00BA4ABC" w:rsidP="00BA4ABC">
      <w:pPr>
        <w:rPr>
          <w:lang w:val="en-GB" w:bidi="he-IL"/>
        </w:rPr>
      </w:pPr>
    </w:p>
    <w:tbl>
      <w:tblPr>
        <w:tblStyle w:val="TableGrid"/>
        <w:tblW w:w="9355" w:type="dxa"/>
        <w:tblLook w:val="04A0" w:firstRow="1" w:lastRow="0" w:firstColumn="1" w:lastColumn="0" w:noHBand="0" w:noVBand="1"/>
      </w:tblPr>
      <w:tblGrid>
        <w:gridCol w:w="3325"/>
        <w:gridCol w:w="3510"/>
        <w:gridCol w:w="2520"/>
      </w:tblGrid>
      <w:tr w:rsidR="00622F70" w14:paraId="450DF24E" w14:textId="77777777" w:rsidTr="009B07AC">
        <w:tc>
          <w:tcPr>
            <w:tcW w:w="3325" w:type="dxa"/>
            <w:tcBorders>
              <w:top w:val="single" w:sz="4" w:space="0" w:color="auto"/>
              <w:left w:val="single" w:sz="4" w:space="0" w:color="auto"/>
              <w:bottom w:val="single" w:sz="4" w:space="0" w:color="auto"/>
              <w:right w:val="single" w:sz="4" w:space="0" w:color="auto"/>
            </w:tcBorders>
            <w:hideMark/>
          </w:tcPr>
          <w:p w14:paraId="03B322FD" w14:textId="77777777" w:rsidR="00622F70" w:rsidRPr="00044078" w:rsidRDefault="00622F70" w:rsidP="009B07AC">
            <w:pPr>
              <w:rPr>
                <w:rFonts w:asciiTheme="minorBidi" w:hAnsiTheme="minorBidi"/>
                <w:b/>
                <w:bCs/>
                <w:lang w:bidi="he-IL"/>
              </w:rPr>
            </w:pPr>
            <w:r>
              <w:rPr>
                <w:rFonts w:asciiTheme="minorBidi" w:hAnsiTheme="minorBidi"/>
                <w:b/>
                <w:bCs/>
                <w:lang w:bidi="he-IL"/>
              </w:rPr>
              <w:t>Demographic parameters</w:t>
            </w:r>
          </w:p>
        </w:tc>
        <w:tc>
          <w:tcPr>
            <w:tcW w:w="3510" w:type="dxa"/>
            <w:tcBorders>
              <w:top w:val="single" w:sz="4" w:space="0" w:color="auto"/>
              <w:left w:val="single" w:sz="4" w:space="0" w:color="auto"/>
              <w:bottom w:val="single" w:sz="4" w:space="0" w:color="auto"/>
              <w:right w:val="single" w:sz="4" w:space="0" w:color="auto"/>
            </w:tcBorders>
            <w:hideMark/>
          </w:tcPr>
          <w:p w14:paraId="0A5206D3" w14:textId="77777777" w:rsidR="00622F70" w:rsidRPr="00044078" w:rsidRDefault="00622F70" w:rsidP="009B07AC">
            <w:pPr>
              <w:rPr>
                <w:rFonts w:asciiTheme="minorBidi" w:hAnsiTheme="minorBidi"/>
                <w:b/>
                <w:bCs/>
                <w:lang w:bidi="he-IL"/>
              </w:rPr>
            </w:pPr>
            <w:r>
              <w:rPr>
                <w:rFonts w:asciiTheme="minorBidi" w:hAnsiTheme="minorBidi"/>
                <w:b/>
                <w:bCs/>
                <w:lang w:bidi="he-IL"/>
              </w:rPr>
              <w:t>Clinical parameters</w:t>
            </w:r>
            <w:r>
              <w:rPr>
                <w:rFonts w:asciiTheme="minorBidi" w:hAnsiTheme="minorBidi"/>
                <w:lang w:bidi="he-IL"/>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07DC8800" w14:textId="77777777" w:rsidR="00622F70" w:rsidRPr="00044078" w:rsidRDefault="00622F70" w:rsidP="009B07AC">
            <w:pPr>
              <w:rPr>
                <w:rFonts w:asciiTheme="minorBidi" w:hAnsiTheme="minorBidi"/>
                <w:b/>
                <w:bCs/>
                <w:lang w:bidi="he-IL"/>
              </w:rPr>
            </w:pPr>
            <w:r>
              <w:rPr>
                <w:rFonts w:asciiTheme="minorBidi" w:hAnsiTheme="minorBidi"/>
                <w:b/>
                <w:bCs/>
                <w:lang w:bidi="he-IL"/>
              </w:rPr>
              <w:t>Comorbidities/</w:t>
            </w:r>
          </w:p>
          <w:p w14:paraId="325A1615" w14:textId="77777777" w:rsidR="00622F70" w:rsidRPr="00044078" w:rsidRDefault="00622F70" w:rsidP="009B07AC">
            <w:pPr>
              <w:rPr>
                <w:rFonts w:asciiTheme="minorBidi" w:hAnsiTheme="minorBidi"/>
                <w:b/>
                <w:bCs/>
                <w:lang w:bidi="he-IL"/>
              </w:rPr>
            </w:pPr>
            <w:r>
              <w:rPr>
                <w:rFonts w:asciiTheme="minorBidi" w:hAnsiTheme="minorBidi"/>
                <w:b/>
                <w:bCs/>
                <w:lang w:bidi="he-IL"/>
              </w:rPr>
              <w:t>medications</w:t>
            </w:r>
          </w:p>
        </w:tc>
      </w:tr>
      <w:tr w:rsidR="00622F70" w14:paraId="6EA034C7" w14:textId="77777777" w:rsidTr="009B07AC">
        <w:trPr>
          <w:trHeight w:val="1849"/>
        </w:trPr>
        <w:tc>
          <w:tcPr>
            <w:tcW w:w="3325" w:type="dxa"/>
            <w:tcBorders>
              <w:top w:val="single" w:sz="4" w:space="0" w:color="auto"/>
              <w:left w:val="single" w:sz="4" w:space="0" w:color="auto"/>
              <w:bottom w:val="single" w:sz="4" w:space="0" w:color="auto"/>
              <w:right w:val="single" w:sz="4" w:space="0" w:color="auto"/>
            </w:tcBorders>
            <w:hideMark/>
          </w:tcPr>
          <w:p w14:paraId="43156989" w14:textId="77777777" w:rsidR="00622F70" w:rsidRPr="00044078" w:rsidRDefault="00622F70" w:rsidP="009B07AC">
            <w:pPr>
              <w:rPr>
                <w:rFonts w:asciiTheme="minorBidi" w:hAnsiTheme="minorBidi"/>
                <w:b/>
                <w:bCs/>
                <w:lang w:bidi="he-IL"/>
              </w:rPr>
            </w:pPr>
            <w:r>
              <w:rPr>
                <w:rFonts w:asciiTheme="minorBidi" w:hAnsiTheme="minorBidi"/>
                <w:b/>
                <w:bCs/>
                <w:lang w:bidi="he-IL"/>
              </w:rPr>
              <w:t>Sex</w:t>
            </w:r>
          </w:p>
          <w:p w14:paraId="277E8663" w14:textId="77777777" w:rsidR="00622F70" w:rsidRPr="00044078" w:rsidRDefault="00622F70" w:rsidP="009B07AC">
            <w:pPr>
              <w:rPr>
                <w:rFonts w:asciiTheme="minorBidi" w:hAnsiTheme="minorBidi"/>
                <w:lang w:bidi="he-IL"/>
              </w:rPr>
            </w:pPr>
            <w:r>
              <w:rPr>
                <w:rFonts w:asciiTheme="minorBidi" w:hAnsiTheme="minorBidi"/>
                <w:lang w:bidi="he-IL"/>
              </w:rPr>
              <w:t>Female/male</w:t>
            </w:r>
          </w:p>
        </w:tc>
        <w:tc>
          <w:tcPr>
            <w:tcW w:w="3510" w:type="dxa"/>
            <w:tcBorders>
              <w:top w:val="single" w:sz="4" w:space="0" w:color="auto"/>
              <w:left w:val="single" w:sz="4" w:space="0" w:color="auto"/>
              <w:bottom w:val="single" w:sz="4" w:space="0" w:color="auto"/>
              <w:right w:val="single" w:sz="4" w:space="0" w:color="auto"/>
            </w:tcBorders>
            <w:hideMark/>
          </w:tcPr>
          <w:p w14:paraId="3BF640BB" w14:textId="77777777" w:rsidR="00622F70" w:rsidRPr="00044078" w:rsidRDefault="00622F70" w:rsidP="009B07AC">
            <w:pPr>
              <w:rPr>
                <w:rFonts w:asciiTheme="minorBidi" w:hAnsiTheme="minorBidi"/>
                <w:b/>
                <w:bCs/>
                <w:lang w:bidi="he-IL"/>
              </w:rPr>
            </w:pPr>
            <w:r>
              <w:rPr>
                <w:rFonts w:asciiTheme="minorBidi" w:hAnsiTheme="minorBidi"/>
                <w:b/>
                <w:bCs/>
                <w:lang w:bidi="he-IL"/>
              </w:rPr>
              <w:t>Systolic blood pressure (mm Hg),</w:t>
            </w:r>
          </w:p>
          <w:p w14:paraId="711E2BAF" w14:textId="77777777" w:rsidR="00622F70" w:rsidRPr="00044078" w:rsidRDefault="00622F70" w:rsidP="009B07AC">
            <w:pPr>
              <w:rPr>
                <w:rFonts w:asciiTheme="minorBidi" w:hAnsiTheme="minorBidi"/>
                <w:b/>
                <w:bCs/>
                <w:lang w:bidi="he-IL"/>
              </w:rPr>
            </w:pPr>
            <w:r>
              <w:rPr>
                <w:rFonts w:asciiTheme="minorBidi" w:hAnsiTheme="minorBidi"/>
                <w:b/>
                <w:bCs/>
                <w:lang w:bidi="he-IL"/>
              </w:rPr>
              <w:t>continuous</w:t>
            </w:r>
          </w:p>
          <w:p w14:paraId="2D7ECC0A" w14:textId="77777777" w:rsidR="00622F70" w:rsidRPr="00044078" w:rsidRDefault="00622F70" w:rsidP="009B07AC">
            <w:pPr>
              <w:rPr>
                <w:rFonts w:asciiTheme="minorBidi" w:hAnsiTheme="minorBidi"/>
                <w:b/>
                <w:bCs/>
                <w:lang w:bidi="he-IL"/>
              </w:rPr>
            </w:pPr>
          </w:p>
        </w:tc>
        <w:tc>
          <w:tcPr>
            <w:tcW w:w="2520" w:type="dxa"/>
            <w:tcBorders>
              <w:top w:val="single" w:sz="4" w:space="0" w:color="auto"/>
              <w:left w:val="single" w:sz="4" w:space="0" w:color="auto"/>
              <w:bottom w:val="single" w:sz="4" w:space="0" w:color="auto"/>
              <w:right w:val="single" w:sz="4" w:space="0" w:color="auto"/>
            </w:tcBorders>
            <w:hideMark/>
          </w:tcPr>
          <w:p w14:paraId="74667206" w14:textId="77777777" w:rsidR="00622F70" w:rsidRPr="00044078" w:rsidRDefault="00622F70" w:rsidP="009B07AC">
            <w:pPr>
              <w:rPr>
                <w:rFonts w:asciiTheme="minorBidi" w:hAnsiTheme="minorBidi"/>
                <w:b/>
                <w:bCs/>
                <w:lang w:bidi="he-IL"/>
              </w:rPr>
            </w:pPr>
            <w:r>
              <w:rPr>
                <w:rFonts w:asciiTheme="minorBidi" w:hAnsiTheme="minorBidi"/>
                <w:b/>
                <w:bCs/>
                <w:lang w:bidi="he-IL"/>
              </w:rPr>
              <w:t>Medications</w:t>
            </w:r>
          </w:p>
          <w:p w14:paraId="19313A95" w14:textId="77777777" w:rsidR="00622F70" w:rsidRPr="00044078" w:rsidRDefault="00622F70" w:rsidP="009B07AC">
            <w:pPr>
              <w:rPr>
                <w:rFonts w:asciiTheme="minorBidi" w:hAnsiTheme="minorBidi"/>
                <w:lang w:bidi="he-IL"/>
              </w:rPr>
            </w:pPr>
            <w:r>
              <w:rPr>
                <w:rFonts w:asciiTheme="minorBidi" w:hAnsiTheme="minorBidi"/>
                <w:lang w:bidi="he-IL"/>
              </w:rPr>
              <w:t>Metformin</w:t>
            </w:r>
          </w:p>
          <w:p w14:paraId="10A116E9" w14:textId="77777777" w:rsidR="00622F70" w:rsidRPr="00044078" w:rsidRDefault="00622F70" w:rsidP="009B07AC">
            <w:pPr>
              <w:rPr>
                <w:rFonts w:asciiTheme="minorBidi" w:hAnsiTheme="minorBidi"/>
                <w:lang w:bidi="he-IL"/>
              </w:rPr>
            </w:pPr>
            <w:r>
              <w:rPr>
                <w:rFonts w:asciiTheme="minorBidi" w:hAnsiTheme="minorBidi"/>
                <w:lang w:bidi="he-IL"/>
              </w:rPr>
              <w:t>Insulin</w:t>
            </w:r>
          </w:p>
          <w:p w14:paraId="0EF8A5A4" w14:textId="77777777" w:rsidR="00622F70" w:rsidRPr="00044078" w:rsidRDefault="00622F70" w:rsidP="009B07AC">
            <w:pPr>
              <w:rPr>
                <w:rFonts w:asciiTheme="minorBidi" w:hAnsiTheme="minorBidi"/>
                <w:lang w:bidi="he-IL"/>
              </w:rPr>
            </w:pPr>
            <w:r>
              <w:rPr>
                <w:rFonts w:asciiTheme="minorBidi" w:hAnsiTheme="minorBidi"/>
                <w:lang w:bidi="he-IL"/>
              </w:rPr>
              <w:t>Renin-angiotensin system inhibitor</w:t>
            </w:r>
          </w:p>
          <w:p w14:paraId="73F73282" w14:textId="77777777" w:rsidR="00622F70" w:rsidRPr="00044078" w:rsidRDefault="00622F70" w:rsidP="009B07AC">
            <w:pPr>
              <w:rPr>
                <w:rFonts w:asciiTheme="minorBidi" w:hAnsiTheme="minorBidi"/>
                <w:lang w:bidi="he-IL"/>
              </w:rPr>
            </w:pPr>
            <w:r>
              <w:rPr>
                <w:rFonts w:asciiTheme="minorBidi" w:hAnsiTheme="minorBidi"/>
                <w:lang w:bidi="he-IL"/>
              </w:rPr>
              <w:t>Mineralocorticoid receptor antagonist</w:t>
            </w:r>
          </w:p>
          <w:p w14:paraId="6D598C53" w14:textId="77777777" w:rsidR="00622F70" w:rsidRPr="00044078" w:rsidRDefault="00622F70" w:rsidP="009B07AC">
            <w:pPr>
              <w:rPr>
                <w:rFonts w:asciiTheme="minorBidi" w:hAnsiTheme="minorBidi"/>
                <w:lang w:bidi="he-IL"/>
              </w:rPr>
            </w:pPr>
            <w:r>
              <w:rPr>
                <w:rFonts w:asciiTheme="minorBidi" w:hAnsiTheme="minorBidi"/>
                <w:lang w:bidi="he-IL"/>
              </w:rPr>
              <w:t>SGLT2i</w:t>
            </w:r>
          </w:p>
          <w:p w14:paraId="1F6949F6" w14:textId="77777777" w:rsidR="00622F70" w:rsidRPr="00044078" w:rsidRDefault="00622F70" w:rsidP="009B07AC">
            <w:pPr>
              <w:rPr>
                <w:rFonts w:asciiTheme="minorBidi" w:hAnsiTheme="minorBidi"/>
                <w:lang w:bidi="he-IL"/>
              </w:rPr>
            </w:pPr>
            <w:r>
              <w:rPr>
                <w:rFonts w:asciiTheme="minorBidi" w:hAnsiTheme="minorBidi"/>
                <w:lang w:bidi="he-IL"/>
              </w:rPr>
              <w:t>Beta blockers</w:t>
            </w:r>
          </w:p>
          <w:p w14:paraId="254714F2" w14:textId="77777777" w:rsidR="00622F70" w:rsidRPr="00044078" w:rsidRDefault="00622F70" w:rsidP="009B07AC">
            <w:pPr>
              <w:rPr>
                <w:rFonts w:asciiTheme="minorBidi" w:hAnsiTheme="minorBidi"/>
                <w:lang w:bidi="he-IL"/>
              </w:rPr>
            </w:pPr>
            <w:r>
              <w:rPr>
                <w:rFonts w:asciiTheme="minorBidi" w:hAnsiTheme="minorBidi"/>
                <w:lang w:bidi="he-IL"/>
              </w:rPr>
              <w:t>Antithrombotic agents</w:t>
            </w:r>
          </w:p>
          <w:p w14:paraId="32FB52B2" w14:textId="77777777" w:rsidR="00622F70" w:rsidRPr="00044078" w:rsidRDefault="00622F70" w:rsidP="009B07AC">
            <w:pPr>
              <w:rPr>
                <w:rFonts w:asciiTheme="minorBidi" w:hAnsiTheme="minorBidi"/>
                <w:lang w:bidi="he-IL"/>
              </w:rPr>
            </w:pPr>
            <w:r>
              <w:rPr>
                <w:rFonts w:asciiTheme="minorBidi" w:hAnsiTheme="minorBidi"/>
                <w:lang w:bidi="he-IL"/>
              </w:rPr>
              <w:t>Lipid modifying agents</w:t>
            </w:r>
          </w:p>
        </w:tc>
      </w:tr>
      <w:tr w:rsidR="00622F70" w14:paraId="103C543C" w14:textId="77777777" w:rsidTr="009B07AC">
        <w:tc>
          <w:tcPr>
            <w:tcW w:w="3325" w:type="dxa"/>
            <w:tcBorders>
              <w:top w:val="single" w:sz="4" w:space="0" w:color="auto"/>
              <w:left w:val="single" w:sz="4" w:space="0" w:color="auto"/>
              <w:bottom w:val="single" w:sz="4" w:space="0" w:color="auto"/>
              <w:right w:val="single" w:sz="4" w:space="0" w:color="auto"/>
            </w:tcBorders>
            <w:hideMark/>
          </w:tcPr>
          <w:p w14:paraId="1315A664" w14:textId="77777777" w:rsidR="00622F70" w:rsidRPr="00044078" w:rsidRDefault="00622F70" w:rsidP="009B07AC">
            <w:pPr>
              <w:rPr>
                <w:rFonts w:asciiTheme="minorBidi" w:hAnsiTheme="minorBidi"/>
                <w:b/>
                <w:bCs/>
                <w:lang w:bidi="he-IL"/>
              </w:rPr>
            </w:pPr>
            <w:r>
              <w:rPr>
                <w:rFonts w:asciiTheme="minorBidi" w:hAnsiTheme="minorBidi"/>
                <w:b/>
                <w:bCs/>
                <w:lang w:bidi="he-IL"/>
              </w:rPr>
              <w:t>Age (years), continuous</w:t>
            </w:r>
          </w:p>
          <w:p w14:paraId="409CF39D" w14:textId="77777777" w:rsidR="00622F70" w:rsidRPr="00044078" w:rsidRDefault="00622F70" w:rsidP="009B07AC">
            <w:pPr>
              <w:rPr>
                <w:rFonts w:asciiTheme="minorBidi" w:hAnsiTheme="minorBidi"/>
                <w:lang w:bidi="he-IL"/>
              </w:rPr>
            </w:pPr>
          </w:p>
        </w:tc>
        <w:tc>
          <w:tcPr>
            <w:tcW w:w="3510" w:type="dxa"/>
            <w:tcBorders>
              <w:top w:val="single" w:sz="4" w:space="0" w:color="auto"/>
              <w:left w:val="single" w:sz="4" w:space="0" w:color="auto"/>
              <w:bottom w:val="single" w:sz="4" w:space="0" w:color="auto"/>
              <w:right w:val="single" w:sz="4" w:space="0" w:color="auto"/>
            </w:tcBorders>
            <w:hideMark/>
          </w:tcPr>
          <w:p w14:paraId="603AAB18" w14:textId="77777777" w:rsidR="00622F70" w:rsidRPr="00044078" w:rsidRDefault="00622F70" w:rsidP="009B07AC">
            <w:pPr>
              <w:rPr>
                <w:rFonts w:asciiTheme="minorBidi" w:hAnsiTheme="minorBidi"/>
                <w:b/>
                <w:bCs/>
                <w:lang w:bidi="he-IL"/>
              </w:rPr>
            </w:pPr>
            <w:r>
              <w:rPr>
                <w:rFonts w:asciiTheme="minorBidi" w:hAnsiTheme="minorBidi"/>
                <w:b/>
                <w:bCs/>
                <w:lang w:bidi="he-IL"/>
              </w:rPr>
              <w:t>Diabetes duration (years),</w:t>
            </w:r>
          </w:p>
          <w:p w14:paraId="45C2A87C" w14:textId="77777777" w:rsidR="00622F70" w:rsidRPr="00044078" w:rsidRDefault="00622F70" w:rsidP="009B07AC">
            <w:pPr>
              <w:rPr>
                <w:rFonts w:asciiTheme="minorBidi" w:hAnsiTheme="minorBidi"/>
                <w:lang w:bidi="he-IL"/>
              </w:rPr>
            </w:pPr>
            <w:r>
              <w:rPr>
                <w:rFonts w:asciiTheme="minorBidi" w:hAnsiTheme="minorBidi"/>
                <w:b/>
                <w:bCs/>
                <w:lang w:bidi="he-IL"/>
              </w:rPr>
              <w:t>continuous</w:t>
            </w:r>
          </w:p>
        </w:tc>
        <w:tc>
          <w:tcPr>
            <w:tcW w:w="2520" w:type="dxa"/>
            <w:tcBorders>
              <w:top w:val="single" w:sz="4" w:space="0" w:color="auto"/>
              <w:left w:val="single" w:sz="4" w:space="0" w:color="auto"/>
              <w:bottom w:val="single" w:sz="4" w:space="0" w:color="auto"/>
              <w:right w:val="single" w:sz="4" w:space="0" w:color="auto"/>
            </w:tcBorders>
            <w:hideMark/>
          </w:tcPr>
          <w:p w14:paraId="57C6850C" w14:textId="77777777" w:rsidR="00622F70" w:rsidRPr="00044078" w:rsidRDefault="00622F70" w:rsidP="009B07AC">
            <w:pPr>
              <w:rPr>
                <w:rFonts w:asciiTheme="minorBidi" w:hAnsiTheme="minorBidi"/>
                <w:b/>
                <w:bCs/>
                <w:lang w:bidi="he-IL"/>
              </w:rPr>
            </w:pPr>
            <w:r>
              <w:rPr>
                <w:rFonts w:asciiTheme="minorBidi" w:hAnsiTheme="minorBidi"/>
                <w:b/>
                <w:bCs/>
                <w:lang w:bidi="he-IL"/>
              </w:rPr>
              <w:t>Medical history</w:t>
            </w:r>
          </w:p>
          <w:p w14:paraId="75EAFBB1" w14:textId="77777777" w:rsidR="00622F70" w:rsidRPr="00044078" w:rsidRDefault="00622F70" w:rsidP="009B07AC">
            <w:pPr>
              <w:rPr>
                <w:rFonts w:asciiTheme="minorBidi" w:hAnsiTheme="minorBidi"/>
                <w:lang w:bidi="he-IL"/>
              </w:rPr>
            </w:pPr>
            <w:r>
              <w:rPr>
                <w:rFonts w:asciiTheme="minorBidi" w:hAnsiTheme="minorBidi"/>
                <w:lang w:bidi="he-IL"/>
              </w:rPr>
              <w:t>Ischemic Heart Disease</w:t>
            </w:r>
          </w:p>
          <w:p w14:paraId="52C6A970" w14:textId="77777777" w:rsidR="00622F70" w:rsidRPr="00044078" w:rsidRDefault="00622F70" w:rsidP="009B07AC">
            <w:pPr>
              <w:rPr>
                <w:rFonts w:asciiTheme="minorBidi" w:hAnsiTheme="minorBidi"/>
                <w:lang w:bidi="he-IL"/>
              </w:rPr>
            </w:pPr>
            <w:r>
              <w:rPr>
                <w:rFonts w:asciiTheme="minorBidi" w:hAnsiTheme="minorBidi"/>
                <w:lang w:bidi="he-IL"/>
              </w:rPr>
              <w:t>Heart Failure</w:t>
            </w:r>
          </w:p>
          <w:p w14:paraId="2A5F1C82" w14:textId="77777777" w:rsidR="00622F70" w:rsidRPr="00044078" w:rsidRDefault="00622F70" w:rsidP="009B07AC">
            <w:pPr>
              <w:rPr>
                <w:rFonts w:asciiTheme="minorBidi" w:hAnsiTheme="minorBidi"/>
                <w:lang w:bidi="he-IL"/>
              </w:rPr>
            </w:pPr>
            <w:r>
              <w:rPr>
                <w:rFonts w:asciiTheme="minorBidi" w:hAnsiTheme="minorBidi"/>
                <w:lang w:bidi="he-IL"/>
              </w:rPr>
              <w:t>Stroke</w:t>
            </w:r>
          </w:p>
          <w:p w14:paraId="1DD57382" w14:textId="77777777" w:rsidR="00622F70" w:rsidRPr="00044078" w:rsidRDefault="00622F70" w:rsidP="009B07AC">
            <w:pPr>
              <w:rPr>
                <w:rFonts w:asciiTheme="minorBidi" w:hAnsiTheme="minorBidi"/>
                <w:lang w:bidi="he-IL"/>
              </w:rPr>
            </w:pPr>
            <w:r>
              <w:rPr>
                <w:rFonts w:asciiTheme="minorBidi" w:hAnsiTheme="minorBidi"/>
                <w:lang w:bidi="he-IL"/>
              </w:rPr>
              <w:t>Peripheral Vascular Disease</w:t>
            </w:r>
          </w:p>
          <w:p w14:paraId="20BCF242" w14:textId="77777777" w:rsidR="00622F70" w:rsidRPr="00044078" w:rsidRDefault="00622F70" w:rsidP="009B07AC">
            <w:pPr>
              <w:rPr>
                <w:rFonts w:asciiTheme="minorBidi" w:hAnsiTheme="minorBidi"/>
                <w:lang w:bidi="he-IL"/>
              </w:rPr>
            </w:pPr>
            <w:r>
              <w:rPr>
                <w:rFonts w:asciiTheme="minorBidi" w:hAnsiTheme="minorBidi"/>
                <w:lang w:bidi="he-IL"/>
              </w:rPr>
              <w:t>Atrial Fibrillation</w:t>
            </w:r>
          </w:p>
          <w:p w14:paraId="0BA69204" w14:textId="77777777" w:rsidR="00622F70" w:rsidRPr="00044078" w:rsidRDefault="00622F70" w:rsidP="009B07AC">
            <w:pPr>
              <w:rPr>
                <w:rFonts w:asciiTheme="minorBidi" w:hAnsiTheme="minorBidi"/>
                <w:lang w:bidi="he-IL"/>
              </w:rPr>
            </w:pPr>
            <w:r>
              <w:rPr>
                <w:rFonts w:asciiTheme="minorBidi" w:hAnsiTheme="minorBidi"/>
                <w:lang w:bidi="he-IL"/>
              </w:rPr>
              <w:t>Chronic Liver Disease</w:t>
            </w:r>
          </w:p>
        </w:tc>
      </w:tr>
      <w:tr w:rsidR="00622F70" w14:paraId="4E603021" w14:textId="77777777" w:rsidTr="009B07AC">
        <w:tc>
          <w:tcPr>
            <w:tcW w:w="3325" w:type="dxa"/>
            <w:tcBorders>
              <w:top w:val="single" w:sz="4" w:space="0" w:color="auto"/>
              <w:left w:val="single" w:sz="4" w:space="0" w:color="auto"/>
              <w:bottom w:val="single" w:sz="4" w:space="0" w:color="auto"/>
              <w:right w:val="single" w:sz="4" w:space="0" w:color="auto"/>
            </w:tcBorders>
            <w:hideMark/>
          </w:tcPr>
          <w:p w14:paraId="75783EC9" w14:textId="77777777" w:rsidR="00622F70" w:rsidRPr="00044078" w:rsidRDefault="00622F70" w:rsidP="009B07AC">
            <w:pPr>
              <w:rPr>
                <w:rFonts w:asciiTheme="minorBidi" w:hAnsiTheme="minorBidi"/>
                <w:b/>
                <w:bCs/>
                <w:lang w:bidi="he-IL"/>
              </w:rPr>
            </w:pPr>
            <w:r>
              <w:rPr>
                <w:rFonts w:asciiTheme="minorBidi" w:hAnsiTheme="minorBidi"/>
                <w:b/>
                <w:bCs/>
                <w:lang w:bidi="he-IL"/>
              </w:rPr>
              <w:t>Socioeconomic status,</w:t>
            </w:r>
          </w:p>
          <w:p w14:paraId="210D9FAE" w14:textId="77777777" w:rsidR="00622F70" w:rsidRPr="00044078" w:rsidRDefault="00622F70" w:rsidP="009B07AC">
            <w:pPr>
              <w:rPr>
                <w:rFonts w:asciiTheme="minorBidi" w:hAnsiTheme="minorBidi"/>
                <w:lang w:bidi="he-IL"/>
              </w:rPr>
            </w:pPr>
            <w:r>
              <w:rPr>
                <w:rFonts w:asciiTheme="minorBidi" w:hAnsiTheme="minorBidi"/>
                <w:b/>
                <w:bCs/>
                <w:lang w:bidi="he-IL"/>
              </w:rPr>
              <w:t>continuous</w:t>
            </w:r>
          </w:p>
          <w:p w14:paraId="22B39707" w14:textId="77777777" w:rsidR="00622F70" w:rsidRPr="00044078" w:rsidRDefault="00622F70" w:rsidP="009B07AC">
            <w:pPr>
              <w:rPr>
                <w:rFonts w:asciiTheme="minorBidi" w:hAnsiTheme="minorBidi"/>
                <w:lang w:bidi="he-IL"/>
              </w:rPr>
            </w:pPr>
          </w:p>
        </w:tc>
        <w:tc>
          <w:tcPr>
            <w:tcW w:w="3510" w:type="dxa"/>
            <w:tcBorders>
              <w:top w:val="single" w:sz="4" w:space="0" w:color="auto"/>
              <w:left w:val="single" w:sz="4" w:space="0" w:color="auto"/>
              <w:bottom w:val="single" w:sz="4" w:space="0" w:color="auto"/>
              <w:right w:val="single" w:sz="4" w:space="0" w:color="auto"/>
            </w:tcBorders>
            <w:hideMark/>
          </w:tcPr>
          <w:p w14:paraId="5EB59F96" w14:textId="77777777" w:rsidR="00622F70" w:rsidRPr="008405D1" w:rsidRDefault="00622F70" w:rsidP="009B07AC">
            <w:pPr>
              <w:rPr>
                <w:rFonts w:asciiTheme="minorBidi" w:hAnsiTheme="minorBidi"/>
                <w:b/>
                <w:bCs/>
                <w:rtl/>
                <w:lang w:bidi="he-IL"/>
              </w:rPr>
            </w:pPr>
            <w:r>
              <w:rPr>
                <w:rFonts w:asciiTheme="minorBidi" w:hAnsiTheme="minorBidi"/>
                <w:b/>
                <w:bCs/>
                <w:lang w:bidi="he-IL"/>
              </w:rPr>
              <w:t>HbA1c (%), continuous</w:t>
            </w:r>
          </w:p>
        </w:tc>
        <w:tc>
          <w:tcPr>
            <w:tcW w:w="2520" w:type="dxa"/>
            <w:tcBorders>
              <w:top w:val="single" w:sz="4" w:space="0" w:color="auto"/>
              <w:left w:val="single" w:sz="4" w:space="0" w:color="auto"/>
              <w:bottom w:val="single" w:sz="4" w:space="0" w:color="auto"/>
              <w:right w:val="single" w:sz="4" w:space="0" w:color="auto"/>
            </w:tcBorders>
          </w:tcPr>
          <w:p w14:paraId="78B83899" w14:textId="77777777" w:rsidR="00622F70" w:rsidRPr="00044078" w:rsidRDefault="00622F70" w:rsidP="009B07AC">
            <w:pPr>
              <w:rPr>
                <w:rFonts w:asciiTheme="minorBidi" w:hAnsiTheme="minorBidi"/>
                <w:b/>
                <w:bCs/>
                <w:lang w:bidi="he-IL"/>
              </w:rPr>
            </w:pPr>
          </w:p>
        </w:tc>
      </w:tr>
      <w:tr w:rsidR="00622F70" w14:paraId="59A6A5A3" w14:textId="77777777" w:rsidTr="009B07AC">
        <w:tc>
          <w:tcPr>
            <w:tcW w:w="3325" w:type="dxa"/>
            <w:tcBorders>
              <w:top w:val="single" w:sz="4" w:space="0" w:color="auto"/>
              <w:left w:val="single" w:sz="4" w:space="0" w:color="auto"/>
              <w:bottom w:val="single" w:sz="4" w:space="0" w:color="auto"/>
              <w:right w:val="single" w:sz="4" w:space="0" w:color="auto"/>
            </w:tcBorders>
          </w:tcPr>
          <w:p w14:paraId="5B234737" w14:textId="77777777" w:rsidR="00622F70" w:rsidRPr="00044078" w:rsidRDefault="00622F70" w:rsidP="009B07AC">
            <w:pPr>
              <w:rPr>
                <w:rFonts w:asciiTheme="minorBidi" w:hAnsiTheme="minorBidi"/>
                <w:lang w:bidi="he-IL"/>
              </w:rPr>
            </w:pPr>
          </w:p>
        </w:tc>
        <w:tc>
          <w:tcPr>
            <w:tcW w:w="3510" w:type="dxa"/>
            <w:tcBorders>
              <w:top w:val="single" w:sz="4" w:space="0" w:color="auto"/>
              <w:left w:val="single" w:sz="4" w:space="0" w:color="auto"/>
              <w:bottom w:val="single" w:sz="4" w:space="0" w:color="auto"/>
              <w:right w:val="single" w:sz="4" w:space="0" w:color="auto"/>
            </w:tcBorders>
            <w:hideMark/>
          </w:tcPr>
          <w:p w14:paraId="736FF207" w14:textId="77777777" w:rsidR="00622F70" w:rsidRPr="00044078" w:rsidRDefault="00622F70" w:rsidP="009B07AC">
            <w:pPr>
              <w:rPr>
                <w:rFonts w:asciiTheme="minorBidi" w:hAnsiTheme="minorBidi"/>
                <w:b/>
                <w:bCs/>
                <w:lang w:bidi="he-IL"/>
              </w:rPr>
            </w:pPr>
            <w:r>
              <w:rPr>
                <w:rFonts w:asciiTheme="minorBidi" w:hAnsiTheme="minorBidi"/>
                <w:b/>
                <w:bCs/>
                <w:lang w:bidi="he-IL"/>
              </w:rPr>
              <w:t>BMI (kg/m</w:t>
            </w:r>
            <w:r>
              <w:rPr>
                <w:rFonts w:asciiTheme="minorBidi" w:hAnsiTheme="minorBidi"/>
                <w:b/>
                <w:bCs/>
                <w:vertAlign w:val="superscript"/>
                <w:lang w:bidi="he-IL"/>
              </w:rPr>
              <w:t>2</w:t>
            </w:r>
            <w:r>
              <w:rPr>
                <w:rFonts w:asciiTheme="minorBidi" w:hAnsiTheme="minorBidi"/>
                <w:b/>
                <w:bCs/>
                <w:lang w:bidi="he-IL"/>
              </w:rPr>
              <w:t>), continuous</w:t>
            </w:r>
          </w:p>
        </w:tc>
        <w:tc>
          <w:tcPr>
            <w:tcW w:w="2520" w:type="dxa"/>
            <w:tcBorders>
              <w:top w:val="single" w:sz="4" w:space="0" w:color="auto"/>
              <w:left w:val="single" w:sz="4" w:space="0" w:color="auto"/>
              <w:bottom w:val="single" w:sz="4" w:space="0" w:color="auto"/>
              <w:right w:val="single" w:sz="4" w:space="0" w:color="auto"/>
            </w:tcBorders>
            <w:hideMark/>
          </w:tcPr>
          <w:p w14:paraId="28A4E9B6" w14:textId="77777777" w:rsidR="00622F70" w:rsidRPr="00044078" w:rsidRDefault="00622F70" w:rsidP="009B07AC">
            <w:pPr>
              <w:rPr>
                <w:rFonts w:asciiTheme="minorBidi" w:hAnsiTheme="minorBidi"/>
                <w:b/>
                <w:bCs/>
                <w:lang w:bidi="he-IL"/>
              </w:rPr>
            </w:pPr>
            <w:r>
              <w:rPr>
                <w:rFonts w:asciiTheme="minorBidi" w:hAnsiTheme="minorBidi"/>
                <w:lang w:bidi="he-IL"/>
              </w:rPr>
              <w:t xml:space="preserve"> </w:t>
            </w:r>
          </w:p>
        </w:tc>
      </w:tr>
      <w:tr w:rsidR="00622F70" w14:paraId="31F0F8EE" w14:textId="77777777" w:rsidTr="009B07AC">
        <w:tc>
          <w:tcPr>
            <w:tcW w:w="3325" w:type="dxa"/>
            <w:tcBorders>
              <w:top w:val="single" w:sz="4" w:space="0" w:color="auto"/>
              <w:left w:val="single" w:sz="4" w:space="0" w:color="auto"/>
              <w:bottom w:val="single" w:sz="4" w:space="0" w:color="auto"/>
              <w:right w:val="single" w:sz="4" w:space="0" w:color="auto"/>
            </w:tcBorders>
          </w:tcPr>
          <w:p w14:paraId="692D32BB" w14:textId="77777777" w:rsidR="00622F70" w:rsidRPr="00044078" w:rsidRDefault="00622F70" w:rsidP="009B07AC">
            <w:pPr>
              <w:rPr>
                <w:rFonts w:asciiTheme="minorBidi" w:hAnsiTheme="minorBidi"/>
                <w:lang w:bidi="he-IL"/>
              </w:rPr>
            </w:pPr>
          </w:p>
        </w:tc>
        <w:tc>
          <w:tcPr>
            <w:tcW w:w="3510" w:type="dxa"/>
            <w:tcBorders>
              <w:top w:val="single" w:sz="4" w:space="0" w:color="auto"/>
              <w:left w:val="single" w:sz="4" w:space="0" w:color="auto"/>
              <w:bottom w:val="single" w:sz="4" w:space="0" w:color="auto"/>
              <w:right w:val="single" w:sz="4" w:space="0" w:color="auto"/>
            </w:tcBorders>
            <w:hideMark/>
          </w:tcPr>
          <w:p w14:paraId="06002BF2" w14:textId="77777777" w:rsidR="00622F70" w:rsidRPr="00044078" w:rsidRDefault="00622F70" w:rsidP="009B07AC">
            <w:pPr>
              <w:rPr>
                <w:rFonts w:asciiTheme="minorBidi" w:hAnsiTheme="minorBidi"/>
                <w:b/>
                <w:bCs/>
                <w:lang w:bidi="he-IL"/>
              </w:rPr>
            </w:pPr>
            <w:r>
              <w:rPr>
                <w:rFonts w:asciiTheme="minorBidi" w:hAnsiTheme="minorBidi"/>
                <w:b/>
                <w:bCs/>
                <w:lang w:bidi="he-IL"/>
              </w:rPr>
              <w:t>KDIGO kidney risk category</w:t>
            </w:r>
          </w:p>
          <w:p w14:paraId="4FA287A1" w14:textId="77777777" w:rsidR="00622F70" w:rsidRPr="00044078" w:rsidRDefault="00622F70" w:rsidP="009B07AC">
            <w:pPr>
              <w:rPr>
                <w:rFonts w:asciiTheme="minorBidi" w:hAnsiTheme="minorBidi"/>
                <w:lang w:bidi="he-IL"/>
              </w:rPr>
            </w:pPr>
            <w:r>
              <w:rPr>
                <w:rFonts w:asciiTheme="minorBidi" w:hAnsiTheme="minorBidi"/>
                <w:lang w:bidi="he-IL"/>
              </w:rPr>
              <w:t>Low/Moderate</w:t>
            </w:r>
          </w:p>
        </w:tc>
        <w:tc>
          <w:tcPr>
            <w:tcW w:w="2520" w:type="dxa"/>
            <w:tcBorders>
              <w:top w:val="single" w:sz="4" w:space="0" w:color="auto"/>
              <w:left w:val="single" w:sz="4" w:space="0" w:color="auto"/>
              <w:bottom w:val="single" w:sz="4" w:space="0" w:color="auto"/>
              <w:right w:val="single" w:sz="4" w:space="0" w:color="auto"/>
            </w:tcBorders>
          </w:tcPr>
          <w:p w14:paraId="293A057B" w14:textId="77777777" w:rsidR="00622F70" w:rsidRPr="00044078" w:rsidRDefault="00622F70" w:rsidP="009B07AC">
            <w:pPr>
              <w:rPr>
                <w:rFonts w:asciiTheme="minorBidi" w:hAnsiTheme="minorBidi"/>
                <w:b/>
                <w:bCs/>
                <w:lang w:bidi="he-IL"/>
              </w:rPr>
            </w:pPr>
          </w:p>
        </w:tc>
      </w:tr>
      <w:tr w:rsidR="00622F70" w14:paraId="06F4C9DA" w14:textId="77777777" w:rsidTr="009B07AC">
        <w:tc>
          <w:tcPr>
            <w:tcW w:w="3325" w:type="dxa"/>
            <w:tcBorders>
              <w:top w:val="single" w:sz="4" w:space="0" w:color="auto"/>
              <w:left w:val="single" w:sz="4" w:space="0" w:color="auto"/>
              <w:bottom w:val="single" w:sz="4" w:space="0" w:color="auto"/>
              <w:right w:val="single" w:sz="4" w:space="0" w:color="auto"/>
            </w:tcBorders>
          </w:tcPr>
          <w:p w14:paraId="048A939D" w14:textId="77777777" w:rsidR="00622F70" w:rsidRPr="00044078" w:rsidRDefault="00622F70" w:rsidP="009B07AC">
            <w:pPr>
              <w:rPr>
                <w:rFonts w:asciiTheme="minorBidi" w:hAnsiTheme="minorBidi"/>
                <w:lang w:bidi="he-IL"/>
              </w:rPr>
            </w:pPr>
          </w:p>
        </w:tc>
        <w:tc>
          <w:tcPr>
            <w:tcW w:w="3510" w:type="dxa"/>
            <w:tcBorders>
              <w:top w:val="single" w:sz="4" w:space="0" w:color="auto"/>
              <w:left w:val="single" w:sz="4" w:space="0" w:color="auto"/>
              <w:bottom w:val="single" w:sz="4" w:space="0" w:color="auto"/>
              <w:right w:val="single" w:sz="4" w:space="0" w:color="auto"/>
            </w:tcBorders>
          </w:tcPr>
          <w:p w14:paraId="534D96A5" w14:textId="77777777" w:rsidR="00622F70" w:rsidRPr="00044078" w:rsidRDefault="00622F70" w:rsidP="009B07AC">
            <w:pPr>
              <w:rPr>
                <w:rFonts w:asciiTheme="minorBidi" w:hAnsiTheme="minorBidi"/>
                <w:b/>
                <w:bCs/>
                <w:lang w:bidi="he-IL"/>
              </w:rPr>
            </w:pPr>
            <w:r>
              <w:rPr>
                <w:rFonts w:asciiTheme="minorBidi" w:hAnsiTheme="minorBidi"/>
                <w:b/>
                <w:bCs/>
                <w:lang w:bidi="he-IL"/>
              </w:rPr>
              <w:t>LDL cholesterol (mg/dL), continuous</w:t>
            </w:r>
          </w:p>
          <w:p w14:paraId="62992303" w14:textId="77777777" w:rsidR="00622F70" w:rsidRPr="00044078" w:rsidRDefault="00622F70" w:rsidP="009B07AC">
            <w:pPr>
              <w:rPr>
                <w:rFonts w:asciiTheme="minorBidi" w:hAnsiTheme="minorBidi"/>
                <w:b/>
                <w:bCs/>
                <w:lang w:bidi="he-IL"/>
              </w:rPr>
            </w:pPr>
            <w:r>
              <w:rPr>
                <w:rFonts w:asciiTheme="minorBidi" w:hAnsiTheme="minorBidi"/>
                <w:b/>
                <w:bCs/>
                <w:lang w:bidi="he-IL"/>
              </w:rPr>
              <w:lastRenderedPageBreak/>
              <w:t>HDL cholesterol (mg/dL),</w:t>
            </w:r>
            <w:r>
              <w:rPr>
                <w:rFonts w:asciiTheme="minorBidi" w:hAnsiTheme="minorBidi"/>
              </w:rPr>
              <w:t xml:space="preserve"> </w:t>
            </w:r>
            <w:r>
              <w:rPr>
                <w:rFonts w:asciiTheme="minorBidi" w:hAnsiTheme="minorBidi"/>
                <w:b/>
                <w:bCs/>
                <w:lang w:bidi="he-IL"/>
              </w:rPr>
              <w:t>continuous</w:t>
            </w:r>
          </w:p>
          <w:p w14:paraId="27E11996" w14:textId="77777777" w:rsidR="00622F70" w:rsidRPr="00044078" w:rsidRDefault="00622F70" w:rsidP="009B07AC">
            <w:pPr>
              <w:rPr>
                <w:rFonts w:asciiTheme="minorBidi" w:hAnsiTheme="minorBidi"/>
                <w:b/>
                <w:bCs/>
                <w:lang w:bidi="he-IL"/>
              </w:rPr>
            </w:pPr>
            <w:r>
              <w:rPr>
                <w:rFonts w:asciiTheme="minorBidi" w:hAnsiTheme="minorBidi"/>
                <w:b/>
                <w:bCs/>
                <w:lang w:bidi="he-IL"/>
              </w:rPr>
              <w:t>Triglycerides (mg/dL), continuous</w:t>
            </w:r>
          </w:p>
          <w:p w14:paraId="019F4DC3" w14:textId="77777777" w:rsidR="00622F70" w:rsidRPr="00044078" w:rsidRDefault="00622F70" w:rsidP="009B07AC">
            <w:pPr>
              <w:rPr>
                <w:rFonts w:asciiTheme="minorBidi" w:hAnsiTheme="minorBidi"/>
                <w:lang w:bidi="he-IL"/>
              </w:rPr>
            </w:pPr>
          </w:p>
        </w:tc>
        <w:tc>
          <w:tcPr>
            <w:tcW w:w="2520" w:type="dxa"/>
            <w:tcBorders>
              <w:top w:val="single" w:sz="4" w:space="0" w:color="auto"/>
              <w:left w:val="single" w:sz="4" w:space="0" w:color="auto"/>
              <w:bottom w:val="single" w:sz="4" w:space="0" w:color="auto"/>
              <w:right w:val="single" w:sz="4" w:space="0" w:color="auto"/>
            </w:tcBorders>
          </w:tcPr>
          <w:p w14:paraId="5776E324" w14:textId="77777777" w:rsidR="00622F70" w:rsidRPr="00044078" w:rsidRDefault="00622F70" w:rsidP="009B07AC">
            <w:pPr>
              <w:rPr>
                <w:rFonts w:asciiTheme="minorBidi" w:hAnsiTheme="minorBidi"/>
                <w:b/>
                <w:bCs/>
                <w:lang w:bidi="he-IL"/>
              </w:rPr>
            </w:pPr>
          </w:p>
        </w:tc>
      </w:tr>
    </w:tbl>
    <w:p w14:paraId="77F0731A" w14:textId="77777777" w:rsidR="00622F70" w:rsidRDefault="00622F70" w:rsidP="00622F70">
      <w:pPr>
        <w:rPr>
          <w:lang w:bidi="he-IL"/>
        </w:rPr>
      </w:pPr>
    </w:p>
    <w:p w14:paraId="17521AAD" w14:textId="570F7B19" w:rsidR="00622F70" w:rsidRPr="008B1D39" w:rsidRDefault="00622F70" w:rsidP="008B1D39">
      <w:pPr>
        <w:spacing w:line="480" w:lineRule="auto"/>
        <w:rPr>
          <w:rFonts w:asciiTheme="minorBidi" w:hAnsiTheme="minorBidi"/>
        </w:rPr>
      </w:pPr>
      <w:r w:rsidRPr="00205515">
        <w:rPr>
          <w:rFonts w:asciiTheme="minorBidi" w:hAnsiTheme="minorBidi"/>
        </w:rPr>
        <w:t>HbA1c and lipid variables are presented in the units used in the fitted models; corresponding SI values are reported in Tables 1 and S</w:t>
      </w:r>
      <w:r>
        <w:rPr>
          <w:rFonts w:asciiTheme="minorBidi" w:hAnsiTheme="minorBidi"/>
        </w:rPr>
        <w:t>4</w:t>
      </w:r>
      <w:r w:rsidRPr="00205515">
        <w:rPr>
          <w:rFonts w:asciiTheme="minorBidi" w:hAnsiTheme="minorBidi"/>
        </w:rPr>
        <w:t xml:space="preserve">. BMI, body mass index; eGFR, estimated glomerular filtration rate; HbA1c, glycated hemoglobin; HDL, high-density lipoprotein; KDIGO, Kidney Disease: Improving Global Outcomes; LDL, low-density lipoprotein; MHS, Maccabi Healthcare Services; SGLT2i, </w:t>
      </w:r>
      <w:r>
        <w:rPr>
          <w:rFonts w:ascii="Times New Roman" w:eastAsia="Apis For Office" w:hAnsi="Times New Roman" w:cs="Times New Roman"/>
        </w:rPr>
        <w:t>sodium‒glucose</w:t>
      </w:r>
      <w:r w:rsidRPr="00205515">
        <w:rPr>
          <w:rFonts w:asciiTheme="minorBidi" w:hAnsiTheme="minorBidi"/>
        </w:rPr>
        <w:t xml:space="preserve"> cotransporter-2 inhibitor; UACR, urine </w:t>
      </w:r>
      <w:r>
        <w:rPr>
          <w:rFonts w:ascii="Times New Roman" w:eastAsia="Apis For Office" w:hAnsi="Times New Roman" w:cs="Times New Roman"/>
        </w:rPr>
        <w:t>albumin‒creatinine</w:t>
      </w:r>
      <w:r w:rsidRPr="00205515">
        <w:rPr>
          <w:rFonts w:asciiTheme="minorBidi" w:hAnsiTheme="minorBidi"/>
        </w:rPr>
        <w:t xml:space="preserve"> ratio.</w:t>
      </w:r>
    </w:p>
    <w:p w14:paraId="43D6195E" w14:textId="77777777" w:rsidR="00622F70" w:rsidRDefault="00622F70" w:rsidP="006D4ED5">
      <w:pPr>
        <w:pStyle w:val="Heading2"/>
        <w:rPr>
          <w:rFonts w:asciiTheme="majorBidi" w:hAnsiTheme="majorBidi"/>
          <w:b w:val="0"/>
          <w:bCs w:val="0"/>
          <w:lang w:bidi="he-IL"/>
        </w:rPr>
      </w:pPr>
      <w:r w:rsidRPr="006D4ED5">
        <w:rPr>
          <w:rFonts w:asciiTheme="majorBidi" w:hAnsiTheme="majorBidi"/>
          <w:lang w:bidi="he-IL"/>
        </w:rPr>
        <w:t xml:space="preserve">Table S4. </w:t>
      </w:r>
      <w:r w:rsidRPr="006D4ED5">
        <w:rPr>
          <w:rFonts w:asciiTheme="majorBidi" w:hAnsiTheme="majorBidi"/>
          <w:b w:val="0"/>
          <w:bCs w:val="0"/>
          <w:lang w:bidi="he-IL"/>
        </w:rPr>
        <w:t>Baseline characteristics before matching</w:t>
      </w:r>
    </w:p>
    <w:p w14:paraId="0D2CC60D" w14:textId="77777777" w:rsidR="00BA4ABC" w:rsidRPr="00BA4ABC" w:rsidRDefault="00BA4ABC" w:rsidP="00BA4ABC">
      <w:pPr>
        <w:rPr>
          <w:lang w:val="en-GB" w:bidi="he-IL"/>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4225"/>
        <w:gridCol w:w="2114"/>
        <w:gridCol w:w="7"/>
        <w:gridCol w:w="2121"/>
        <w:gridCol w:w="893"/>
      </w:tblGrid>
      <w:tr w:rsidR="00622F70" w14:paraId="7CFC30CA" w14:textId="77777777" w:rsidTr="009B07AC">
        <w:trPr>
          <w:cantSplit/>
          <w:tblHeader/>
        </w:trPr>
        <w:tc>
          <w:tcPr>
            <w:tcW w:w="42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0797FFAC" w14:textId="77777777" w:rsidR="00622F70" w:rsidRPr="00375A1A" w:rsidRDefault="00622F70" w:rsidP="009B07AC">
            <w:pPr>
              <w:rPr>
                <w:rFonts w:asciiTheme="majorBidi" w:hAnsiTheme="majorBidi" w:cstheme="majorBidi"/>
              </w:rPr>
            </w:pPr>
            <w:r>
              <w:rPr>
                <w:rFonts w:asciiTheme="majorBidi" w:hAnsiTheme="majorBidi" w:cstheme="majorBidi"/>
                <w:b/>
                <w:bCs/>
              </w:rPr>
              <w:t>Characteristics</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D3818C3" w14:textId="77777777" w:rsidR="00622F70" w:rsidRPr="00375A1A" w:rsidRDefault="00622F70" w:rsidP="009B07AC">
            <w:pPr>
              <w:rPr>
                <w:rFonts w:asciiTheme="majorBidi" w:hAnsiTheme="majorBidi" w:cstheme="majorBidi"/>
              </w:rPr>
            </w:pPr>
            <w:r>
              <w:rPr>
                <w:rFonts w:asciiTheme="majorBidi" w:hAnsiTheme="majorBidi" w:cstheme="majorBidi"/>
                <w:b/>
                <w:bCs/>
              </w:rPr>
              <w:t xml:space="preserve">DPP4i </w:t>
            </w:r>
            <w:r>
              <w:rPr>
                <w:rFonts w:asciiTheme="majorBidi" w:hAnsiTheme="majorBidi" w:cstheme="majorBidi"/>
              </w:rPr>
              <w:t>N = 8388</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C1AE249" w14:textId="77777777" w:rsidR="00622F70" w:rsidRPr="00375A1A" w:rsidRDefault="00622F70" w:rsidP="009B07AC">
            <w:pPr>
              <w:rPr>
                <w:rFonts w:asciiTheme="majorBidi" w:hAnsiTheme="majorBidi" w:cstheme="majorBidi"/>
              </w:rPr>
            </w:pPr>
            <w:r>
              <w:rPr>
                <w:rFonts w:asciiTheme="majorBidi" w:hAnsiTheme="majorBidi" w:cstheme="majorBidi"/>
                <w:b/>
                <w:bCs/>
              </w:rPr>
              <w:t xml:space="preserve">Semaglutide </w:t>
            </w:r>
            <w:r>
              <w:rPr>
                <w:rFonts w:asciiTheme="majorBidi" w:hAnsiTheme="majorBidi" w:cstheme="majorBidi"/>
              </w:rPr>
              <w:t>N = 21955</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E67BE4B" w14:textId="77777777" w:rsidR="00622F70" w:rsidRPr="00375A1A" w:rsidRDefault="00622F70" w:rsidP="009B07AC">
            <w:pPr>
              <w:rPr>
                <w:rFonts w:asciiTheme="majorBidi" w:hAnsiTheme="majorBidi" w:cstheme="majorBidi"/>
              </w:rPr>
            </w:pPr>
            <w:r>
              <w:rPr>
                <w:rFonts w:asciiTheme="majorBidi" w:hAnsiTheme="majorBidi" w:cstheme="majorBidi"/>
                <w:b/>
                <w:bCs/>
              </w:rPr>
              <w:t>SMD</w:t>
            </w:r>
          </w:p>
        </w:tc>
      </w:tr>
      <w:tr w:rsidR="00622F70" w14:paraId="15227378"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1E8A4A6" w14:textId="77777777" w:rsidR="00622F70" w:rsidRPr="00375A1A" w:rsidRDefault="00622F70" w:rsidP="009B07AC">
            <w:pPr>
              <w:rPr>
                <w:rFonts w:asciiTheme="majorBidi" w:hAnsiTheme="majorBidi" w:cstheme="majorBidi"/>
                <w:b/>
                <w:bCs/>
              </w:rPr>
            </w:pPr>
            <w:r>
              <w:rPr>
                <w:rFonts w:asciiTheme="majorBidi" w:hAnsiTheme="majorBidi" w:cstheme="majorBidi"/>
                <w:b/>
                <w:bCs/>
              </w:rPr>
              <w:t>Sex</w:t>
            </w:r>
          </w:p>
        </w:tc>
        <w:tc>
          <w:tcPr>
            <w:tcW w:w="4242"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5016A78" w14:textId="77777777" w:rsidR="00622F70" w:rsidRPr="00375A1A" w:rsidRDefault="00622F70" w:rsidP="009B07AC">
            <w:pPr>
              <w:rPr>
                <w:rFonts w:asciiTheme="majorBidi" w:hAnsiTheme="majorBidi" w:cstheme="majorBidi"/>
              </w:rPr>
            </w:pP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25E424E" w14:textId="77777777" w:rsidR="00622F70" w:rsidRPr="00375A1A" w:rsidRDefault="00622F70" w:rsidP="009B07AC">
            <w:pPr>
              <w:rPr>
                <w:rFonts w:asciiTheme="majorBidi" w:hAnsiTheme="majorBidi" w:cstheme="majorBidi"/>
              </w:rPr>
            </w:pPr>
            <w:r>
              <w:rPr>
                <w:rFonts w:asciiTheme="majorBidi" w:hAnsiTheme="majorBidi" w:cstheme="majorBidi"/>
              </w:rPr>
              <w:t xml:space="preserve"> 0.01</w:t>
            </w:r>
          </w:p>
        </w:tc>
      </w:tr>
      <w:tr w:rsidR="00622F70" w14:paraId="79E31686"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5B480DB" w14:textId="77777777" w:rsidR="00622F70" w:rsidRPr="00375A1A" w:rsidRDefault="00622F70" w:rsidP="009B07AC">
            <w:pPr>
              <w:rPr>
                <w:rFonts w:asciiTheme="majorBidi" w:hAnsiTheme="majorBidi" w:cstheme="majorBidi"/>
              </w:rPr>
            </w:pPr>
            <w:r>
              <w:rPr>
                <w:rFonts w:asciiTheme="majorBidi" w:hAnsiTheme="majorBidi" w:cstheme="majorBidi"/>
              </w:rPr>
              <w:t>Male</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8C04F96" w14:textId="77777777" w:rsidR="00622F70" w:rsidRPr="00375A1A" w:rsidRDefault="00622F70" w:rsidP="009B07AC">
            <w:pPr>
              <w:rPr>
                <w:rFonts w:asciiTheme="majorBidi" w:hAnsiTheme="majorBidi" w:cstheme="majorBidi"/>
              </w:rPr>
            </w:pPr>
            <w:r>
              <w:rPr>
                <w:rFonts w:asciiTheme="majorBidi" w:hAnsiTheme="majorBidi" w:cstheme="majorBidi"/>
              </w:rPr>
              <w:t>4398 (52.4%)</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4BA1B43" w14:textId="77777777" w:rsidR="00622F70" w:rsidRPr="00375A1A" w:rsidRDefault="00622F70" w:rsidP="009B07AC">
            <w:pPr>
              <w:rPr>
                <w:rFonts w:asciiTheme="majorBidi" w:hAnsiTheme="majorBidi" w:cstheme="majorBidi"/>
              </w:rPr>
            </w:pPr>
            <w:r>
              <w:rPr>
                <w:rFonts w:asciiTheme="majorBidi" w:hAnsiTheme="majorBidi" w:cstheme="majorBidi"/>
              </w:rPr>
              <w:t>11574 (52.7%)</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2B4B726" w14:textId="77777777" w:rsidR="00622F70" w:rsidRPr="00375A1A" w:rsidRDefault="00622F70" w:rsidP="009B07AC">
            <w:pPr>
              <w:rPr>
                <w:rFonts w:asciiTheme="majorBidi" w:hAnsiTheme="majorBidi" w:cstheme="majorBidi"/>
              </w:rPr>
            </w:pPr>
          </w:p>
        </w:tc>
      </w:tr>
      <w:tr w:rsidR="00622F70" w14:paraId="51D85054"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7E41E33" w14:textId="77777777" w:rsidR="00622F70" w:rsidRPr="00375A1A" w:rsidRDefault="00622F70" w:rsidP="009B07AC">
            <w:pPr>
              <w:rPr>
                <w:rFonts w:asciiTheme="majorBidi" w:hAnsiTheme="majorBidi" w:cstheme="majorBidi"/>
              </w:rPr>
            </w:pPr>
            <w:r>
              <w:rPr>
                <w:rFonts w:asciiTheme="majorBidi" w:hAnsiTheme="majorBidi" w:cstheme="majorBidi"/>
              </w:rPr>
              <w:t>Female</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5674666" w14:textId="77777777" w:rsidR="00622F70" w:rsidRPr="00375A1A" w:rsidRDefault="00622F70" w:rsidP="009B07AC">
            <w:pPr>
              <w:rPr>
                <w:rFonts w:asciiTheme="majorBidi" w:hAnsiTheme="majorBidi" w:cstheme="majorBidi"/>
              </w:rPr>
            </w:pPr>
            <w:r>
              <w:rPr>
                <w:rFonts w:asciiTheme="majorBidi" w:hAnsiTheme="majorBidi" w:cstheme="majorBidi"/>
              </w:rPr>
              <w:t>3990 (47.6%)</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6046F8E" w14:textId="77777777" w:rsidR="00622F70" w:rsidRPr="00375A1A" w:rsidRDefault="00622F70" w:rsidP="009B07AC">
            <w:pPr>
              <w:rPr>
                <w:rFonts w:asciiTheme="majorBidi" w:hAnsiTheme="majorBidi" w:cstheme="majorBidi"/>
              </w:rPr>
            </w:pPr>
            <w:r>
              <w:rPr>
                <w:rFonts w:asciiTheme="majorBidi" w:hAnsiTheme="majorBidi" w:cstheme="majorBidi"/>
              </w:rPr>
              <w:t>10381 (47.3%)</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3384C69" w14:textId="77777777" w:rsidR="00622F70" w:rsidRPr="00375A1A" w:rsidRDefault="00622F70" w:rsidP="009B07AC">
            <w:pPr>
              <w:rPr>
                <w:rFonts w:asciiTheme="majorBidi" w:hAnsiTheme="majorBidi" w:cstheme="majorBidi"/>
              </w:rPr>
            </w:pPr>
          </w:p>
        </w:tc>
      </w:tr>
      <w:tr w:rsidR="00622F70" w14:paraId="10E1F7C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28E8DD7" w14:textId="77777777" w:rsidR="00622F70" w:rsidRPr="00375A1A" w:rsidRDefault="00622F70" w:rsidP="009B07AC">
            <w:pPr>
              <w:rPr>
                <w:rFonts w:asciiTheme="majorBidi" w:hAnsiTheme="majorBidi" w:cstheme="majorBidi"/>
                <w:b/>
                <w:bCs/>
              </w:rPr>
            </w:pPr>
            <w:r>
              <w:rPr>
                <w:rFonts w:asciiTheme="majorBidi" w:hAnsiTheme="majorBidi" w:cstheme="majorBidi"/>
                <w:b/>
                <w:bCs/>
              </w:rPr>
              <w:t>Age, years</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1E45D73" w14:textId="77777777" w:rsidR="00622F70" w:rsidRPr="00375A1A" w:rsidRDefault="00622F70" w:rsidP="009B07AC">
            <w:pPr>
              <w:rPr>
                <w:rFonts w:asciiTheme="majorBidi" w:hAnsiTheme="majorBidi" w:cstheme="majorBidi"/>
              </w:rPr>
            </w:pPr>
          </w:p>
        </w:tc>
      </w:tr>
      <w:tr w:rsidR="00622F70" w14:paraId="518EE5D7"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7EBF99E" w14:textId="77777777" w:rsidR="00622F70" w:rsidRPr="00375A1A" w:rsidRDefault="00622F70" w:rsidP="009B07AC">
            <w:pPr>
              <w:rPr>
                <w:rFonts w:asciiTheme="majorBidi" w:hAnsiTheme="majorBidi" w:cstheme="majorBidi"/>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2D3F831" w14:textId="77777777" w:rsidR="00622F70" w:rsidRPr="00375A1A" w:rsidRDefault="00622F70" w:rsidP="009B07AC">
            <w:pPr>
              <w:rPr>
                <w:rFonts w:asciiTheme="majorBidi" w:hAnsiTheme="majorBidi" w:cstheme="majorBidi"/>
              </w:rPr>
            </w:pPr>
            <w:r>
              <w:rPr>
                <w:rFonts w:asciiTheme="majorBidi" w:hAnsiTheme="majorBidi" w:cstheme="majorBidi"/>
              </w:rPr>
              <w:t>63.6 (11.6)</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8E548D0" w14:textId="77777777" w:rsidR="00622F70" w:rsidRPr="00375A1A" w:rsidRDefault="00622F70" w:rsidP="009B07AC">
            <w:pPr>
              <w:rPr>
                <w:rFonts w:asciiTheme="majorBidi" w:hAnsiTheme="majorBidi" w:cstheme="majorBidi"/>
              </w:rPr>
            </w:pPr>
            <w:r>
              <w:rPr>
                <w:rFonts w:asciiTheme="majorBidi" w:hAnsiTheme="majorBidi" w:cstheme="majorBidi"/>
              </w:rPr>
              <w:t>60.1 (10.5)</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F274BAC" w14:textId="77777777" w:rsidR="00622F70" w:rsidRPr="00375A1A" w:rsidRDefault="00622F70" w:rsidP="009B07AC">
            <w:pPr>
              <w:rPr>
                <w:rFonts w:asciiTheme="majorBidi" w:hAnsiTheme="majorBidi" w:cstheme="majorBidi"/>
              </w:rPr>
            </w:pPr>
            <w:r>
              <w:rPr>
                <w:rFonts w:asciiTheme="majorBidi" w:hAnsiTheme="majorBidi" w:cstheme="majorBidi"/>
              </w:rPr>
              <w:t xml:space="preserve"> 0.32</w:t>
            </w:r>
          </w:p>
        </w:tc>
      </w:tr>
      <w:tr w:rsidR="00622F70" w14:paraId="54FA97B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21459B8" w14:textId="77777777" w:rsidR="00622F70" w:rsidRPr="00375A1A" w:rsidRDefault="00622F70" w:rsidP="009B07AC">
            <w:pPr>
              <w:rPr>
                <w:rFonts w:asciiTheme="majorBidi" w:hAnsiTheme="majorBidi" w:cstheme="majorBidi"/>
                <w:b/>
                <w:bCs/>
                <w:lang w:val="da-DK"/>
              </w:rPr>
            </w:pPr>
            <w:r>
              <w:rPr>
                <w:rFonts w:asciiTheme="majorBidi" w:hAnsiTheme="majorBidi" w:cstheme="majorBidi"/>
                <w:b/>
                <w:bCs/>
              </w:rPr>
              <w:t>Socioeconomic status category</w:t>
            </w:r>
          </w:p>
        </w:tc>
        <w:tc>
          <w:tcPr>
            <w:tcW w:w="4242"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1C2E846" w14:textId="77777777" w:rsidR="00622F70" w:rsidRPr="00375A1A" w:rsidRDefault="00622F70" w:rsidP="009B07AC">
            <w:pPr>
              <w:rPr>
                <w:rFonts w:asciiTheme="majorBidi" w:hAnsiTheme="majorBidi" w:cstheme="majorBidi"/>
              </w:rPr>
            </w:pP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D5585CA" w14:textId="77777777" w:rsidR="00622F70" w:rsidRPr="00375A1A" w:rsidRDefault="00622F70" w:rsidP="009B07AC">
            <w:pPr>
              <w:rPr>
                <w:rFonts w:asciiTheme="majorBidi" w:hAnsiTheme="majorBidi" w:cstheme="majorBidi"/>
              </w:rPr>
            </w:pPr>
            <w:r>
              <w:rPr>
                <w:rFonts w:asciiTheme="majorBidi" w:hAnsiTheme="majorBidi" w:cstheme="majorBidi"/>
              </w:rPr>
              <w:t xml:space="preserve"> 0.11</w:t>
            </w:r>
          </w:p>
        </w:tc>
      </w:tr>
      <w:tr w:rsidR="00622F70" w14:paraId="4B23203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C9AE860" w14:textId="77777777" w:rsidR="00622F70" w:rsidRPr="00375A1A" w:rsidRDefault="00622F70" w:rsidP="009B07AC">
            <w:pPr>
              <w:rPr>
                <w:rFonts w:asciiTheme="majorBidi" w:hAnsiTheme="majorBidi" w:cstheme="majorBidi"/>
              </w:rPr>
            </w:pPr>
            <w:r>
              <w:rPr>
                <w:rFonts w:asciiTheme="majorBidi" w:hAnsiTheme="majorBidi" w:cstheme="majorBidi"/>
              </w:rPr>
              <w:t>1-3 (low)</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DD17ABF" w14:textId="77777777" w:rsidR="00622F70" w:rsidRPr="00375A1A" w:rsidRDefault="00622F70" w:rsidP="009B07AC">
            <w:pPr>
              <w:rPr>
                <w:rFonts w:asciiTheme="majorBidi" w:hAnsiTheme="majorBidi" w:cstheme="majorBidi"/>
              </w:rPr>
            </w:pPr>
            <w:r>
              <w:rPr>
                <w:rFonts w:asciiTheme="majorBidi" w:hAnsiTheme="majorBidi" w:cstheme="majorBidi"/>
              </w:rPr>
              <w:t>988 (11.8%)</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85EE359" w14:textId="77777777" w:rsidR="00622F70" w:rsidRPr="00375A1A" w:rsidRDefault="00622F70" w:rsidP="009B07AC">
            <w:pPr>
              <w:rPr>
                <w:rFonts w:asciiTheme="majorBidi" w:hAnsiTheme="majorBidi" w:cstheme="majorBidi"/>
              </w:rPr>
            </w:pPr>
            <w:r>
              <w:rPr>
                <w:rFonts w:asciiTheme="majorBidi" w:hAnsiTheme="majorBidi" w:cstheme="majorBidi"/>
              </w:rPr>
              <w:t>2257 (10.3%)</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B44D819"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51C617C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D97651A" w14:textId="77777777" w:rsidR="00622F70" w:rsidRPr="00375A1A" w:rsidRDefault="00622F70" w:rsidP="009B07AC">
            <w:pPr>
              <w:rPr>
                <w:rFonts w:asciiTheme="majorBidi" w:hAnsiTheme="majorBidi" w:cstheme="majorBidi"/>
              </w:rPr>
            </w:pPr>
            <w:r>
              <w:rPr>
                <w:rFonts w:asciiTheme="majorBidi" w:hAnsiTheme="majorBidi" w:cstheme="majorBidi"/>
              </w:rPr>
              <w:t>4-5 (medium-low)</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40E53BC" w14:textId="77777777" w:rsidR="00622F70" w:rsidRPr="00375A1A" w:rsidRDefault="00622F70" w:rsidP="009B07AC">
            <w:pPr>
              <w:rPr>
                <w:rFonts w:asciiTheme="majorBidi" w:hAnsiTheme="majorBidi" w:cstheme="majorBidi"/>
              </w:rPr>
            </w:pPr>
            <w:r>
              <w:rPr>
                <w:rFonts w:asciiTheme="majorBidi" w:hAnsiTheme="majorBidi" w:cstheme="majorBidi"/>
              </w:rPr>
              <w:t>2406 (28.7%)</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4AF4377" w14:textId="77777777" w:rsidR="00622F70" w:rsidRPr="00375A1A" w:rsidRDefault="00622F70" w:rsidP="009B07AC">
            <w:pPr>
              <w:rPr>
                <w:rFonts w:asciiTheme="majorBidi" w:hAnsiTheme="majorBidi" w:cstheme="majorBidi"/>
              </w:rPr>
            </w:pPr>
            <w:r>
              <w:rPr>
                <w:rFonts w:asciiTheme="majorBidi" w:hAnsiTheme="majorBidi" w:cstheme="majorBidi"/>
              </w:rPr>
              <w:t>5666 (25.8%)</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2BC02DA"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17FBF970"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78AD1B5" w14:textId="77777777" w:rsidR="00622F70" w:rsidRPr="00375A1A" w:rsidRDefault="00622F70" w:rsidP="009B07AC">
            <w:pPr>
              <w:rPr>
                <w:rFonts w:asciiTheme="majorBidi" w:hAnsiTheme="majorBidi" w:cstheme="majorBidi"/>
              </w:rPr>
            </w:pPr>
            <w:r>
              <w:rPr>
                <w:rFonts w:asciiTheme="majorBidi" w:hAnsiTheme="majorBidi" w:cstheme="majorBidi"/>
              </w:rPr>
              <w:t>6-7 (medium-high)</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39BF13B" w14:textId="77777777" w:rsidR="00622F70" w:rsidRPr="00375A1A" w:rsidRDefault="00622F70" w:rsidP="009B07AC">
            <w:pPr>
              <w:rPr>
                <w:rFonts w:asciiTheme="majorBidi" w:hAnsiTheme="majorBidi" w:cstheme="majorBidi"/>
              </w:rPr>
            </w:pPr>
            <w:r>
              <w:rPr>
                <w:rFonts w:asciiTheme="majorBidi" w:hAnsiTheme="majorBidi" w:cstheme="majorBidi"/>
              </w:rPr>
              <w:t>2836 (33.8%)</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0825486" w14:textId="77777777" w:rsidR="00622F70" w:rsidRPr="00375A1A" w:rsidRDefault="00622F70" w:rsidP="009B07AC">
            <w:pPr>
              <w:rPr>
                <w:rFonts w:asciiTheme="majorBidi" w:hAnsiTheme="majorBidi" w:cstheme="majorBidi"/>
              </w:rPr>
            </w:pPr>
            <w:r>
              <w:rPr>
                <w:rFonts w:asciiTheme="majorBidi" w:hAnsiTheme="majorBidi" w:cstheme="majorBidi"/>
              </w:rPr>
              <w:t>7440 (33.9%)</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2F18EB1" w14:textId="77777777" w:rsidR="00622F70" w:rsidRPr="00375A1A" w:rsidRDefault="00622F70" w:rsidP="009B07AC">
            <w:pPr>
              <w:rPr>
                <w:rFonts w:asciiTheme="majorBidi" w:hAnsiTheme="majorBidi" w:cstheme="majorBidi"/>
              </w:rPr>
            </w:pPr>
          </w:p>
        </w:tc>
      </w:tr>
      <w:tr w:rsidR="00622F70" w14:paraId="7C6CC436"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89D0F0F" w14:textId="77777777" w:rsidR="00622F70" w:rsidRPr="00375A1A" w:rsidRDefault="00622F70" w:rsidP="009B07AC">
            <w:pPr>
              <w:rPr>
                <w:rFonts w:asciiTheme="majorBidi" w:hAnsiTheme="majorBidi" w:cstheme="majorBidi"/>
              </w:rPr>
            </w:pPr>
            <w:r>
              <w:rPr>
                <w:rFonts w:asciiTheme="majorBidi" w:hAnsiTheme="majorBidi" w:cstheme="majorBidi"/>
              </w:rPr>
              <w:t>8-10 (high)</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C579653" w14:textId="77777777" w:rsidR="00622F70" w:rsidRPr="00375A1A" w:rsidRDefault="00622F70" w:rsidP="009B07AC">
            <w:pPr>
              <w:rPr>
                <w:rFonts w:asciiTheme="majorBidi" w:hAnsiTheme="majorBidi" w:cstheme="majorBidi"/>
              </w:rPr>
            </w:pPr>
            <w:r>
              <w:rPr>
                <w:rFonts w:asciiTheme="majorBidi" w:hAnsiTheme="majorBidi" w:cstheme="majorBidi"/>
              </w:rPr>
              <w:t>2140 (25.5%)</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72EF33A" w14:textId="77777777" w:rsidR="00622F70" w:rsidRPr="00375A1A" w:rsidRDefault="00622F70" w:rsidP="009B07AC">
            <w:pPr>
              <w:rPr>
                <w:rFonts w:asciiTheme="majorBidi" w:hAnsiTheme="majorBidi" w:cstheme="majorBidi"/>
              </w:rPr>
            </w:pPr>
            <w:r>
              <w:rPr>
                <w:rFonts w:asciiTheme="majorBidi" w:hAnsiTheme="majorBidi" w:cstheme="majorBidi"/>
              </w:rPr>
              <w:t>6551 (29.8%)</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F35C252"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7AA720B3"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3B058B4" w14:textId="77777777" w:rsidR="00622F70" w:rsidRDefault="00622F70" w:rsidP="009B07AC">
            <w:pPr>
              <w:rPr>
                <w:rFonts w:asciiTheme="majorBidi" w:hAnsiTheme="majorBidi" w:cstheme="majorBidi"/>
              </w:rPr>
            </w:pPr>
            <w:r>
              <w:rPr>
                <w:rFonts w:asciiTheme="majorBidi" w:hAnsiTheme="majorBidi" w:cstheme="majorBidi"/>
              </w:rPr>
              <w:t xml:space="preserve">Missing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F47F2CB" w14:textId="77777777" w:rsidR="00622F70" w:rsidRDefault="00622F70" w:rsidP="009B07AC">
            <w:pPr>
              <w:rPr>
                <w:rFonts w:asciiTheme="majorBidi" w:hAnsiTheme="majorBidi" w:cstheme="majorBidi"/>
              </w:rPr>
            </w:pPr>
            <w:r>
              <w:rPr>
                <w:rFonts w:asciiTheme="majorBidi" w:hAnsiTheme="majorBidi" w:cstheme="majorBidi"/>
              </w:rPr>
              <w:t>18 (0.2%)</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63A23E6" w14:textId="77777777" w:rsidR="00622F70" w:rsidRDefault="00622F70" w:rsidP="009B07AC">
            <w:pPr>
              <w:rPr>
                <w:rFonts w:asciiTheme="majorBidi" w:hAnsiTheme="majorBidi" w:cstheme="majorBidi"/>
              </w:rPr>
            </w:pPr>
            <w:r>
              <w:rPr>
                <w:rFonts w:asciiTheme="majorBidi" w:hAnsiTheme="majorBidi" w:cstheme="majorBidi"/>
              </w:rPr>
              <w:t>41 (0.2%)</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F7FF357" w14:textId="77777777" w:rsidR="00622F70" w:rsidRDefault="00622F70" w:rsidP="009B07AC">
            <w:pPr>
              <w:rPr>
                <w:rFonts w:asciiTheme="majorBidi" w:hAnsiTheme="majorBidi" w:cstheme="majorBidi"/>
              </w:rPr>
            </w:pPr>
          </w:p>
        </w:tc>
      </w:tr>
      <w:tr w:rsidR="00622F70" w14:paraId="7BCF658A"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89E79E5" w14:textId="77777777" w:rsidR="00622F70" w:rsidRPr="00375A1A" w:rsidRDefault="00622F70" w:rsidP="009B07AC">
            <w:pPr>
              <w:rPr>
                <w:rFonts w:asciiTheme="majorBidi" w:hAnsiTheme="majorBidi" w:cstheme="majorBidi"/>
                <w:b/>
                <w:bCs/>
              </w:rPr>
            </w:pPr>
            <w:r>
              <w:rPr>
                <w:rFonts w:asciiTheme="majorBidi" w:hAnsiTheme="majorBidi" w:cstheme="majorBidi"/>
                <w:b/>
                <w:bCs/>
              </w:rPr>
              <w:t>Diabetes duration, years</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2B74498" w14:textId="77777777" w:rsidR="00622F70" w:rsidRPr="00375A1A" w:rsidRDefault="00622F70" w:rsidP="009B07AC">
            <w:pPr>
              <w:rPr>
                <w:rFonts w:asciiTheme="majorBidi" w:hAnsiTheme="majorBidi" w:cstheme="majorBidi"/>
              </w:rPr>
            </w:pPr>
          </w:p>
        </w:tc>
      </w:tr>
      <w:tr w:rsidR="00622F70" w14:paraId="1FC55EE2"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E7755BE" w14:textId="77777777" w:rsidR="00622F70" w:rsidRPr="00375A1A" w:rsidRDefault="00622F70" w:rsidP="009B07AC">
            <w:pPr>
              <w:rPr>
                <w:rFonts w:asciiTheme="majorBidi" w:hAnsiTheme="majorBidi" w:cstheme="majorBidi"/>
              </w:rPr>
            </w:pPr>
            <w:r>
              <w:rPr>
                <w:rFonts w:asciiTheme="majorBidi" w:hAnsiTheme="majorBidi" w:cstheme="majorBidi"/>
              </w:rPr>
              <w:t>Median (IQR)</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321488B" w14:textId="77777777" w:rsidR="00622F70" w:rsidRPr="00375A1A" w:rsidRDefault="00622F70" w:rsidP="009B07AC">
            <w:pPr>
              <w:rPr>
                <w:rFonts w:asciiTheme="majorBidi" w:hAnsiTheme="majorBidi" w:cstheme="majorBidi"/>
              </w:rPr>
            </w:pPr>
            <w:r>
              <w:rPr>
                <w:rFonts w:asciiTheme="majorBidi" w:hAnsiTheme="majorBidi" w:cstheme="majorBidi"/>
              </w:rPr>
              <w:t>6.5 (2.4-11.5)</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EE8D343" w14:textId="77777777" w:rsidR="00622F70" w:rsidRPr="00375A1A" w:rsidRDefault="00622F70" w:rsidP="009B07AC">
            <w:pPr>
              <w:rPr>
                <w:rFonts w:asciiTheme="majorBidi" w:hAnsiTheme="majorBidi" w:cstheme="majorBidi"/>
              </w:rPr>
            </w:pPr>
            <w:r>
              <w:rPr>
                <w:rFonts w:asciiTheme="majorBidi" w:hAnsiTheme="majorBidi" w:cstheme="majorBidi"/>
              </w:rPr>
              <w:t>7.3 (2.9-12.9)</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4FD9837" w14:textId="77777777" w:rsidR="00622F70" w:rsidRPr="00375A1A" w:rsidRDefault="00622F70" w:rsidP="009B07AC">
            <w:pPr>
              <w:rPr>
                <w:rFonts w:asciiTheme="majorBidi" w:hAnsiTheme="majorBidi" w:cstheme="majorBidi"/>
              </w:rPr>
            </w:pPr>
            <w:r>
              <w:rPr>
                <w:rFonts w:asciiTheme="majorBidi" w:hAnsiTheme="majorBidi" w:cstheme="majorBidi"/>
              </w:rPr>
              <w:t xml:space="preserve"> 0.14</w:t>
            </w:r>
          </w:p>
        </w:tc>
      </w:tr>
      <w:tr w:rsidR="00622F70" w14:paraId="5464D39B"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1D5C2F7" w14:textId="77777777" w:rsidR="00622F70" w:rsidRPr="00375A1A" w:rsidRDefault="00622F70" w:rsidP="009B07AC">
            <w:pPr>
              <w:rPr>
                <w:rFonts w:asciiTheme="majorBidi" w:hAnsiTheme="majorBidi" w:cstheme="majorBidi"/>
              </w:rPr>
            </w:pPr>
            <w:r>
              <w:rPr>
                <w:rFonts w:asciiTheme="majorBidi" w:hAnsiTheme="majorBidi" w:cstheme="majorBidi"/>
                <w:b/>
                <w:bCs/>
              </w:rPr>
              <w:t xml:space="preserve"> HbA1c, %</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0A566C8" w14:textId="77777777" w:rsidR="00622F70" w:rsidRPr="00375A1A" w:rsidRDefault="00622F70" w:rsidP="009B07AC">
            <w:pPr>
              <w:rPr>
                <w:rFonts w:asciiTheme="majorBidi" w:hAnsiTheme="majorBidi" w:cstheme="majorBidi"/>
              </w:rPr>
            </w:pPr>
          </w:p>
        </w:tc>
      </w:tr>
      <w:tr w:rsidR="00622F70" w14:paraId="443A1AA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B16D00E" w14:textId="77777777" w:rsidR="00622F70" w:rsidRPr="00375A1A" w:rsidRDefault="00622F70" w:rsidP="009B07AC">
            <w:pPr>
              <w:rPr>
                <w:rFonts w:asciiTheme="majorBidi" w:hAnsiTheme="majorBidi" w:cstheme="majorBidi"/>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5386E64" w14:textId="77777777" w:rsidR="00622F70" w:rsidRPr="00375A1A" w:rsidRDefault="00622F70" w:rsidP="009B07AC">
            <w:pPr>
              <w:rPr>
                <w:rFonts w:asciiTheme="majorBidi" w:hAnsiTheme="majorBidi" w:cstheme="majorBidi"/>
              </w:rPr>
            </w:pPr>
            <w:r>
              <w:rPr>
                <w:rFonts w:asciiTheme="majorBidi" w:hAnsiTheme="majorBidi" w:cstheme="majorBidi"/>
              </w:rPr>
              <w:t>7.7 (1.6)</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0EFF335" w14:textId="77777777" w:rsidR="00622F70" w:rsidRPr="00375A1A" w:rsidRDefault="00622F70" w:rsidP="009B07AC">
            <w:pPr>
              <w:rPr>
                <w:rFonts w:asciiTheme="majorBidi" w:hAnsiTheme="majorBidi" w:cstheme="majorBidi"/>
              </w:rPr>
            </w:pPr>
            <w:r>
              <w:rPr>
                <w:rFonts w:asciiTheme="majorBidi" w:hAnsiTheme="majorBidi" w:cstheme="majorBidi"/>
              </w:rPr>
              <w:t>7.2 (1.5)</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051FBEA" w14:textId="77777777" w:rsidR="00622F70" w:rsidRPr="00375A1A" w:rsidRDefault="00622F70" w:rsidP="009B07AC">
            <w:pPr>
              <w:rPr>
                <w:rFonts w:asciiTheme="majorBidi" w:hAnsiTheme="majorBidi" w:cstheme="majorBidi"/>
              </w:rPr>
            </w:pPr>
            <w:r>
              <w:rPr>
                <w:rFonts w:asciiTheme="majorBidi" w:hAnsiTheme="majorBidi" w:cstheme="majorBidi"/>
              </w:rPr>
              <w:t xml:space="preserve"> 0.30</w:t>
            </w:r>
          </w:p>
        </w:tc>
      </w:tr>
      <w:tr w:rsidR="00622F70" w14:paraId="79041EDE"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41E0A16" w14:textId="77777777" w:rsidR="00622F70" w:rsidRDefault="00622F70" w:rsidP="009B07AC">
            <w:pPr>
              <w:rPr>
                <w:rFonts w:asciiTheme="majorBidi" w:hAnsiTheme="majorBidi" w:cstheme="majorBidi"/>
              </w:rPr>
            </w:pPr>
            <w:r>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F759A0E" w14:textId="77777777" w:rsidR="00622F70" w:rsidRDefault="00622F70" w:rsidP="009B07AC">
            <w:pPr>
              <w:rPr>
                <w:rFonts w:asciiTheme="majorBidi" w:hAnsiTheme="majorBidi" w:cstheme="majorBidi"/>
              </w:rPr>
            </w:pPr>
            <w:r>
              <w:rPr>
                <w:rFonts w:asciiTheme="majorBidi" w:hAnsiTheme="majorBidi" w:cstheme="majorBidi"/>
              </w:rPr>
              <w:t>42 (0.5%)</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DA3B712" w14:textId="77777777" w:rsidR="00622F70" w:rsidRDefault="00622F70" w:rsidP="009B07AC">
            <w:pPr>
              <w:rPr>
                <w:rFonts w:asciiTheme="majorBidi" w:hAnsiTheme="majorBidi" w:cstheme="majorBidi"/>
              </w:rPr>
            </w:pPr>
            <w:r>
              <w:rPr>
                <w:rFonts w:asciiTheme="majorBidi" w:hAnsiTheme="majorBidi" w:cstheme="majorBidi"/>
              </w:rPr>
              <w:t>116 (0.5%)</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CB2F8EA" w14:textId="77777777" w:rsidR="00622F70" w:rsidRDefault="00622F70" w:rsidP="009B07AC">
            <w:pPr>
              <w:rPr>
                <w:rFonts w:asciiTheme="majorBidi" w:hAnsiTheme="majorBidi" w:cstheme="majorBidi"/>
              </w:rPr>
            </w:pPr>
          </w:p>
        </w:tc>
      </w:tr>
      <w:tr w:rsidR="00622F70" w14:paraId="49ED4EF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E212036" w14:textId="77777777" w:rsidR="00622F70" w:rsidRPr="00375A1A" w:rsidRDefault="00622F70" w:rsidP="009B07AC">
            <w:pPr>
              <w:rPr>
                <w:rFonts w:asciiTheme="majorBidi" w:hAnsiTheme="majorBidi" w:cstheme="majorBidi"/>
                <w:b/>
                <w:bCs/>
              </w:rPr>
            </w:pPr>
            <w:r>
              <w:rPr>
                <w:rFonts w:asciiTheme="majorBidi" w:hAnsiTheme="majorBidi" w:cstheme="majorBidi"/>
                <w:b/>
                <w:bCs/>
              </w:rPr>
              <w:lastRenderedPageBreak/>
              <w:t>HbA1c, mmol/mol</w:t>
            </w:r>
          </w:p>
        </w:tc>
        <w:tc>
          <w:tcPr>
            <w:tcW w:w="4242"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7DD914E"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A1C4770" w14:textId="77777777" w:rsidR="00622F70" w:rsidRPr="00375A1A" w:rsidRDefault="00622F70" w:rsidP="009B07AC">
            <w:pPr>
              <w:rPr>
                <w:rFonts w:asciiTheme="majorBidi" w:hAnsiTheme="majorBidi" w:cstheme="majorBidi"/>
              </w:rPr>
            </w:pPr>
          </w:p>
        </w:tc>
      </w:tr>
      <w:tr w:rsidR="00622F70" w14:paraId="0060DD29"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FFADA7B" w14:textId="77777777" w:rsidR="00622F70" w:rsidRPr="00375A1A" w:rsidRDefault="00622F70" w:rsidP="009B07AC">
            <w:pPr>
              <w:rPr>
                <w:rFonts w:asciiTheme="majorBidi" w:hAnsiTheme="majorBidi" w:cstheme="majorBidi"/>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459C737B" w14:textId="77777777" w:rsidR="00622F70" w:rsidRPr="00375A1A" w:rsidRDefault="00622F70" w:rsidP="009B07AC">
            <w:pPr>
              <w:rPr>
                <w:rFonts w:asciiTheme="majorBidi" w:hAnsiTheme="majorBidi" w:cstheme="majorBidi"/>
              </w:rPr>
            </w:pPr>
            <w:r>
              <w:rPr>
                <w:rFonts w:asciiTheme="majorBidi" w:hAnsiTheme="majorBidi" w:cstheme="majorBidi"/>
              </w:rPr>
              <w:t>60.7 (17.5)</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E070483" w14:textId="77777777" w:rsidR="00622F70" w:rsidRPr="00375A1A" w:rsidRDefault="00622F70" w:rsidP="009B07AC">
            <w:pPr>
              <w:rPr>
                <w:rFonts w:asciiTheme="majorBidi" w:hAnsiTheme="majorBidi" w:cstheme="majorBidi"/>
              </w:rPr>
            </w:pPr>
            <w:r>
              <w:rPr>
                <w:rFonts w:asciiTheme="majorBidi" w:hAnsiTheme="majorBidi" w:cstheme="majorBidi"/>
              </w:rPr>
              <w:t>55.2 (16.4)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E44CC5E" w14:textId="77777777" w:rsidR="00622F70" w:rsidRPr="00375A1A" w:rsidRDefault="00622F70" w:rsidP="009B07AC">
            <w:pPr>
              <w:rPr>
                <w:rFonts w:asciiTheme="majorBidi" w:hAnsiTheme="majorBidi" w:cstheme="majorBidi"/>
              </w:rPr>
            </w:pPr>
            <w:r>
              <w:rPr>
                <w:rFonts w:asciiTheme="majorBidi" w:hAnsiTheme="majorBidi" w:cstheme="majorBidi"/>
              </w:rPr>
              <w:t xml:space="preserve"> 0.30</w:t>
            </w:r>
          </w:p>
        </w:tc>
      </w:tr>
      <w:tr w:rsidR="00622F70" w14:paraId="59A75F33"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F112B6A" w14:textId="77777777" w:rsidR="00622F70" w:rsidRPr="00375A1A" w:rsidRDefault="00622F70" w:rsidP="009B07AC">
            <w:pPr>
              <w:rPr>
                <w:rFonts w:asciiTheme="majorBidi" w:hAnsiTheme="majorBidi" w:cstheme="majorBidi"/>
                <w:b/>
                <w:bCs/>
              </w:rPr>
            </w:pPr>
            <w:r>
              <w:rPr>
                <w:rFonts w:asciiTheme="majorBidi" w:hAnsiTheme="majorBidi" w:cstheme="majorBidi"/>
                <w:b/>
                <w:bCs/>
              </w:rPr>
              <w:t>eGFR, mL/min/1.73 m²</w:t>
            </w:r>
          </w:p>
        </w:tc>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70BB39DA" w14:textId="77777777" w:rsidR="00622F70" w:rsidRPr="00375A1A" w:rsidRDefault="00622F70" w:rsidP="009B07AC">
            <w:pPr>
              <w:spacing w:after="0"/>
              <w:rPr>
                <w:rFonts w:asciiTheme="majorBidi" w:hAnsiTheme="majorBidi" w:cstheme="majorBidi"/>
              </w:rPr>
            </w:pPr>
            <w:r>
              <w:rPr>
                <w:rFonts w:asciiTheme="majorBidi" w:hAnsiTheme="majorBidi" w:cstheme="majorBidi"/>
              </w:rPr>
              <w:t xml:space="preserve"> </w:t>
            </w:r>
          </w:p>
        </w:tc>
      </w:tr>
      <w:tr w:rsidR="00622F70" w14:paraId="33ABC44D"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4FBFCE0" w14:textId="77777777" w:rsidR="00622F70" w:rsidRPr="00375A1A" w:rsidRDefault="00622F70" w:rsidP="009B07AC">
            <w:pPr>
              <w:rPr>
                <w:rFonts w:asciiTheme="majorBidi" w:hAnsiTheme="majorBidi" w:cstheme="majorBidi"/>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220CC94" w14:textId="77777777" w:rsidR="00622F70" w:rsidRPr="00375A1A" w:rsidRDefault="00622F70" w:rsidP="009B07AC">
            <w:pPr>
              <w:rPr>
                <w:rFonts w:asciiTheme="majorBidi" w:hAnsiTheme="majorBidi" w:cstheme="majorBidi"/>
              </w:rPr>
            </w:pPr>
            <w:r>
              <w:rPr>
                <w:rFonts w:asciiTheme="majorBidi" w:hAnsiTheme="majorBidi" w:cstheme="majorBidi"/>
              </w:rPr>
              <w:t>86.4 (16.7)</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F55343D" w14:textId="77777777" w:rsidR="00622F70" w:rsidRPr="00375A1A" w:rsidRDefault="00622F70" w:rsidP="009B07AC">
            <w:pPr>
              <w:rPr>
                <w:rFonts w:asciiTheme="majorBidi" w:hAnsiTheme="majorBidi" w:cstheme="majorBidi"/>
              </w:rPr>
            </w:pPr>
            <w:r>
              <w:rPr>
                <w:rFonts w:asciiTheme="majorBidi" w:hAnsiTheme="majorBidi" w:cstheme="majorBidi"/>
              </w:rPr>
              <w:t>89.1 (16.2)</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2C1E646" w14:textId="77777777" w:rsidR="00622F70" w:rsidRPr="00375A1A" w:rsidRDefault="00622F70" w:rsidP="009B07AC">
            <w:pPr>
              <w:rPr>
                <w:rFonts w:asciiTheme="majorBidi" w:hAnsiTheme="majorBidi" w:cstheme="majorBidi"/>
              </w:rPr>
            </w:pPr>
            <w:r>
              <w:rPr>
                <w:rFonts w:asciiTheme="majorBidi" w:hAnsiTheme="majorBidi" w:cstheme="majorBidi"/>
              </w:rPr>
              <w:t xml:space="preserve"> 0.17</w:t>
            </w:r>
          </w:p>
        </w:tc>
      </w:tr>
      <w:tr w:rsidR="00622F70" w14:paraId="579714A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F9692A4" w14:textId="77777777" w:rsidR="00622F70" w:rsidRPr="00375A1A" w:rsidRDefault="00622F70" w:rsidP="009B07AC">
            <w:pPr>
              <w:rPr>
                <w:rFonts w:asciiTheme="majorBidi" w:hAnsiTheme="majorBidi" w:cstheme="majorBidi"/>
                <w:b/>
                <w:bCs/>
              </w:rPr>
            </w:pPr>
            <w:r>
              <w:rPr>
                <w:rFonts w:asciiTheme="majorBidi" w:hAnsiTheme="majorBidi" w:cstheme="majorBidi"/>
                <w:b/>
                <w:bCs/>
              </w:rPr>
              <w:t>eGFR category, mL/min/1.73 m²</w:t>
            </w:r>
          </w:p>
        </w:tc>
        <w:tc>
          <w:tcPr>
            <w:tcW w:w="4242"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E848129" w14:textId="77777777" w:rsidR="00622F70" w:rsidRPr="00375A1A" w:rsidRDefault="00622F70" w:rsidP="009B07AC">
            <w:pPr>
              <w:rPr>
                <w:rFonts w:asciiTheme="majorBidi" w:hAnsiTheme="majorBidi" w:cstheme="majorBidi"/>
              </w:rPr>
            </w:pP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C5BC4BB" w14:textId="77777777" w:rsidR="00622F70" w:rsidRPr="00375A1A" w:rsidRDefault="00622F70" w:rsidP="009B07AC">
            <w:pPr>
              <w:rPr>
                <w:rFonts w:asciiTheme="majorBidi" w:hAnsiTheme="majorBidi" w:cstheme="majorBidi"/>
              </w:rPr>
            </w:pPr>
            <w:r>
              <w:rPr>
                <w:rFonts w:asciiTheme="majorBidi" w:hAnsiTheme="majorBidi" w:cstheme="majorBidi"/>
              </w:rPr>
              <w:t xml:space="preserve"> 0.17 </w:t>
            </w:r>
          </w:p>
        </w:tc>
      </w:tr>
      <w:tr w:rsidR="00622F70" w14:paraId="021DCE31"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A00E30C" w14:textId="77777777" w:rsidR="00622F70" w:rsidRPr="00375A1A" w:rsidRDefault="00622F70" w:rsidP="009B07AC">
            <w:pPr>
              <w:rPr>
                <w:rFonts w:asciiTheme="majorBidi" w:hAnsiTheme="majorBidi" w:cstheme="majorBidi"/>
              </w:rPr>
            </w:pPr>
            <w:r>
              <w:rPr>
                <w:rFonts w:asciiTheme="majorBidi" w:hAnsiTheme="majorBidi" w:cstheme="majorBidi"/>
              </w:rPr>
              <w:t>45-&lt;60</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F133805" w14:textId="77777777" w:rsidR="00622F70" w:rsidRPr="00375A1A" w:rsidRDefault="00622F70" w:rsidP="009B07AC">
            <w:pPr>
              <w:rPr>
                <w:rFonts w:asciiTheme="majorBidi" w:hAnsiTheme="majorBidi" w:cstheme="majorBidi"/>
              </w:rPr>
            </w:pPr>
            <w:r>
              <w:rPr>
                <w:rFonts w:asciiTheme="majorBidi" w:hAnsiTheme="majorBidi" w:cstheme="majorBidi"/>
              </w:rPr>
              <w:t>564 (6.7%)</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F5910E6" w14:textId="77777777" w:rsidR="00622F70" w:rsidRPr="00375A1A" w:rsidRDefault="00622F70" w:rsidP="009B07AC">
            <w:pPr>
              <w:rPr>
                <w:rFonts w:asciiTheme="majorBidi" w:hAnsiTheme="majorBidi" w:cstheme="majorBidi"/>
              </w:rPr>
            </w:pPr>
            <w:r>
              <w:rPr>
                <w:rFonts w:asciiTheme="majorBidi" w:hAnsiTheme="majorBidi" w:cstheme="majorBidi"/>
              </w:rPr>
              <w:t>973 (4.4%)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6EA35C7"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0DC881A2"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C7BD86F" w14:textId="77777777" w:rsidR="00622F70" w:rsidRPr="00375A1A" w:rsidRDefault="00622F70" w:rsidP="009B07AC">
            <w:pPr>
              <w:rPr>
                <w:rFonts w:asciiTheme="majorBidi" w:hAnsiTheme="majorBidi" w:cstheme="majorBidi"/>
              </w:rPr>
            </w:pPr>
            <w:r>
              <w:rPr>
                <w:rFonts w:asciiTheme="majorBidi" w:hAnsiTheme="majorBidi" w:cstheme="majorBidi"/>
              </w:rPr>
              <w:t>60-&lt;90</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62B01BA" w14:textId="77777777" w:rsidR="00622F70" w:rsidRPr="00375A1A" w:rsidRDefault="00622F70" w:rsidP="009B07AC">
            <w:pPr>
              <w:rPr>
                <w:rFonts w:asciiTheme="majorBidi" w:hAnsiTheme="majorBidi" w:cstheme="majorBidi"/>
              </w:rPr>
            </w:pPr>
            <w:r>
              <w:rPr>
                <w:rFonts w:asciiTheme="majorBidi" w:hAnsiTheme="majorBidi" w:cstheme="majorBidi"/>
              </w:rPr>
              <w:t>3955 (47.2%)</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AEE2085" w14:textId="77777777" w:rsidR="00622F70" w:rsidRPr="00375A1A" w:rsidRDefault="00622F70" w:rsidP="009B07AC">
            <w:pPr>
              <w:rPr>
                <w:rFonts w:asciiTheme="majorBidi" w:hAnsiTheme="majorBidi" w:cstheme="majorBidi"/>
              </w:rPr>
            </w:pPr>
            <w:r>
              <w:rPr>
                <w:rFonts w:asciiTheme="majorBidi" w:hAnsiTheme="majorBidi" w:cstheme="majorBidi"/>
              </w:rPr>
              <w:t>9107 (41.5%)</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C629A5C"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4B8CDE8B"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021DEE5" w14:textId="77777777" w:rsidR="00622F70" w:rsidRPr="00375A1A" w:rsidRDefault="00622F70" w:rsidP="009B07AC">
            <w:pPr>
              <w:rPr>
                <w:rFonts w:asciiTheme="majorBidi" w:hAnsiTheme="majorBidi" w:cstheme="majorBidi"/>
              </w:rPr>
            </w:pPr>
            <w:r>
              <w:rPr>
                <w:rFonts w:asciiTheme="majorBidi" w:hAnsiTheme="majorBidi" w:cstheme="majorBidi"/>
              </w:rPr>
              <w:t>≥90</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E70D621" w14:textId="77777777" w:rsidR="00622F70" w:rsidRPr="00375A1A" w:rsidRDefault="00622F70" w:rsidP="009B07AC">
            <w:pPr>
              <w:rPr>
                <w:rFonts w:asciiTheme="majorBidi" w:hAnsiTheme="majorBidi" w:cstheme="majorBidi"/>
              </w:rPr>
            </w:pPr>
            <w:r>
              <w:rPr>
                <w:rFonts w:asciiTheme="majorBidi" w:hAnsiTheme="majorBidi" w:cstheme="majorBidi"/>
              </w:rPr>
              <w:t>3869 (46.1%)</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9D368C9" w14:textId="77777777" w:rsidR="00622F70" w:rsidRPr="00375A1A" w:rsidRDefault="00622F70" w:rsidP="009B07AC">
            <w:pPr>
              <w:rPr>
                <w:rFonts w:asciiTheme="majorBidi" w:hAnsiTheme="majorBidi" w:cstheme="majorBidi"/>
              </w:rPr>
            </w:pPr>
            <w:r>
              <w:rPr>
                <w:rFonts w:asciiTheme="majorBidi" w:hAnsiTheme="majorBidi" w:cstheme="majorBidi"/>
              </w:rPr>
              <w:t>11875 (54.1%)</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E67B4B8"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2C61B85D"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6426351" w14:textId="77777777" w:rsidR="00622F70" w:rsidRDefault="00622F70" w:rsidP="009B07AC">
            <w:pPr>
              <w:rPr>
                <w:rFonts w:asciiTheme="majorBidi" w:hAnsiTheme="majorBidi" w:cstheme="majorBidi"/>
              </w:rPr>
            </w:pPr>
            <w:r w:rsidRPr="004D53E4">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BE91F0C" w14:textId="77777777" w:rsidR="00622F70" w:rsidRDefault="00622F70" w:rsidP="009B07AC">
            <w:pPr>
              <w:rPr>
                <w:rFonts w:asciiTheme="majorBidi" w:hAnsiTheme="majorBidi" w:cstheme="majorBidi"/>
              </w:rPr>
            </w:pPr>
            <w:r>
              <w:rPr>
                <w:rFonts w:asciiTheme="majorBidi" w:hAnsiTheme="majorBidi" w:cstheme="majorBidi"/>
              </w:rPr>
              <w:t>0 (0.0%)</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958FCAD" w14:textId="77777777" w:rsidR="00622F70" w:rsidRDefault="00622F70" w:rsidP="009B07AC">
            <w:pPr>
              <w:rPr>
                <w:rFonts w:asciiTheme="majorBidi" w:hAnsiTheme="majorBidi" w:cstheme="majorBidi"/>
              </w:rPr>
            </w:pPr>
            <w:r>
              <w:rPr>
                <w:rFonts w:asciiTheme="majorBidi" w:hAnsiTheme="majorBidi" w:cstheme="majorBidi"/>
              </w:rPr>
              <w:t>0 (0.0%)</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5E279A7" w14:textId="77777777" w:rsidR="00622F70" w:rsidRDefault="00622F70" w:rsidP="009B07AC">
            <w:pPr>
              <w:rPr>
                <w:rFonts w:asciiTheme="majorBidi" w:hAnsiTheme="majorBidi" w:cstheme="majorBidi"/>
              </w:rPr>
            </w:pPr>
          </w:p>
        </w:tc>
      </w:tr>
      <w:tr w:rsidR="00622F70" w14:paraId="32141844"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BEA8035" w14:textId="77777777" w:rsidR="00622F70" w:rsidRPr="00375A1A" w:rsidRDefault="00622F70" w:rsidP="009B07AC">
            <w:pPr>
              <w:rPr>
                <w:rFonts w:asciiTheme="majorBidi" w:hAnsiTheme="majorBidi" w:cstheme="majorBidi"/>
                <w:b/>
                <w:bCs/>
              </w:rPr>
            </w:pPr>
            <w:r>
              <w:rPr>
                <w:rFonts w:asciiTheme="majorBidi" w:hAnsiTheme="majorBidi" w:cstheme="majorBidi"/>
                <w:b/>
                <w:bCs/>
              </w:rPr>
              <w:t>UACR, mg/g</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E45427A" w14:textId="77777777" w:rsidR="00622F70" w:rsidRPr="00375A1A" w:rsidRDefault="00622F70" w:rsidP="009B07AC">
            <w:pPr>
              <w:rPr>
                <w:rFonts w:asciiTheme="majorBidi" w:hAnsiTheme="majorBidi" w:cstheme="majorBidi"/>
              </w:rPr>
            </w:pPr>
          </w:p>
        </w:tc>
      </w:tr>
      <w:tr w:rsidR="00622F70" w14:paraId="56C08BE7"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7F3A94B" w14:textId="77777777" w:rsidR="00622F70" w:rsidRPr="00375A1A" w:rsidRDefault="00622F70" w:rsidP="009B07AC">
            <w:pPr>
              <w:rPr>
                <w:rFonts w:asciiTheme="majorBidi" w:hAnsiTheme="majorBidi" w:cstheme="majorBidi"/>
              </w:rPr>
            </w:pPr>
            <w:r>
              <w:rPr>
                <w:rFonts w:asciiTheme="majorBidi" w:hAnsiTheme="majorBidi" w:cstheme="majorBidi"/>
              </w:rPr>
              <w:t>Median (IQR)</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9B26BC0" w14:textId="77777777" w:rsidR="00622F70" w:rsidRPr="00375A1A" w:rsidRDefault="00622F70" w:rsidP="009B07AC">
            <w:pPr>
              <w:rPr>
                <w:rFonts w:asciiTheme="majorBidi" w:hAnsiTheme="majorBidi" w:cstheme="majorBidi"/>
              </w:rPr>
            </w:pPr>
            <w:r>
              <w:rPr>
                <w:rFonts w:asciiTheme="majorBidi" w:hAnsiTheme="majorBidi" w:cstheme="majorBidi"/>
              </w:rPr>
              <w:t>6.1 (0.0-23.1)</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CDC85DB" w14:textId="77777777" w:rsidR="00622F70" w:rsidRPr="00375A1A" w:rsidRDefault="00622F70" w:rsidP="009B07AC">
            <w:pPr>
              <w:rPr>
                <w:rFonts w:asciiTheme="majorBidi" w:hAnsiTheme="majorBidi" w:cstheme="majorBidi"/>
              </w:rPr>
            </w:pPr>
            <w:r>
              <w:rPr>
                <w:rFonts w:asciiTheme="majorBidi" w:hAnsiTheme="majorBidi" w:cstheme="majorBidi"/>
              </w:rPr>
              <w:t>6.6 (0.0-24.9)</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3080BFC" w14:textId="77777777" w:rsidR="00622F70" w:rsidRPr="00375A1A" w:rsidRDefault="00622F70" w:rsidP="009B07AC">
            <w:pPr>
              <w:rPr>
                <w:rFonts w:asciiTheme="majorBidi" w:hAnsiTheme="majorBidi" w:cstheme="majorBidi"/>
              </w:rPr>
            </w:pPr>
            <w:r>
              <w:rPr>
                <w:rFonts w:asciiTheme="majorBidi" w:hAnsiTheme="majorBidi" w:cstheme="majorBidi"/>
              </w:rPr>
              <w:t xml:space="preserve"> 0.05</w:t>
            </w:r>
          </w:p>
        </w:tc>
      </w:tr>
      <w:tr w:rsidR="00622F70" w14:paraId="3621B4ED"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3C3F017" w14:textId="77777777" w:rsidR="00622F70" w:rsidRDefault="00622F70" w:rsidP="009B07AC">
            <w:pPr>
              <w:rPr>
                <w:rFonts w:asciiTheme="majorBidi" w:hAnsiTheme="majorBidi" w:cstheme="majorBidi"/>
                <w:b/>
                <w:bCs/>
              </w:rPr>
            </w:pPr>
            <w:r w:rsidRPr="00C116ED">
              <w:rPr>
                <w:rFonts w:asciiTheme="majorBidi" w:hAnsiTheme="majorBidi" w:cstheme="majorBidi"/>
                <w:b/>
                <w:bCs/>
              </w:rPr>
              <w:t>UACR, mg/mmol</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EDE6DA8" w14:textId="77777777" w:rsidR="00622F70" w:rsidRPr="00375A1A" w:rsidRDefault="00622F70" w:rsidP="009B07AC">
            <w:pPr>
              <w:rPr>
                <w:rFonts w:asciiTheme="majorBidi" w:hAnsiTheme="majorBidi" w:cstheme="majorBidi"/>
              </w:rPr>
            </w:pPr>
          </w:p>
        </w:tc>
      </w:tr>
      <w:tr w:rsidR="00622F70" w14:paraId="6CB62B2A"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626BB58" w14:textId="77777777" w:rsidR="00622F70" w:rsidRDefault="00622F70" w:rsidP="009B07AC">
            <w:pPr>
              <w:rPr>
                <w:rFonts w:asciiTheme="majorBidi" w:hAnsiTheme="majorBidi" w:cstheme="majorBidi"/>
                <w:b/>
                <w:bCs/>
              </w:rPr>
            </w:pPr>
            <w:r w:rsidRPr="00C116ED">
              <w:rPr>
                <w:rFonts w:asciiTheme="majorBidi" w:hAnsiTheme="majorBidi" w:cstheme="majorBidi"/>
              </w:rPr>
              <w:t>Median (IQR)</w:t>
            </w:r>
          </w:p>
        </w:tc>
        <w:tc>
          <w:tcPr>
            <w:tcW w:w="2121"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6EDF13D" w14:textId="77777777" w:rsidR="00622F70" w:rsidRPr="00375A1A" w:rsidRDefault="00622F70" w:rsidP="009B07AC">
            <w:pPr>
              <w:rPr>
                <w:rFonts w:asciiTheme="majorBidi" w:hAnsiTheme="majorBidi" w:cstheme="majorBidi"/>
              </w:rPr>
            </w:pPr>
            <w:r w:rsidRPr="00E25CA0">
              <w:rPr>
                <w:rFonts w:asciiTheme="majorBidi" w:hAnsiTheme="majorBidi" w:cstheme="majorBidi"/>
              </w:rPr>
              <w:t>0.69 (0.00–2.61)</w:t>
            </w:r>
          </w:p>
        </w:tc>
        <w:tc>
          <w:tcPr>
            <w:tcW w:w="2121" w:type="dxa"/>
            <w:tcBorders>
              <w:top w:val="single" w:sz="4" w:space="0" w:color="auto"/>
              <w:left w:val="single" w:sz="4" w:space="0" w:color="auto"/>
              <w:bottom w:val="single" w:sz="4" w:space="0" w:color="auto"/>
              <w:right w:val="single" w:sz="4" w:space="0" w:color="auto"/>
            </w:tcBorders>
          </w:tcPr>
          <w:p w14:paraId="014C9BF0" w14:textId="77777777" w:rsidR="00622F70" w:rsidRPr="00375A1A" w:rsidRDefault="00622F70" w:rsidP="009B07AC">
            <w:pPr>
              <w:rPr>
                <w:rFonts w:asciiTheme="majorBidi" w:hAnsiTheme="majorBidi" w:cstheme="majorBidi"/>
              </w:rPr>
            </w:pPr>
            <w:r w:rsidRPr="006262BC">
              <w:rPr>
                <w:rFonts w:asciiTheme="majorBidi" w:hAnsiTheme="majorBidi" w:cstheme="majorBidi"/>
              </w:rPr>
              <w:t xml:space="preserve"> 0.75 (0.00–2.82)</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306F371" w14:textId="77777777" w:rsidR="00622F70" w:rsidRPr="00375A1A" w:rsidRDefault="00622F70" w:rsidP="009B07AC">
            <w:pPr>
              <w:rPr>
                <w:rFonts w:asciiTheme="majorBidi" w:hAnsiTheme="majorBidi" w:cstheme="majorBidi"/>
              </w:rPr>
            </w:pPr>
            <w:r>
              <w:rPr>
                <w:rFonts w:asciiTheme="majorBidi" w:hAnsiTheme="majorBidi" w:cstheme="majorBidi"/>
              </w:rPr>
              <w:t xml:space="preserve"> 0.05</w:t>
            </w:r>
          </w:p>
        </w:tc>
      </w:tr>
      <w:tr w:rsidR="00622F70" w14:paraId="4A093779"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3A2CC0B" w14:textId="77777777" w:rsidR="00622F70" w:rsidRPr="00375A1A" w:rsidRDefault="00622F70" w:rsidP="009B07AC">
            <w:pPr>
              <w:rPr>
                <w:rFonts w:asciiTheme="majorBidi" w:hAnsiTheme="majorBidi" w:cstheme="majorBidi"/>
                <w:b/>
                <w:bCs/>
              </w:rPr>
            </w:pPr>
            <w:r>
              <w:rPr>
                <w:rFonts w:asciiTheme="majorBidi" w:hAnsiTheme="majorBidi" w:cstheme="majorBidi"/>
                <w:b/>
                <w:bCs/>
              </w:rPr>
              <w:t>UACR category</w:t>
            </w:r>
          </w:p>
        </w:tc>
        <w:tc>
          <w:tcPr>
            <w:tcW w:w="4242"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77A771F" w14:textId="77777777" w:rsidR="00622F70" w:rsidRPr="00375A1A" w:rsidRDefault="00622F70" w:rsidP="009B07AC">
            <w:pPr>
              <w:rPr>
                <w:rFonts w:asciiTheme="majorBidi" w:hAnsiTheme="majorBidi" w:cstheme="majorBidi"/>
              </w:rPr>
            </w:pP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038B1C8" w14:textId="77777777" w:rsidR="00622F70" w:rsidRPr="00375A1A" w:rsidRDefault="00622F70" w:rsidP="009B07AC">
            <w:pPr>
              <w:rPr>
                <w:rFonts w:asciiTheme="majorBidi" w:hAnsiTheme="majorBidi" w:cstheme="majorBidi"/>
              </w:rPr>
            </w:pPr>
            <w:r>
              <w:rPr>
                <w:rFonts w:asciiTheme="majorBidi" w:hAnsiTheme="majorBidi" w:cstheme="majorBidi"/>
              </w:rPr>
              <w:t xml:space="preserve"> 0.04</w:t>
            </w:r>
          </w:p>
        </w:tc>
      </w:tr>
      <w:tr w:rsidR="00622F70" w14:paraId="48B5DB02"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EA1F37F" w14:textId="77777777" w:rsidR="00622F70" w:rsidRPr="00F87025" w:rsidRDefault="00622F70" w:rsidP="009B07AC">
            <w:pPr>
              <w:rPr>
                <w:rFonts w:asciiTheme="majorBidi" w:hAnsiTheme="majorBidi" w:cstheme="majorBidi"/>
                <w:lang w:val="pt-BR"/>
              </w:rPr>
            </w:pPr>
            <w:r w:rsidRPr="00F87025">
              <w:rPr>
                <w:rFonts w:asciiTheme="majorBidi" w:hAnsiTheme="majorBidi" w:cstheme="majorBidi"/>
              </w:rPr>
              <w:t>&lt;30 mg/g (&lt;3.4 mg/mmol)</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607477A" w14:textId="77777777" w:rsidR="00622F70" w:rsidRPr="00375A1A" w:rsidRDefault="00622F70" w:rsidP="009B07AC">
            <w:pPr>
              <w:rPr>
                <w:rFonts w:asciiTheme="majorBidi" w:hAnsiTheme="majorBidi" w:cstheme="majorBidi"/>
              </w:rPr>
            </w:pPr>
            <w:r>
              <w:rPr>
                <w:rFonts w:asciiTheme="majorBidi" w:hAnsiTheme="majorBidi" w:cstheme="majorBidi"/>
              </w:rPr>
              <w:t>6738 (80.3%)</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04DBBDB" w14:textId="77777777" w:rsidR="00622F70" w:rsidRPr="00375A1A" w:rsidRDefault="00622F70" w:rsidP="009B07AC">
            <w:pPr>
              <w:rPr>
                <w:rFonts w:asciiTheme="majorBidi" w:hAnsiTheme="majorBidi" w:cstheme="majorBidi"/>
              </w:rPr>
            </w:pPr>
            <w:r>
              <w:rPr>
                <w:rFonts w:asciiTheme="majorBidi" w:hAnsiTheme="majorBidi" w:cstheme="majorBidi"/>
              </w:rPr>
              <w:t>17252 (78.6%)</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12CA4AA"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03B9D15F"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39FBFFC" w14:textId="77777777" w:rsidR="00622F70" w:rsidRPr="00611C85" w:rsidRDefault="00622F70" w:rsidP="009B07AC">
            <w:pPr>
              <w:rPr>
                <w:rFonts w:asciiTheme="majorBidi" w:hAnsiTheme="majorBidi" w:cstheme="majorBidi"/>
              </w:rPr>
            </w:pPr>
            <w:r w:rsidRPr="00D1300D">
              <w:rPr>
                <w:rFonts w:asciiTheme="majorBidi" w:hAnsiTheme="majorBidi" w:cstheme="majorBidi"/>
              </w:rPr>
              <w:t xml:space="preserve"> 30–&lt;300 mg/g (3.4–&lt;33.9 mg/mmol)</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294DB60" w14:textId="77777777" w:rsidR="00622F70" w:rsidRPr="00375A1A" w:rsidRDefault="00622F70" w:rsidP="009B07AC">
            <w:pPr>
              <w:rPr>
                <w:rFonts w:asciiTheme="majorBidi" w:hAnsiTheme="majorBidi" w:cstheme="majorBidi"/>
              </w:rPr>
            </w:pPr>
            <w:r>
              <w:rPr>
                <w:rFonts w:asciiTheme="majorBidi" w:hAnsiTheme="majorBidi" w:cstheme="majorBidi"/>
              </w:rPr>
              <w:t>1650 (19.7%)</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3B0A786" w14:textId="77777777" w:rsidR="00622F70" w:rsidRPr="00375A1A" w:rsidRDefault="00622F70" w:rsidP="009B07AC">
            <w:pPr>
              <w:rPr>
                <w:rFonts w:asciiTheme="majorBidi" w:hAnsiTheme="majorBidi" w:cstheme="majorBidi"/>
              </w:rPr>
            </w:pPr>
            <w:r>
              <w:rPr>
                <w:rFonts w:asciiTheme="majorBidi" w:hAnsiTheme="majorBidi" w:cstheme="majorBidi"/>
              </w:rPr>
              <w:t>4703 (21.4%)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6B179B9D"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0F7FA92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AA1DC64" w14:textId="77777777" w:rsidR="00622F70" w:rsidRPr="00D1300D" w:rsidRDefault="00622F70" w:rsidP="009B07AC">
            <w:pPr>
              <w:rPr>
                <w:rFonts w:asciiTheme="majorBidi" w:hAnsiTheme="majorBidi" w:cstheme="majorBidi"/>
              </w:rPr>
            </w:pPr>
            <w:r w:rsidRPr="003B42B7">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E90A89D" w14:textId="77777777" w:rsidR="00622F70" w:rsidRDefault="00622F70" w:rsidP="009B07AC">
            <w:pPr>
              <w:rPr>
                <w:rFonts w:asciiTheme="majorBidi" w:hAnsiTheme="majorBidi" w:cstheme="majorBidi"/>
              </w:rPr>
            </w:pPr>
            <w:r w:rsidRPr="003B42B7">
              <w:rPr>
                <w:rFonts w:asciiTheme="majorBidi" w:hAnsiTheme="majorBidi" w:cstheme="majorBidi"/>
              </w:rPr>
              <w:t>0 (0.0%)</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EA18965" w14:textId="77777777" w:rsidR="00622F70" w:rsidRDefault="00622F70" w:rsidP="009B07AC">
            <w:pPr>
              <w:rPr>
                <w:rFonts w:asciiTheme="majorBidi" w:hAnsiTheme="majorBidi" w:cstheme="majorBidi"/>
              </w:rPr>
            </w:pPr>
            <w:r w:rsidRPr="003B42B7">
              <w:rPr>
                <w:rFonts w:asciiTheme="majorBidi" w:hAnsiTheme="majorBidi" w:cstheme="majorBidi"/>
              </w:rPr>
              <w:t>0 (0.0%)</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620B2FE" w14:textId="77777777" w:rsidR="00622F70" w:rsidRDefault="00622F70" w:rsidP="009B07AC">
            <w:pPr>
              <w:rPr>
                <w:rFonts w:asciiTheme="majorBidi" w:hAnsiTheme="majorBidi" w:cstheme="majorBidi"/>
              </w:rPr>
            </w:pPr>
          </w:p>
        </w:tc>
      </w:tr>
      <w:tr w:rsidR="00622F70" w14:paraId="6832D08F"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F89A9DE" w14:textId="77777777" w:rsidR="00622F70" w:rsidRPr="00375A1A" w:rsidRDefault="00622F70" w:rsidP="009B07AC">
            <w:pPr>
              <w:rPr>
                <w:rFonts w:asciiTheme="majorBidi" w:hAnsiTheme="majorBidi" w:cstheme="majorBidi"/>
                <w:b/>
                <w:bCs/>
              </w:rPr>
            </w:pPr>
            <w:r>
              <w:rPr>
                <w:rFonts w:asciiTheme="majorBidi" w:hAnsiTheme="majorBidi" w:cstheme="majorBidi"/>
                <w:b/>
                <w:bCs/>
              </w:rPr>
              <w:t>Kidney risk category</w:t>
            </w:r>
          </w:p>
          <w:p w14:paraId="4F467BEB" w14:textId="77777777" w:rsidR="00622F70" w:rsidRPr="00375A1A" w:rsidRDefault="00622F70" w:rsidP="009B07AC">
            <w:pPr>
              <w:rPr>
                <w:rFonts w:asciiTheme="majorBidi" w:hAnsiTheme="majorBidi" w:cstheme="majorBidi"/>
                <w:b/>
                <w:bCs/>
              </w:rPr>
            </w:pPr>
            <w:r>
              <w:rPr>
                <w:rFonts w:asciiTheme="majorBidi" w:hAnsiTheme="majorBidi" w:cstheme="majorBidi"/>
                <w:b/>
                <w:bCs/>
              </w:rPr>
              <w:t>(KDIGO classification)</w:t>
            </w:r>
          </w:p>
        </w:tc>
        <w:tc>
          <w:tcPr>
            <w:tcW w:w="4242" w:type="dxa"/>
            <w:gridSpan w:val="3"/>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E0CD124" w14:textId="77777777" w:rsidR="00622F70" w:rsidRPr="00375A1A" w:rsidRDefault="00622F70" w:rsidP="009B07AC">
            <w:pPr>
              <w:rPr>
                <w:rFonts w:asciiTheme="majorBidi" w:hAnsiTheme="majorBidi" w:cstheme="majorBidi"/>
              </w:rPr>
            </w:pP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CC04C10" w14:textId="77777777" w:rsidR="00622F70" w:rsidRPr="00375A1A" w:rsidRDefault="00622F70" w:rsidP="009B07AC">
            <w:pPr>
              <w:rPr>
                <w:rFonts w:asciiTheme="majorBidi" w:hAnsiTheme="majorBidi" w:cstheme="majorBidi"/>
              </w:rPr>
            </w:pPr>
            <w:r>
              <w:rPr>
                <w:rFonts w:asciiTheme="majorBidi" w:hAnsiTheme="majorBidi" w:cstheme="majorBidi"/>
              </w:rPr>
              <w:t xml:space="preserve"> 0.01</w:t>
            </w:r>
          </w:p>
        </w:tc>
      </w:tr>
      <w:tr w:rsidR="00622F70" w14:paraId="06DC809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077FA7C" w14:textId="77777777" w:rsidR="00622F70" w:rsidRPr="00375A1A" w:rsidRDefault="00622F70" w:rsidP="009B07AC">
            <w:pPr>
              <w:rPr>
                <w:rFonts w:asciiTheme="majorBidi" w:hAnsiTheme="majorBidi" w:cstheme="majorBidi"/>
              </w:rPr>
            </w:pPr>
            <w:r>
              <w:rPr>
                <w:rFonts w:asciiTheme="majorBidi" w:hAnsiTheme="majorBidi" w:cstheme="majorBidi"/>
              </w:rPr>
              <w:t>Low</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5D1162E" w14:textId="77777777" w:rsidR="00622F70" w:rsidRPr="00375A1A" w:rsidRDefault="00622F70" w:rsidP="009B07AC">
            <w:pPr>
              <w:rPr>
                <w:rFonts w:asciiTheme="majorBidi" w:hAnsiTheme="majorBidi" w:cstheme="majorBidi"/>
              </w:rPr>
            </w:pPr>
            <w:r>
              <w:rPr>
                <w:rFonts w:asciiTheme="majorBidi" w:hAnsiTheme="majorBidi" w:cstheme="majorBidi"/>
              </w:rPr>
              <w:t>6174 (73.6%)</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114C9FDB" w14:textId="77777777" w:rsidR="00622F70" w:rsidRPr="00375A1A" w:rsidRDefault="00622F70" w:rsidP="009B07AC">
            <w:pPr>
              <w:rPr>
                <w:rFonts w:asciiTheme="majorBidi" w:hAnsiTheme="majorBidi" w:cstheme="majorBidi"/>
              </w:rPr>
            </w:pPr>
            <w:r>
              <w:rPr>
                <w:rFonts w:asciiTheme="majorBidi" w:hAnsiTheme="majorBidi" w:cstheme="majorBidi"/>
              </w:rPr>
              <w:t>16279 (74.1%)</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39D5BEE"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4C183E73"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43E92DF" w14:textId="77777777" w:rsidR="00622F70" w:rsidRPr="00375A1A" w:rsidRDefault="00622F70" w:rsidP="009B07AC">
            <w:pPr>
              <w:rPr>
                <w:rFonts w:asciiTheme="majorBidi" w:hAnsiTheme="majorBidi" w:cstheme="majorBidi"/>
              </w:rPr>
            </w:pPr>
            <w:r>
              <w:rPr>
                <w:rFonts w:asciiTheme="majorBidi" w:hAnsiTheme="majorBidi" w:cstheme="majorBidi"/>
              </w:rPr>
              <w:t>Moderate</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7F9569AC" w14:textId="77777777" w:rsidR="00622F70" w:rsidRPr="00375A1A" w:rsidRDefault="00622F70" w:rsidP="009B07AC">
            <w:pPr>
              <w:rPr>
                <w:rFonts w:asciiTheme="majorBidi" w:hAnsiTheme="majorBidi" w:cstheme="majorBidi"/>
              </w:rPr>
            </w:pPr>
            <w:r>
              <w:rPr>
                <w:rFonts w:asciiTheme="majorBidi" w:hAnsiTheme="majorBidi" w:cstheme="majorBidi"/>
              </w:rPr>
              <w:t>2214 (26.4%)</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203E492" w14:textId="77777777" w:rsidR="00622F70" w:rsidRPr="00375A1A" w:rsidRDefault="00622F70" w:rsidP="009B07AC">
            <w:pPr>
              <w:rPr>
                <w:rFonts w:asciiTheme="majorBidi" w:hAnsiTheme="majorBidi" w:cstheme="majorBidi"/>
              </w:rPr>
            </w:pPr>
            <w:r>
              <w:rPr>
                <w:rFonts w:asciiTheme="majorBidi" w:hAnsiTheme="majorBidi" w:cstheme="majorBidi"/>
              </w:rPr>
              <w:t>5676 (25.9%)</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A647CE6"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3FBF92D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92092C6" w14:textId="77777777" w:rsidR="00622F70" w:rsidRPr="00375A1A" w:rsidRDefault="00622F70" w:rsidP="009B07AC">
            <w:pPr>
              <w:rPr>
                <w:rFonts w:asciiTheme="majorBidi" w:hAnsiTheme="majorBidi" w:cstheme="majorBidi"/>
              </w:rPr>
            </w:pPr>
            <w:r>
              <w:rPr>
                <w:rFonts w:asciiTheme="majorBidi" w:hAnsiTheme="majorBidi" w:cstheme="majorBidi"/>
                <w:b/>
                <w:bCs/>
              </w:rPr>
              <w:t>BMI, kg/m</w:t>
            </w:r>
            <w:r>
              <w:rPr>
                <w:rFonts w:asciiTheme="majorBidi" w:hAnsiTheme="majorBidi" w:cstheme="majorBidi"/>
                <w:b/>
                <w:bCs/>
                <w:vertAlign w:val="superscript"/>
              </w:rPr>
              <w:t>2</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1AB9D54" w14:textId="77777777" w:rsidR="00622F70" w:rsidRPr="00375A1A" w:rsidRDefault="00622F70" w:rsidP="009B07AC">
            <w:pPr>
              <w:rPr>
                <w:rFonts w:asciiTheme="majorBidi" w:hAnsiTheme="majorBidi" w:cstheme="majorBidi"/>
              </w:rPr>
            </w:pPr>
          </w:p>
        </w:tc>
      </w:tr>
      <w:tr w:rsidR="00622F70" w14:paraId="3D68FE71"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370BDC3" w14:textId="77777777" w:rsidR="00622F70" w:rsidRPr="00375A1A" w:rsidRDefault="00622F70" w:rsidP="009B07AC">
            <w:pPr>
              <w:rPr>
                <w:rFonts w:asciiTheme="majorBidi" w:hAnsiTheme="majorBidi" w:cstheme="majorBidi"/>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72CA727" w14:textId="77777777" w:rsidR="00622F70" w:rsidRPr="00375A1A" w:rsidRDefault="00622F70" w:rsidP="009B07AC">
            <w:pPr>
              <w:rPr>
                <w:rFonts w:asciiTheme="majorBidi" w:hAnsiTheme="majorBidi" w:cstheme="majorBidi"/>
              </w:rPr>
            </w:pPr>
            <w:r>
              <w:rPr>
                <w:rFonts w:asciiTheme="majorBidi" w:hAnsiTheme="majorBidi" w:cstheme="majorBidi"/>
              </w:rPr>
              <w:t>30.3 (5.4)</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7153751" w14:textId="77777777" w:rsidR="00622F70" w:rsidRPr="00375A1A" w:rsidRDefault="00622F70" w:rsidP="009B07AC">
            <w:pPr>
              <w:rPr>
                <w:rFonts w:asciiTheme="majorBidi" w:hAnsiTheme="majorBidi" w:cstheme="majorBidi"/>
              </w:rPr>
            </w:pPr>
            <w:r>
              <w:rPr>
                <w:rFonts w:asciiTheme="majorBidi" w:hAnsiTheme="majorBidi" w:cstheme="majorBidi"/>
              </w:rPr>
              <w:t>33.8 (5.6)</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3F80873" w14:textId="77777777" w:rsidR="00622F70" w:rsidRPr="00375A1A" w:rsidRDefault="00622F70" w:rsidP="009B07AC">
            <w:pPr>
              <w:rPr>
                <w:rFonts w:asciiTheme="majorBidi" w:hAnsiTheme="majorBidi" w:cstheme="majorBidi"/>
              </w:rPr>
            </w:pPr>
            <w:r>
              <w:rPr>
                <w:rFonts w:asciiTheme="majorBidi" w:hAnsiTheme="majorBidi" w:cstheme="majorBidi"/>
              </w:rPr>
              <w:t xml:space="preserve"> 0.65</w:t>
            </w:r>
          </w:p>
        </w:tc>
      </w:tr>
      <w:tr w:rsidR="00622F70" w14:paraId="6D97A83F"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FF606A5" w14:textId="77777777" w:rsidR="00622F70" w:rsidRDefault="00622F70" w:rsidP="009B07AC">
            <w:pPr>
              <w:rPr>
                <w:rFonts w:asciiTheme="majorBidi" w:hAnsiTheme="majorBidi" w:cstheme="majorBidi"/>
              </w:rPr>
            </w:pPr>
            <w:r w:rsidRPr="00EC5D07">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C69E0BA" w14:textId="77777777" w:rsidR="00622F70" w:rsidRDefault="00622F70" w:rsidP="009B07AC">
            <w:pPr>
              <w:rPr>
                <w:rFonts w:asciiTheme="majorBidi" w:hAnsiTheme="majorBidi" w:cstheme="majorBidi"/>
              </w:rPr>
            </w:pPr>
            <w:r>
              <w:rPr>
                <w:rFonts w:asciiTheme="majorBidi" w:hAnsiTheme="majorBidi" w:cstheme="majorBidi"/>
              </w:rPr>
              <w:t>1498 (17.9%)</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4DF11EB" w14:textId="77777777" w:rsidR="00622F70" w:rsidRDefault="00622F70" w:rsidP="009B07AC">
            <w:pPr>
              <w:rPr>
                <w:rFonts w:asciiTheme="majorBidi" w:hAnsiTheme="majorBidi" w:cstheme="majorBidi"/>
              </w:rPr>
            </w:pPr>
            <w:r>
              <w:rPr>
                <w:rFonts w:asciiTheme="majorBidi" w:hAnsiTheme="majorBidi" w:cstheme="majorBidi"/>
              </w:rPr>
              <w:t>2198 (10.0%)</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CBF2FC0" w14:textId="77777777" w:rsidR="00622F70" w:rsidRDefault="00622F70" w:rsidP="009B07AC">
            <w:pPr>
              <w:rPr>
                <w:rFonts w:asciiTheme="majorBidi" w:hAnsiTheme="majorBidi" w:cstheme="majorBidi"/>
              </w:rPr>
            </w:pPr>
          </w:p>
        </w:tc>
      </w:tr>
      <w:tr w:rsidR="00622F70" w14:paraId="7CFB74A4"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E1E6E5F" w14:textId="77777777" w:rsidR="00622F70" w:rsidRPr="00375A1A" w:rsidRDefault="00622F70" w:rsidP="009B07AC">
            <w:pPr>
              <w:rPr>
                <w:rFonts w:asciiTheme="majorBidi" w:hAnsiTheme="majorBidi" w:cstheme="majorBidi"/>
                <w:b/>
                <w:bCs/>
              </w:rPr>
            </w:pPr>
            <w:r>
              <w:rPr>
                <w:rFonts w:asciiTheme="majorBidi" w:hAnsiTheme="majorBidi" w:cstheme="majorBidi"/>
                <w:b/>
                <w:bCs/>
              </w:rPr>
              <w:t>Systolic blood pressure, mm Hg</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07D2B86" w14:textId="77777777" w:rsidR="00622F70" w:rsidRPr="00375A1A" w:rsidRDefault="00622F70" w:rsidP="009B07AC">
            <w:pPr>
              <w:rPr>
                <w:rFonts w:asciiTheme="majorBidi" w:hAnsiTheme="majorBidi" w:cstheme="majorBidi"/>
              </w:rPr>
            </w:pPr>
          </w:p>
        </w:tc>
      </w:tr>
      <w:tr w:rsidR="00622F70" w14:paraId="658B8099"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5B6A3EC" w14:textId="77777777" w:rsidR="00622F70" w:rsidRPr="00375A1A" w:rsidRDefault="00622F70" w:rsidP="009B07AC">
            <w:pPr>
              <w:rPr>
                <w:rFonts w:asciiTheme="majorBidi" w:hAnsiTheme="majorBidi" w:cstheme="majorBidi"/>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ABB87BF" w14:textId="77777777" w:rsidR="00622F70" w:rsidRPr="00375A1A" w:rsidRDefault="00622F70" w:rsidP="009B07AC">
            <w:pPr>
              <w:rPr>
                <w:rFonts w:asciiTheme="majorBidi" w:hAnsiTheme="majorBidi" w:cstheme="majorBidi"/>
              </w:rPr>
            </w:pPr>
            <w:r>
              <w:rPr>
                <w:rFonts w:asciiTheme="majorBidi" w:hAnsiTheme="majorBidi" w:cstheme="majorBidi"/>
              </w:rPr>
              <w:t>132.9 (15.4)</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753A39E" w14:textId="77777777" w:rsidR="00622F70" w:rsidRPr="00375A1A" w:rsidRDefault="00622F70" w:rsidP="009B07AC">
            <w:pPr>
              <w:rPr>
                <w:rFonts w:asciiTheme="majorBidi" w:hAnsiTheme="majorBidi" w:cstheme="majorBidi"/>
              </w:rPr>
            </w:pPr>
            <w:r>
              <w:rPr>
                <w:rFonts w:asciiTheme="majorBidi" w:hAnsiTheme="majorBidi" w:cstheme="majorBidi"/>
              </w:rPr>
              <w:t>132.9 (15.1)</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EB8E08F" w14:textId="77777777" w:rsidR="00622F70" w:rsidRPr="00375A1A" w:rsidRDefault="00622F70" w:rsidP="009B07AC">
            <w:pPr>
              <w:rPr>
                <w:rFonts w:asciiTheme="majorBidi" w:hAnsiTheme="majorBidi" w:cstheme="majorBidi"/>
              </w:rPr>
            </w:pPr>
            <w:r>
              <w:rPr>
                <w:rFonts w:asciiTheme="majorBidi" w:hAnsiTheme="majorBidi" w:cstheme="majorBidi"/>
              </w:rPr>
              <w:t>&lt;0.01</w:t>
            </w:r>
          </w:p>
        </w:tc>
      </w:tr>
      <w:tr w:rsidR="00622F70" w14:paraId="5B400A0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3D165B1" w14:textId="77777777" w:rsidR="00622F70" w:rsidRDefault="00622F70" w:rsidP="009B07AC">
            <w:pPr>
              <w:rPr>
                <w:rFonts w:asciiTheme="majorBidi" w:hAnsiTheme="majorBidi" w:cstheme="majorBidi"/>
              </w:rPr>
            </w:pPr>
            <w:r w:rsidRPr="00EC5D07">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33717AA" w14:textId="77777777" w:rsidR="00622F70" w:rsidRDefault="00622F70" w:rsidP="009B07AC">
            <w:pPr>
              <w:rPr>
                <w:rFonts w:asciiTheme="majorBidi" w:hAnsiTheme="majorBidi" w:cstheme="majorBidi"/>
              </w:rPr>
            </w:pPr>
            <w:r>
              <w:rPr>
                <w:rFonts w:asciiTheme="majorBidi" w:hAnsiTheme="majorBidi" w:cstheme="majorBidi"/>
              </w:rPr>
              <w:t>531 (6.3%)</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393787F" w14:textId="77777777" w:rsidR="00622F70" w:rsidRDefault="00622F70" w:rsidP="009B07AC">
            <w:pPr>
              <w:rPr>
                <w:rFonts w:asciiTheme="majorBidi" w:hAnsiTheme="majorBidi" w:cstheme="majorBidi"/>
              </w:rPr>
            </w:pPr>
            <w:r>
              <w:rPr>
                <w:rFonts w:asciiTheme="majorBidi" w:hAnsiTheme="majorBidi" w:cstheme="majorBidi"/>
              </w:rPr>
              <w:t>1561 (7.1%)</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B8292A0" w14:textId="77777777" w:rsidR="00622F70" w:rsidRDefault="00622F70" w:rsidP="009B07AC">
            <w:pPr>
              <w:rPr>
                <w:rFonts w:asciiTheme="majorBidi" w:hAnsiTheme="majorBidi" w:cstheme="majorBidi"/>
              </w:rPr>
            </w:pPr>
          </w:p>
        </w:tc>
      </w:tr>
      <w:tr w:rsidR="00622F70" w14:paraId="0BF92A8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2CD526F" w14:textId="77777777" w:rsidR="00622F70" w:rsidRPr="00375A1A" w:rsidRDefault="00622F70" w:rsidP="009B07AC">
            <w:pPr>
              <w:rPr>
                <w:rFonts w:asciiTheme="majorBidi" w:hAnsiTheme="majorBidi" w:cstheme="majorBidi"/>
                <w:b/>
                <w:bCs/>
              </w:rPr>
            </w:pPr>
            <w:r>
              <w:rPr>
                <w:rFonts w:asciiTheme="majorBidi" w:hAnsiTheme="majorBidi" w:cstheme="majorBidi"/>
                <w:b/>
                <w:bCs/>
              </w:rPr>
              <w:lastRenderedPageBreak/>
              <w:t>Diastolic blood pressure, mm Hg</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9E04663" w14:textId="77777777" w:rsidR="00622F70" w:rsidRPr="00375A1A" w:rsidRDefault="00622F70" w:rsidP="009B07AC">
            <w:pPr>
              <w:rPr>
                <w:rFonts w:asciiTheme="majorBidi" w:hAnsiTheme="majorBidi" w:cstheme="majorBidi"/>
              </w:rPr>
            </w:pPr>
          </w:p>
        </w:tc>
      </w:tr>
      <w:tr w:rsidR="00622F70" w14:paraId="7712ACB3"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0E1E385" w14:textId="77777777" w:rsidR="00622F70" w:rsidRPr="00375A1A" w:rsidRDefault="00622F70" w:rsidP="009B07AC">
            <w:pPr>
              <w:rPr>
                <w:rFonts w:asciiTheme="majorBidi" w:hAnsiTheme="majorBidi" w:cstheme="majorBidi"/>
                <w:lang w:val="da-DK"/>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4E25B08" w14:textId="77777777" w:rsidR="00622F70" w:rsidRPr="00375A1A" w:rsidRDefault="00622F70" w:rsidP="009B07AC">
            <w:pPr>
              <w:rPr>
                <w:rFonts w:asciiTheme="majorBidi" w:hAnsiTheme="majorBidi" w:cstheme="majorBidi"/>
              </w:rPr>
            </w:pPr>
            <w:r>
              <w:rPr>
                <w:rFonts w:asciiTheme="majorBidi" w:hAnsiTheme="majorBidi" w:cstheme="majorBidi"/>
              </w:rPr>
              <w:t>78.2 (9.4)</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ACB032C" w14:textId="77777777" w:rsidR="00622F70" w:rsidRPr="00375A1A" w:rsidRDefault="00622F70" w:rsidP="009B07AC">
            <w:pPr>
              <w:rPr>
                <w:rFonts w:asciiTheme="majorBidi" w:hAnsiTheme="majorBidi" w:cstheme="majorBidi"/>
              </w:rPr>
            </w:pPr>
            <w:r>
              <w:rPr>
                <w:rFonts w:asciiTheme="majorBidi" w:hAnsiTheme="majorBidi" w:cstheme="majorBidi"/>
              </w:rPr>
              <w:t>78.9 (9.3)</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9456A79" w14:textId="77777777" w:rsidR="00622F70" w:rsidRPr="00375A1A" w:rsidRDefault="00622F70" w:rsidP="009B07AC">
            <w:pPr>
              <w:rPr>
                <w:rFonts w:asciiTheme="majorBidi" w:hAnsiTheme="majorBidi" w:cstheme="majorBidi"/>
              </w:rPr>
            </w:pPr>
            <w:r>
              <w:rPr>
                <w:rFonts w:asciiTheme="majorBidi" w:hAnsiTheme="majorBidi" w:cstheme="majorBidi"/>
              </w:rPr>
              <w:t>0.07</w:t>
            </w:r>
          </w:p>
        </w:tc>
      </w:tr>
      <w:tr w:rsidR="00622F70" w14:paraId="0E80FDDF"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2783BE6" w14:textId="77777777" w:rsidR="00622F70" w:rsidRDefault="00622F70" w:rsidP="009B07AC">
            <w:pPr>
              <w:rPr>
                <w:rFonts w:asciiTheme="majorBidi" w:hAnsiTheme="majorBidi" w:cstheme="majorBidi"/>
              </w:rPr>
            </w:pPr>
            <w:r w:rsidRPr="00EC5D07">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799EBD8B" w14:textId="77777777" w:rsidR="00622F70" w:rsidRDefault="00622F70" w:rsidP="009B07AC">
            <w:pPr>
              <w:rPr>
                <w:rFonts w:asciiTheme="majorBidi" w:hAnsiTheme="majorBidi" w:cstheme="majorBidi"/>
              </w:rPr>
            </w:pPr>
            <w:r w:rsidRPr="00AD2EFE">
              <w:rPr>
                <w:rFonts w:asciiTheme="majorBidi" w:hAnsiTheme="majorBidi" w:cstheme="majorBidi"/>
              </w:rPr>
              <w:t>531 (6.3%)</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9DA7947" w14:textId="77777777" w:rsidR="00622F70" w:rsidRDefault="00622F70" w:rsidP="009B07AC">
            <w:pPr>
              <w:rPr>
                <w:rFonts w:asciiTheme="majorBidi" w:hAnsiTheme="majorBidi" w:cstheme="majorBidi"/>
              </w:rPr>
            </w:pPr>
            <w:r w:rsidRPr="00AD2EFE">
              <w:rPr>
                <w:rFonts w:asciiTheme="majorBidi" w:hAnsiTheme="majorBidi" w:cstheme="majorBidi"/>
              </w:rPr>
              <w:t>1561 (7.1%)</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D6B7555" w14:textId="77777777" w:rsidR="00622F70" w:rsidRDefault="00622F70" w:rsidP="009B07AC">
            <w:pPr>
              <w:rPr>
                <w:rFonts w:asciiTheme="majorBidi" w:hAnsiTheme="majorBidi" w:cstheme="majorBidi"/>
              </w:rPr>
            </w:pPr>
          </w:p>
        </w:tc>
      </w:tr>
      <w:tr w:rsidR="00622F70" w14:paraId="340A5C3E"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5980C23" w14:textId="77777777" w:rsidR="00622F70" w:rsidRPr="00375A1A" w:rsidRDefault="00622F70" w:rsidP="009B07AC">
            <w:pPr>
              <w:rPr>
                <w:rFonts w:asciiTheme="majorBidi" w:hAnsiTheme="majorBidi" w:cstheme="majorBidi"/>
                <w:b/>
                <w:bCs/>
                <w:lang w:val="da-DK"/>
              </w:rPr>
            </w:pPr>
            <w:r w:rsidRPr="00A379D6">
              <w:rPr>
                <w:rFonts w:asciiTheme="majorBidi" w:hAnsiTheme="majorBidi" w:cstheme="majorBidi"/>
                <w:b/>
                <w:bCs/>
              </w:rPr>
              <w:t>HDL cholesterol, mmol/L</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35165011"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2B043EE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C81759E" w14:textId="77777777" w:rsidR="00622F70" w:rsidRPr="00375A1A" w:rsidRDefault="00622F70" w:rsidP="009B07AC">
            <w:pPr>
              <w:rPr>
                <w:rFonts w:asciiTheme="majorBidi" w:hAnsiTheme="majorBidi" w:cstheme="majorBidi"/>
                <w:lang w:val="da-DK"/>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D89DFA0" w14:textId="77777777" w:rsidR="00622F70" w:rsidRPr="00375A1A" w:rsidRDefault="00622F70" w:rsidP="009B07AC">
            <w:pPr>
              <w:rPr>
                <w:rFonts w:asciiTheme="majorBidi" w:hAnsiTheme="majorBidi" w:cstheme="majorBidi"/>
              </w:rPr>
            </w:pPr>
            <w:r w:rsidRPr="00A379D6">
              <w:rPr>
                <w:rFonts w:asciiTheme="majorBidi" w:hAnsiTheme="majorBidi" w:cstheme="majorBidi"/>
              </w:rPr>
              <w:t>1.21 (0.30)</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D54E3EE" w14:textId="77777777" w:rsidR="00622F70" w:rsidRPr="00375A1A" w:rsidRDefault="00622F70" w:rsidP="009B07AC">
            <w:pPr>
              <w:rPr>
                <w:rFonts w:asciiTheme="majorBidi" w:hAnsiTheme="majorBidi" w:cstheme="majorBidi"/>
              </w:rPr>
            </w:pPr>
            <w:r w:rsidRPr="004E4210">
              <w:rPr>
                <w:rFonts w:asciiTheme="majorBidi" w:hAnsiTheme="majorBidi" w:cstheme="majorBidi"/>
              </w:rPr>
              <w:t>1.19 (0.29)</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CB8DD08" w14:textId="77777777" w:rsidR="00622F70" w:rsidRPr="00375A1A" w:rsidRDefault="00622F70" w:rsidP="009B07AC">
            <w:pPr>
              <w:rPr>
                <w:rFonts w:asciiTheme="majorBidi" w:hAnsiTheme="majorBidi" w:cstheme="majorBidi"/>
              </w:rPr>
            </w:pPr>
            <w:r>
              <w:rPr>
                <w:rFonts w:asciiTheme="majorBidi" w:hAnsiTheme="majorBidi" w:cstheme="majorBidi"/>
              </w:rPr>
              <w:t xml:space="preserve"> 0.05</w:t>
            </w:r>
          </w:p>
        </w:tc>
      </w:tr>
      <w:tr w:rsidR="00622F70" w14:paraId="6453E45D"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5CED9980" w14:textId="77777777" w:rsidR="00622F70" w:rsidRDefault="00622F70" w:rsidP="009B07AC">
            <w:pPr>
              <w:rPr>
                <w:rFonts w:asciiTheme="majorBidi" w:hAnsiTheme="majorBidi" w:cstheme="majorBidi"/>
              </w:rPr>
            </w:pPr>
            <w:r w:rsidRPr="00EC5D07">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2226BA30" w14:textId="77777777" w:rsidR="00622F70" w:rsidRPr="00A379D6" w:rsidRDefault="00622F70" w:rsidP="009B07AC">
            <w:pPr>
              <w:rPr>
                <w:rFonts w:asciiTheme="majorBidi" w:hAnsiTheme="majorBidi" w:cstheme="majorBidi"/>
              </w:rPr>
            </w:pPr>
            <w:r>
              <w:rPr>
                <w:rFonts w:asciiTheme="majorBidi" w:hAnsiTheme="majorBidi" w:cstheme="majorBidi"/>
              </w:rPr>
              <w:t>83 (1.0%)</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42C1927D" w14:textId="77777777" w:rsidR="00622F70" w:rsidRPr="004E4210" w:rsidRDefault="00622F70" w:rsidP="009B07AC">
            <w:pPr>
              <w:rPr>
                <w:rFonts w:asciiTheme="majorBidi" w:hAnsiTheme="majorBidi" w:cstheme="majorBidi"/>
              </w:rPr>
            </w:pPr>
            <w:r>
              <w:rPr>
                <w:rFonts w:asciiTheme="majorBidi" w:hAnsiTheme="majorBidi" w:cstheme="majorBidi"/>
              </w:rPr>
              <w:t>278 (1.3%)</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71D9117" w14:textId="77777777" w:rsidR="00622F70" w:rsidRDefault="00622F70" w:rsidP="009B07AC">
            <w:pPr>
              <w:rPr>
                <w:rFonts w:asciiTheme="majorBidi" w:hAnsiTheme="majorBidi" w:cstheme="majorBidi"/>
              </w:rPr>
            </w:pPr>
          </w:p>
        </w:tc>
      </w:tr>
      <w:tr w:rsidR="00622F70" w14:paraId="0DD71136"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16CA8CB" w14:textId="77777777" w:rsidR="00622F70" w:rsidRPr="00375A1A" w:rsidRDefault="00622F70" w:rsidP="009B07AC">
            <w:pPr>
              <w:rPr>
                <w:rFonts w:asciiTheme="majorBidi" w:hAnsiTheme="majorBidi" w:cstheme="majorBidi"/>
                <w:b/>
                <w:bCs/>
                <w:lang w:val="da-DK"/>
              </w:rPr>
            </w:pPr>
            <w:r w:rsidRPr="004E4210">
              <w:rPr>
                <w:rFonts w:asciiTheme="majorBidi" w:hAnsiTheme="majorBidi" w:cstheme="majorBidi"/>
                <w:b/>
                <w:bCs/>
              </w:rPr>
              <w:t>LDL cholesterol, mmol/L</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0942187"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12BDD888"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EBC0968" w14:textId="77777777" w:rsidR="00622F70" w:rsidRPr="00375A1A" w:rsidRDefault="00622F70" w:rsidP="009B07AC">
            <w:pPr>
              <w:rPr>
                <w:rFonts w:asciiTheme="majorBidi" w:hAnsiTheme="majorBidi" w:cstheme="majorBidi"/>
                <w:lang w:val="da-DK"/>
              </w:rPr>
            </w:pPr>
            <w:r>
              <w:rPr>
                <w:rFonts w:asciiTheme="majorBidi" w:hAnsiTheme="majorBidi" w:cstheme="majorBidi"/>
              </w:rPr>
              <w:t>Mean (SD)</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5EC18484" w14:textId="77777777" w:rsidR="00622F70" w:rsidRPr="00375A1A" w:rsidRDefault="00622F70" w:rsidP="009B07AC">
            <w:pPr>
              <w:rPr>
                <w:rFonts w:asciiTheme="majorBidi" w:hAnsiTheme="majorBidi" w:cstheme="majorBidi"/>
              </w:rPr>
            </w:pPr>
            <w:r w:rsidRPr="006E3923">
              <w:rPr>
                <w:rFonts w:asciiTheme="majorBidi" w:hAnsiTheme="majorBidi" w:cstheme="majorBidi"/>
              </w:rPr>
              <w:t>2.47 (0.95)</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1059C76" w14:textId="77777777" w:rsidR="00622F70" w:rsidRPr="00375A1A" w:rsidRDefault="00622F70" w:rsidP="009B07AC">
            <w:pPr>
              <w:rPr>
                <w:rFonts w:asciiTheme="majorBidi" w:hAnsiTheme="majorBidi" w:cstheme="majorBidi"/>
              </w:rPr>
            </w:pPr>
            <w:r w:rsidRPr="006E3923">
              <w:rPr>
                <w:rFonts w:asciiTheme="majorBidi" w:hAnsiTheme="majorBidi" w:cstheme="majorBidi"/>
              </w:rPr>
              <w:t>2.42 (0.94)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F5032E9" w14:textId="77777777" w:rsidR="00622F70" w:rsidRPr="00375A1A" w:rsidRDefault="00622F70" w:rsidP="009B07AC">
            <w:pPr>
              <w:rPr>
                <w:rFonts w:asciiTheme="majorBidi" w:hAnsiTheme="majorBidi" w:cstheme="majorBidi"/>
              </w:rPr>
            </w:pPr>
            <w:r>
              <w:rPr>
                <w:rFonts w:asciiTheme="majorBidi" w:hAnsiTheme="majorBidi" w:cstheme="majorBidi"/>
              </w:rPr>
              <w:t xml:space="preserve"> 0.06</w:t>
            </w:r>
          </w:p>
        </w:tc>
      </w:tr>
      <w:tr w:rsidR="00622F70" w14:paraId="69923A36"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1828A29D" w14:textId="77777777" w:rsidR="00622F70" w:rsidRDefault="00622F70" w:rsidP="009B07AC">
            <w:pPr>
              <w:rPr>
                <w:rFonts w:asciiTheme="majorBidi" w:hAnsiTheme="majorBidi" w:cstheme="majorBidi"/>
              </w:rPr>
            </w:pPr>
            <w:r w:rsidRPr="00EC5D07">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9F32644" w14:textId="77777777" w:rsidR="00622F70" w:rsidRPr="006E3923" w:rsidRDefault="00622F70" w:rsidP="009B07AC">
            <w:pPr>
              <w:rPr>
                <w:rFonts w:asciiTheme="majorBidi" w:hAnsiTheme="majorBidi" w:cstheme="majorBidi"/>
              </w:rPr>
            </w:pPr>
            <w:r>
              <w:rPr>
                <w:rFonts w:asciiTheme="majorBidi" w:hAnsiTheme="majorBidi" w:cstheme="majorBidi"/>
              </w:rPr>
              <w:t>163 (1.9%)</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300FF89D" w14:textId="77777777" w:rsidR="00622F70" w:rsidRPr="006E3923" w:rsidRDefault="00622F70" w:rsidP="009B07AC">
            <w:pPr>
              <w:rPr>
                <w:rFonts w:asciiTheme="majorBidi" w:hAnsiTheme="majorBidi" w:cstheme="majorBidi"/>
              </w:rPr>
            </w:pPr>
            <w:r>
              <w:rPr>
                <w:rFonts w:asciiTheme="majorBidi" w:hAnsiTheme="majorBidi" w:cstheme="majorBidi"/>
              </w:rPr>
              <w:t>442 (2.0%)</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6FC166D0" w14:textId="77777777" w:rsidR="00622F70" w:rsidRDefault="00622F70" w:rsidP="009B07AC">
            <w:pPr>
              <w:rPr>
                <w:rFonts w:asciiTheme="majorBidi" w:hAnsiTheme="majorBidi" w:cstheme="majorBidi"/>
              </w:rPr>
            </w:pPr>
          </w:p>
        </w:tc>
      </w:tr>
      <w:tr w:rsidR="00622F70" w14:paraId="71C5C788"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9D0252D" w14:textId="77777777" w:rsidR="00622F70" w:rsidRPr="00375A1A" w:rsidRDefault="00622F70" w:rsidP="009B07AC">
            <w:pPr>
              <w:rPr>
                <w:rFonts w:asciiTheme="majorBidi" w:hAnsiTheme="majorBidi" w:cstheme="majorBidi"/>
              </w:rPr>
            </w:pPr>
            <w:r w:rsidRPr="006E3923">
              <w:rPr>
                <w:rFonts w:asciiTheme="majorBidi" w:hAnsiTheme="majorBidi" w:cstheme="majorBidi"/>
                <w:b/>
                <w:bCs/>
              </w:rPr>
              <w:t>Triglycerides, mmol/L</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312EF6FB"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68B828CE"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B84B021" w14:textId="77777777" w:rsidR="00622F70" w:rsidRPr="00375A1A" w:rsidRDefault="00622F70" w:rsidP="009B07AC">
            <w:pPr>
              <w:rPr>
                <w:rFonts w:asciiTheme="majorBidi" w:hAnsiTheme="majorBidi" w:cstheme="majorBidi"/>
                <w:lang w:val="da-DK"/>
              </w:rPr>
            </w:pPr>
            <w:r>
              <w:rPr>
                <w:rFonts w:asciiTheme="majorBidi" w:hAnsiTheme="majorBidi" w:cstheme="majorBidi"/>
              </w:rPr>
              <w:t>Median (IQR)</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C65C86A" w14:textId="77777777" w:rsidR="00622F70" w:rsidRPr="00375A1A" w:rsidRDefault="00622F70" w:rsidP="009B07AC">
            <w:pPr>
              <w:rPr>
                <w:rFonts w:asciiTheme="majorBidi" w:hAnsiTheme="majorBidi" w:cstheme="majorBidi"/>
              </w:rPr>
            </w:pPr>
            <w:r w:rsidRPr="00661E8D">
              <w:rPr>
                <w:rFonts w:asciiTheme="majorBidi" w:hAnsiTheme="majorBidi" w:cstheme="majorBidi"/>
              </w:rPr>
              <w:t>1.74 (1.25–2.42)</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27C66FF6" w14:textId="77777777" w:rsidR="00622F70" w:rsidRPr="00375A1A" w:rsidRDefault="00622F70" w:rsidP="009B07AC">
            <w:pPr>
              <w:rPr>
                <w:rFonts w:asciiTheme="majorBidi" w:hAnsiTheme="majorBidi" w:cstheme="majorBidi"/>
              </w:rPr>
            </w:pPr>
            <w:r w:rsidRPr="00661E8D">
              <w:rPr>
                <w:rFonts w:asciiTheme="majorBidi" w:hAnsiTheme="majorBidi" w:cstheme="majorBidi"/>
              </w:rPr>
              <w:t>1.74 (1.28–2.44)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2C207F6" w14:textId="77777777" w:rsidR="00622F70" w:rsidRPr="00375A1A" w:rsidRDefault="00622F70" w:rsidP="009B07AC">
            <w:pPr>
              <w:rPr>
                <w:rFonts w:asciiTheme="majorBidi" w:hAnsiTheme="majorBidi" w:cstheme="majorBidi"/>
              </w:rPr>
            </w:pPr>
            <w:r>
              <w:rPr>
                <w:rFonts w:asciiTheme="majorBidi" w:hAnsiTheme="majorBidi" w:cstheme="majorBidi"/>
              </w:rPr>
              <w:t xml:space="preserve"> 0.01</w:t>
            </w:r>
          </w:p>
        </w:tc>
      </w:tr>
      <w:tr w:rsidR="00622F70" w14:paraId="18F90ACD"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C0248C4" w14:textId="77777777" w:rsidR="00622F70" w:rsidRDefault="00622F70" w:rsidP="009B07AC">
            <w:pPr>
              <w:rPr>
                <w:rFonts w:asciiTheme="majorBidi" w:hAnsiTheme="majorBidi" w:cstheme="majorBidi"/>
              </w:rPr>
            </w:pPr>
            <w:r w:rsidRPr="00EC5D07">
              <w:rPr>
                <w:rFonts w:asciiTheme="majorBidi" w:hAnsiTheme="majorBidi" w:cstheme="majorBidi"/>
              </w:rPr>
              <w:t>Missing N (%)</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7EAE878D" w14:textId="77777777" w:rsidR="00622F70" w:rsidRPr="00661E8D" w:rsidRDefault="00622F70" w:rsidP="009B07AC">
            <w:pPr>
              <w:rPr>
                <w:rFonts w:asciiTheme="majorBidi" w:hAnsiTheme="majorBidi" w:cstheme="majorBidi"/>
              </w:rPr>
            </w:pPr>
            <w:r>
              <w:rPr>
                <w:rFonts w:asciiTheme="majorBidi" w:hAnsiTheme="majorBidi" w:cstheme="majorBidi"/>
              </w:rPr>
              <w:t>76 (0.9%)</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tcPr>
          <w:p w14:paraId="08933246" w14:textId="77777777" w:rsidR="00622F70" w:rsidRPr="00661E8D" w:rsidRDefault="00622F70" w:rsidP="009B07AC">
            <w:pPr>
              <w:rPr>
                <w:rFonts w:asciiTheme="majorBidi" w:hAnsiTheme="majorBidi" w:cstheme="majorBidi"/>
              </w:rPr>
            </w:pPr>
            <w:r>
              <w:rPr>
                <w:rFonts w:asciiTheme="majorBidi" w:hAnsiTheme="majorBidi" w:cstheme="majorBidi"/>
              </w:rPr>
              <w:t>262 (1.2%)</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1FC5943" w14:textId="77777777" w:rsidR="00622F70" w:rsidRDefault="00622F70" w:rsidP="009B07AC">
            <w:pPr>
              <w:rPr>
                <w:rFonts w:asciiTheme="majorBidi" w:hAnsiTheme="majorBidi" w:cstheme="majorBidi"/>
              </w:rPr>
            </w:pPr>
          </w:p>
        </w:tc>
      </w:tr>
      <w:tr w:rsidR="00622F70" w14:paraId="571B5BF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5201B70" w14:textId="77777777" w:rsidR="00622F70" w:rsidRPr="00375A1A" w:rsidRDefault="00622F70" w:rsidP="009B07AC">
            <w:pPr>
              <w:rPr>
                <w:rFonts w:asciiTheme="majorBidi" w:hAnsiTheme="majorBidi" w:cstheme="majorBidi"/>
                <w:b/>
                <w:bCs/>
              </w:rPr>
            </w:pPr>
            <w:r>
              <w:rPr>
                <w:rFonts w:asciiTheme="majorBidi" w:hAnsiTheme="majorBidi" w:cstheme="majorBidi"/>
                <w:b/>
                <w:bCs/>
              </w:rPr>
              <w:t>Medications</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BC95DAB" w14:textId="77777777" w:rsidR="00622F70" w:rsidRPr="00EB046D" w:rsidRDefault="00622F70" w:rsidP="009B07AC">
            <w:pPr>
              <w:rPr>
                <w:rFonts w:asciiTheme="majorBidi" w:hAnsiTheme="majorBidi" w:cstheme="majorBidi"/>
              </w:rPr>
            </w:pPr>
            <w:r>
              <w:rPr>
                <w:rFonts w:asciiTheme="majorBidi" w:hAnsiTheme="majorBidi" w:cstheme="majorBidi"/>
              </w:rPr>
              <w:t xml:space="preserve"> </w:t>
            </w:r>
          </w:p>
        </w:tc>
      </w:tr>
      <w:tr w:rsidR="00622F70" w14:paraId="756AA53D"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FA4BDD8" w14:textId="77777777" w:rsidR="00622F70" w:rsidRPr="00375A1A" w:rsidRDefault="00622F70" w:rsidP="009B07AC">
            <w:pPr>
              <w:rPr>
                <w:rFonts w:asciiTheme="majorBidi" w:hAnsiTheme="majorBidi" w:cstheme="majorBidi"/>
                <w:lang w:val="da-DK"/>
              </w:rPr>
            </w:pPr>
            <w:r>
              <w:rPr>
                <w:rFonts w:asciiTheme="majorBidi" w:hAnsiTheme="majorBidi" w:cstheme="majorBidi"/>
              </w:rPr>
              <w:t>Metformin</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E13E580" w14:textId="77777777" w:rsidR="00622F70" w:rsidRPr="00375A1A" w:rsidRDefault="00622F70" w:rsidP="009B07AC">
            <w:pPr>
              <w:rPr>
                <w:rFonts w:asciiTheme="majorBidi" w:hAnsiTheme="majorBidi" w:cstheme="majorBidi"/>
              </w:rPr>
            </w:pPr>
            <w:r>
              <w:rPr>
                <w:rFonts w:asciiTheme="majorBidi" w:hAnsiTheme="majorBidi" w:cstheme="majorBidi"/>
              </w:rPr>
              <w:t>6034 (71.9%)</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C585E21" w14:textId="77777777" w:rsidR="00622F70" w:rsidRPr="00375A1A" w:rsidRDefault="00622F70" w:rsidP="009B07AC">
            <w:pPr>
              <w:rPr>
                <w:rFonts w:asciiTheme="majorBidi" w:hAnsiTheme="majorBidi" w:cstheme="majorBidi"/>
              </w:rPr>
            </w:pPr>
            <w:r>
              <w:rPr>
                <w:rFonts w:asciiTheme="majorBidi" w:hAnsiTheme="majorBidi" w:cstheme="majorBidi"/>
              </w:rPr>
              <w:t>14346 (65.3%)</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51FF0EE" w14:textId="77777777" w:rsidR="00622F70" w:rsidRPr="00375A1A" w:rsidRDefault="00622F70" w:rsidP="009B07AC">
            <w:pPr>
              <w:rPr>
                <w:rFonts w:asciiTheme="majorBidi" w:hAnsiTheme="majorBidi" w:cstheme="majorBidi"/>
              </w:rPr>
            </w:pPr>
            <w:r>
              <w:rPr>
                <w:rFonts w:asciiTheme="majorBidi" w:hAnsiTheme="majorBidi" w:cstheme="majorBidi"/>
              </w:rPr>
              <w:t xml:space="preserve"> 0.14</w:t>
            </w:r>
          </w:p>
        </w:tc>
      </w:tr>
      <w:tr w:rsidR="00622F70" w14:paraId="31E5344D"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751F9A4" w14:textId="77777777" w:rsidR="00622F70" w:rsidRPr="00375A1A" w:rsidRDefault="00622F70" w:rsidP="009B07AC">
            <w:pPr>
              <w:rPr>
                <w:rFonts w:asciiTheme="majorBidi" w:hAnsiTheme="majorBidi" w:cstheme="majorBidi"/>
                <w:lang w:val="da-DK"/>
              </w:rPr>
            </w:pPr>
            <w:r>
              <w:rPr>
                <w:rFonts w:asciiTheme="majorBidi" w:hAnsiTheme="majorBidi" w:cstheme="majorBidi"/>
              </w:rPr>
              <w:t>Insulin</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EE2D262" w14:textId="77777777" w:rsidR="00622F70" w:rsidRPr="00375A1A" w:rsidRDefault="00622F70" w:rsidP="009B07AC">
            <w:pPr>
              <w:rPr>
                <w:rFonts w:asciiTheme="majorBidi" w:hAnsiTheme="majorBidi" w:cstheme="majorBidi"/>
              </w:rPr>
            </w:pPr>
            <w:r>
              <w:rPr>
                <w:rFonts w:asciiTheme="majorBidi" w:hAnsiTheme="majorBidi" w:cstheme="majorBidi"/>
              </w:rPr>
              <w:t>618 (7.4%)</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EADD039" w14:textId="77777777" w:rsidR="00622F70" w:rsidRPr="00375A1A" w:rsidRDefault="00622F70" w:rsidP="009B07AC">
            <w:pPr>
              <w:rPr>
                <w:rFonts w:asciiTheme="majorBidi" w:hAnsiTheme="majorBidi" w:cstheme="majorBidi"/>
              </w:rPr>
            </w:pPr>
            <w:r>
              <w:rPr>
                <w:rFonts w:asciiTheme="majorBidi" w:hAnsiTheme="majorBidi" w:cstheme="majorBidi"/>
              </w:rPr>
              <w:t>2995 (13.6%)</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D19CD49" w14:textId="77777777" w:rsidR="00622F70" w:rsidRPr="00375A1A" w:rsidRDefault="00622F70" w:rsidP="009B07AC">
            <w:pPr>
              <w:rPr>
                <w:rFonts w:asciiTheme="majorBidi" w:hAnsiTheme="majorBidi" w:cstheme="majorBidi"/>
              </w:rPr>
            </w:pPr>
            <w:r>
              <w:rPr>
                <w:rFonts w:asciiTheme="majorBidi" w:hAnsiTheme="majorBidi" w:cstheme="majorBidi"/>
              </w:rPr>
              <w:t xml:space="preserve"> 0.21</w:t>
            </w:r>
          </w:p>
        </w:tc>
      </w:tr>
      <w:tr w:rsidR="00622F70" w14:paraId="385058FC"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1142C17" w14:textId="77777777" w:rsidR="00622F70" w:rsidRPr="00375A1A" w:rsidRDefault="00622F70" w:rsidP="009B07AC">
            <w:pPr>
              <w:rPr>
                <w:rFonts w:asciiTheme="majorBidi" w:hAnsiTheme="majorBidi" w:cstheme="majorBidi"/>
                <w:lang w:val="da-DK"/>
              </w:rPr>
            </w:pPr>
            <w:r>
              <w:rPr>
                <w:rFonts w:asciiTheme="majorBidi" w:hAnsiTheme="majorBidi" w:cstheme="majorBidi"/>
              </w:rPr>
              <w:t>SGLT2 inhibitor</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DEC3816" w14:textId="77777777" w:rsidR="00622F70" w:rsidRPr="00375A1A" w:rsidRDefault="00622F70" w:rsidP="009B07AC">
            <w:pPr>
              <w:rPr>
                <w:rFonts w:asciiTheme="majorBidi" w:hAnsiTheme="majorBidi" w:cstheme="majorBidi"/>
              </w:rPr>
            </w:pPr>
            <w:r>
              <w:rPr>
                <w:rFonts w:asciiTheme="majorBidi" w:hAnsiTheme="majorBidi" w:cstheme="majorBidi"/>
              </w:rPr>
              <w:t>1229 (14.7%)</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A3073A5" w14:textId="77777777" w:rsidR="00622F70" w:rsidRPr="00375A1A" w:rsidRDefault="00622F70" w:rsidP="009B07AC">
            <w:pPr>
              <w:rPr>
                <w:rFonts w:asciiTheme="majorBidi" w:hAnsiTheme="majorBidi" w:cstheme="majorBidi"/>
              </w:rPr>
            </w:pPr>
            <w:r>
              <w:rPr>
                <w:rFonts w:asciiTheme="majorBidi" w:hAnsiTheme="majorBidi" w:cstheme="majorBidi"/>
              </w:rPr>
              <w:t>6967 (31.7%)</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FD137A4" w14:textId="77777777" w:rsidR="00622F70" w:rsidRPr="00375A1A" w:rsidRDefault="00622F70" w:rsidP="009B07AC">
            <w:pPr>
              <w:rPr>
                <w:rFonts w:asciiTheme="majorBidi" w:hAnsiTheme="majorBidi" w:cstheme="majorBidi"/>
              </w:rPr>
            </w:pPr>
            <w:r>
              <w:rPr>
                <w:rFonts w:asciiTheme="majorBidi" w:hAnsiTheme="majorBidi" w:cstheme="majorBidi"/>
              </w:rPr>
              <w:t xml:space="preserve"> 0.41</w:t>
            </w:r>
          </w:p>
        </w:tc>
      </w:tr>
      <w:tr w:rsidR="00622F70" w14:paraId="5C31C73A"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D727D2E" w14:textId="77777777" w:rsidR="00622F70" w:rsidRPr="00375A1A" w:rsidRDefault="00622F70" w:rsidP="009B07AC">
            <w:pPr>
              <w:rPr>
                <w:rFonts w:asciiTheme="majorBidi" w:hAnsiTheme="majorBidi" w:cstheme="majorBidi"/>
                <w:lang w:val="da-DK"/>
              </w:rPr>
            </w:pPr>
            <w:r>
              <w:rPr>
                <w:rFonts w:asciiTheme="majorBidi" w:hAnsiTheme="majorBidi" w:cstheme="majorBidi"/>
              </w:rPr>
              <w:t>Renin-angiotensin system inhibitor</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C395269" w14:textId="77777777" w:rsidR="00622F70" w:rsidRPr="00375A1A" w:rsidRDefault="00622F70" w:rsidP="009B07AC">
            <w:pPr>
              <w:rPr>
                <w:rFonts w:asciiTheme="majorBidi" w:hAnsiTheme="majorBidi" w:cstheme="majorBidi"/>
              </w:rPr>
            </w:pPr>
            <w:r>
              <w:rPr>
                <w:rFonts w:asciiTheme="majorBidi" w:hAnsiTheme="majorBidi" w:cstheme="majorBidi"/>
              </w:rPr>
              <w:t>4099 (48.9%)</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E1B53FF" w14:textId="77777777" w:rsidR="00622F70" w:rsidRPr="00375A1A" w:rsidRDefault="00622F70" w:rsidP="009B07AC">
            <w:pPr>
              <w:rPr>
                <w:rFonts w:asciiTheme="majorBidi" w:hAnsiTheme="majorBidi" w:cstheme="majorBidi"/>
              </w:rPr>
            </w:pPr>
            <w:r>
              <w:rPr>
                <w:rFonts w:asciiTheme="majorBidi" w:hAnsiTheme="majorBidi" w:cstheme="majorBidi"/>
              </w:rPr>
              <w:t>11814 (53.8%)</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9722CE9" w14:textId="77777777" w:rsidR="00622F70" w:rsidRPr="00375A1A" w:rsidRDefault="00622F70" w:rsidP="009B07AC">
            <w:pPr>
              <w:rPr>
                <w:rFonts w:asciiTheme="majorBidi" w:hAnsiTheme="majorBidi" w:cstheme="majorBidi"/>
              </w:rPr>
            </w:pPr>
            <w:r>
              <w:rPr>
                <w:rFonts w:asciiTheme="majorBidi" w:hAnsiTheme="majorBidi" w:cstheme="majorBidi"/>
              </w:rPr>
              <w:t xml:space="preserve"> 0.10</w:t>
            </w:r>
          </w:p>
        </w:tc>
      </w:tr>
      <w:tr w:rsidR="00622F70" w14:paraId="7348274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CB4DB13" w14:textId="77777777" w:rsidR="00622F70" w:rsidRPr="00375A1A" w:rsidRDefault="00622F70" w:rsidP="009B07AC">
            <w:pPr>
              <w:rPr>
                <w:rFonts w:asciiTheme="majorBidi" w:hAnsiTheme="majorBidi" w:cstheme="majorBidi"/>
                <w:lang w:val="da-DK"/>
              </w:rPr>
            </w:pPr>
            <w:r>
              <w:rPr>
                <w:rFonts w:asciiTheme="majorBidi" w:hAnsiTheme="majorBidi" w:cstheme="majorBidi"/>
              </w:rPr>
              <w:t>Mineralocorticoid receptor antagonist</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1457465" w14:textId="77777777" w:rsidR="00622F70" w:rsidRPr="00375A1A" w:rsidRDefault="00622F70" w:rsidP="009B07AC">
            <w:pPr>
              <w:rPr>
                <w:rFonts w:asciiTheme="majorBidi" w:hAnsiTheme="majorBidi" w:cstheme="majorBidi"/>
              </w:rPr>
            </w:pPr>
            <w:r>
              <w:rPr>
                <w:rFonts w:asciiTheme="majorBidi" w:hAnsiTheme="majorBidi" w:cstheme="majorBidi"/>
              </w:rPr>
              <w:t>191 (2.3%)</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08F1059" w14:textId="77777777" w:rsidR="00622F70" w:rsidRPr="00375A1A" w:rsidRDefault="00622F70" w:rsidP="009B07AC">
            <w:pPr>
              <w:rPr>
                <w:rFonts w:asciiTheme="majorBidi" w:hAnsiTheme="majorBidi" w:cstheme="majorBidi"/>
              </w:rPr>
            </w:pPr>
            <w:r>
              <w:rPr>
                <w:rFonts w:asciiTheme="majorBidi" w:hAnsiTheme="majorBidi" w:cstheme="majorBidi"/>
              </w:rPr>
              <w:t>736 (3.4%)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B72EF04" w14:textId="77777777" w:rsidR="00622F70" w:rsidRPr="00375A1A" w:rsidRDefault="00622F70" w:rsidP="009B07AC">
            <w:pPr>
              <w:rPr>
                <w:rFonts w:asciiTheme="majorBidi" w:hAnsiTheme="majorBidi" w:cstheme="majorBidi"/>
              </w:rPr>
            </w:pPr>
            <w:r>
              <w:rPr>
                <w:rFonts w:asciiTheme="majorBidi" w:hAnsiTheme="majorBidi" w:cstheme="majorBidi"/>
              </w:rPr>
              <w:t xml:space="preserve"> 0.07</w:t>
            </w:r>
          </w:p>
        </w:tc>
      </w:tr>
      <w:tr w:rsidR="00622F70" w14:paraId="677DE92B"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2177276" w14:textId="77777777" w:rsidR="00622F70" w:rsidRPr="00375A1A" w:rsidRDefault="00622F70" w:rsidP="009B07AC">
            <w:pPr>
              <w:rPr>
                <w:rFonts w:asciiTheme="majorBidi" w:hAnsiTheme="majorBidi" w:cstheme="majorBidi"/>
                <w:lang w:val="da-DK"/>
              </w:rPr>
            </w:pPr>
            <w:r>
              <w:rPr>
                <w:rFonts w:asciiTheme="majorBidi" w:hAnsiTheme="majorBidi" w:cstheme="majorBidi"/>
              </w:rPr>
              <w:t>Diuretic</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88EDE07" w14:textId="77777777" w:rsidR="00622F70" w:rsidRPr="00375A1A" w:rsidRDefault="00622F70" w:rsidP="009B07AC">
            <w:pPr>
              <w:rPr>
                <w:rFonts w:asciiTheme="majorBidi" w:hAnsiTheme="majorBidi" w:cstheme="majorBidi"/>
              </w:rPr>
            </w:pPr>
            <w:r>
              <w:rPr>
                <w:rFonts w:asciiTheme="majorBidi" w:hAnsiTheme="majorBidi" w:cstheme="majorBidi"/>
              </w:rPr>
              <w:t>1278 (15.2%)</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BE87F1F" w14:textId="77777777" w:rsidR="00622F70" w:rsidRPr="00375A1A" w:rsidRDefault="00622F70" w:rsidP="009B07AC">
            <w:pPr>
              <w:rPr>
                <w:rFonts w:asciiTheme="majorBidi" w:hAnsiTheme="majorBidi" w:cstheme="majorBidi"/>
              </w:rPr>
            </w:pPr>
            <w:r>
              <w:rPr>
                <w:rFonts w:asciiTheme="majorBidi" w:hAnsiTheme="majorBidi" w:cstheme="majorBidi"/>
              </w:rPr>
              <w:t>3325 (15.1%)</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161942B" w14:textId="77777777" w:rsidR="00622F70" w:rsidRPr="00375A1A" w:rsidRDefault="00622F70" w:rsidP="009B07AC">
            <w:pPr>
              <w:rPr>
                <w:rFonts w:asciiTheme="majorBidi" w:hAnsiTheme="majorBidi" w:cstheme="majorBidi"/>
              </w:rPr>
            </w:pPr>
            <w:r>
              <w:rPr>
                <w:rFonts w:asciiTheme="majorBidi" w:hAnsiTheme="majorBidi" w:cstheme="majorBidi"/>
              </w:rPr>
              <w:t>&lt;0.01</w:t>
            </w:r>
          </w:p>
        </w:tc>
      </w:tr>
      <w:tr w:rsidR="00622F70" w14:paraId="347F600E"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467159F" w14:textId="77777777" w:rsidR="00622F70" w:rsidRPr="00375A1A" w:rsidRDefault="00622F70" w:rsidP="009B07AC">
            <w:pPr>
              <w:rPr>
                <w:rFonts w:asciiTheme="majorBidi" w:hAnsiTheme="majorBidi" w:cstheme="majorBidi"/>
                <w:lang w:val="da-DK"/>
              </w:rPr>
            </w:pPr>
            <w:r>
              <w:rPr>
                <w:rFonts w:asciiTheme="majorBidi" w:hAnsiTheme="majorBidi" w:cstheme="majorBidi"/>
              </w:rPr>
              <w:t>Lipid modifying agent</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1B57064" w14:textId="77777777" w:rsidR="00622F70" w:rsidRPr="00375A1A" w:rsidRDefault="00622F70" w:rsidP="009B07AC">
            <w:pPr>
              <w:rPr>
                <w:rFonts w:asciiTheme="majorBidi" w:hAnsiTheme="majorBidi" w:cstheme="majorBidi"/>
              </w:rPr>
            </w:pPr>
            <w:r>
              <w:rPr>
                <w:rFonts w:asciiTheme="majorBidi" w:hAnsiTheme="majorBidi" w:cstheme="majorBidi"/>
              </w:rPr>
              <w:t>5293 (63.1%)</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8A5A14B" w14:textId="77777777" w:rsidR="00622F70" w:rsidRPr="00375A1A" w:rsidRDefault="00622F70" w:rsidP="009B07AC">
            <w:pPr>
              <w:rPr>
                <w:rFonts w:asciiTheme="majorBidi" w:hAnsiTheme="majorBidi" w:cstheme="majorBidi"/>
              </w:rPr>
            </w:pPr>
            <w:r>
              <w:rPr>
                <w:rFonts w:asciiTheme="majorBidi" w:hAnsiTheme="majorBidi" w:cstheme="majorBidi"/>
              </w:rPr>
              <w:t>13603 (62.0%)</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529827A" w14:textId="77777777" w:rsidR="00622F70" w:rsidRPr="00375A1A" w:rsidRDefault="00622F70" w:rsidP="009B07AC">
            <w:pPr>
              <w:rPr>
                <w:rFonts w:asciiTheme="majorBidi" w:hAnsiTheme="majorBidi" w:cstheme="majorBidi"/>
              </w:rPr>
            </w:pPr>
            <w:r>
              <w:rPr>
                <w:rFonts w:asciiTheme="majorBidi" w:hAnsiTheme="majorBidi" w:cstheme="majorBidi"/>
              </w:rPr>
              <w:t xml:space="preserve"> 0.02</w:t>
            </w:r>
          </w:p>
        </w:tc>
      </w:tr>
      <w:tr w:rsidR="00622F70" w14:paraId="4095FA19"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594DBD8" w14:textId="77777777" w:rsidR="00622F70" w:rsidRPr="00375A1A" w:rsidRDefault="00622F70" w:rsidP="009B07AC">
            <w:pPr>
              <w:rPr>
                <w:rFonts w:asciiTheme="majorBidi" w:hAnsiTheme="majorBidi" w:cstheme="majorBidi"/>
                <w:lang w:val="da-DK"/>
              </w:rPr>
            </w:pPr>
            <w:r>
              <w:rPr>
                <w:rFonts w:asciiTheme="majorBidi" w:hAnsiTheme="majorBidi" w:cstheme="majorBidi"/>
              </w:rPr>
              <w:t>Antithrombotic agent</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AC2B062" w14:textId="77777777" w:rsidR="00622F70" w:rsidRPr="00375A1A" w:rsidRDefault="00622F70" w:rsidP="009B07AC">
            <w:pPr>
              <w:rPr>
                <w:rFonts w:asciiTheme="majorBidi" w:hAnsiTheme="majorBidi" w:cstheme="majorBidi"/>
              </w:rPr>
            </w:pPr>
            <w:r>
              <w:rPr>
                <w:rFonts w:asciiTheme="majorBidi" w:hAnsiTheme="majorBidi" w:cstheme="majorBidi"/>
              </w:rPr>
              <w:t>2837 (33.8%)</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9F55AF1" w14:textId="77777777" w:rsidR="00622F70" w:rsidRPr="00375A1A" w:rsidRDefault="00622F70" w:rsidP="009B07AC">
            <w:pPr>
              <w:rPr>
                <w:rFonts w:asciiTheme="majorBidi" w:hAnsiTheme="majorBidi" w:cstheme="majorBidi"/>
              </w:rPr>
            </w:pPr>
            <w:r>
              <w:rPr>
                <w:rFonts w:asciiTheme="majorBidi" w:hAnsiTheme="majorBidi" w:cstheme="majorBidi"/>
              </w:rPr>
              <w:t>7880 (35.9%)</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4AECA5D" w14:textId="77777777" w:rsidR="00622F70" w:rsidRPr="00375A1A" w:rsidRDefault="00622F70" w:rsidP="009B07AC">
            <w:pPr>
              <w:rPr>
                <w:rFonts w:asciiTheme="majorBidi" w:hAnsiTheme="majorBidi" w:cstheme="majorBidi"/>
              </w:rPr>
            </w:pPr>
            <w:r>
              <w:rPr>
                <w:rFonts w:asciiTheme="majorBidi" w:hAnsiTheme="majorBidi" w:cstheme="majorBidi"/>
              </w:rPr>
              <w:t xml:space="preserve"> 0.04</w:t>
            </w:r>
          </w:p>
        </w:tc>
      </w:tr>
      <w:tr w:rsidR="00622F70" w14:paraId="5C05FFB2"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4A86048" w14:textId="77777777" w:rsidR="00622F70" w:rsidRPr="00375A1A" w:rsidRDefault="00622F70" w:rsidP="009B07AC">
            <w:pPr>
              <w:rPr>
                <w:rFonts w:asciiTheme="majorBidi" w:hAnsiTheme="majorBidi" w:cstheme="majorBidi"/>
                <w:b/>
                <w:bCs/>
                <w:lang w:val="da-DK"/>
              </w:rPr>
            </w:pPr>
            <w:r>
              <w:rPr>
                <w:rFonts w:asciiTheme="majorBidi" w:hAnsiTheme="majorBidi" w:cstheme="majorBidi"/>
                <w:b/>
                <w:bCs/>
              </w:rPr>
              <w:t>Comorbidities</w:t>
            </w:r>
          </w:p>
        </w:tc>
        <w:tc>
          <w:tcPr>
            <w:tcW w:w="5135" w:type="dxa"/>
            <w:gridSpan w:val="4"/>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5A8283C5" w14:textId="77777777" w:rsidR="00622F70" w:rsidRPr="00375A1A" w:rsidRDefault="00622F70" w:rsidP="009B07AC">
            <w:pPr>
              <w:rPr>
                <w:rFonts w:asciiTheme="majorBidi" w:hAnsiTheme="majorBidi" w:cstheme="majorBidi"/>
              </w:rPr>
            </w:pPr>
            <w:r>
              <w:rPr>
                <w:rFonts w:asciiTheme="majorBidi" w:hAnsiTheme="majorBidi" w:cstheme="majorBidi"/>
              </w:rPr>
              <w:t xml:space="preserve"> </w:t>
            </w:r>
          </w:p>
        </w:tc>
      </w:tr>
      <w:tr w:rsidR="00622F70" w14:paraId="52544593"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D2F356A" w14:textId="77777777" w:rsidR="00622F70" w:rsidRPr="00375A1A" w:rsidRDefault="00622F70" w:rsidP="009B07AC">
            <w:pPr>
              <w:rPr>
                <w:rFonts w:asciiTheme="majorBidi" w:hAnsiTheme="majorBidi" w:cstheme="majorBidi"/>
                <w:lang w:val="da-DK"/>
              </w:rPr>
            </w:pPr>
            <w:r>
              <w:rPr>
                <w:rFonts w:asciiTheme="majorBidi" w:hAnsiTheme="majorBidi" w:cstheme="majorBidi"/>
              </w:rPr>
              <w:t>Ischemic heart disease</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72116F9" w14:textId="77777777" w:rsidR="00622F70" w:rsidRPr="00375A1A" w:rsidRDefault="00622F70" w:rsidP="009B07AC">
            <w:pPr>
              <w:rPr>
                <w:rFonts w:asciiTheme="majorBidi" w:hAnsiTheme="majorBidi" w:cstheme="majorBidi"/>
              </w:rPr>
            </w:pPr>
            <w:r>
              <w:rPr>
                <w:rFonts w:asciiTheme="majorBidi" w:hAnsiTheme="majorBidi" w:cstheme="majorBidi"/>
              </w:rPr>
              <w:t>849 (10.1%)</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5B7B24D9" w14:textId="77777777" w:rsidR="00622F70" w:rsidRPr="00375A1A" w:rsidRDefault="00622F70" w:rsidP="009B07AC">
            <w:pPr>
              <w:rPr>
                <w:rFonts w:asciiTheme="majorBidi" w:hAnsiTheme="majorBidi" w:cstheme="majorBidi"/>
              </w:rPr>
            </w:pPr>
            <w:r>
              <w:rPr>
                <w:rFonts w:asciiTheme="majorBidi" w:hAnsiTheme="majorBidi" w:cstheme="majorBidi"/>
              </w:rPr>
              <w:t>3382 (15.4%)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E41833C" w14:textId="77777777" w:rsidR="00622F70" w:rsidRPr="00375A1A" w:rsidRDefault="00622F70" w:rsidP="009B07AC">
            <w:pPr>
              <w:rPr>
                <w:rFonts w:asciiTheme="majorBidi" w:hAnsiTheme="majorBidi" w:cstheme="majorBidi"/>
              </w:rPr>
            </w:pPr>
            <w:r>
              <w:rPr>
                <w:rFonts w:asciiTheme="majorBidi" w:hAnsiTheme="majorBidi" w:cstheme="majorBidi"/>
              </w:rPr>
              <w:t xml:space="preserve"> 0.16</w:t>
            </w:r>
          </w:p>
        </w:tc>
      </w:tr>
      <w:tr w:rsidR="00622F70" w14:paraId="31A8DD2E"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5FDFBC3" w14:textId="77777777" w:rsidR="00622F70" w:rsidRPr="00375A1A" w:rsidRDefault="00622F70" w:rsidP="009B07AC">
            <w:pPr>
              <w:rPr>
                <w:rFonts w:asciiTheme="majorBidi" w:hAnsiTheme="majorBidi" w:cstheme="majorBidi"/>
                <w:lang w:val="da-DK"/>
              </w:rPr>
            </w:pPr>
            <w:r>
              <w:rPr>
                <w:rFonts w:asciiTheme="majorBidi" w:hAnsiTheme="majorBidi" w:cstheme="majorBidi"/>
              </w:rPr>
              <w:t>Stroke</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BB015C4" w14:textId="77777777" w:rsidR="00622F70" w:rsidRPr="00375A1A" w:rsidRDefault="00622F70" w:rsidP="009B07AC">
            <w:pPr>
              <w:rPr>
                <w:rFonts w:asciiTheme="majorBidi" w:hAnsiTheme="majorBidi" w:cstheme="majorBidi"/>
              </w:rPr>
            </w:pPr>
            <w:r>
              <w:rPr>
                <w:rFonts w:asciiTheme="majorBidi" w:hAnsiTheme="majorBidi" w:cstheme="majorBidi"/>
              </w:rPr>
              <w:t>198 (2.4%)</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D400DAB" w14:textId="77777777" w:rsidR="00622F70" w:rsidRPr="00375A1A" w:rsidRDefault="00622F70" w:rsidP="009B07AC">
            <w:pPr>
              <w:rPr>
                <w:rFonts w:asciiTheme="majorBidi" w:hAnsiTheme="majorBidi" w:cstheme="majorBidi"/>
              </w:rPr>
            </w:pPr>
            <w:r>
              <w:rPr>
                <w:rFonts w:asciiTheme="majorBidi" w:hAnsiTheme="majorBidi" w:cstheme="majorBidi"/>
              </w:rPr>
              <w:t>445 (2.0%)</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0D593091" w14:textId="77777777" w:rsidR="00622F70" w:rsidRPr="00375A1A" w:rsidRDefault="00622F70" w:rsidP="009B07AC">
            <w:pPr>
              <w:rPr>
                <w:rFonts w:asciiTheme="majorBidi" w:hAnsiTheme="majorBidi" w:cstheme="majorBidi"/>
              </w:rPr>
            </w:pPr>
            <w:r>
              <w:rPr>
                <w:rFonts w:asciiTheme="majorBidi" w:hAnsiTheme="majorBidi" w:cstheme="majorBidi"/>
              </w:rPr>
              <w:t xml:space="preserve"> 0.02</w:t>
            </w:r>
          </w:p>
        </w:tc>
      </w:tr>
      <w:tr w:rsidR="00622F70" w14:paraId="1226DD7B"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3639F186" w14:textId="77777777" w:rsidR="00622F70" w:rsidRPr="00375A1A" w:rsidRDefault="00622F70" w:rsidP="009B07AC">
            <w:pPr>
              <w:rPr>
                <w:rFonts w:asciiTheme="majorBidi" w:hAnsiTheme="majorBidi" w:cstheme="majorBidi"/>
                <w:lang w:val="da-DK"/>
              </w:rPr>
            </w:pPr>
            <w:r>
              <w:rPr>
                <w:rFonts w:asciiTheme="majorBidi" w:hAnsiTheme="majorBidi" w:cstheme="majorBidi"/>
              </w:rPr>
              <w:t>Peripheral vascular disease</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7F363EA" w14:textId="77777777" w:rsidR="00622F70" w:rsidRPr="00375A1A" w:rsidRDefault="00622F70" w:rsidP="009B07AC">
            <w:pPr>
              <w:rPr>
                <w:rFonts w:asciiTheme="majorBidi" w:hAnsiTheme="majorBidi" w:cstheme="majorBidi"/>
              </w:rPr>
            </w:pPr>
            <w:r>
              <w:rPr>
                <w:rFonts w:asciiTheme="majorBidi" w:hAnsiTheme="majorBidi" w:cstheme="majorBidi"/>
              </w:rPr>
              <w:t>196 (2.3%)</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F4CF7B9" w14:textId="77777777" w:rsidR="00622F70" w:rsidRPr="00375A1A" w:rsidRDefault="00622F70" w:rsidP="009B07AC">
            <w:pPr>
              <w:rPr>
                <w:rFonts w:asciiTheme="majorBidi" w:hAnsiTheme="majorBidi" w:cstheme="majorBidi"/>
              </w:rPr>
            </w:pPr>
            <w:r>
              <w:rPr>
                <w:rFonts w:asciiTheme="majorBidi" w:hAnsiTheme="majorBidi" w:cstheme="majorBidi"/>
              </w:rPr>
              <w:t>615 (2.8%)</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hideMark/>
          </w:tcPr>
          <w:p w14:paraId="46C86DBE" w14:textId="77777777" w:rsidR="00622F70" w:rsidRPr="00375A1A" w:rsidRDefault="00622F70" w:rsidP="009B07AC">
            <w:pPr>
              <w:rPr>
                <w:rFonts w:asciiTheme="majorBidi" w:hAnsiTheme="majorBidi" w:cstheme="majorBidi"/>
              </w:rPr>
            </w:pPr>
            <w:r>
              <w:rPr>
                <w:rFonts w:asciiTheme="majorBidi" w:hAnsiTheme="majorBidi" w:cstheme="majorBidi"/>
              </w:rPr>
              <w:t xml:space="preserve"> 0.03</w:t>
            </w:r>
          </w:p>
        </w:tc>
      </w:tr>
      <w:tr w:rsidR="00622F70" w14:paraId="4F64D875"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80B67C9" w14:textId="77777777" w:rsidR="00622F70" w:rsidRPr="00375A1A" w:rsidRDefault="00622F70" w:rsidP="009B07AC">
            <w:pPr>
              <w:rPr>
                <w:rFonts w:asciiTheme="majorBidi" w:hAnsiTheme="majorBidi" w:cstheme="majorBidi"/>
                <w:lang w:val="da-DK"/>
              </w:rPr>
            </w:pPr>
            <w:r>
              <w:rPr>
                <w:rFonts w:asciiTheme="majorBidi" w:hAnsiTheme="majorBidi" w:cstheme="majorBidi"/>
              </w:rPr>
              <w:t>Heart failure</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8997B62" w14:textId="77777777" w:rsidR="00622F70" w:rsidRPr="00375A1A" w:rsidRDefault="00622F70" w:rsidP="009B07AC">
            <w:pPr>
              <w:rPr>
                <w:rFonts w:asciiTheme="majorBidi" w:hAnsiTheme="majorBidi" w:cstheme="majorBidi"/>
              </w:rPr>
            </w:pPr>
            <w:r>
              <w:rPr>
                <w:rFonts w:asciiTheme="majorBidi" w:hAnsiTheme="majorBidi" w:cstheme="majorBidi"/>
              </w:rPr>
              <w:t>84 (1.0%)</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31F580F" w14:textId="77777777" w:rsidR="00622F70" w:rsidRPr="00375A1A" w:rsidRDefault="00622F70" w:rsidP="009B07AC">
            <w:pPr>
              <w:rPr>
                <w:rFonts w:asciiTheme="majorBidi" w:hAnsiTheme="majorBidi" w:cstheme="majorBidi"/>
              </w:rPr>
            </w:pPr>
            <w:r>
              <w:rPr>
                <w:rFonts w:asciiTheme="majorBidi" w:hAnsiTheme="majorBidi" w:cstheme="majorBidi"/>
              </w:rPr>
              <w:t>408 (1.9%)</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4822226" w14:textId="77777777" w:rsidR="00622F70" w:rsidRPr="002D014C" w:rsidRDefault="00622F70" w:rsidP="009B07AC">
            <w:pPr>
              <w:rPr>
                <w:rFonts w:asciiTheme="majorBidi" w:hAnsiTheme="majorBidi" w:cstheme="majorBidi"/>
              </w:rPr>
            </w:pPr>
            <w:r>
              <w:rPr>
                <w:rFonts w:asciiTheme="majorBidi" w:hAnsiTheme="majorBidi" w:cstheme="majorBidi"/>
              </w:rPr>
              <w:t xml:space="preserve"> 0.07</w:t>
            </w:r>
          </w:p>
        </w:tc>
      </w:tr>
      <w:tr w:rsidR="00622F70" w14:paraId="1988251E"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AD0D35F" w14:textId="77777777" w:rsidR="00622F70" w:rsidRPr="00375A1A" w:rsidRDefault="00622F70" w:rsidP="009B07AC">
            <w:pPr>
              <w:rPr>
                <w:rFonts w:asciiTheme="majorBidi" w:hAnsiTheme="majorBidi" w:cstheme="majorBidi"/>
              </w:rPr>
            </w:pPr>
            <w:r>
              <w:rPr>
                <w:rFonts w:asciiTheme="majorBidi" w:hAnsiTheme="majorBidi" w:cstheme="majorBidi"/>
              </w:rPr>
              <w:t>Atrial fibrillation</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6849DFAA" w14:textId="77777777" w:rsidR="00622F70" w:rsidRPr="00375A1A" w:rsidRDefault="00622F70" w:rsidP="009B07AC">
            <w:pPr>
              <w:rPr>
                <w:rFonts w:asciiTheme="majorBidi" w:hAnsiTheme="majorBidi" w:cstheme="majorBidi"/>
              </w:rPr>
            </w:pPr>
            <w:r>
              <w:rPr>
                <w:rFonts w:asciiTheme="majorBidi" w:hAnsiTheme="majorBidi" w:cstheme="majorBidi"/>
              </w:rPr>
              <w:t>397 (4.7%)</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5167C35" w14:textId="77777777" w:rsidR="00622F70" w:rsidRPr="00375A1A" w:rsidRDefault="00622F70" w:rsidP="009B07AC">
            <w:pPr>
              <w:rPr>
                <w:rFonts w:asciiTheme="majorBidi" w:hAnsiTheme="majorBidi" w:cstheme="majorBidi"/>
              </w:rPr>
            </w:pPr>
            <w:r>
              <w:rPr>
                <w:rFonts w:asciiTheme="majorBidi" w:hAnsiTheme="majorBidi" w:cstheme="majorBidi"/>
              </w:rPr>
              <w:t>1180 (5.4%)</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7AA7FC54" w14:textId="77777777" w:rsidR="00622F70" w:rsidRPr="00375A1A" w:rsidRDefault="00622F70" w:rsidP="009B07AC">
            <w:pPr>
              <w:rPr>
                <w:rFonts w:asciiTheme="majorBidi" w:hAnsiTheme="majorBidi" w:cstheme="majorBidi"/>
              </w:rPr>
            </w:pPr>
            <w:r>
              <w:rPr>
                <w:rFonts w:asciiTheme="majorBidi" w:hAnsiTheme="majorBidi" w:cstheme="majorBidi"/>
              </w:rPr>
              <w:t xml:space="preserve"> 0.03</w:t>
            </w:r>
          </w:p>
        </w:tc>
      </w:tr>
      <w:tr w:rsidR="00622F70" w14:paraId="5E5C6DB9" w14:textId="77777777" w:rsidTr="009B07AC">
        <w:tc>
          <w:tcPr>
            <w:tcW w:w="4225"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1704BA74" w14:textId="77777777" w:rsidR="00622F70" w:rsidRPr="00375A1A" w:rsidRDefault="00622F70" w:rsidP="009B07AC">
            <w:pPr>
              <w:rPr>
                <w:rFonts w:asciiTheme="majorBidi" w:hAnsiTheme="majorBidi" w:cstheme="majorBidi"/>
              </w:rPr>
            </w:pPr>
            <w:r>
              <w:rPr>
                <w:rFonts w:asciiTheme="majorBidi" w:hAnsiTheme="majorBidi" w:cstheme="majorBidi"/>
              </w:rPr>
              <w:lastRenderedPageBreak/>
              <w:t>Retinopathy</w:t>
            </w:r>
          </w:p>
        </w:tc>
        <w:tc>
          <w:tcPr>
            <w:tcW w:w="211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2B71C3B7" w14:textId="77777777" w:rsidR="00622F70" w:rsidRPr="00375A1A" w:rsidRDefault="00622F70" w:rsidP="009B07AC">
            <w:pPr>
              <w:rPr>
                <w:rFonts w:asciiTheme="majorBidi" w:hAnsiTheme="majorBidi" w:cstheme="majorBidi"/>
              </w:rPr>
            </w:pPr>
            <w:r>
              <w:rPr>
                <w:rFonts w:asciiTheme="majorBidi" w:hAnsiTheme="majorBidi" w:cstheme="majorBidi"/>
              </w:rPr>
              <w:t>165 (2.0%)</w:t>
            </w:r>
          </w:p>
        </w:tc>
        <w:tc>
          <w:tcPr>
            <w:tcW w:w="2128" w:type="dxa"/>
            <w:gridSpan w:val="2"/>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466E1993" w14:textId="77777777" w:rsidR="00622F70" w:rsidRPr="00375A1A" w:rsidRDefault="00622F70" w:rsidP="009B07AC">
            <w:pPr>
              <w:rPr>
                <w:rFonts w:asciiTheme="majorBidi" w:hAnsiTheme="majorBidi" w:cstheme="majorBidi"/>
              </w:rPr>
            </w:pPr>
            <w:r>
              <w:rPr>
                <w:rFonts w:asciiTheme="majorBidi" w:hAnsiTheme="majorBidi" w:cstheme="majorBidi"/>
              </w:rPr>
              <w:t>765 (3.5%)</w:t>
            </w:r>
          </w:p>
        </w:tc>
        <w:tc>
          <w:tcPr>
            <w:tcW w:w="893"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hideMark/>
          </w:tcPr>
          <w:p w14:paraId="08D7EAEE" w14:textId="77777777" w:rsidR="00622F70" w:rsidRPr="00375A1A" w:rsidRDefault="00622F70" w:rsidP="009B07AC">
            <w:pPr>
              <w:rPr>
                <w:rFonts w:asciiTheme="majorBidi" w:hAnsiTheme="majorBidi" w:cstheme="majorBidi"/>
              </w:rPr>
            </w:pPr>
            <w:r>
              <w:rPr>
                <w:rFonts w:asciiTheme="majorBidi" w:hAnsiTheme="majorBidi" w:cstheme="majorBidi"/>
              </w:rPr>
              <w:t xml:space="preserve"> 0.09</w:t>
            </w:r>
          </w:p>
        </w:tc>
      </w:tr>
    </w:tbl>
    <w:p w14:paraId="1AEA3411" w14:textId="349E2CCD" w:rsidR="00622F70" w:rsidRDefault="00622F70" w:rsidP="00622F70">
      <w:pPr>
        <w:spacing w:line="480" w:lineRule="auto"/>
        <w:rPr>
          <w:rFonts w:asciiTheme="majorBidi" w:hAnsiTheme="majorBidi" w:cstheme="majorBidi"/>
        </w:rPr>
      </w:pPr>
      <w:r w:rsidRPr="00E960EF">
        <w:rPr>
          <w:rFonts w:asciiTheme="majorBidi" w:hAnsiTheme="majorBidi" w:cstheme="majorBidi"/>
        </w:rPr>
        <w:t xml:space="preserve">Data are presented as n (%) for categorical variables, </w:t>
      </w:r>
      <w:r>
        <w:rPr>
          <w:rFonts w:ascii="Times New Roman" w:eastAsia="Apis For Office" w:hAnsi="Times New Roman" w:cs="Times New Roman"/>
        </w:rPr>
        <w:t>means</w:t>
      </w:r>
      <w:r w:rsidRPr="00E960EF">
        <w:rPr>
          <w:rFonts w:asciiTheme="majorBidi" w:hAnsiTheme="majorBidi" w:cstheme="majorBidi"/>
        </w:rPr>
        <w:t xml:space="preserve"> (</w:t>
      </w:r>
      <w:r>
        <w:rPr>
          <w:rFonts w:ascii="Times New Roman" w:eastAsia="Apis For Office" w:hAnsi="Times New Roman" w:cs="Times New Roman"/>
        </w:rPr>
        <w:t>SDs</w:t>
      </w:r>
      <w:r w:rsidRPr="00E960EF">
        <w:rPr>
          <w:rFonts w:asciiTheme="majorBidi" w:hAnsiTheme="majorBidi" w:cstheme="majorBidi"/>
        </w:rPr>
        <w:t xml:space="preserve">) for normally distributed continuous variables, and </w:t>
      </w:r>
      <w:r>
        <w:rPr>
          <w:rFonts w:ascii="Times New Roman" w:eastAsia="Apis For Office" w:hAnsi="Times New Roman" w:cs="Times New Roman"/>
        </w:rPr>
        <w:t>medians (IQRs</w:t>
      </w:r>
      <w:r w:rsidRPr="00E960EF">
        <w:rPr>
          <w:rFonts w:asciiTheme="majorBidi" w:hAnsiTheme="majorBidi" w:cstheme="majorBidi"/>
        </w:rPr>
        <w:t xml:space="preserve">) for </w:t>
      </w:r>
      <w:r>
        <w:rPr>
          <w:rFonts w:ascii="Times New Roman" w:eastAsia="Apis For Office" w:hAnsi="Times New Roman" w:cs="Times New Roman"/>
        </w:rPr>
        <w:t>nonnormally</w:t>
      </w:r>
      <w:r w:rsidRPr="00E960EF">
        <w:rPr>
          <w:rFonts w:asciiTheme="majorBidi" w:hAnsiTheme="majorBidi" w:cstheme="majorBidi"/>
        </w:rPr>
        <w:t xml:space="preserve"> distributed continuous variables. BMI, body mass index; DPP4i, dipeptidyl peptidase-4 inhibitor; eGFR, estimated glomerular filtration rate; HbA1c, glycated hemoglobin; HDL, high-density lipoprotein; IQR, interquartile range; KDIGO, Kidney Disease: Improving Global Outcomes; LDL, low-density lipoprotein; SD, standard deviation; SGLT2i, </w:t>
      </w:r>
      <w:r>
        <w:rPr>
          <w:rFonts w:ascii="Times New Roman" w:eastAsia="Apis For Office" w:hAnsi="Times New Roman" w:cs="Times New Roman"/>
        </w:rPr>
        <w:t>sodium‒glucose</w:t>
      </w:r>
      <w:r w:rsidRPr="00E960EF">
        <w:rPr>
          <w:rFonts w:asciiTheme="majorBidi" w:hAnsiTheme="majorBidi" w:cstheme="majorBidi"/>
        </w:rPr>
        <w:t xml:space="preserve"> cotransporter-2 inhibitor; UACR, urine </w:t>
      </w:r>
      <w:r>
        <w:rPr>
          <w:rFonts w:ascii="Times New Roman" w:eastAsia="Apis For Office" w:hAnsi="Times New Roman" w:cs="Times New Roman"/>
        </w:rPr>
        <w:t>albumin‒creatinine</w:t>
      </w:r>
      <w:r w:rsidRPr="00E960EF">
        <w:rPr>
          <w:rFonts w:asciiTheme="majorBidi" w:hAnsiTheme="majorBidi" w:cstheme="majorBidi"/>
        </w:rPr>
        <w:t xml:space="preserve"> ratio.</w:t>
      </w:r>
      <w:r>
        <w:rPr>
          <w:rFonts w:asciiTheme="majorBidi" w:hAnsiTheme="majorBidi" w:cstheme="majorBidi"/>
        </w:rPr>
        <w:t xml:space="preserve"> </w:t>
      </w:r>
      <w:r w:rsidRPr="007F43B7">
        <w:rPr>
          <w:rFonts w:asciiTheme="majorBidi" w:hAnsiTheme="majorBidi" w:cstheme="majorBidi"/>
        </w:rPr>
        <w:t>SMD, standardized mean difference. For variables presented as median</w:t>
      </w:r>
      <w:r w:rsidR="009F6F81">
        <w:rPr>
          <w:rFonts w:asciiTheme="majorBidi" w:hAnsiTheme="majorBidi" w:cstheme="majorBidi"/>
        </w:rPr>
        <w:t>s</w:t>
      </w:r>
      <w:r w:rsidRPr="007F43B7">
        <w:rPr>
          <w:rFonts w:asciiTheme="majorBidi" w:hAnsiTheme="majorBidi" w:cstheme="majorBidi"/>
        </w:rPr>
        <w:t xml:space="preserve"> (interquartile range</w:t>
      </w:r>
      <w:r w:rsidR="009F6F81">
        <w:rPr>
          <w:rFonts w:asciiTheme="majorBidi" w:hAnsiTheme="majorBidi" w:cstheme="majorBidi"/>
        </w:rPr>
        <w:t>s</w:t>
      </w:r>
      <w:r w:rsidRPr="007F43B7">
        <w:rPr>
          <w:rFonts w:asciiTheme="majorBidi" w:hAnsiTheme="majorBidi" w:cstheme="majorBidi"/>
        </w:rPr>
        <w:t>), the SMD was calculated using the group means and standard deviations</w:t>
      </w:r>
      <w:r>
        <w:rPr>
          <w:rFonts w:asciiTheme="majorBidi" w:hAnsiTheme="majorBidi" w:cstheme="majorBidi"/>
        </w:rPr>
        <w:t xml:space="preserve">. </w:t>
      </w:r>
      <w:r w:rsidRPr="007F43B7">
        <w:rPr>
          <w:rFonts w:asciiTheme="majorBidi" w:hAnsiTheme="majorBidi" w:cstheme="majorBidi"/>
        </w:rPr>
        <w:t>SMDs are reported as absolute values</w:t>
      </w:r>
      <w:r>
        <w:rPr>
          <w:rFonts w:asciiTheme="majorBidi" w:hAnsiTheme="majorBidi" w:cstheme="majorBidi"/>
        </w:rPr>
        <w:t>.</w:t>
      </w:r>
    </w:p>
    <w:p w14:paraId="25DC2C32" w14:textId="77777777"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t xml:space="preserve">Table S5. </w:t>
      </w:r>
      <w:r w:rsidRPr="006D4ED5">
        <w:rPr>
          <w:rFonts w:asciiTheme="majorBidi" w:hAnsiTheme="majorBidi"/>
          <w:b w:val="0"/>
          <w:bCs w:val="0"/>
          <w:lang w:bidi="he-IL"/>
        </w:rPr>
        <w:t>Laboratory testing frequency by treatment group</w:t>
      </w:r>
    </w:p>
    <w:p w14:paraId="0A98409A" w14:textId="77777777" w:rsidR="00622F70" w:rsidRPr="00E8135D" w:rsidRDefault="00622F70" w:rsidP="00622F70">
      <w:pPr>
        <w:rPr>
          <w:rFonts w:asciiTheme="minorBidi" w:hAnsiTheme="minorBidi"/>
          <w:sz w:val="24"/>
          <w:szCs w:val="24"/>
        </w:rPr>
      </w:pPr>
    </w:p>
    <w:tbl>
      <w:tblPr>
        <w:tblW w:w="7372"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512"/>
        <w:gridCol w:w="1656"/>
        <w:gridCol w:w="2044"/>
        <w:gridCol w:w="2160"/>
      </w:tblGrid>
      <w:tr w:rsidR="00622F70" w14:paraId="244AC52A" w14:textId="77777777" w:rsidTr="009B07AC">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0DF2FD89" w14:textId="77777777" w:rsidR="00622F70" w:rsidRPr="007357DA" w:rsidRDefault="00622F70" w:rsidP="009B07AC">
            <w:pPr>
              <w:rPr>
                <w:rFonts w:asciiTheme="majorBidi" w:hAnsiTheme="majorBidi" w:cstheme="majorBidi"/>
                <w:b/>
                <w:bCs/>
                <w:lang w:val="da-DK"/>
              </w:rPr>
            </w:pPr>
            <w:r w:rsidRPr="00ED569D">
              <w:rPr>
                <w:rFonts w:asciiTheme="majorBidi" w:hAnsiTheme="majorBidi" w:cstheme="majorBidi"/>
                <w:b/>
                <w:bCs/>
              </w:rPr>
              <w:t xml:space="preserve"> </w:t>
            </w:r>
            <w:r w:rsidRPr="007357DA">
              <w:rPr>
                <w:rFonts w:asciiTheme="majorBidi" w:hAnsiTheme="majorBidi" w:cstheme="majorBidi"/>
                <w:b/>
                <w:bCs/>
              </w:rPr>
              <w:t>Period</w:t>
            </w: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3DF51CFA" w14:textId="77777777" w:rsidR="00622F70" w:rsidRPr="007357DA" w:rsidRDefault="00622F70" w:rsidP="009B07AC">
            <w:pPr>
              <w:rPr>
                <w:rFonts w:asciiTheme="majorBidi" w:hAnsiTheme="majorBidi" w:cstheme="majorBidi"/>
                <w:b/>
                <w:bCs/>
                <w:lang w:val="da-DK"/>
              </w:rPr>
            </w:pPr>
            <w:r w:rsidRPr="007357DA">
              <w:rPr>
                <w:rFonts w:asciiTheme="majorBidi" w:hAnsiTheme="majorBidi" w:cstheme="majorBidi"/>
                <w:b/>
                <w:bCs/>
              </w:rPr>
              <w:t xml:space="preserve"> Laboratory test</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7F65831A" w14:textId="77777777" w:rsidR="00622F70" w:rsidRPr="007357DA" w:rsidRDefault="00622F70" w:rsidP="009B07AC">
            <w:pPr>
              <w:rPr>
                <w:rFonts w:asciiTheme="majorBidi" w:hAnsiTheme="majorBidi" w:cstheme="majorBidi"/>
                <w:b/>
                <w:bCs/>
                <w:lang w:val="da-DK"/>
              </w:rPr>
            </w:pPr>
            <w:r w:rsidRPr="007357DA">
              <w:rPr>
                <w:rFonts w:asciiTheme="majorBidi" w:hAnsiTheme="majorBidi" w:cstheme="majorBidi"/>
                <w:b/>
                <w:bCs/>
              </w:rPr>
              <w:t xml:space="preserve"> DPP4i, mean (SD)</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746365F1" w14:textId="77777777" w:rsidR="00622F70" w:rsidRPr="007357DA" w:rsidRDefault="00622F70" w:rsidP="009B07AC">
            <w:pPr>
              <w:rPr>
                <w:rFonts w:asciiTheme="majorBidi" w:hAnsiTheme="majorBidi" w:cstheme="majorBidi"/>
                <w:b/>
                <w:bCs/>
                <w:lang w:val="da-DK"/>
              </w:rPr>
            </w:pPr>
            <w:r w:rsidRPr="007357DA">
              <w:rPr>
                <w:rFonts w:asciiTheme="majorBidi" w:hAnsiTheme="majorBidi" w:cstheme="majorBidi"/>
                <w:b/>
                <w:bCs/>
              </w:rPr>
              <w:t xml:space="preserve"> Semaglutide, mean (SD)</w:t>
            </w:r>
          </w:p>
        </w:tc>
      </w:tr>
      <w:tr w:rsidR="00622F70" w14:paraId="42235CE5" w14:textId="77777777" w:rsidTr="009B07AC">
        <w:tc>
          <w:tcPr>
            <w:tcW w:w="1512" w:type="dxa"/>
            <w:vMerge w:val="restart"/>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637AA469" w14:textId="77777777" w:rsidR="00622F70" w:rsidRPr="007357DA" w:rsidRDefault="00622F70" w:rsidP="009B07AC">
            <w:pPr>
              <w:rPr>
                <w:rFonts w:asciiTheme="majorBidi" w:hAnsiTheme="majorBidi" w:cstheme="majorBidi"/>
                <w:b/>
                <w:bCs/>
                <w:lang w:val="da-DK"/>
              </w:rPr>
            </w:pPr>
            <w:r w:rsidRPr="007357DA">
              <w:rPr>
                <w:rFonts w:asciiTheme="majorBidi" w:hAnsiTheme="majorBidi" w:cstheme="majorBidi"/>
                <w:b/>
                <w:bCs/>
              </w:rPr>
              <w:t xml:space="preserve"> Baseline</w:t>
            </w: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73024D46"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eGFR</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3A5B5D4F"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2.26 (1.64)</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5E17624F"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2.20 (1.38)</w:t>
            </w:r>
          </w:p>
        </w:tc>
      </w:tr>
      <w:tr w:rsidR="00622F70" w14:paraId="006F56D8" w14:textId="77777777" w:rsidTr="009B07AC">
        <w:tc>
          <w:tcPr>
            <w:tcW w:w="0" w:type="auto"/>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61AFA21E" w14:textId="77777777" w:rsidR="00622F70" w:rsidRPr="007357DA" w:rsidRDefault="00622F70" w:rsidP="009B07AC">
            <w:pPr>
              <w:rPr>
                <w:rFonts w:asciiTheme="majorBidi" w:hAnsiTheme="majorBidi" w:cstheme="majorBidi"/>
                <w:b/>
                <w:bCs/>
                <w:lang w:val="da-DK"/>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29EB4C71"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UACR</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42E041F9"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1.52 (0.74)</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304FCCC4"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1.53 (0.78)</w:t>
            </w:r>
          </w:p>
        </w:tc>
      </w:tr>
      <w:tr w:rsidR="00622F70" w14:paraId="51075337" w14:textId="77777777" w:rsidTr="009B07AC">
        <w:tc>
          <w:tcPr>
            <w:tcW w:w="1512" w:type="dxa"/>
            <w:vMerge w:val="restart"/>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4A635590" w14:textId="77777777" w:rsidR="00622F70" w:rsidRPr="007357DA" w:rsidRDefault="00622F70" w:rsidP="009B07AC">
            <w:pPr>
              <w:rPr>
                <w:rFonts w:asciiTheme="majorBidi" w:hAnsiTheme="majorBidi" w:cstheme="majorBidi"/>
                <w:b/>
                <w:bCs/>
                <w:lang w:val="da-DK"/>
              </w:rPr>
            </w:pPr>
            <w:r w:rsidRPr="007357DA">
              <w:rPr>
                <w:rFonts w:asciiTheme="majorBidi" w:hAnsiTheme="majorBidi" w:cstheme="majorBidi"/>
                <w:b/>
                <w:bCs/>
              </w:rPr>
              <w:t xml:space="preserve"> Follow-up</w:t>
            </w: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5FD65EE3"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eGFR</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3E030D25"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5.99 (4.32)</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161C26C0"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5.32 (3.74)</w:t>
            </w:r>
          </w:p>
        </w:tc>
      </w:tr>
      <w:tr w:rsidR="00622F70" w14:paraId="1CBD4EBC" w14:textId="77777777" w:rsidTr="009B07AC">
        <w:tc>
          <w:tcPr>
            <w:tcW w:w="0" w:type="auto"/>
            <w:vMerge/>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2110390D" w14:textId="77777777" w:rsidR="00622F70" w:rsidRPr="000D00DE" w:rsidRDefault="00622F70" w:rsidP="009B07AC">
            <w:pPr>
              <w:rPr>
                <w:rFonts w:asciiTheme="minorBidi" w:hAnsiTheme="minorBidi"/>
                <w:sz w:val="24"/>
                <w:szCs w:val="24"/>
              </w:rPr>
            </w:pPr>
          </w:p>
        </w:tc>
        <w:tc>
          <w:tcPr>
            <w:tcW w:w="1656"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066979EC"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UACR</w:t>
            </w:r>
          </w:p>
        </w:tc>
        <w:tc>
          <w:tcPr>
            <w:tcW w:w="2044"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1777102E"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3.67 (1.87)</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top w:w="70" w:type="dxa"/>
              <w:left w:w="0" w:type="dxa"/>
              <w:bottom w:w="70" w:type="dxa"/>
              <w:right w:w="0" w:type="dxa"/>
            </w:tcMar>
            <w:vAlign w:val="center"/>
            <w:hideMark/>
          </w:tcPr>
          <w:p w14:paraId="4DB46617" w14:textId="77777777" w:rsidR="00622F70" w:rsidRPr="00E8135D" w:rsidRDefault="00622F70" w:rsidP="009B07AC">
            <w:pPr>
              <w:rPr>
                <w:rFonts w:asciiTheme="majorBidi" w:hAnsiTheme="majorBidi" w:cstheme="majorBidi"/>
                <w:lang w:val="da-DK"/>
              </w:rPr>
            </w:pPr>
            <w:r w:rsidRPr="00E8135D">
              <w:rPr>
                <w:rFonts w:asciiTheme="majorBidi" w:hAnsiTheme="majorBidi" w:cstheme="majorBidi"/>
              </w:rPr>
              <w:t xml:space="preserve"> 3.38 (1.83)</w:t>
            </w:r>
          </w:p>
        </w:tc>
      </w:tr>
    </w:tbl>
    <w:p w14:paraId="258235A0" w14:textId="0D9F6AF5" w:rsidR="00622F70" w:rsidRPr="00112BAE" w:rsidRDefault="00622F70" w:rsidP="00622F70">
      <w:pPr>
        <w:spacing w:line="480" w:lineRule="auto"/>
        <w:rPr>
          <w:rFonts w:asciiTheme="majorBidi" w:hAnsiTheme="majorBidi" w:cstheme="majorBidi"/>
        </w:rPr>
      </w:pPr>
      <w:r>
        <w:rPr>
          <w:rFonts w:ascii="Times New Roman" w:eastAsia="Apis For Office" w:hAnsi="Times New Roman" w:cs="Times New Roman"/>
        </w:rPr>
        <w:t>The values</w:t>
      </w:r>
      <w:r>
        <w:rPr>
          <w:rFonts w:asciiTheme="majorBidi" w:hAnsiTheme="majorBidi" w:cstheme="majorBidi"/>
        </w:rPr>
        <w:t xml:space="preserve"> are the </w:t>
      </w:r>
      <w:r>
        <w:rPr>
          <w:rFonts w:ascii="Times New Roman" w:eastAsia="Apis For Office" w:hAnsi="Times New Roman" w:cs="Times New Roman"/>
        </w:rPr>
        <w:t>means</w:t>
      </w:r>
      <w:r>
        <w:rPr>
          <w:rFonts w:asciiTheme="majorBidi" w:hAnsiTheme="majorBidi" w:cstheme="majorBidi"/>
        </w:rPr>
        <w:t xml:space="preserve"> (</w:t>
      </w:r>
      <w:r>
        <w:rPr>
          <w:rFonts w:ascii="Times New Roman" w:eastAsia="Apis For Office" w:hAnsi="Times New Roman" w:cs="Times New Roman"/>
        </w:rPr>
        <w:t>SDs</w:t>
      </w:r>
      <w:r>
        <w:rPr>
          <w:rFonts w:asciiTheme="majorBidi" w:hAnsiTheme="majorBidi" w:cstheme="majorBidi"/>
        </w:rPr>
        <w:t xml:space="preserve">) </w:t>
      </w:r>
      <w:r>
        <w:rPr>
          <w:rFonts w:ascii="Times New Roman" w:eastAsia="Apis For Office" w:hAnsi="Times New Roman" w:cs="Times New Roman"/>
        </w:rPr>
        <w:t xml:space="preserve">of the </w:t>
      </w:r>
      <w:r>
        <w:rPr>
          <w:rFonts w:asciiTheme="majorBidi" w:hAnsiTheme="majorBidi" w:cstheme="majorBidi"/>
        </w:rPr>
        <w:t>number of laboratory tests per participant. The baseline period was 365 days before treatment initiation; follow-up refers to the study follow-up period</w:t>
      </w:r>
      <w:r w:rsidR="008B0069">
        <w:rPr>
          <w:rFonts w:asciiTheme="majorBidi" w:hAnsiTheme="majorBidi" w:cstheme="majorBidi"/>
        </w:rPr>
        <w:t xml:space="preserve"> </w:t>
      </w:r>
      <w:r w:rsidR="008B0069">
        <w:rPr>
          <w:rFonts w:asciiTheme="majorBidi" w:hAnsiTheme="majorBidi" w:cstheme="majorBidi"/>
          <w:lang w:val="en-GB" w:bidi="he-IL"/>
        </w:rPr>
        <w:t>of 36 months</w:t>
      </w:r>
      <w:r>
        <w:rPr>
          <w:rFonts w:asciiTheme="majorBidi" w:hAnsiTheme="majorBidi" w:cstheme="majorBidi"/>
        </w:rPr>
        <w:t xml:space="preserve">. DPP4i, dipeptidyl peptidase-4 inhibitor; eGFR, estimated glomerular filtration rate; UACR, urine </w:t>
      </w:r>
      <w:r>
        <w:rPr>
          <w:rFonts w:ascii="Times New Roman" w:eastAsia="Apis For Office" w:hAnsi="Times New Roman" w:cs="Times New Roman"/>
        </w:rPr>
        <w:t>albumin–creatinine</w:t>
      </w:r>
      <w:r>
        <w:rPr>
          <w:rFonts w:asciiTheme="majorBidi" w:hAnsiTheme="majorBidi" w:cstheme="majorBidi"/>
        </w:rPr>
        <w:t xml:space="preserve"> ratio.</w:t>
      </w:r>
    </w:p>
    <w:p w14:paraId="0F4FFEDD" w14:textId="77777777" w:rsidR="00622F70" w:rsidRDefault="00622F70" w:rsidP="006D4ED5">
      <w:pPr>
        <w:pStyle w:val="Heading2"/>
        <w:rPr>
          <w:rFonts w:asciiTheme="majorBidi" w:hAnsiTheme="majorBidi"/>
          <w:b w:val="0"/>
          <w:bCs w:val="0"/>
          <w:lang w:bidi="he-IL"/>
        </w:rPr>
      </w:pPr>
      <w:r w:rsidRPr="006D4ED5">
        <w:rPr>
          <w:rFonts w:asciiTheme="majorBidi" w:hAnsiTheme="majorBidi"/>
          <w:lang w:bidi="he-IL"/>
        </w:rPr>
        <w:t xml:space="preserve">Table S6. </w:t>
      </w:r>
      <w:r w:rsidRPr="006D4ED5">
        <w:rPr>
          <w:rFonts w:asciiTheme="majorBidi" w:hAnsiTheme="majorBidi"/>
          <w:b w:val="0"/>
          <w:bCs w:val="0"/>
          <w:lang w:bidi="he-IL"/>
        </w:rPr>
        <w:t>First occurrence of the primary composite outcome and individual components</w:t>
      </w:r>
    </w:p>
    <w:p w14:paraId="4D8868B7" w14:textId="77777777" w:rsidR="00BA4ABC" w:rsidRPr="00BA4ABC" w:rsidRDefault="00BA4ABC" w:rsidP="00BA4ABC">
      <w:pPr>
        <w:rPr>
          <w:lang w:val="en-GB" w:bidi="he-IL"/>
        </w:rPr>
      </w:pPr>
    </w:p>
    <w:tbl>
      <w:tblPr>
        <w:tblStyle w:val="TableGrid30"/>
        <w:tblW w:w="9016" w:type="dxa"/>
        <w:tblInd w:w="-5" w:type="dxa"/>
        <w:tblLook w:val="04A0" w:firstRow="1" w:lastRow="0" w:firstColumn="1" w:lastColumn="0" w:noHBand="0" w:noVBand="1"/>
      </w:tblPr>
      <w:tblGrid>
        <w:gridCol w:w="2256"/>
        <w:gridCol w:w="2253"/>
        <w:gridCol w:w="2254"/>
        <w:gridCol w:w="2253"/>
      </w:tblGrid>
      <w:tr w:rsidR="00622F70" w14:paraId="62EFA845" w14:textId="77777777" w:rsidTr="009B07AC">
        <w:tc>
          <w:tcPr>
            <w:tcW w:w="2256" w:type="dxa"/>
          </w:tcPr>
          <w:p w14:paraId="0AF11F8F" w14:textId="77777777" w:rsidR="00622F70" w:rsidRPr="00FE0B07" w:rsidRDefault="00622F70" w:rsidP="009B07AC">
            <w:pPr>
              <w:spacing w:line="280" w:lineRule="atLeast"/>
              <w:rPr>
                <w:rFonts w:asciiTheme="minorBidi" w:eastAsiaTheme="minorHAnsi" w:hAnsiTheme="minorBidi"/>
                <w:kern w:val="0"/>
                <w:sz w:val="20"/>
                <w:szCs w:val="20"/>
                <w:lang w:eastAsia="en-US" w:bidi="ar-SA"/>
                <w14:ligatures w14:val="none"/>
              </w:rPr>
            </w:pPr>
          </w:p>
        </w:tc>
        <w:tc>
          <w:tcPr>
            <w:tcW w:w="2253" w:type="dxa"/>
            <w:vAlign w:val="center"/>
          </w:tcPr>
          <w:p w14:paraId="5F54580F" w14:textId="77777777" w:rsidR="00622F70" w:rsidRPr="00FE0B07" w:rsidRDefault="00622F70" w:rsidP="009B07AC">
            <w:pPr>
              <w:spacing w:line="280" w:lineRule="atLeast"/>
              <w:rPr>
                <w:rFonts w:asciiTheme="minorBidi" w:eastAsiaTheme="minorHAnsi" w:hAnsiTheme="minorBidi"/>
                <w:b/>
                <w:bCs/>
                <w:kern w:val="0"/>
                <w:sz w:val="20"/>
                <w:szCs w:val="20"/>
                <w:lang w:val="da-DK" w:eastAsia="en-US" w:bidi="ar-SA"/>
                <w14:ligatures w14:val="none"/>
              </w:rPr>
            </w:pPr>
            <w:r>
              <w:rPr>
                <w:rFonts w:asciiTheme="minorBidi" w:eastAsiaTheme="minorHAnsi" w:hAnsiTheme="minorBidi"/>
                <w:b/>
                <w:bCs/>
                <w:kern w:val="0"/>
                <w:sz w:val="20"/>
                <w:szCs w:val="20"/>
                <w:lang w:eastAsia="en-US" w:bidi="ar-SA"/>
                <w14:ligatures w14:val="none"/>
              </w:rPr>
              <w:t>DPP4i</w:t>
            </w:r>
            <w:r>
              <w:rPr>
                <w:rFonts w:asciiTheme="minorBidi" w:eastAsiaTheme="minorHAnsi" w:hAnsiTheme="minorBidi"/>
                <w:b/>
                <w:bCs/>
                <w:kern w:val="0"/>
                <w:sz w:val="20"/>
                <w:szCs w:val="20"/>
                <w:lang w:eastAsia="en-US" w:bidi="ar-SA"/>
                <w14:ligatures w14:val="none"/>
              </w:rPr>
              <w:br/>
              <w:t>N = 6705</w:t>
            </w:r>
          </w:p>
        </w:tc>
        <w:tc>
          <w:tcPr>
            <w:tcW w:w="2254" w:type="dxa"/>
            <w:vAlign w:val="center"/>
          </w:tcPr>
          <w:p w14:paraId="41C3309C" w14:textId="77777777" w:rsidR="00622F70" w:rsidRPr="00FE0B07" w:rsidRDefault="00622F70" w:rsidP="009B07AC">
            <w:pPr>
              <w:spacing w:line="280" w:lineRule="atLeast"/>
              <w:rPr>
                <w:rFonts w:asciiTheme="minorBidi" w:eastAsiaTheme="minorHAnsi" w:hAnsiTheme="minorBidi"/>
                <w:b/>
                <w:bCs/>
                <w:kern w:val="0"/>
                <w:sz w:val="20"/>
                <w:szCs w:val="20"/>
                <w:lang w:val="da-DK" w:eastAsia="en-US" w:bidi="ar-SA"/>
                <w14:ligatures w14:val="none"/>
              </w:rPr>
            </w:pPr>
            <w:r>
              <w:rPr>
                <w:rFonts w:asciiTheme="minorBidi" w:eastAsiaTheme="minorHAnsi" w:hAnsiTheme="minorBidi"/>
                <w:b/>
                <w:bCs/>
                <w:kern w:val="0"/>
                <w:sz w:val="20"/>
                <w:szCs w:val="20"/>
                <w:lang w:eastAsia="en-US" w:bidi="ar-SA"/>
                <w14:ligatures w14:val="none"/>
              </w:rPr>
              <w:t>Semaglutide</w:t>
            </w:r>
            <w:r>
              <w:rPr>
                <w:rFonts w:asciiTheme="minorBidi" w:eastAsiaTheme="minorHAnsi" w:hAnsiTheme="minorBidi"/>
                <w:b/>
                <w:bCs/>
                <w:kern w:val="0"/>
                <w:sz w:val="20"/>
                <w:szCs w:val="20"/>
                <w:lang w:eastAsia="en-US" w:bidi="ar-SA"/>
                <w14:ligatures w14:val="none"/>
              </w:rPr>
              <w:br/>
              <w:t>N = 6705</w:t>
            </w:r>
          </w:p>
        </w:tc>
        <w:tc>
          <w:tcPr>
            <w:tcW w:w="2253" w:type="dxa"/>
          </w:tcPr>
          <w:p w14:paraId="782C9F7E" w14:textId="77777777" w:rsidR="00622F70" w:rsidRPr="00FE0B07" w:rsidRDefault="00622F70" w:rsidP="009B07AC">
            <w:pPr>
              <w:spacing w:line="280" w:lineRule="atLeast"/>
              <w:rPr>
                <w:rFonts w:asciiTheme="minorBidi" w:eastAsiaTheme="minorHAnsi" w:hAnsiTheme="minorBidi"/>
                <w:b/>
                <w:bCs/>
                <w:kern w:val="0"/>
                <w:sz w:val="20"/>
                <w:szCs w:val="20"/>
                <w:lang w:val="da-DK" w:eastAsia="en-US" w:bidi="ar-SA"/>
                <w14:ligatures w14:val="none"/>
              </w:rPr>
            </w:pPr>
            <w:r>
              <w:rPr>
                <w:rFonts w:asciiTheme="minorBidi" w:eastAsiaTheme="minorHAnsi" w:hAnsiTheme="minorBidi"/>
                <w:b/>
                <w:bCs/>
                <w:kern w:val="0"/>
                <w:sz w:val="20"/>
                <w:szCs w:val="20"/>
                <w:lang w:eastAsia="en-US" w:bidi="ar-SA"/>
                <w14:ligatures w14:val="none"/>
              </w:rPr>
              <w:t>p value</w:t>
            </w:r>
          </w:p>
        </w:tc>
      </w:tr>
      <w:tr w:rsidR="00622F70" w14:paraId="048BE93E" w14:textId="77777777" w:rsidTr="009B07AC">
        <w:trPr>
          <w:trHeight w:val="521"/>
        </w:trPr>
        <w:tc>
          <w:tcPr>
            <w:tcW w:w="2256" w:type="dxa"/>
            <w:vAlign w:val="center"/>
          </w:tcPr>
          <w:p w14:paraId="1F1756E1"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p>
        </w:tc>
        <w:tc>
          <w:tcPr>
            <w:tcW w:w="4507" w:type="dxa"/>
            <w:gridSpan w:val="2"/>
            <w:vAlign w:val="center"/>
          </w:tcPr>
          <w:p w14:paraId="5D6CBA39" w14:textId="77777777" w:rsidR="00622F70" w:rsidRPr="00FE0B07" w:rsidRDefault="00622F70" w:rsidP="009B07AC">
            <w:pPr>
              <w:spacing w:line="280" w:lineRule="atLeast"/>
              <w:rPr>
                <w:rFonts w:asciiTheme="minorBidi" w:eastAsiaTheme="minorHAnsi" w:hAnsiTheme="minorBidi"/>
                <w:b/>
                <w:bCs/>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 xml:space="preserve">                        </w:t>
            </w:r>
            <w:r>
              <w:rPr>
                <w:rFonts w:asciiTheme="minorBidi" w:eastAsiaTheme="minorHAnsi" w:hAnsiTheme="minorBidi"/>
                <w:b/>
                <w:bCs/>
                <w:kern w:val="0"/>
                <w:sz w:val="20"/>
                <w:szCs w:val="20"/>
                <w:lang w:eastAsia="en-US" w:bidi="ar-SA"/>
                <w14:ligatures w14:val="none"/>
              </w:rPr>
              <w:t>n of events (%)</w:t>
            </w:r>
          </w:p>
        </w:tc>
        <w:tc>
          <w:tcPr>
            <w:tcW w:w="2253" w:type="dxa"/>
            <w:vAlign w:val="center"/>
          </w:tcPr>
          <w:p w14:paraId="2F30F74C"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p>
        </w:tc>
      </w:tr>
      <w:tr w:rsidR="00622F70" w14:paraId="05785D77" w14:textId="77777777" w:rsidTr="009B07AC">
        <w:tc>
          <w:tcPr>
            <w:tcW w:w="2256" w:type="dxa"/>
            <w:vAlign w:val="center"/>
          </w:tcPr>
          <w:p w14:paraId="067F9FB5" w14:textId="77777777" w:rsidR="00622F70" w:rsidRPr="00FE0B07" w:rsidRDefault="00622F70" w:rsidP="009B07AC">
            <w:pPr>
              <w:spacing w:line="280" w:lineRule="atLeast"/>
              <w:rPr>
                <w:rFonts w:asciiTheme="minorBidi" w:eastAsiaTheme="minorHAnsi" w:hAnsiTheme="minorBidi"/>
                <w:kern w:val="0"/>
                <w:sz w:val="20"/>
                <w:szCs w:val="20"/>
                <w:lang w:eastAsia="en-US" w:bidi="ar-SA"/>
                <w14:ligatures w14:val="none"/>
              </w:rPr>
            </w:pPr>
            <w:r>
              <w:rPr>
                <w:rFonts w:asciiTheme="minorBidi" w:eastAsiaTheme="minorHAnsi" w:hAnsiTheme="minorBidi"/>
                <w:kern w:val="0"/>
                <w:sz w:val="20"/>
                <w:szCs w:val="20"/>
                <w:lang w:eastAsia="en-US" w:bidi="ar-SA"/>
                <w14:ligatures w14:val="none"/>
              </w:rPr>
              <w:lastRenderedPageBreak/>
              <w:t xml:space="preserve">Primary composite outcome events </w:t>
            </w:r>
            <w:r>
              <w:rPr>
                <w:rFonts w:asciiTheme="minorBidi" w:eastAsiaTheme="minorHAnsi" w:hAnsiTheme="minorBidi"/>
                <w:kern w:val="0"/>
                <w:sz w:val="20"/>
                <w:szCs w:val="20"/>
                <w:vertAlign w:val="superscript"/>
                <w:lang w:eastAsia="en-US" w:bidi="ar-SA"/>
                <w14:ligatures w14:val="none"/>
              </w:rPr>
              <w:t>a</w:t>
            </w:r>
          </w:p>
        </w:tc>
        <w:tc>
          <w:tcPr>
            <w:tcW w:w="2253" w:type="dxa"/>
            <w:vAlign w:val="center"/>
          </w:tcPr>
          <w:p w14:paraId="691E8E5C"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844 (12.6%)</w:t>
            </w:r>
          </w:p>
        </w:tc>
        <w:tc>
          <w:tcPr>
            <w:tcW w:w="2254" w:type="dxa"/>
            <w:vAlign w:val="center"/>
          </w:tcPr>
          <w:p w14:paraId="544854AF"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581 (8.7%)</w:t>
            </w:r>
          </w:p>
        </w:tc>
        <w:tc>
          <w:tcPr>
            <w:tcW w:w="2253" w:type="dxa"/>
            <w:vAlign w:val="center"/>
          </w:tcPr>
          <w:p w14:paraId="75E5A1AD"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&lt;0.001</w:t>
            </w:r>
          </w:p>
        </w:tc>
      </w:tr>
      <w:tr w:rsidR="00622F70" w14:paraId="08E1BCE2" w14:textId="77777777" w:rsidTr="009B07AC">
        <w:tc>
          <w:tcPr>
            <w:tcW w:w="2256" w:type="dxa"/>
            <w:vAlign w:val="center"/>
          </w:tcPr>
          <w:p w14:paraId="75A65C31" w14:textId="77777777" w:rsidR="00622F70" w:rsidRPr="00FE0B07" w:rsidRDefault="00622F70" w:rsidP="009B07AC">
            <w:pPr>
              <w:spacing w:line="280" w:lineRule="atLeast"/>
              <w:rPr>
                <w:rFonts w:asciiTheme="minorBidi" w:eastAsiaTheme="minorHAnsi" w:hAnsiTheme="minorBidi"/>
                <w:kern w:val="0"/>
                <w:sz w:val="20"/>
                <w:szCs w:val="20"/>
                <w:lang w:eastAsia="en-US" w:bidi="ar-SA"/>
                <w14:ligatures w14:val="none"/>
              </w:rPr>
            </w:pPr>
            <w:r>
              <w:rPr>
                <w:rFonts w:asciiTheme="minorBidi" w:eastAsiaTheme="minorHAnsi" w:hAnsiTheme="minorBidi"/>
                <w:kern w:val="0"/>
                <w:sz w:val="20"/>
                <w:szCs w:val="20"/>
                <w:lang w:eastAsia="en-US" w:bidi="ar-SA"/>
                <w14:ligatures w14:val="none"/>
              </w:rPr>
              <w:t>eGFR</w:t>
            </w:r>
          </w:p>
          <w:p w14:paraId="0A2BCC53" w14:textId="77777777" w:rsidR="00622F70" w:rsidRPr="00FE0B07" w:rsidRDefault="00622F70" w:rsidP="009B07AC">
            <w:pPr>
              <w:spacing w:line="280" w:lineRule="atLeast"/>
              <w:rPr>
                <w:rFonts w:asciiTheme="minorBidi" w:eastAsiaTheme="minorHAnsi" w:hAnsiTheme="minorBidi"/>
                <w:kern w:val="0"/>
                <w:sz w:val="20"/>
                <w:szCs w:val="20"/>
                <w:lang w:eastAsia="en-US" w:bidi="ar-SA"/>
                <w14:ligatures w14:val="none"/>
              </w:rPr>
            </w:pPr>
            <w:r>
              <w:rPr>
                <w:rFonts w:asciiTheme="minorBidi" w:eastAsiaTheme="minorHAnsi" w:hAnsiTheme="minorBidi"/>
                <w:kern w:val="0"/>
                <w:sz w:val="20"/>
                <w:szCs w:val="20"/>
                <w:lang w:eastAsia="en-US" w:bidi="ar-SA"/>
                <w14:ligatures w14:val="none"/>
              </w:rPr>
              <w:t>decline of at least 30%</w:t>
            </w:r>
          </w:p>
        </w:tc>
        <w:tc>
          <w:tcPr>
            <w:tcW w:w="2253" w:type="dxa"/>
            <w:vAlign w:val="center"/>
          </w:tcPr>
          <w:p w14:paraId="4D4A3DD4"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191 (2.8%)</w:t>
            </w:r>
          </w:p>
        </w:tc>
        <w:tc>
          <w:tcPr>
            <w:tcW w:w="2254" w:type="dxa"/>
            <w:vAlign w:val="center"/>
          </w:tcPr>
          <w:p w14:paraId="3432D844"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125 (1.9%)</w:t>
            </w:r>
          </w:p>
        </w:tc>
        <w:tc>
          <w:tcPr>
            <w:tcW w:w="2253" w:type="dxa"/>
            <w:vAlign w:val="center"/>
          </w:tcPr>
          <w:p w14:paraId="1D9F71E9"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 xml:space="preserve">  0.004</w:t>
            </w:r>
          </w:p>
        </w:tc>
      </w:tr>
      <w:tr w:rsidR="00622F70" w14:paraId="04B01589" w14:textId="77777777" w:rsidTr="009B07AC">
        <w:tc>
          <w:tcPr>
            <w:tcW w:w="2256" w:type="dxa"/>
            <w:vAlign w:val="center"/>
          </w:tcPr>
          <w:p w14:paraId="5717D748" w14:textId="77777777" w:rsidR="00622F70" w:rsidRPr="00D876CA" w:rsidRDefault="00622F70" w:rsidP="009B07AC">
            <w:pPr>
              <w:spacing w:line="280" w:lineRule="atLeast"/>
              <w:rPr>
                <w:rFonts w:asciiTheme="minorBidi" w:eastAsiaTheme="minorHAnsi" w:hAnsiTheme="minorBidi"/>
                <w:kern w:val="0"/>
                <w:sz w:val="20"/>
                <w:szCs w:val="20"/>
                <w:lang w:eastAsia="en-US" w:bidi="ar-SA"/>
                <w14:ligatures w14:val="none"/>
              </w:rPr>
            </w:pPr>
            <w:r w:rsidRPr="00D876CA">
              <w:rPr>
                <w:rFonts w:asciiTheme="minorBidi" w:eastAsiaTheme="minorHAnsi" w:hAnsiTheme="minorBidi"/>
                <w:kern w:val="0"/>
                <w:sz w:val="20"/>
                <w:szCs w:val="20"/>
                <w:lang w:eastAsia="en-US" w:bidi="ar-SA"/>
                <w14:ligatures w14:val="none"/>
              </w:rPr>
              <w:t>New-onset or worsening albuminuria</w:t>
            </w:r>
          </w:p>
        </w:tc>
        <w:tc>
          <w:tcPr>
            <w:tcW w:w="2253" w:type="dxa"/>
            <w:vAlign w:val="center"/>
          </w:tcPr>
          <w:p w14:paraId="48AAD34D"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545 (8.1%)</w:t>
            </w:r>
          </w:p>
        </w:tc>
        <w:tc>
          <w:tcPr>
            <w:tcW w:w="2254" w:type="dxa"/>
            <w:vAlign w:val="center"/>
          </w:tcPr>
          <w:p w14:paraId="5C790B43"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399 (6.0%)</w:t>
            </w:r>
          </w:p>
        </w:tc>
        <w:tc>
          <w:tcPr>
            <w:tcW w:w="2253" w:type="dxa"/>
            <w:vAlign w:val="center"/>
          </w:tcPr>
          <w:p w14:paraId="2AB1DE76"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&lt;0.001</w:t>
            </w:r>
          </w:p>
        </w:tc>
      </w:tr>
      <w:tr w:rsidR="00622F70" w14:paraId="32D8B7E6" w14:textId="77777777" w:rsidTr="009B07AC">
        <w:tc>
          <w:tcPr>
            <w:tcW w:w="2256" w:type="dxa"/>
            <w:vAlign w:val="center"/>
          </w:tcPr>
          <w:p w14:paraId="7236D2E0" w14:textId="77777777" w:rsidR="00622F70" w:rsidRPr="00FE0B07" w:rsidRDefault="00622F70" w:rsidP="009B07AC">
            <w:pPr>
              <w:spacing w:line="280" w:lineRule="atLeast"/>
              <w:rPr>
                <w:rFonts w:asciiTheme="minorBidi" w:eastAsiaTheme="minorHAnsi" w:hAnsiTheme="minorBidi"/>
                <w:kern w:val="0"/>
                <w:sz w:val="20"/>
                <w:szCs w:val="20"/>
                <w:lang w:eastAsia="en-US" w:bidi="ar-SA"/>
                <w14:ligatures w14:val="none"/>
              </w:rPr>
            </w:pPr>
            <w:r>
              <w:rPr>
                <w:rFonts w:asciiTheme="minorBidi" w:eastAsiaTheme="minorHAnsi" w:hAnsiTheme="minorBidi"/>
                <w:kern w:val="0"/>
                <w:sz w:val="20"/>
                <w:szCs w:val="20"/>
                <w:lang w:eastAsia="en-US" w:bidi="ar-SA"/>
                <w14:ligatures w14:val="none"/>
              </w:rPr>
              <w:t>ESKD (end-stage kidney disease)</w:t>
            </w:r>
          </w:p>
        </w:tc>
        <w:tc>
          <w:tcPr>
            <w:tcW w:w="2253" w:type="dxa"/>
            <w:vAlign w:val="center"/>
          </w:tcPr>
          <w:p w14:paraId="3C44DEBA"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 xml:space="preserve"> 2 (&lt;0.1%)</w:t>
            </w:r>
          </w:p>
        </w:tc>
        <w:tc>
          <w:tcPr>
            <w:tcW w:w="2254" w:type="dxa"/>
            <w:vAlign w:val="center"/>
          </w:tcPr>
          <w:p w14:paraId="39214915"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 xml:space="preserve"> 3 (&lt;0.1%)</w:t>
            </w:r>
          </w:p>
        </w:tc>
        <w:tc>
          <w:tcPr>
            <w:tcW w:w="2253" w:type="dxa"/>
            <w:vAlign w:val="center"/>
          </w:tcPr>
          <w:p w14:paraId="4CFD775B"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 xml:space="preserve">  0.6</w:t>
            </w:r>
          </w:p>
        </w:tc>
      </w:tr>
      <w:tr w:rsidR="00622F70" w14:paraId="7B5F1D02" w14:textId="77777777" w:rsidTr="009B07AC">
        <w:tc>
          <w:tcPr>
            <w:tcW w:w="2256" w:type="dxa"/>
            <w:vAlign w:val="center"/>
          </w:tcPr>
          <w:p w14:paraId="3F13C43A"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All-cause death</w:t>
            </w:r>
          </w:p>
        </w:tc>
        <w:tc>
          <w:tcPr>
            <w:tcW w:w="2253" w:type="dxa"/>
            <w:vAlign w:val="center"/>
          </w:tcPr>
          <w:p w14:paraId="745BBE75"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114 (1.7%)</w:t>
            </w:r>
          </w:p>
        </w:tc>
        <w:tc>
          <w:tcPr>
            <w:tcW w:w="2254" w:type="dxa"/>
            <w:vAlign w:val="center"/>
          </w:tcPr>
          <w:p w14:paraId="7EA68317"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61 (0.9%)</w:t>
            </w:r>
          </w:p>
        </w:tc>
        <w:tc>
          <w:tcPr>
            <w:tcW w:w="2253" w:type="dxa"/>
            <w:vAlign w:val="center"/>
          </w:tcPr>
          <w:p w14:paraId="54FFFB78" w14:textId="77777777" w:rsidR="00622F70" w:rsidRPr="00FE0B07" w:rsidRDefault="00622F70" w:rsidP="009B07AC">
            <w:pPr>
              <w:spacing w:line="280" w:lineRule="atLeast"/>
              <w:rPr>
                <w:rFonts w:asciiTheme="minorBidi" w:eastAsiaTheme="minorHAnsi" w:hAnsiTheme="minorBidi"/>
                <w:kern w:val="0"/>
                <w:sz w:val="20"/>
                <w:szCs w:val="20"/>
                <w:lang w:val="da-DK" w:eastAsia="en-US" w:bidi="ar-SA"/>
                <w14:ligatures w14:val="none"/>
              </w:rPr>
            </w:pPr>
            <w:r>
              <w:rPr>
                <w:rFonts w:asciiTheme="minorBidi" w:eastAsiaTheme="minorHAnsi" w:hAnsiTheme="minorBidi"/>
                <w:kern w:val="0"/>
                <w:sz w:val="20"/>
                <w:szCs w:val="20"/>
                <w:lang w:eastAsia="en-US" w:bidi="ar-SA"/>
                <w14:ligatures w14:val="none"/>
              </w:rPr>
              <w:t>&lt;0.001</w:t>
            </w:r>
          </w:p>
        </w:tc>
      </w:tr>
    </w:tbl>
    <w:p w14:paraId="0AE8BD95" w14:textId="77777777" w:rsidR="00622F70" w:rsidRPr="00651882" w:rsidRDefault="00622F70" w:rsidP="00622F70">
      <w:pPr>
        <w:spacing w:line="480" w:lineRule="auto"/>
        <w:rPr>
          <w:rFonts w:asciiTheme="minorBidi" w:hAnsiTheme="minorBidi"/>
        </w:rPr>
      </w:pPr>
      <w:r>
        <w:rPr>
          <w:rFonts w:ascii="Times New Roman" w:eastAsia="Apis For Office" w:hAnsi="Times New Roman" w:cs="Times New Roman"/>
        </w:rPr>
        <w:t>The event</w:t>
      </w:r>
      <w:r>
        <w:rPr>
          <w:rFonts w:asciiTheme="minorBidi" w:hAnsiTheme="minorBidi"/>
        </w:rPr>
        <w:t xml:space="preserve"> counts and percentages are descriptive and unadjusted. P</w:t>
      </w:r>
      <w:r>
        <w:rPr>
          <w:rFonts w:ascii="Times New Roman" w:eastAsia="Apis For Office" w:hAnsi="Times New Roman" w:cs="Times New Roman"/>
        </w:rPr>
        <w:t xml:space="preserve"> </w:t>
      </w:r>
      <w:r>
        <w:rPr>
          <w:rFonts w:asciiTheme="minorBidi" w:hAnsiTheme="minorBidi"/>
        </w:rPr>
        <w:t xml:space="preserve">values were calculated </w:t>
      </w:r>
      <w:r>
        <w:rPr>
          <w:rFonts w:ascii="Times New Roman" w:eastAsia="Apis For Office" w:hAnsi="Times New Roman" w:cs="Times New Roman"/>
        </w:rPr>
        <w:t>via</w:t>
      </w:r>
      <w:r>
        <w:rPr>
          <w:rFonts w:asciiTheme="minorBidi" w:hAnsiTheme="minorBidi"/>
        </w:rPr>
        <w:t xml:space="preserve"> log-rank tests. Adjusted hazard ratios are reported in the main </w:t>
      </w:r>
      <w:r>
        <w:rPr>
          <w:rFonts w:ascii="Times New Roman" w:eastAsia="Apis For Office" w:hAnsi="Times New Roman" w:cs="Times New Roman"/>
        </w:rPr>
        <w:t>time‒event</w:t>
      </w:r>
      <w:r>
        <w:rPr>
          <w:rFonts w:asciiTheme="minorBidi" w:hAnsiTheme="minorBidi"/>
        </w:rPr>
        <w:t xml:space="preserve"> analyses. </w:t>
      </w:r>
      <w:proofErr w:type="spellStart"/>
      <w:r w:rsidRPr="005E3B24">
        <w:rPr>
          <w:rFonts w:asciiTheme="minorBidi" w:hAnsiTheme="minorBidi"/>
          <w:vertAlign w:val="superscript"/>
        </w:rPr>
        <w:t>a</w:t>
      </w:r>
      <w:proofErr w:type="spellEnd"/>
      <w:r w:rsidRPr="003C498E">
        <w:rPr>
          <w:rFonts w:asciiTheme="minorBidi" w:hAnsiTheme="minorBidi"/>
        </w:rPr>
        <w:t xml:space="preserve"> For the composite outcome, each participant contributed only once according to the time of first event occurrence. If multiple outcome components occurred on the same day in the same participant, each component was counted in its respective category; therefore, component totals may exceed the number of composite events. DPP4i, dipeptidyl peptidase-4 inhibitor; eGFR, estimated glomerular filtration rate; ESKD, end-stage kidney disease.</w:t>
      </w:r>
    </w:p>
    <w:p w14:paraId="1DBDA751" w14:textId="77777777"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t xml:space="preserve">Table S7. </w:t>
      </w:r>
      <w:r w:rsidRPr="006D4ED5">
        <w:rPr>
          <w:rFonts w:asciiTheme="majorBidi" w:hAnsiTheme="majorBidi"/>
          <w:b w:val="0"/>
          <w:bCs w:val="0"/>
          <w:lang w:bidi="he-IL"/>
        </w:rPr>
        <w:t xml:space="preserve">Sensitivity analysis: 3-month peri-index SGLT2i exposure definition </w:t>
      </w:r>
    </w:p>
    <w:p w14:paraId="0FC88C05" w14:textId="77777777" w:rsidR="00622F70" w:rsidRDefault="00622F70" w:rsidP="00622F70">
      <w:pPr>
        <w:rPr>
          <w:rFonts w:asciiTheme="minorBidi" w:hAnsiTheme="minorBidi"/>
          <w:b/>
          <w:bCs/>
          <w:sz w:val="24"/>
          <w:szCs w:val="24"/>
        </w:rPr>
      </w:pPr>
      <w:r>
        <w:rPr>
          <w:rFonts w:asciiTheme="minorBidi" w:hAnsiTheme="minorBidi"/>
          <w:b/>
          <w:bCs/>
          <w:sz w:val="24"/>
          <w:szCs w:val="24"/>
        </w:rPr>
        <w:t xml:space="preserve"> </w:t>
      </w:r>
    </w:p>
    <w:tbl>
      <w:tblPr>
        <w:tblStyle w:val="TableGrid"/>
        <w:tblW w:w="0" w:type="auto"/>
        <w:tblLook w:val="04A0" w:firstRow="1" w:lastRow="0" w:firstColumn="1" w:lastColumn="0" w:noHBand="0" w:noVBand="1"/>
      </w:tblPr>
      <w:tblGrid>
        <w:gridCol w:w="4315"/>
        <w:gridCol w:w="3240"/>
      </w:tblGrid>
      <w:tr w:rsidR="00622F70" w:rsidRPr="00851F56" w14:paraId="6D37887C" w14:textId="77777777" w:rsidTr="00A02985">
        <w:tc>
          <w:tcPr>
            <w:tcW w:w="4315" w:type="dxa"/>
          </w:tcPr>
          <w:p w14:paraId="1BB05B22" w14:textId="77777777" w:rsidR="00622F70" w:rsidRPr="00851F56" w:rsidRDefault="00622F70" w:rsidP="009B07AC">
            <w:pPr>
              <w:rPr>
                <w:rFonts w:asciiTheme="minorBidi" w:hAnsiTheme="minorBidi"/>
                <w:b/>
                <w:bCs/>
              </w:rPr>
            </w:pPr>
            <w:r w:rsidRPr="00851F56">
              <w:rPr>
                <w:rFonts w:asciiTheme="minorBidi" w:hAnsiTheme="minorBidi"/>
                <w:b/>
                <w:bCs/>
              </w:rPr>
              <w:t>Primary composite outcome</w:t>
            </w:r>
          </w:p>
        </w:tc>
        <w:tc>
          <w:tcPr>
            <w:tcW w:w="3240" w:type="dxa"/>
          </w:tcPr>
          <w:p w14:paraId="57A4ED7C" w14:textId="77777777" w:rsidR="00622F70" w:rsidRPr="00851F56" w:rsidRDefault="00622F70" w:rsidP="009B07AC">
            <w:pPr>
              <w:rPr>
                <w:rFonts w:asciiTheme="minorBidi" w:hAnsiTheme="minorBidi"/>
                <w:b/>
                <w:bCs/>
              </w:rPr>
            </w:pPr>
            <w:r w:rsidRPr="00851F56">
              <w:rPr>
                <w:rFonts w:asciiTheme="minorBidi" w:hAnsiTheme="minorBidi"/>
                <w:b/>
                <w:bCs/>
              </w:rPr>
              <w:t xml:space="preserve">Adjusted HR </w:t>
            </w:r>
          </w:p>
        </w:tc>
      </w:tr>
      <w:tr w:rsidR="00622F70" w:rsidRPr="00851F56" w14:paraId="18ED7C66" w14:textId="77777777" w:rsidTr="00A02985">
        <w:tc>
          <w:tcPr>
            <w:tcW w:w="4315" w:type="dxa"/>
          </w:tcPr>
          <w:p w14:paraId="067BE01B" w14:textId="77777777" w:rsidR="00622F70" w:rsidRPr="00851F56" w:rsidRDefault="00622F70" w:rsidP="009B07AC">
            <w:pPr>
              <w:rPr>
                <w:rFonts w:asciiTheme="minorBidi" w:hAnsiTheme="minorBidi"/>
              </w:rPr>
            </w:pPr>
            <w:r w:rsidRPr="00851F56">
              <w:rPr>
                <w:rFonts w:asciiTheme="minorBidi" w:hAnsiTheme="minorBidi"/>
              </w:rPr>
              <w:t xml:space="preserve">General study cohort </w:t>
            </w:r>
          </w:p>
        </w:tc>
        <w:tc>
          <w:tcPr>
            <w:tcW w:w="3240" w:type="dxa"/>
          </w:tcPr>
          <w:p w14:paraId="59512461" w14:textId="0F4AF152" w:rsidR="00622F70" w:rsidRPr="00A02985" w:rsidRDefault="00A02985" w:rsidP="009B07AC">
            <w:pPr>
              <w:rPr>
                <w:rFonts w:asciiTheme="minorBidi" w:hAnsiTheme="minorBidi"/>
              </w:rPr>
            </w:pPr>
            <w:r w:rsidRPr="00A02985">
              <w:rPr>
                <w:rFonts w:asciiTheme="minorBidi" w:hAnsiTheme="minorBidi"/>
              </w:rPr>
              <w:t>0.69; 95% CI 0.6</w:t>
            </w:r>
            <w:r w:rsidR="003C156A">
              <w:rPr>
                <w:rFonts w:asciiTheme="minorBidi" w:hAnsiTheme="minorBidi"/>
              </w:rPr>
              <w:t>2</w:t>
            </w:r>
            <w:r w:rsidRPr="00A02985">
              <w:rPr>
                <w:rFonts w:asciiTheme="minorBidi" w:hAnsiTheme="minorBidi"/>
              </w:rPr>
              <w:t>–0.78; p&lt;0.001</w:t>
            </w:r>
          </w:p>
        </w:tc>
      </w:tr>
      <w:tr w:rsidR="00622F70" w:rsidRPr="00851F56" w14:paraId="577E6D63" w14:textId="77777777" w:rsidTr="00A02985">
        <w:tc>
          <w:tcPr>
            <w:tcW w:w="4315" w:type="dxa"/>
          </w:tcPr>
          <w:p w14:paraId="69CA22C1" w14:textId="77777777" w:rsidR="00622F70" w:rsidRPr="00851F56" w:rsidRDefault="00622F70" w:rsidP="009B07AC">
            <w:pPr>
              <w:rPr>
                <w:rFonts w:asciiTheme="minorBidi" w:hAnsiTheme="minorBidi"/>
              </w:rPr>
            </w:pPr>
            <w:r w:rsidRPr="00851F56">
              <w:rPr>
                <w:rFonts w:asciiTheme="minorBidi" w:hAnsiTheme="minorBidi"/>
              </w:rPr>
              <w:t xml:space="preserve">Participants with SGLT2i at baseline </w:t>
            </w:r>
          </w:p>
        </w:tc>
        <w:tc>
          <w:tcPr>
            <w:tcW w:w="3240" w:type="dxa"/>
          </w:tcPr>
          <w:p w14:paraId="0AA42DD1" w14:textId="1B4E6F75" w:rsidR="00622F70" w:rsidRPr="00B079CF" w:rsidRDefault="00B079CF" w:rsidP="009B07AC">
            <w:pPr>
              <w:rPr>
                <w:rFonts w:asciiTheme="minorBidi" w:hAnsiTheme="minorBidi"/>
              </w:rPr>
            </w:pPr>
            <w:r w:rsidRPr="00B079CF">
              <w:rPr>
                <w:rFonts w:asciiTheme="minorBidi" w:hAnsiTheme="minorBidi"/>
              </w:rPr>
              <w:t>0.69; 95% CI 0.</w:t>
            </w:r>
            <w:r>
              <w:rPr>
                <w:rFonts w:asciiTheme="minorBidi" w:hAnsiTheme="minorBidi"/>
              </w:rPr>
              <w:t>53</w:t>
            </w:r>
            <w:r w:rsidRPr="00B079CF">
              <w:rPr>
                <w:rFonts w:asciiTheme="minorBidi" w:hAnsiTheme="minorBidi"/>
              </w:rPr>
              <w:t>–0.</w:t>
            </w:r>
            <w:r>
              <w:rPr>
                <w:rFonts w:asciiTheme="minorBidi" w:hAnsiTheme="minorBidi"/>
              </w:rPr>
              <w:t>91</w:t>
            </w:r>
            <w:r w:rsidRPr="00B079CF">
              <w:rPr>
                <w:rFonts w:asciiTheme="minorBidi" w:hAnsiTheme="minorBidi"/>
              </w:rPr>
              <w:t>; p</w:t>
            </w:r>
            <w:r w:rsidR="00862635">
              <w:rPr>
                <w:rFonts w:asciiTheme="minorBidi" w:hAnsiTheme="minorBidi"/>
              </w:rPr>
              <w:t>=</w:t>
            </w:r>
            <w:r w:rsidRPr="00B079CF">
              <w:rPr>
                <w:rFonts w:asciiTheme="minorBidi" w:hAnsiTheme="minorBidi"/>
              </w:rPr>
              <w:t>0.0</w:t>
            </w:r>
            <w:r w:rsidR="00862635">
              <w:rPr>
                <w:rFonts w:asciiTheme="minorBidi" w:hAnsiTheme="minorBidi"/>
              </w:rPr>
              <w:t>10</w:t>
            </w:r>
          </w:p>
        </w:tc>
      </w:tr>
      <w:tr w:rsidR="00622F70" w:rsidRPr="00851F56" w14:paraId="7BE93429" w14:textId="77777777" w:rsidTr="00A02985">
        <w:tc>
          <w:tcPr>
            <w:tcW w:w="4315" w:type="dxa"/>
          </w:tcPr>
          <w:p w14:paraId="28374D3A" w14:textId="77777777" w:rsidR="00622F70" w:rsidRPr="00851F56" w:rsidRDefault="00622F70" w:rsidP="009B07AC">
            <w:pPr>
              <w:rPr>
                <w:rFonts w:asciiTheme="minorBidi" w:hAnsiTheme="minorBidi"/>
              </w:rPr>
            </w:pPr>
            <w:r w:rsidRPr="00851F56">
              <w:rPr>
                <w:rFonts w:asciiTheme="minorBidi" w:hAnsiTheme="minorBidi"/>
              </w:rPr>
              <w:t>Participants without SGLT2i at baseline</w:t>
            </w:r>
          </w:p>
        </w:tc>
        <w:tc>
          <w:tcPr>
            <w:tcW w:w="3240" w:type="dxa"/>
          </w:tcPr>
          <w:p w14:paraId="6C9A70E0" w14:textId="0E1279B7" w:rsidR="00622F70" w:rsidRPr="00862635" w:rsidRDefault="00862635" w:rsidP="009B07AC">
            <w:pPr>
              <w:rPr>
                <w:rFonts w:asciiTheme="minorBidi" w:hAnsiTheme="minorBidi"/>
              </w:rPr>
            </w:pPr>
            <w:r w:rsidRPr="00862635">
              <w:rPr>
                <w:rFonts w:asciiTheme="minorBidi" w:hAnsiTheme="minorBidi"/>
              </w:rPr>
              <w:t>0.69; 95% CI 0.</w:t>
            </w:r>
            <w:r w:rsidR="00FE4EEB">
              <w:rPr>
                <w:rFonts w:asciiTheme="minorBidi" w:hAnsiTheme="minorBidi"/>
              </w:rPr>
              <w:t>61</w:t>
            </w:r>
            <w:r w:rsidRPr="00862635">
              <w:rPr>
                <w:rFonts w:asciiTheme="minorBidi" w:hAnsiTheme="minorBidi"/>
              </w:rPr>
              <w:t>–0.</w:t>
            </w:r>
            <w:r w:rsidR="00FE4EEB">
              <w:rPr>
                <w:rFonts w:asciiTheme="minorBidi" w:hAnsiTheme="minorBidi"/>
              </w:rPr>
              <w:t>79</w:t>
            </w:r>
            <w:r w:rsidRPr="00862635">
              <w:rPr>
                <w:rFonts w:asciiTheme="minorBidi" w:hAnsiTheme="minorBidi"/>
              </w:rPr>
              <w:t xml:space="preserve">; </w:t>
            </w:r>
            <w:r w:rsidR="00FE4EEB" w:rsidRPr="00FE4EEB">
              <w:rPr>
                <w:rFonts w:asciiTheme="minorBidi" w:hAnsiTheme="minorBidi"/>
              </w:rPr>
              <w:t>p&lt;0.001</w:t>
            </w:r>
          </w:p>
        </w:tc>
      </w:tr>
    </w:tbl>
    <w:p w14:paraId="3C831396" w14:textId="77777777" w:rsidR="00622F70" w:rsidRPr="00286920" w:rsidRDefault="00622F70" w:rsidP="00536E44">
      <w:pPr>
        <w:spacing w:line="480" w:lineRule="auto"/>
        <w:rPr>
          <w:rFonts w:asciiTheme="minorBidi" w:hAnsiTheme="minorBidi"/>
        </w:rPr>
      </w:pPr>
      <w:r>
        <w:rPr>
          <w:rFonts w:asciiTheme="minorBidi" w:hAnsiTheme="minorBidi"/>
        </w:rPr>
        <w:t>SGLT2i b</w:t>
      </w:r>
      <w:r w:rsidRPr="00286920">
        <w:rPr>
          <w:rFonts w:asciiTheme="minorBidi" w:hAnsiTheme="minorBidi"/>
        </w:rPr>
        <w:t>aseline use definition: purchase of at least 3 packages within the period of 90 days before and after the index date</w:t>
      </w:r>
      <w:r>
        <w:rPr>
          <w:rFonts w:asciiTheme="minorBidi" w:hAnsiTheme="minorBidi"/>
        </w:rPr>
        <w:t xml:space="preserve">. </w:t>
      </w:r>
    </w:p>
    <w:p w14:paraId="0B9343BA" w14:textId="77777777" w:rsidR="00622F70" w:rsidRDefault="00622F70" w:rsidP="00536E44">
      <w:pPr>
        <w:spacing w:line="480" w:lineRule="auto"/>
        <w:rPr>
          <w:rFonts w:asciiTheme="minorBidi" w:hAnsiTheme="minorBidi"/>
          <w:b/>
          <w:bCs/>
        </w:rPr>
      </w:pPr>
    </w:p>
    <w:p w14:paraId="7665EAB9" w14:textId="77777777" w:rsidR="00622F70" w:rsidRDefault="00622F70" w:rsidP="00622F70">
      <w:pPr>
        <w:rPr>
          <w:rFonts w:asciiTheme="minorBidi" w:hAnsiTheme="minorBidi"/>
          <w:b/>
          <w:bCs/>
        </w:rPr>
      </w:pPr>
    </w:p>
    <w:p w14:paraId="4926E8E2" w14:textId="77777777" w:rsidR="00622F70" w:rsidRPr="00851F56" w:rsidRDefault="00622F70" w:rsidP="00622F70">
      <w:pPr>
        <w:rPr>
          <w:rFonts w:asciiTheme="minorBidi" w:hAnsiTheme="minorBidi"/>
          <w:b/>
          <w:bCs/>
        </w:rPr>
      </w:pPr>
    </w:p>
    <w:p w14:paraId="4B75375E" w14:textId="1A5D3719" w:rsidR="00622F70" w:rsidRPr="006D4ED5" w:rsidRDefault="00622F70" w:rsidP="006D4ED5">
      <w:pPr>
        <w:pStyle w:val="Heading1"/>
        <w:rPr>
          <w:rFonts w:asciiTheme="majorBidi" w:hAnsiTheme="majorBidi"/>
          <w:sz w:val="24"/>
          <w:szCs w:val="24"/>
        </w:rPr>
      </w:pPr>
      <w:r w:rsidRPr="0008337E">
        <w:rPr>
          <w:rFonts w:asciiTheme="majorBidi" w:hAnsiTheme="majorBidi"/>
          <w:sz w:val="24"/>
          <w:szCs w:val="24"/>
        </w:rPr>
        <w:t>Supplementary figures</w:t>
      </w:r>
    </w:p>
    <w:p w14:paraId="6AD9E2F8" w14:textId="77777777"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t xml:space="preserve">Figure S1. </w:t>
      </w:r>
      <w:r w:rsidRPr="006D4ED5">
        <w:rPr>
          <w:rFonts w:asciiTheme="majorBidi" w:hAnsiTheme="majorBidi"/>
          <w:b w:val="0"/>
          <w:bCs w:val="0"/>
          <w:lang w:bidi="he-IL"/>
        </w:rPr>
        <w:t>Cumulative cohort entry over time</w:t>
      </w:r>
    </w:p>
    <w:p w14:paraId="43E52B6C" w14:textId="77777777" w:rsidR="00622F70" w:rsidRPr="000F5ADA" w:rsidRDefault="00622F70" w:rsidP="00622F70">
      <w:pPr>
        <w:rPr>
          <w:rFonts w:asciiTheme="minorBidi" w:hAnsiTheme="minorBidi"/>
          <w:sz w:val="24"/>
          <w:szCs w:val="24"/>
        </w:rPr>
      </w:pPr>
    </w:p>
    <w:p w14:paraId="49BF944B" w14:textId="77777777" w:rsidR="00622F70" w:rsidRPr="007D639B" w:rsidRDefault="00622F70" w:rsidP="00622F70">
      <w:pPr>
        <w:rPr>
          <w:rFonts w:asciiTheme="minorBidi" w:hAnsiTheme="minorBidi"/>
          <w:b/>
          <w:bCs/>
          <w:sz w:val="24"/>
          <w:szCs w:val="24"/>
        </w:rPr>
      </w:pPr>
      <w:r w:rsidRPr="00D27BE2">
        <w:rPr>
          <w:rFonts w:asciiTheme="minorBidi" w:hAnsiTheme="minorBidi"/>
          <w:b/>
          <w:bCs/>
          <w:noProof/>
          <w:sz w:val="24"/>
          <w:szCs w:val="24"/>
        </w:rPr>
        <w:lastRenderedPageBreak/>
        <w:drawing>
          <wp:inline distT="0" distB="0" distL="0" distR="0" wp14:anchorId="6354ED97" wp14:editId="6D6334FD">
            <wp:extent cx="3613150" cy="3037840"/>
            <wp:effectExtent l="0" t="0" r="6350" b="0"/>
            <wp:docPr id="83362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2558" name=""/>
                    <pic:cNvPicPr/>
                  </pic:nvPicPr>
                  <pic:blipFill rotWithShape="1">
                    <a:blip r:embed="rId10"/>
                    <a:srcRect l="1347" t="1644" r="2836"/>
                    <a:stretch>
                      <a:fillRect/>
                    </a:stretch>
                  </pic:blipFill>
                  <pic:spPr bwMode="auto">
                    <a:xfrm>
                      <a:off x="0" y="0"/>
                      <a:ext cx="3629588" cy="3051661"/>
                    </a:xfrm>
                    <a:prstGeom prst="rect">
                      <a:avLst/>
                    </a:prstGeom>
                    <a:ln>
                      <a:noFill/>
                    </a:ln>
                    <a:extLst>
                      <a:ext uri="{53640926-AAD7-44D8-BBD7-CCE9431645EC}">
                        <a14:shadowObscured xmlns:a14="http://schemas.microsoft.com/office/drawing/2010/main"/>
                      </a:ext>
                    </a:extLst>
                  </pic:spPr>
                </pic:pic>
              </a:graphicData>
            </a:graphic>
          </wp:inline>
        </w:drawing>
      </w:r>
    </w:p>
    <w:p w14:paraId="48F557A8" w14:textId="57A5ADCB" w:rsidR="00622F70" w:rsidRPr="00297BD0" w:rsidRDefault="00622F70" w:rsidP="00622F70">
      <w:pPr>
        <w:spacing w:line="480" w:lineRule="auto"/>
        <w:rPr>
          <w:rFonts w:asciiTheme="minorBidi" w:hAnsiTheme="minorBidi"/>
        </w:rPr>
      </w:pPr>
      <w:r w:rsidRPr="00297BD0">
        <w:rPr>
          <w:rFonts w:asciiTheme="minorBidi" w:hAnsiTheme="minorBidi"/>
        </w:rPr>
        <w:t>Cumulative numbers of matched DPP4i and semaglutide initiators by calendar quarter of cohort entry. The dashed vertical line marks 28 February 2022, the latest cohort-entry date allowing 36 months of potential follow-up before the end of data availability on 28 February 2025. Participants entering the cohort on or before 28 February 2022 could have up to 36 months of follow-up.</w:t>
      </w:r>
      <w:r>
        <w:rPr>
          <w:rFonts w:asciiTheme="minorBidi" w:hAnsiTheme="minorBidi"/>
        </w:rPr>
        <w:t xml:space="preserve"> DPP4i, dipeptidyl peptidase-4 inhibitor.</w:t>
      </w:r>
    </w:p>
    <w:p w14:paraId="2ADDEEB0" w14:textId="77777777" w:rsidR="00871F9E" w:rsidRDefault="00871F9E" w:rsidP="00622F70">
      <w:pPr>
        <w:rPr>
          <w:rFonts w:asciiTheme="minorBidi" w:hAnsiTheme="minorBidi"/>
          <w:b/>
          <w:bCs/>
          <w:sz w:val="24"/>
          <w:szCs w:val="24"/>
        </w:rPr>
      </w:pPr>
    </w:p>
    <w:p w14:paraId="5994C7FA" w14:textId="77777777" w:rsidR="00871F9E" w:rsidRDefault="00871F9E" w:rsidP="00622F70">
      <w:pPr>
        <w:rPr>
          <w:rFonts w:asciiTheme="minorBidi" w:hAnsiTheme="minorBidi"/>
          <w:b/>
          <w:bCs/>
          <w:sz w:val="24"/>
          <w:szCs w:val="24"/>
        </w:rPr>
      </w:pPr>
    </w:p>
    <w:p w14:paraId="1E1065A4" w14:textId="77777777" w:rsidR="00871F9E" w:rsidRDefault="00871F9E" w:rsidP="00622F70">
      <w:pPr>
        <w:rPr>
          <w:rFonts w:asciiTheme="minorBidi" w:hAnsiTheme="minorBidi"/>
          <w:b/>
          <w:bCs/>
          <w:sz w:val="24"/>
          <w:szCs w:val="24"/>
        </w:rPr>
      </w:pPr>
    </w:p>
    <w:p w14:paraId="1303C6B2" w14:textId="77777777" w:rsidR="00871F9E" w:rsidRDefault="00871F9E" w:rsidP="00622F70">
      <w:pPr>
        <w:rPr>
          <w:rFonts w:asciiTheme="minorBidi" w:hAnsiTheme="minorBidi"/>
          <w:b/>
          <w:bCs/>
          <w:sz w:val="24"/>
          <w:szCs w:val="24"/>
        </w:rPr>
      </w:pPr>
    </w:p>
    <w:p w14:paraId="45ACDFBF" w14:textId="77777777" w:rsidR="00871F9E" w:rsidRDefault="00871F9E" w:rsidP="00622F70">
      <w:pPr>
        <w:rPr>
          <w:rFonts w:asciiTheme="minorBidi" w:hAnsiTheme="minorBidi"/>
          <w:b/>
          <w:bCs/>
          <w:sz w:val="24"/>
          <w:szCs w:val="24"/>
        </w:rPr>
      </w:pPr>
    </w:p>
    <w:p w14:paraId="5535E8DD" w14:textId="77777777" w:rsidR="00871F9E" w:rsidRDefault="00871F9E" w:rsidP="00622F70">
      <w:pPr>
        <w:rPr>
          <w:rFonts w:asciiTheme="minorBidi" w:hAnsiTheme="minorBidi"/>
          <w:b/>
          <w:bCs/>
          <w:sz w:val="24"/>
          <w:szCs w:val="24"/>
        </w:rPr>
      </w:pPr>
    </w:p>
    <w:p w14:paraId="1D23AFC7" w14:textId="77777777" w:rsidR="00871F9E" w:rsidRDefault="00871F9E" w:rsidP="00622F70">
      <w:pPr>
        <w:rPr>
          <w:rFonts w:asciiTheme="minorBidi" w:hAnsiTheme="minorBidi"/>
          <w:b/>
          <w:bCs/>
          <w:sz w:val="24"/>
          <w:szCs w:val="24"/>
        </w:rPr>
      </w:pPr>
    </w:p>
    <w:p w14:paraId="1494C39A" w14:textId="77777777" w:rsidR="00871F9E" w:rsidRDefault="00871F9E" w:rsidP="00622F70">
      <w:pPr>
        <w:rPr>
          <w:rFonts w:asciiTheme="minorBidi" w:hAnsiTheme="minorBidi"/>
          <w:b/>
          <w:bCs/>
          <w:sz w:val="24"/>
          <w:szCs w:val="24"/>
        </w:rPr>
      </w:pPr>
    </w:p>
    <w:p w14:paraId="4241D1B2" w14:textId="77777777" w:rsidR="00871F9E" w:rsidRDefault="00871F9E" w:rsidP="00622F70">
      <w:pPr>
        <w:rPr>
          <w:rFonts w:asciiTheme="minorBidi" w:hAnsiTheme="minorBidi"/>
          <w:b/>
          <w:bCs/>
          <w:sz w:val="24"/>
          <w:szCs w:val="24"/>
        </w:rPr>
      </w:pPr>
    </w:p>
    <w:p w14:paraId="4CD0CBA5" w14:textId="77777777" w:rsidR="00871F9E" w:rsidRDefault="00871F9E" w:rsidP="00622F70">
      <w:pPr>
        <w:rPr>
          <w:rFonts w:asciiTheme="minorBidi" w:hAnsiTheme="minorBidi"/>
          <w:b/>
          <w:bCs/>
          <w:sz w:val="24"/>
          <w:szCs w:val="24"/>
        </w:rPr>
      </w:pPr>
    </w:p>
    <w:p w14:paraId="0730A672" w14:textId="073D1164"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lastRenderedPageBreak/>
        <w:t xml:space="preserve">Figure S2. </w:t>
      </w:r>
      <w:r w:rsidRPr="006D4ED5">
        <w:rPr>
          <w:rFonts w:asciiTheme="majorBidi" w:hAnsiTheme="majorBidi"/>
          <w:b w:val="0"/>
          <w:bCs w:val="0"/>
          <w:lang w:bidi="he-IL"/>
        </w:rPr>
        <w:t>Primary composite outcome over up to 5 years of follow-up</w:t>
      </w:r>
    </w:p>
    <w:p w14:paraId="706E11CB" w14:textId="77777777" w:rsidR="00622F70" w:rsidRPr="006D4ED5" w:rsidRDefault="00622F70" w:rsidP="006D4ED5">
      <w:pPr>
        <w:pStyle w:val="Heading2"/>
        <w:rPr>
          <w:rFonts w:asciiTheme="majorBidi" w:hAnsiTheme="majorBidi"/>
          <w:lang w:bidi="he-IL"/>
        </w:rPr>
      </w:pPr>
    </w:p>
    <w:p w14:paraId="49AD834B" w14:textId="77777777" w:rsidR="00622F70" w:rsidRPr="00D6273B" w:rsidRDefault="00622F70" w:rsidP="00622F70">
      <w:pPr>
        <w:rPr>
          <w:rFonts w:asciiTheme="minorBidi" w:hAnsiTheme="minorBidi"/>
          <w:sz w:val="24"/>
          <w:szCs w:val="24"/>
        </w:rPr>
      </w:pPr>
      <w:r w:rsidRPr="00130F19">
        <w:rPr>
          <w:rFonts w:asciiTheme="minorBidi" w:hAnsiTheme="minorBidi"/>
          <w:noProof/>
          <w:sz w:val="24"/>
          <w:szCs w:val="24"/>
        </w:rPr>
        <w:drawing>
          <wp:inline distT="0" distB="0" distL="0" distR="0" wp14:anchorId="40B0CF9C" wp14:editId="571E5534">
            <wp:extent cx="5933358" cy="2489200"/>
            <wp:effectExtent l="0" t="0" r="0" b="6350"/>
            <wp:docPr id="122510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05223"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771" t="4972" r="3970"/>
                    <a:stretch>
                      <a:fillRect/>
                    </a:stretch>
                  </pic:blipFill>
                  <pic:spPr bwMode="auto">
                    <a:xfrm>
                      <a:off x="0" y="0"/>
                      <a:ext cx="5971516" cy="2505208"/>
                    </a:xfrm>
                    <a:prstGeom prst="rect">
                      <a:avLst/>
                    </a:prstGeom>
                    <a:noFill/>
                    <a:ln>
                      <a:noFill/>
                    </a:ln>
                    <a:extLst>
                      <a:ext uri="{53640926-AAD7-44D8-BBD7-CCE9431645EC}">
                        <a14:shadowObscured xmlns:a14="http://schemas.microsoft.com/office/drawing/2010/main"/>
                      </a:ext>
                    </a:extLst>
                  </pic:spPr>
                </pic:pic>
              </a:graphicData>
            </a:graphic>
          </wp:inline>
        </w:drawing>
      </w:r>
    </w:p>
    <w:p w14:paraId="2092B97A" w14:textId="77777777" w:rsidR="00622F70" w:rsidRDefault="00622F70" w:rsidP="00622F70">
      <w:pPr>
        <w:spacing w:line="480" w:lineRule="auto"/>
        <w:rPr>
          <w:rFonts w:asciiTheme="minorBidi" w:hAnsiTheme="minorBidi"/>
        </w:rPr>
      </w:pPr>
      <w:r w:rsidRPr="00021D82">
        <w:rPr>
          <w:rFonts w:asciiTheme="minorBidi" w:hAnsiTheme="minorBidi"/>
        </w:rPr>
        <w:t xml:space="preserve">Kaplan–Meier curves for the primary composite outcome over </w:t>
      </w:r>
      <w:r>
        <w:rPr>
          <w:rFonts w:ascii="Times New Roman" w:eastAsia="Apis For Office" w:hAnsi="Times New Roman" w:cs="Times New Roman"/>
        </w:rPr>
        <w:t>fully</w:t>
      </w:r>
      <w:r w:rsidRPr="00021D82">
        <w:rPr>
          <w:rFonts w:asciiTheme="minorBidi" w:hAnsiTheme="minorBidi"/>
        </w:rPr>
        <w:t xml:space="preserve"> available follow-up</w:t>
      </w:r>
      <w:r>
        <w:rPr>
          <w:rFonts w:ascii="Times New Roman" w:eastAsia="Apis For Office" w:hAnsi="Times New Roman" w:cs="Times New Roman"/>
        </w:rPr>
        <w:t xml:space="preserve"> data</w:t>
      </w:r>
      <w:r w:rsidRPr="00021D82">
        <w:rPr>
          <w:rFonts w:asciiTheme="minorBidi" w:hAnsiTheme="minorBidi"/>
        </w:rPr>
        <w:t>, with a maximum of approximately 5 years. The composite outcome comprised confirmed ≥30% eGFR decline, new-onset or worsening albuminuria, ESKD, or all-cause death. Curves and the displayed HR and 95% CI are unadjusted; the adjusted HR is reported in the text. CI, confidence interval; DPP4i, dipeptidyl peptidase-4 inhibitor; eGFR, estimated glomerular filtration rate; ESKD, end-stage kidney disease; HR, hazard ratio.</w:t>
      </w:r>
    </w:p>
    <w:p w14:paraId="37E24002" w14:textId="77777777" w:rsidR="00622F70" w:rsidRDefault="00622F70" w:rsidP="00622F70">
      <w:pPr>
        <w:spacing w:line="480" w:lineRule="auto"/>
        <w:rPr>
          <w:rFonts w:asciiTheme="minorBidi" w:hAnsiTheme="minorBidi"/>
        </w:rPr>
      </w:pPr>
    </w:p>
    <w:p w14:paraId="3BE50253" w14:textId="77777777" w:rsidR="00AA3C0F" w:rsidRDefault="00AA3C0F" w:rsidP="00622F70">
      <w:pPr>
        <w:spacing w:line="480" w:lineRule="auto"/>
        <w:rPr>
          <w:rFonts w:asciiTheme="minorBidi" w:hAnsiTheme="minorBidi"/>
        </w:rPr>
      </w:pPr>
    </w:p>
    <w:p w14:paraId="10CF736F" w14:textId="77777777" w:rsidR="00AA3C0F" w:rsidRDefault="00AA3C0F" w:rsidP="00622F70">
      <w:pPr>
        <w:spacing w:line="480" w:lineRule="auto"/>
        <w:rPr>
          <w:rFonts w:asciiTheme="minorBidi" w:hAnsiTheme="minorBidi"/>
        </w:rPr>
      </w:pPr>
    </w:p>
    <w:p w14:paraId="7AE2CBFB" w14:textId="77777777" w:rsidR="00AA3C0F" w:rsidRDefault="00AA3C0F" w:rsidP="00622F70">
      <w:pPr>
        <w:spacing w:line="480" w:lineRule="auto"/>
        <w:rPr>
          <w:rFonts w:asciiTheme="minorBidi" w:hAnsiTheme="minorBidi"/>
        </w:rPr>
      </w:pPr>
    </w:p>
    <w:p w14:paraId="608F2151" w14:textId="77777777" w:rsidR="00AA3C0F" w:rsidRDefault="00AA3C0F" w:rsidP="00622F70">
      <w:pPr>
        <w:spacing w:line="480" w:lineRule="auto"/>
        <w:rPr>
          <w:rFonts w:asciiTheme="minorBidi" w:hAnsiTheme="minorBidi"/>
        </w:rPr>
      </w:pPr>
    </w:p>
    <w:p w14:paraId="486A7B58" w14:textId="77777777" w:rsidR="00AA3C0F" w:rsidRDefault="00AA3C0F" w:rsidP="00622F70">
      <w:pPr>
        <w:spacing w:line="480" w:lineRule="auto"/>
        <w:rPr>
          <w:rFonts w:asciiTheme="minorBidi" w:hAnsiTheme="minorBidi"/>
        </w:rPr>
      </w:pPr>
    </w:p>
    <w:p w14:paraId="0C2D4839" w14:textId="77777777" w:rsidR="00AA3C0F" w:rsidRDefault="00AA3C0F" w:rsidP="00622F70">
      <w:pPr>
        <w:spacing w:line="480" w:lineRule="auto"/>
        <w:rPr>
          <w:rFonts w:asciiTheme="minorBidi" w:hAnsiTheme="minorBidi"/>
        </w:rPr>
      </w:pPr>
    </w:p>
    <w:p w14:paraId="4EF427E6" w14:textId="77777777" w:rsidR="00AA3C0F" w:rsidRDefault="00AA3C0F" w:rsidP="00622F70">
      <w:pPr>
        <w:spacing w:line="480" w:lineRule="auto"/>
        <w:rPr>
          <w:rFonts w:asciiTheme="minorBidi" w:hAnsiTheme="minorBidi"/>
        </w:rPr>
      </w:pPr>
    </w:p>
    <w:p w14:paraId="4C9AAC45" w14:textId="77777777" w:rsidR="00AA3C0F" w:rsidRPr="007D639B" w:rsidRDefault="00AA3C0F" w:rsidP="00622F70">
      <w:pPr>
        <w:spacing w:line="480" w:lineRule="auto"/>
        <w:rPr>
          <w:rFonts w:asciiTheme="minorBidi" w:hAnsiTheme="minorBidi"/>
        </w:rPr>
      </w:pPr>
    </w:p>
    <w:p w14:paraId="7DBE5986" w14:textId="77777777"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lastRenderedPageBreak/>
        <w:t xml:space="preserve">Figure S3. </w:t>
      </w:r>
      <w:r w:rsidRPr="006D4ED5">
        <w:rPr>
          <w:rFonts w:asciiTheme="majorBidi" w:hAnsiTheme="majorBidi"/>
          <w:b w:val="0"/>
          <w:bCs w:val="0"/>
          <w:lang w:bidi="he-IL"/>
        </w:rPr>
        <w:t>Composite outcome using a ≥40% eGFR decline threshold</w:t>
      </w:r>
    </w:p>
    <w:p w14:paraId="0A7D70DB" w14:textId="77777777" w:rsidR="00622F70" w:rsidRPr="00666038" w:rsidRDefault="00622F70" w:rsidP="00622F70">
      <w:pPr>
        <w:rPr>
          <w:rFonts w:asciiTheme="minorBidi" w:hAnsiTheme="minorBidi"/>
          <w:sz w:val="24"/>
          <w:szCs w:val="24"/>
        </w:rPr>
      </w:pPr>
      <w:r>
        <w:rPr>
          <w:rFonts w:asciiTheme="minorBidi" w:hAnsiTheme="minorBidi"/>
          <w:noProof/>
          <w:sz w:val="24"/>
          <w:szCs w:val="24"/>
        </w:rPr>
        <w:drawing>
          <wp:inline distT="0" distB="0" distL="0" distR="0" wp14:anchorId="1C34D025" wp14:editId="3121D703">
            <wp:extent cx="3609340" cy="3030220"/>
            <wp:effectExtent l="0" t="0" r="0" b="0"/>
            <wp:docPr id="16327502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50293"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609340" cy="3030220"/>
                    </a:xfrm>
                    <a:prstGeom prst="rect">
                      <a:avLst/>
                    </a:prstGeom>
                    <a:noFill/>
                  </pic:spPr>
                </pic:pic>
              </a:graphicData>
            </a:graphic>
          </wp:inline>
        </w:drawing>
      </w:r>
    </w:p>
    <w:p w14:paraId="095F28C0" w14:textId="77777777" w:rsidR="00622F70" w:rsidRDefault="00622F70" w:rsidP="00622F70">
      <w:pPr>
        <w:spacing w:line="480" w:lineRule="auto"/>
        <w:rPr>
          <w:rFonts w:asciiTheme="minorBidi" w:hAnsiTheme="minorBidi"/>
        </w:rPr>
      </w:pPr>
      <w:r>
        <w:rPr>
          <w:rFonts w:ascii="Times New Roman" w:eastAsia="Apis For Office" w:hAnsi="Times New Roman" w:cs="Times New Roman"/>
        </w:rPr>
        <w:t>Kaplan‒Meier</w:t>
      </w:r>
      <w:r w:rsidRPr="00444CBD">
        <w:rPr>
          <w:rFonts w:asciiTheme="minorBidi" w:hAnsiTheme="minorBidi"/>
        </w:rPr>
        <w:t xml:space="preserve"> curves for the composite outcome defined as the first occurrence of confirmed ≥40% eGFR decline, new-onset or worsening albuminuria, ESKD, or all-cause death. Curves and the displayed HR and 95% CI are unadjusted; the adjusted HR is reported in the text. CI, confidence interval; DPP4i, dipeptidyl peptidase-4 inhibitor; eGFR, estimated glomerular filtration rate; ESKD, end-stage kidney disease; HR, hazard ratio.</w:t>
      </w:r>
    </w:p>
    <w:p w14:paraId="17F1EC93" w14:textId="77777777" w:rsidR="00AA3C0F" w:rsidRDefault="00AA3C0F" w:rsidP="00622F70">
      <w:pPr>
        <w:spacing w:line="480" w:lineRule="auto"/>
        <w:rPr>
          <w:rFonts w:asciiTheme="minorBidi" w:hAnsiTheme="minorBidi"/>
        </w:rPr>
      </w:pPr>
    </w:p>
    <w:p w14:paraId="197CB416" w14:textId="77777777" w:rsidR="00AA3C0F" w:rsidRDefault="00AA3C0F" w:rsidP="00622F70">
      <w:pPr>
        <w:spacing w:line="480" w:lineRule="auto"/>
        <w:rPr>
          <w:rFonts w:asciiTheme="minorBidi" w:hAnsiTheme="minorBidi"/>
        </w:rPr>
      </w:pPr>
    </w:p>
    <w:p w14:paraId="328CA220" w14:textId="77777777" w:rsidR="00AA3C0F" w:rsidRDefault="00AA3C0F" w:rsidP="00622F70">
      <w:pPr>
        <w:spacing w:line="480" w:lineRule="auto"/>
        <w:rPr>
          <w:rFonts w:asciiTheme="minorBidi" w:hAnsiTheme="minorBidi"/>
        </w:rPr>
      </w:pPr>
    </w:p>
    <w:p w14:paraId="6EE8A279" w14:textId="77777777" w:rsidR="00AA3C0F" w:rsidRDefault="00AA3C0F" w:rsidP="00622F70">
      <w:pPr>
        <w:spacing w:line="480" w:lineRule="auto"/>
        <w:rPr>
          <w:rFonts w:asciiTheme="minorBidi" w:hAnsiTheme="minorBidi"/>
        </w:rPr>
      </w:pPr>
    </w:p>
    <w:p w14:paraId="433A2A79" w14:textId="77777777" w:rsidR="00AA3C0F" w:rsidRDefault="00AA3C0F" w:rsidP="00622F70">
      <w:pPr>
        <w:spacing w:line="480" w:lineRule="auto"/>
        <w:rPr>
          <w:rFonts w:asciiTheme="minorBidi" w:hAnsiTheme="minorBidi"/>
        </w:rPr>
      </w:pPr>
    </w:p>
    <w:p w14:paraId="1FD6FBB6" w14:textId="77777777" w:rsidR="00AA3C0F" w:rsidRDefault="00AA3C0F" w:rsidP="00622F70">
      <w:pPr>
        <w:spacing w:line="480" w:lineRule="auto"/>
        <w:rPr>
          <w:rFonts w:asciiTheme="minorBidi" w:hAnsiTheme="minorBidi"/>
        </w:rPr>
      </w:pPr>
    </w:p>
    <w:p w14:paraId="43A84964" w14:textId="77777777" w:rsidR="00AA3C0F" w:rsidRDefault="00AA3C0F" w:rsidP="00622F70">
      <w:pPr>
        <w:spacing w:line="480" w:lineRule="auto"/>
        <w:rPr>
          <w:rFonts w:asciiTheme="minorBidi" w:hAnsiTheme="minorBidi"/>
        </w:rPr>
      </w:pPr>
    </w:p>
    <w:p w14:paraId="6B8140B4" w14:textId="77777777" w:rsidR="00AA3C0F" w:rsidRDefault="00AA3C0F" w:rsidP="00622F70">
      <w:pPr>
        <w:spacing w:line="480" w:lineRule="auto"/>
        <w:rPr>
          <w:rFonts w:asciiTheme="minorBidi" w:hAnsiTheme="minorBidi"/>
        </w:rPr>
      </w:pPr>
    </w:p>
    <w:p w14:paraId="78C83717" w14:textId="77777777" w:rsidR="00AA3C0F" w:rsidRDefault="00AA3C0F" w:rsidP="00622F70">
      <w:pPr>
        <w:spacing w:line="480" w:lineRule="auto"/>
        <w:rPr>
          <w:rFonts w:asciiTheme="minorBidi" w:hAnsiTheme="minorBidi"/>
        </w:rPr>
      </w:pPr>
    </w:p>
    <w:p w14:paraId="0BFBE4FC" w14:textId="77777777" w:rsidR="00AA3C0F" w:rsidRDefault="00AA3C0F" w:rsidP="00622F70">
      <w:pPr>
        <w:spacing w:line="480" w:lineRule="auto"/>
        <w:rPr>
          <w:rFonts w:asciiTheme="minorBidi" w:hAnsiTheme="minorBidi"/>
        </w:rPr>
      </w:pPr>
    </w:p>
    <w:p w14:paraId="22AB0127" w14:textId="77777777"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lastRenderedPageBreak/>
        <w:t xml:space="preserve">Figure S4. </w:t>
      </w:r>
      <w:r w:rsidRPr="006D4ED5">
        <w:rPr>
          <w:rFonts w:asciiTheme="majorBidi" w:hAnsiTheme="majorBidi"/>
          <w:b w:val="0"/>
          <w:bCs w:val="0"/>
          <w:lang w:bidi="he-IL"/>
        </w:rPr>
        <w:t>Composite outcome using a ≥50% eGFR decline threshold</w:t>
      </w:r>
    </w:p>
    <w:p w14:paraId="1557FFE0" w14:textId="77777777" w:rsidR="00622F70" w:rsidRDefault="00622F70" w:rsidP="00622F70">
      <w:pPr>
        <w:rPr>
          <w:rFonts w:asciiTheme="minorBidi" w:hAnsiTheme="minorBidi"/>
          <w:sz w:val="24"/>
          <w:szCs w:val="24"/>
        </w:rPr>
      </w:pPr>
    </w:p>
    <w:p w14:paraId="6BFFEB85" w14:textId="77777777" w:rsidR="00622F70" w:rsidRPr="00D56963" w:rsidRDefault="00622F70" w:rsidP="00622F70">
      <w:pPr>
        <w:rPr>
          <w:rFonts w:asciiTheme="minorBidi" w:hAnsiTheme="minorBidi"/>
          <w:sz w:val="24"/>
          <w:szCs w:val="24"/>
        </w:rPr>
      </w:pPr>
      <w:r w:rsidRPr="00CD170B">
        <w:rPr>
          <w:rFonts w:asciiTheme="minorBidi" w:hAnsiTheme="minorBidi"/>
          <w:noProof/>
          <w:sz w:val="24"/>
          <w:szCs w:val="24"/>
        </w:rPr>
        <w:drawing>
          <wp:inline distT="0" distB="0" distL="0" distR="0" wp14:anchorId="7A425113" wp14:editId="5D2D2E93">
            <wp:extent cx="3792855" cy="2882569"/>
            <wp:effectExtent l="0" t="0" r="0" b="0"/>
            <wp:docPr id="10118368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36817"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t="7725"/>
                    <a:stretch>
                      <a:fillRect/>
                    </a:stretch>
                  </pic:blipFill>
                  <pic:spPr bwMode="auto">
                    <a:xfrm>
                      <a:off x="0" y="0"/>
                      <a:ext cx="3797868" cy="2886379"/>
                    </a:xfrm>
                    <a:prstGeom prst="rect">
                      <a:avLst/>
                    </a:prstGeom>
                    <a:noFill/>
                    <a:ln>
                      <a:noFill/>
                    </a:ln>
                    <a:extLst>
                      <a:ext uri="{53640926-AAD7-44D8-BBD7-CCE9431645EC}">
                        <a14:shadowObscured xmlns:a14="http://schemas.microsoft.com/office/drawing/2010/main"/>
                      </a:ext>
                    </a:extLst>
                  </pic:spPr>
                </pic:pic>
              </a:graphicData>
            </a:graphic>
          </wp:inline>
        </w:drawing>
      </w:r>
    </w:p>
    <w:p w14:paraId="1B3F3DF7" w14:textId="28B1420C" w:rsidR="00AA3C0F" w:rsidRDefault="00622F70" w:rsidP="00AA3C0F">
      <w:pPr>
        <w:spacing w:line="480" w:lineRule="auto"/>
        <w:rPr>
          <w:rFonts w:asciiTheme="majorBidi" w:hAnsiTheme="majorBidi" w:cstheme="majorBidi"/>
          <w:noProof/>
        </w:rPr>
      </w:pPr>
      <w:r>
        <w:rPr>
          <w:rFonts w:ascii="Times New Roman" w:eastAsia="Apis For Office" w:hAnsi="Times New Roman" w:cs="Times New Roman"/>
          <w:noProof/>
        </w:rPr>
        <w:t>Kaplan‒Meier</w:t>
      </w:r>
      <w:r w:rsidRPr="00C94101">
        <w:rPr>
          <w:rFonts w:asciiTheme="majorBidi" w:hAnsiTheme="majorBidi" w:cstheme="majorBidi"/>
          <w:noProof/>
        </w:rPr>
        <w:t xml:space="preserve"> curves for the composite outcome defined as the first occurrence of confirmed ≥50% eGFR decline, new-onset or worsening albuminuria, ESKD, or all-cause death. Curves and the displayed HR and 95% CI are unadjusted; the adjusted HR is reported in the text. CI, confidence interval; DPP4i, dipeptidyl peptidase-4 inhibitor; eGFR, estimated glomerular filtration rate; ESKD, end-stage kidney disease; HR, hazard rati</w:t>
      </w:r>
      <w:r w:rsidR="00AA3C0F">
        <w:rPr>
          <w:rFonts w:asciiTheme="majorBidi" w:hAnsiTheme="majorBidi" w:cstheme="majorBidi"/>
          <w:noProof/>
        </w:rPr>
        <w:t>o</w:t>
      </w:r>
    </w:p>
    <w:p w14:paraId="285C73F2" w14:textId="77777777" w:rsidR="00AA3C0F" w:rsidRDefault="00AA3C0F" w:rsidP="00AA3C0F">
      <w:pPr>
        <w:spacing w:line="480" w:lineRule="auto"/>
        <w:rPr>
          <w:rFonts w:asciiTheme="majorBidi" w:hAnsiTheme="majorBidi" w:cstheme="majorBidi"/>
          <w:noProof/>
        </w:rPr>
      </w:pPr>
    </w:p>
    <w:p w14:paraId="030C25F7" w14:textId="77777777" w:rsidR="00AA3C0F" w:rsidRDefault="00AA3C0F" w:rsidP="00AA3C0F">
      <w:pPr>
        <w:spacing w:line="480" w:lineRule="auto"/>
        <w:rPr>
          <w:rFonts w:asciiTheme="majorBidi" w:hAnsiTheme="majorBidi" w:cstheme="majorBidi"/>
          <w:noProof/>
        </w:rPr>
      </w:pPr>
    </w:p>
    <w:p w14:paraId="52B85B7B" w14:textId="77777777" w:rsidR="00AA3C0F" w:rsidRDefault="00AA3C0F" w:rsidP="00AA3C0F">
      <w:pPr>
        <w:spacing w:line="480" w:lineRule="auto"/>
        <w:rPr>
          <w:rFonts w:asciiTheme="majorBidi" w:hAnsiTheme="majorBidi" w:cstheme="majorBidi"/>
          <w:noProof/>
        </w:rPr>
      </w:pPr>
    </w:p>
    <w:p w14:paraId="0F0D6EF8" w14:textId="77777777" w:rsidR="00AA3C0F" w:rsidRDefault="00AA3C0F" w:rsidP="00AA3C0F">
      <w:pPr>
        <w:spacing w:line="480" w:lineRule="auto"/>
        <w:rPr>
          <w:rFonts w:asciiTheme="majorBidi" w:hAnsiTheme="majorBidi" w:cstheme="majorBidi"/>
          <w:noProof/>
        </w:rPr>
      </w:pPr>
    </w:p>
    <w:p w14:paraId="32D1E290" w14:textId="77777777" w:rsidR="00AA3C0F" w:rsidRDefault="00AA3C0F" w:rsidP="00AA3C0F">
      <w:pPr>
        <w:spacing w:line="480" w:lineRule="auto"/>
        <w:rPr>
          <w:rFonts w:asciiTheme="majorBidi" w:hAnsiTheme="majorBidi" w:cstheme="majorBidi"/>
          <w:noProof/>
        </w:rPr>
      </w:pPr>
    </w:p>
    <w:p w14:paraId="0A2B81C0" w14:textId="77777777" w:rsidR="00AA3C0F" w:rsidRDefault="00AA3C0F" w:rsidP="00AA3C0F">
      <w:pPr>
        <w:spacing w:line="480" w:lineRule="auto"/>
        <w:rPr>
          <w:rFonts w:asciiTheme="majorBidi" w:hAnsiTheme="majorBidi" w:cstheme="majorBidi"/>
          <w:noProof/>
        </w:rPr>
      </w:pPr>
    </w:p>
    <w:p w14:paraId="7BA9D36B" w14:textId="77777777" w:rsidR="00AA3C0F" w:rsidRDefault="00AA3C0F" w:rsidP="00AA3C0F">
      <w:pPr>
        <w:spacing w:line="480" w:lineRule="auto"/>
        <w:rPr>
          <w:rFonts w:asciiTheme="majorBidi" w:hAnsiTheme="majorBidi" w:cstheme="majorBidi"/>
          <w:noProof/>
        </w:rPr>
      </w:pPr>
    </w:p>
    <w:p w14:paraId="299F7F9F" w14:textId="77777777" w:rsidR="00AA3C0F" w:rsidRDefault="00AA3C0F" w:rsidP="00AA3C0F">
      <w:pPr>
        <w:spacing w:line="480" w:lineRule="auto"/>
        <w:rPr>
          <w:rFonts w:asciiTheme="majorBidi" w:hAnsiTheme="majorBidi" w:cstheme="majorBidi"/>
          <w:noProof/>
        </w:rPr>
      </w:pPr>
    </w:p>
    <w:p w14:paraId="14684C11" w14:textId="77777777" w:rsidR="00AA3C0F" w:rsidRDefault="00AA3C0F" w:rsidP="00AA3C0F">
      <w:pPr>
        <w:spacing w:line="480" w:lineRule="auto"/>
        <w:rPr>
          <w:rFonts w:asciiTheme="majorBidi" w:hAnsiTheme="majorBidi" w:cstheme="majorBidi"/>
          <w:noProof/>
        </w:rPr>
      </w:pPr>
    </w:p>
    <w:p w14:paraId="690DCDC1" w14:textId="77777777"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lastRenderedPageBreak/>
        <w:t xml:space="preserve">Figure S5. </w:t>
      </w:r>
      <w:r w:rsidRPr="006D4ED5">
        <w:rPr>
          <w:rFonts w:asciiTheme="majorBidi" w:hAnsiTheme="majorBidi"/>
          <w:b w:val="0"/>
          <w:bCs w:val="0"/>
          <w:lang w:bidi="he-IL"/>
        </w:rPr>
        <w:t>Kidney-specific composite outcome</w:t>
      </w:r>
    </w:p>
    <w:p w14:paraId="519B4CAA" w14:textId="77777777" w:rsidR="00622F70" w:rsidRPr="009B73CD" w:rsidRDefault="00622F70" w:rsidP="00622F70">
      <w:r w:rsidRPr="009B73CD">
        <w:rPr>
          <w:noProof/>
        </w:rPr>
        <w:drawing>
          <wp:inline distT="0" distB="0" distL="0" distR="0" wp14:anchorId="2960B42A" wp14:editId="16A3C029">
            <wp:extent cx="3575050" cy="2926715"/>
            <wp:effectExtent l="0" t="0" r="6350" b="6985"/>
            <wp:docPr id="17944111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411182"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632" t="7430" r="2237"/>
                    <a:stretch>
                      <a:fillRect/>
                    </a:stretch>
                  </pic:blipFill>
                  <pic:spPr bwMode="auto">
                    <a:xfrm>
                      <a:off x="0" y="0"/>
                      <a:ext cx="3585429" cy="2935212"/>
                    </a:xfrm>
                    <a:prstGeom prst="rect">
                      <a:avLst/>
                    </a:prstGeom>
                    <a:noFill/>
                    <a:ln>
                      <a:noFill/>
                    </a:ln>
                    <a:extLst>
                      <a:ext uri="{53640926-AAD7-44D8-BBD7-CCE9431645EC}">
                        <a14:shadowObscured xmlns:a14="http://schemas.microsoft.com/office/drawing/2010/main"/>
                      </a:ext>
                    </a:extLst>
                  </pic:spPr>
                </pic:pic>
              </a:graphicData>
            </a:graphic>
          </wp:inline>
        </w:drawing>
      </w:r>
    </w:p>
    <w:p w14:paraId="4DD8F0A5" w14:textId="77777777" w:rsidR="00622F70" w:rsidRDefault="00622F70" w:rsidP="00622F70"/>
    <w:p w14:paraId="1694D072" w14:textId="77777777" w:rsidR="00622F70" w:rsidRDefault="00622F70" w:rsidP="00622F70">
      <w:pPr>
        <w:spacing w:line="480" w:lineRule="auto"/>
        <w:rPr>
          <w:rFonts w:asciiTheme="majorBidi" w:hAnsiTheme="majorBidi" w:cstheme="majorBidi"/>
          <w:noProof/>
        </w:rPr>
      </w:pPr>
      <w:r>
        <w:rPr>
          <w:rFonts w:ascii="Times New Roman" w:eastAsia="Apis For Office" w:hAnsi="Times New Roman" w:cs="Times New Roman"/>
          <w:noProof/>
        </w:rPr>
        <w:t>Kaplan‒Meier</w:t>
      </w:r>
      <w:r w:rsidRPr="00F6622B">
        <w:rPr>
          <w:rFonts w:asciiTheme="majorBidi" w:hAnsiTheme="majorBidi" w:cstheme="majorBidi"/>
          <w:noProof/>
        </w:rPr>
        <w:t xml:space="preserve"> curves for the first occurrence of the kidney-specific composite outcome, defined as confirmed ≥30% eGFR decline, new-onset or worsening albuminuria, or ESKD. Curves and the displayed HR and 95% CI are unadjusted; the adjusted HR is reported in the text. CI, confidence interval; DPP4i, dipeptidyl peptidase-4 inhibitor; eGFR, estimated glomerular filtration rate; ESKD, end-stage kidney disease; HR, hazard ratio.</w:t>
      </w:r>
    </w:p>
    <w:p w14:paraId="660D6B78" w14:textId="77777777" w:rsidR="00622F70" w:rsidRDefault="00622F70" w:rsidP="00622F70">
      <w:pPr>
        <w:spacing w:line="480" w:lineRule="auto"/>
        <w:rPr>
          <w:rFonts w:asciiTheme="majorBidi" w:hAnsiTheme="majorBidi" w:cstheme="majorBidi"/>
          <w:noProof/>
        </w:rPr>
      </w:pPr>
    </w:p>
    <w:p w14:paraId="74D304DD" w14:textId="77777777" w:rsidR="00AA3C0F" w:rsidRDefault="00AA3C0F" w:rsidP="00622F70">
      <w:pPr>
        <w:spacing w:line="480" w:lineRule="auto"/>
        <w:rPr>
          <w:rFonts w:asciiTheme="majorBidi" w:hAnsiTheme="majorBidi" w:cstheme="majorBidi"/>
          <w:noProof/>
        </w:rPr>
      </w:pPr>
    </w:p>
    <w:p w14:paraId="6E42B93E" w14:textId="77777777" w:rsidR="00AA3C0F" w:rsidRDefault="00AA3C0F" w:rsidP="00622F70">
      <w:pPr>
        <w:spacing w:line="480" w:lineRule="auto"/>
        <w:rPr>
          <w:rFonts w:asciiTheme="majorBidi" w:hAnsiTheme="majorBidi" w:cstheme="majorBidi"/>
          <w:noProof/>
        </w:rPr>
      </w:pPr>
    </w:p>
    <w:p w14:paraId="1911325A" w14:textId="77777777" w:rsidR="00AA3C0F" w:rsidRDefault="00AA3C0F" w:rsidP="00622F70">
      <w:pPr>
        <w:spacing w:line="480" w:lineRule="auto"/>
        <w:rPr>
          <w:rFonts w:asciiTheme="majorBidi" w:hAnsiTheme="majorBidi" w:cstheme="majorBidi"/>
          <w:noProof/>
        </w:rPr>
      </w:pPr>
    </w:p>
    <w:p w14:paraId="0803DA6C" w14:textId="77777777" w:rsidR="00AA3C0F" w:rsidRDefault="00AA3C0F" w:rsidP="00622F70">
      <w:pPr>
        <w:spacing w:line="480" w:lineRule="auto"/>
        <w:rPr>
          <w:rFonts w:asciiTheme="majorBidi" w:hAnsiTheme="majorBidi" w:cstheme="majorBidi"/>
          <w:noProof/>
        </w:rPr>
      </w:pPr>
    </w:p>
    <w:p w14:paraId="095AE293" w14:textId="77777777" w:rsidR="00AA3C0F" w:rsidRDefault="00AA3C0F" w:rsidP="00622F70">
      <w:pPr>
        <w:spacing w:line="480" w:lineRule="auto"/>
        <w:rPr>
          <w:rFonts w:asciiTheme="majorBidi" w:hAnsiTheme="majorBidi" w:cstheme="majorBidi"/>
          <w:noProof/>
        </w:rPr>
      </w:pPr>
    </w:p>
    <w:p w14:paraId="2DD9EAB2" w14:textId="77777777" w:rsidR="00AA3C0F" w:rsidRDefault="00AA3C0F" w:rsidP="00622F70">
      <w:pPr>
        <w:spacing w:line="480" w:lineRule="auto"/>
        <w:rPr>
          <w:rFonts w:asciiTheme="majorBidi" w:hAnsiTheme="majorBidi" w:cstheme="majorBidi"/>
          <w:noProof/>
        </w:rPr>
      </w:pPr>
    </w:p>
    <w:p w14:paraId="4CB3A01F" w14:textId="77777777" w:rsidR="00AA3C0F" w:rsidRDefault="00AA3C0F" w:rsidP="00622F70">
      <w:pPr>
        <w:spacing w:line="480" w:lineRule="auto"/>
        <w:rPr>
          <w:rFonts w:asciiTheme="majorBidi" w:hAnsiTheme="majorBidi" w:cstheme="majorBidi"/>
          <w:noProof/>
        </w:rPr>
      </w:pPr>
    </w:p>
    <w:p w14:paraId="42DE128B" w14:textId="77777777" w:rsidR="00AA3C0F" w:rsidRDefault="00AA3C0F" w:rsidP="00622F70">
      <w:pPr>
        <w:spacing w:line="480" w:lineRule="auto"/>
        <w:rPr>
          <w:rFonts w:asciiTheme="majorBidi" w:hAnsiTheme="majorBidi" w:cstheme="majorBidi"/>
          <w:noProof/>
        </w:rPr>
      </w:pPr>
    </w:p>
    <w:p w14:paraId="2BE0D46E" w14:textId="77777777" w:rsidR="00622F70" w:rsidRPr="006D4ED5" w:rsidRDefault="00622F70" w:rsidP="006D4ED5">
      <w:pPr>
        <w:pStyle w:val="Heading2"/>
        <w:rPr>
          <w:rFonts w:asciiTheme="majorBidi" w:hAnsiTheme="majorBidi"/>
          <w:b w:val="0"/>
          <w:bCs w:val="0"/>
          <w:lang w:bidi="he-IL"/>
        </w:rPr>
      </w:pPr>
      <w:r w:rsidRPr="006D4ED5">
        <w:rPr>
          <w:rFonts w:asciiTheme="majorBidi" w:hAnsiTheme="majorBidi"/>
          <w:lang w:bidi="he-IL"/>
        </w:rPr>
        <w:lastRenderedPageBreak/>
        <w:t xml:space="preserve">Figure S6. </w:t>
      </w:r>
      <w:r w:rsidRPr="006D4ED5">
        <w:rPr>
          <w:rFonts w:asciiTheme="majorBidi" w:hAnsiTheme="majorBidi"/>
          <w:b w:val="0"/>
          <w:bCs w:val="0"/>
          <w:lang w:bidi="he-IL"/>
        </w:rPr>
        <w:t>Kidney-specific composite outcome with death treated as a competing risk</w:t>
      </w:r>
    </w:p>
    <w:p w14:paraId="6B4240C6" w14:textId="77777777" w:rsidR="00622F70" w:rsidRDefault="00622F70" w:rsidP="00622F70">
      <w:pPr>
        <w:rPr>
          <w:rFonts w:asciiTheme="minorBidi" w:hAnsiTheme="minorBidi"/>
          <w:sz w:val="24"/>
          <w:szCs w:val="24"/>
        </w:rPr>
      </w:pPr>
    </w:p>
    <w:p w14:paraId="67BBCA56" w14:textId="77777777" w:rsidR="00622F70" w:rsidRPr="007A6D41" w:rsidRDefault="00622F70" w:rsidP="00622F70">
      <w:pPr>
        <w:rPr>
          <w:rFonts w:asciiTheme="minorBidi" w:hAnsiTheme="minorBidi"/>
          <w:sz w:val="24"/>
          <w:szCs w:val="24"/>
        </w:rPr>
      </w:pPr>
      <w:r>
        <w:rPr>
          <w:rFonts w:asciiTheme="minorBidi" w:hAnsiTheme="minorBidi"/>
          <w:noProof/>
          <w:sz w:val="24"/>
          <w:szCs w:val="24"/>
        </w:rPr>
        <w:drawing>
          <wp:inline distT="0" distB="0" distL="0" distR="0" wp14:anchorId="75C1BC59" wp14:editId="31C13DE7">
            <wp:extent cx="3073400" cy="2424389"/>
            <wp:effectExtent l="0" t="0" r="0" b="0"/>
            <wp:docPr id="577732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3268" name="Picture 57773268"/>
                    <pic:cNvPicPr/>
                  </pic:nvPicPr>
                  <pic:blipFill rotWithShape="1">
                    <a:blip r:embed="rId15" cstate="print">
                      <a:extLst>
                        <a:ext uri="{28A0092B-C50C-407E-A947-70E740481C1C}">
                          <a14:useLocalDpi xmlns:a14="http://schemas.microsoft.com/office/drawing/2010/main" val="0"/>
                        </a:ext>
                      </a:extLst>
                    </a:blip>
                    <a:srcRect l="7934" r="4308" b="16089"/>
                    <a:stretch>
                      <a:fillRect/>
                    </a:stretch>
                  </pic:blipFill>
                  <pic:spPr bwMode="auto">
                    <a:xfrm>
                      <a:off x="0" y="0"/>
                      <a:ext cx="3081939" cy="2431125"/>
                    </a:xfrm>
                    <a:prstGeom prst="rect">
                      <a:avLst/>
                    </a:prstGeom>
                    <a:ln>
                      <a:noFill/>
                    </a:ln>
                    <a:extLst>
                      <a:ext uri="{53640926-AAD7-44D8-BBD7-CCE9431645EC}">
                        <a14:shadowObscured xmlns:a14="http://schemas.microsoft.com/office/drawing/2010/main"/>
                      </a:ext>
                    </a:extLst>
                  </pic:spPr>
                </pic:pic>
              </a:graphicData>
            </a:graphic>
          </wp:inline>
        </w:drawing>
      </w:r>
    </w:p>
    <w:p w14:paraId="25A7C50C" w14:textId="2CCAD51E" w:rsidR="006D4ED5" w:rsidRDefault="00622F70" w:rsidP="00FD7A22">
      <w:pPr>
        <w:spacing w:line="480" w:lineRule="auto"/>
        <w:rPr>
          <w:rFonts w:asciiTheme="majorBidi" w:hAnsiTheme="majorBidi" w:cstheme="majorBidi"/>
          <w:noProof/>
        </w:rPr>
      </w:pPr>
      <w:r w:rsidRPr="00E8208F">
        <w:rPr>
          <w:rFonts w:asciiTheme="majorBidi" w:hAnsiTheme="majorBidi" w:cstheme="majorBidi"/>
          <w:noProof/>
        </w:rPr>
        <w:t>Cumulative incidence curves for the first occurrence of the kidney-specific composite outcome, defined as confirmed ≥30% eGFR decline, new-onset or worsening albuminuria, or ESKD, with all-cause death treated as a competing event. The curves and displayed sHR and 95% CI are unadjusted; the adjusted sHR is reported in the text. CI, confidence interval; DPP4i, dipeptidyl peptidase-4 inhibitor; eGFR, estimated glomerular filtration rate; ESKD, end-stage kidney disease; sHR, subdistribution hazard ratio.</w:t>
      </w:r>
    </w:p>
    <w:p w14:paraId="2E86514B" w14:textId="77777777" w:rsidR="00FD7A22" w:rsidRDefault="00622F70" w:rsidP="00FD7A22">
      <w:pPr>
        <w:pStyle w:val="Heading2"/>
        <w:rPr>
          <w:rFonts w:asciiTheme="majorBidi" w:eastAsia="Times New Roman" w:hAnsiTheme="majorBidi"/>
          <w:b w:val="0"/>
          <w:bCs w:val="0"/>
          <w:color w:val="auto"/>
          <w:szCs w:val="24"/>
          <w:lang w:eastAsia="zh-TW" w:bidi="he-IL"/>
        </w:rPr>
      </w:pPr>
      <w:r w:rsidRPr="00FD7A22">
        <w:rPr>
          <w:rFonts w:asciiTheme="majorBidi" w:hAnsiTheme="majorBidi"/>
          <w:lang w:bidi="he-IL"/>
        </w:rPr>
        <w:t xml:space="preserve">Figure S7. </w:t>
      </w:r>
      <w:r w:rsidRPr="00FD7A22">
        <w:rPr>
          <w:rFonts w:asciiTheme="majorBidi" w:hAnsiTheme="majorBidi"/>
          <w:b w:val="0"/>
          <w:bCs w:val="0"/>
          <w:lang w:bidi="he-IL"/>
        </w:rPr>
        <w:t>Exploratory joint subgroup analysis by baseline HbA1c and diabetes duration</w:t>
      </w:r>
      <w:r w:rsidRPr="00FD7A22">
        <w:rPr>
          <w:rFonts w:asciiTheme="majorBidi" w:eastAsia="Times New Roman" w:hAnsiTheme="majorBidi"/>
          <w:b w:val="0"/>
          <w:bCs w:val="0"/>
          <w:color w:val="auto"/>
          <w:szCs w:val="24"/>
          <w:lang w:eastAsia="zh-TW" w:bidi="he-IL"/>
        </w:rPr>
        <w:t xml:space="preserve"> </w:t>
      </w:r>
    </w:p>
    <w:p w14:paraId="0B0977AE" w14:textId="77777777" w:rsidR="00FD7A22" w:rsidRPr="00FD7A22" w:rsidRDefault="00FD7A22" w:rsidP="00FD7A22">
      <w:pPr>
        <w:rPr>
          <w:lang w:val="en-GB" w:eastAsia="zh-TW" w:bidi="he-IL"/>
        </w:rPr>
      </w:pPr>
    </w:p>
    <w:p w14:paraId="170780E2" w14:textId="4C63DF9C" w:rsidR="00622F70" w:rsidRPr="00EF1CD9" w:rsidRDefault="00622F70" w:rsidP="00622F70">
      <w:pPr>
        <w:spacing w:line="480" w:lineRule="auto"/>
        <w:rPr>
          <w:rFonts w:asciiTheme="minorBidi" w:hAnsiTheme="minorBidi"/>
        </w:rPr>
      </w:pPr>
      <w:r w:rsidRPr="00471FA9">
        <w:rPr>
          <w:rFonts w:asciiTheme="minorBidi" w:hAnsiTheme="minorBidi"/>
          <w:noProof/>
        </w:rPr>
        <w:drawing>
          <wp:inline distT="0" distB="0" distL="0" distR="0" wp14:anchorId="1A5156B2" wp14:editId="14283665">
            <wp:extent cx="6045200" cy="1888764"/>
            <wp:effectExtent l="0" t="0" r="0" b="0"/>
            <wp:docPr id="17766145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14541"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t="14967" b="14099"/>
                    <a:stretch>
                      <a:fillRect/>
                    </a:stretch>
                  </pic:blipFill>
                  <pic:spPr bwMode="auto">
                    <a:xfrm>
                      <a:off x="0" y="0"/>
                      <a:ext cx="6054342" cy="1891620"/>
                    </a:xfrm>
                    <a:prstGeom prst="rect">
                      <a:avLst/>
                    </a:prstGeom>
                    <a:noFill/>
                    <a:ln>
                      <a:noFill/>
                    </a:ln>
                    <a:extLst>
                      <a:ext uri="{53640926-AAD7-44D8-BBD7-CCE9431645EC}">
                        <a14:shadowObscured xmlns:a14="http://schemas.microsoft.com/office/drawing/2010/main"/>
                      </a:ext>
                    </a:extLst>
                  </pic:spPr>
                </pic:pic>
              </a:graphicData>
            </a:graphic>
          </wp:inline>
        </w:drawing>
      </w:r>
    </w:p>
    <w:p w14:paraId="3DF855E5" w14:textId="12F33C1C" w:rsidR="00871F9E" w:rsidRDefault="00622F70" w:rsidP="00A11318">
      <w:pPr>
        <w:spacing w:line="480" w:lineRule="auto"/>
        <w:rPr>
          <w:rFonts w:asciiTheme="majorBidi" w:hAnsiTheme="majorBidi" w:cstheme="majorBidi"/>
          <w:noProof/>
        </w:rPr>
      </w:pPr>
      <w:r w:rsidRPr="003C0639">
        <w:rPr>
          <w:rFonts w:asciiTheme="majorBidi" w:hAnsiTheme="majorBidi" w:cstheme="majorBidi"/>
          <w:noProof/>
        </w:rPr>
        <w:t xml:space="preserve">Adjusted HRs and 95% CIs for the primary composite outcome comparing semaglutide with DPP4i across joint strata of baseline HbA1c and diabetes duration. This exploratory analysis was not prespecified and was not </w:t>
      </w:r>
      <w:r w:rsidRPr="003C0639">
        <w:rPr>
          <w:rFonts w:asciiTheme="majorBidi" w:hAnsiTheme="majorBidi" w:cstheme="majorBidi"/>
          <w:noProof/>
        </w:rPr>
        <w:lastRenderedPageBreak/>
        <w:t xml:space="preserve">adjusted for multiple comparisons. SI equivalent: HbA1c 7% = 53 mmol/mol. CI, confidence interval; DPP4i, dipeptidyl peptidase-4 inhibitor; HbA1c, glycated </w:t>
      </w:r>
      <w:r>
        <w:rPr>
          <w:rFonts w:ascii="Times New Roman" w:eastAsia="Apis For Office" w:hAnsi="Times New Roman" w:cs="Times New Roman"/>
          <w:noProof/>
        </w:rPr>
        <w:t>hemoglobin</w:t>
      </w:r>
      <w:r w:rsidRPr="003C0639">
        <w:rPr>
          <w:rFonts w:asciiTheme="majorBidi" w:hAnsiTheme="majorBidi" w:cstheme="majorBidi"/>
          <w:noProof/>
        </w:rPr>
        <w:t>; HR, hazard ratio.</w:t>
      </w:r>
    </w:p>
    <w:p w14:paraId="7CB2A9AC" w14:textId="7618876D" w:rsidR="00622F70" w:rsidRPr="00FD7A22" w:rsidRDefault="00622F70" w:rsidP="00FD7A22">
      <w:pPr>
        <w:pStyle w:val="Heading2"/>
        <w:rPr>
          <w:rFonts w:asciiTheme="majorBidi" w:hAnsiTheme="majorBidi"/>
          <w:b w:val="0"/>
          <w:bCs w:val="0"/>
          <w:lang w:bidi="he-IL"/>
        </w:rPr>
      </w:pPr>
      <w:r w:rsidRPr="006D4ED5">
        <w:rPr>
          <w:rFonts w:asciiTheme="majorBidi" w:hAnsiTheme="majorBidi"/>
          <w:lang w:bidi="he-IL"/>
        </w:rPr>
        <w:t xml:space="preserve">Figure S8. </w:t>
      </w:r>
      <w:r w:rsidRPr="00FD7A22">
        <w:rPr>
          <w:rFonts w:asciiTheme="majorBidi" w:hAnsiTheme="majorBidi"/>
          <w:b w:val="0"/>
          <w:bCs w:val="0"/>
          <w:lang w:bidi="he-IL"/>
        </w:rPr>
        <w:t xml:space="preserve">Transitions in KDIGO risk categories </w:t>
      </w:r>
      <w:r w:rsidR="009D3962" w:rsidRPr="00FD7A22">
        <w:rPr>
          <w:rFonts w:asciiTheme="majorBidi" w:hAnsiTheme="majorBidi"/>
          <w:b w:val="0"/>
          <w:bCs w:val="0"/>
          <w:lang w:bidi="he-IL"/>
        </w:rPr>
        <w:t>at</w:t>
      </w:r>
      <w:r w:rsidRPr="00FD7A22">
        <w:rPr>
          <w:rFonts w:asciiTheme="majorBidi" w:hAnsiTheme="majorBidi"/>
          <w:b w:val="0"/>
          <w:bCs w:val="0"/>
          <w:lang w:bidi="he-IL"/>
        </w:rPr>
        <w:t xml:space="preserve"> 36 months</w:t>
      </w:r>
      <w:r w:rsidR="009D3962" w:rsidRPr="00FD7A22">
        <w:rPr>
          <w:rFonts w:asciiTheme="majorBidi" w:hAnsiTheme="majorBidi"/>
          <w:b w:val="0"/>
          <w:bCs w:val="0"/>
          <w:lang w:bidi="he-IL"/>
        </w:rPr>
        <w:t xml:space="preserve"> of the follow-up</w:t>
      </w:r>
    </w:p>
    <w:p w14:paraId="6D2431E7" w14:textId="77777777" w:rsidR="00622F70" w:rsidRPr="00FD7A22" w:rsidRDefault="00622F70" w:rsidP="00FD7A22">
      <w:pPr>
        <w:pStyle w:val="Heading2"/>
        <w:rPr>
          <w:rFonts w:asciiTheme="majorBidi" w:hAnsiTheme="majorBidi"/>
          <w:lang w:bidi="he-IL"/>
        </w:rPr>
      </w:pPr>
    </w:p>
    <w:p w14:paraId="209B6607" w14:textId="77777777" w:rsidR="00622F70" w:rsidRPr="00EB58C6" w:rsidRDefault="00622F70" w:rsidP="00622F70">
      <w:pPr>
        <w:rPr>
          <w:rFonts w:asciiTheme="minorBidi" w:hAnsiTheme="minorBidi"/>
          <w:sz w:val="24"/>
          <w:szCs w:val="24"/>
        </w:rPr>
      </w:pPr>
      <w:r>
        <w:rPr>
          <w:rFonts w:asciiTheme="minorBidi" w:hAnsiTheme="minorBidi"/>
          <w:noProof/>
          <w:sz w:val="24"/>
          <w:szCs w:val="24"/>
        </w:rPr>
        <w:drawing>
          <wp:inline distT="0" distB="0" distL="0" distR="0" wp14:anchorId="3336A304" wp14:editId="0DA5E227">
            <wp:extent cx="6110605" cy="2482850"/>
            <wp:effectExtent l="0" t="0" r="4445" b="0"/>
            <wp:docPr id="14005015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01558" name="Picture 1400501558"/>
                    <pic:cNvPicPr/>
                  </pic:nvPicPr>
                  <pic:blipFill rotWithShape="1">
                    <a:blip r:embed="rId17" cstate="print">
                      <a:extLst>
                        <a:ext uri="{28A0092B-C50C-407E-A947-70E740481C1C}">
                          <a14:useLocalDpi xmlns:a14="http://schemas.microsoft.com/office/drawing/2010/main" val="0"/>
                        </a:ext>
                      </a:extLst>
                    </a:blip>
                    <a:srcRect t="4713" b="3130"/>
                    <a:stretch>
                      <a:fillRect/>
                    </a:stretch>
                  </pic:blipFill>
                  <pic:spPr bwMode="auto">
                    <a:xfrm>
                      <a:off x="0" y="0"/>
                      <a:ext cx="6111252" cy="2483113"/>
                    </a:xfrm>
                    <a:prstGeom prst="rect">
                      <a:avLst/>
                    </a:prstGeom>
                    <a:ln>
                      <a:noFill/>
                    </a:ln>
                    <a:extLst>
                      <a:ext uri="{53640926-AAD7-44D8-BBD7-CCE9431645EC}">
                        <a14:shadowObscured xmlns:a14="http://schemas.microsoft.com/office/drawing/2010/main"/>
                      </a:ext>
                    </a:extLst>
                  </pic:spPr>
                </pic:pic>
              </a:graphicData>
            </a:graphic>
          </wp:inline>
        </w:drawing>
      </w:r>
    </w:p>
    <w:p w14:paraId="04A5DECE" w14:textId="77777777" w:rsidR="00622F70" w:rsidRDefault="00622F70" w:rsidP="00622F70">
      <w:pPr>
        <w:spacing w:line="480" w:lineRule="auto"/>
        <w:rPr>
          <w:rFonts w:asciiTheme="majorBidi" w:hAnsiTheme="majorBidi" w:cstheme="majorBidi"/>
          <w:noProof/>
        </w:rPr>
      </w:pPr>
      <w:r w:rsidRPr="00C85236">
        <w:rPr>
          <w:rFonts w:asciiTheme="majorBidi" w:hAnsiTheme="majorBidi" w:cstheme="majorBidi"/>
          <w:noProof/>
        </w:rPr>
        <w:t xml:space="preserve">Adjusted HRs and 95% CIs for transitions in KDIGO risk categories during follow-up. Death was included as a component of all deterioration outcomes. For deterioration outcomes, </w:t>
      </w:r>
      <w:r>
        <w:rPr>
          <w:rFonts w:ascii="Times New Roman" w:eastAsia="Apis For Office" w:hAnsi="Times New Roman" w:cs="Times New Roman"/>
          <w:noProof/>
        </w:rPr>
        <w:t xml:space="preserve">an </w:t>
      </w:r>
      <w:r w:rsidRPr="00C85236">
        <w:rPr>
          <w:rFonts w:asciiTheme="majorBidi" w:hAnsiTheme="majorBidi" w:cstheme="majorBidi"/>
          <w:noProof/>
        </w:rPr>
        <w:t xml:space="preserve">HR &lt;1 favors semaglutide; for regression to low risk, </w:t>
      </w:r>
      <w:r>
        <w:rPr>
          <w:rFonts w:ascii="Times New Roman" w:eastAsia="Apis For Office" w:hAnsi="Times New Roman" w:cs="Times New Roman"/>
          <w:noProof/>
        </w:rPr>
        <w:t xml:space="preserve">an </w:t>
      </w:r>
      <w:r w:rsidRPr="00C85236">
        <w:rPr>
          <w:rFonts w:asciiTheme="majorBidi" w:hAnsiTheme="majorBidi" w:cstheme="majorBidi"/>
          <w:noProof/>
        </w:rPr>
        <w:t>HR &gt;1 favors semaglutide. CI, confidence interval; DPP4i, dipeptidyl peptidase-4 inhibitor; HR, hazard ratio; KDIGO, Kidney Disease: Improving Global Outcomes.</w:t>
      </w:r>
    </w:p>
    <w:p w14:paraId="6A614A84" w14:textId="77777777" w:rsidR="00622F70" w:rsidRDefault="00622F70" w:rsidP="00622F70">
      <w:pPr>
        <w:spacing w:line="480" w:lineRule="auto"/>
        <w:rPr>
          <w:rFonts w:asciiTheme="majorBidi" w:hAnsiTheme="majorBidi" w:cstheme="majorBidi"/>
          <w:noProof/>
        </w:rPr>
      </w:pPr>
    </w:p>
    <w:p w14:paraId="587C8527" w14:textId="77777777" w:rsidR="00AA3C0F" w:rsidRDefault="00AA3C0F" w:rsidP="00622F70">
      <w:pPr>
        <w:spacing w:line="480" w:lineRule="auto"/>
        <w:rPr>
          <w:rFonts w:asciiTheme="majorBidi" w:hAnsiTheme="majorBidi" w:cstheme="majorBidi"/>
          <w:noProof/>
        </w:rPr>
      </w:pPr>
    </w:p>
    <w:p w14:paraId="5D585172" w14:textId="77777777" w:rsidR="00AA3C0F" w:rsidRDefault="00AA3C0F" w:rsidP="00622F70">
      <w:pPr>
        <w:spacing w:line="480" w:lineRule="auto"/>
        <w:rPr>
          <w:rFonts w:asciiTheme="majorBidi" w:hAnsiTheme="majorBidi" w:cstheme="majorBidi"/>
          <w:noProof/>
        </w:rPr>
      </w:pPr>
    </w:p>
    <w:p w14:paraId="544CF302" w14:textId="77777777" w:rsidR="00AA3C0F" w:rsidRDefault="00AA3C0F" w:rsidP="00622F70">
      <w:pPr>
        <w:spacing w:line="480" w:lineRule="auto"/>
        <w:rPr>
          <w:rFonts w:asciiTheme="majorBidi" w:hAnsiTheme="majorBidi" w:cstheme="majorBidi"/>
          <w:noProof/>
        </w:rPr>
      </w:pPr>
    </w:p>
    <w:p w14:paraId="3005DDD9" w14:textId="77777777" w:rsidR="00AA3C0F" w:rsidRDefault="00AA3C0F" w:rsidP="00622F70">
      <w:pPr>
        <w:spacing w:line="480" w:lineRule="auto"/>
        <w:rPr>
          <w:rFonts w:asciiTheme="majorBidi" w:hAnsiTheme="majorBidi" w:cstheme="majorBidi"/>
          <w:noProof/>
        </w:rPr>
      </w:pPr>
    </w:p>
    <w:p w14:paraId="64292DC4" w14:textId="77777777" w:rsidR="00871F9E" w:rsidRDefault="00871F9E" w:rsidP="00622F70">
      <w:pPr>
        <w:spacing w:line="480" w:lineRule="auto"/>
        <w:rPr>
          <w:rFonts w:asciiTheme="majorBidi" w:hAnsiTheme="majorBidi" w:cstheme="majorBidi"/>
          <w:noProof/>
        </w:rPr>
      </w:pPr>
    </w:p>
    <w:p w14:paraId="7F8DC88E" w14:textId="77777777" w:rsidR="00AA3C0F" w:rsidRDefault="00AA3C0F" w:rsidP="00622F70">
      <w:pPr>
        <w:spacing w:line="480" w:lineRule="auto"/>
        <w:rPr>
          <w:rFonts w:asciiTheme="majorBidi" w:hAnsiTheme="majorBidi" w:cstheme="majorBidi"/>
          <w:noProof/>
        </w:rPr>
      </w:pPr>
    </w:p>
    <w:p w14:paraId="3174A74F" w14:textId="77777777" w:rsidR="00622F70" w:rsidRDefault="00622F70" w:rsidP="00B41C74">
      <w:pPr>
        <w:pStyle w:val="Heading2"/>
        <w:rPr>
          <w:rFonts w:asciiTheme="majorBidi" w:hAnsiTheme="majorBidi"/>
          <w:b w:val="0"/>
          <w:bCs w:val="0"/>
          <w:lang w:bidi="he-IL"/>
        </w:rPr>
      </w:pPr>
      <w:r w:rsidRPr="00B41C74">
        <w:rPr>
          <w:rFonts w:asciiTheme="majorBidi" w:hAnsiTheme="majorBidi"/>
          <w:lang w:bidi="he-IL"/>
        </w:rPr>
        <w:lastRenderedPageBreak/>
        <w:t xml:space="preserve">Figure S9. </w:t>
      </w:r>
      <w:r w:rsidRPr="00B41C74">
        <w:rPr>
          <w:rFonts w:asciiTheme="majorBidi" w:hAnsiTheme="majorBidi"/>
          <w:b w:val="0"/>
          <w:bCs w:val="0"/>
          <w:lang w:bidi="he-IL"/>
        </w:rPr>
        <w:t>Baseline characteristics across semaglutide evidence sources</w:t>
      </w:r>
    </w:p>
    <w:p w14:paraId="63CB252A" w14:textId="77777777" w:rsidR="00A53D96" w:rsidRDefault="00A53D96" w:rsidP="00A53D96">
      <w:pPr>
        <w:rPr>
          <w:lang w:val="en-GB" w:bidi="he-IL"/>
        </w:rPr>
      </w:pPr>
    </w:p>
    <w:p w14:paraId="1407E6AE" w14:textId="2DC39E9F" w:rsidR="00622F70" w:rsidRPr="00564A6F" w:rsidRDefault="00A53D96" w:rsidP="00564A6F">
      <w:pPr>
        <w:rPr>
          <w:lang w:val="en-GB" w:bidi="he-IL"/>
        </w:rPr>
      </w:pPr>
      <w:r>
        <w:rPr>
          <w:noProof/>
          <w:lang w:val="en-GB" w:bidi="he-IL"/>
        </w:rPr>
        <w:drawing>
          <wp:inline distT="0" distB="0" distL="0" distR="0" wp14:anchorId="106C204E" wp14:editId="27EC2785">
            <wp:extent cx="5731510" cy="3173730"/>
            <wp:effectExtent l="0" t="0" r="2540" b="7620"/>
            <wp:docPr id="25623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3513" name="Picture 2562351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173730"/>
                    </a:xfrm>
                    <a:prstGeom prst="rect">
                      <a:avLst/>
                    </a:prstGeom>
                  </pic:spPr>
                </pic:pic>
              </a:graphicData>
            </a:graphic>
          </wp:inline>
        </w:drawing>
      </w:r>
    </w:p>
    <w:p w14:paraId="0E295956" w14:textId="317DBD7E" w:rsidR="00622F70" w:rsidRDefault="00622F70" w:rsidP="00622F70">
      <w:pPr>
        <w:spacing w:line="480" w:lineRule="auto"/>
        <w:rPr>
          <w:rFonts w:asciiTheme="minorBidi" w:hAnsiTheme="minorBidi"/>
        </w:rPr>
      </w:pPr>
      <w:r>
        <w:rPr>
          <w:rFonts w:asciiTheme="minorBidi" w:hAnsiTheme="minorBidi"/>
        </w:rPr>
        <w:t>Comparison of baseline characteristics in the matched semaglutide cohort from the current study (RWE; N=6705) and the semaglutide groups in FLOW (N=1767) [6] and SUSTAIN 6 (N=1648) [19</w:t>
      </w:r>
      <w:r w:rsidR="004B09DE">
        <w:rPr>
          <w:rFonts w:asciiTheme="minorBidi" w:hAnsiTheme="minorBidi"/>
        </w:rPr>
        <w:t>, 20</w:t>
      </w:r>
      <w:r>
        <w:rPr>
          <w:rFonts w:asciiTheme="minorBidi" w:hAnsiTheme="minorBidi"/>
        </w:rPr>
        <w:t xml:space="preserve">]. </w:t>
      </w:r>
      <w:r w:rsidR="00A11318">
        <w:rPr>
          <w:rFonts w:asciiTheme="minorBidi" w:hAnsiTheme="minorBidi"/>
        </w:rPr>
        <w:t xml:space="preserve">                     </w:t>
      </w:r>
      <w:r w:rsidR="00564A6F" w:rsidRPr="00A11318">
        <w:rPr>
          <w:rFonts w:asciiTheme="minorBidi" w:hAnsiTheme="minorBidi"/>
          <w:sz w:val="24"/>
          <w:szCs w:val="24"/>
          <w:vertAlign w:val="superscript"/>
        </w:rPr>
        <w:t>a</w:t>
      </w:r>
      <w:r w:rsidRPr="00302B40">
        <w:rPr>
          <w:rFonts w:asciiTheme="minorBidi" w:hAnsiTheme="minorBidi"/>
        </w:rPr>
        <w:t xml:space="preserve"> Unpublished data from the FLOW clinical trial report (data on file with Novo Nordisk; used with permission). </w:t>
      </w:r>
      <w:r>
        <w:rPr>
          <w:rFonts w:ascii="Times New Roman" w:eastAsia="Apis For Office" w:hAnsi="Times New Roman" w:cs="Times New Roman"/>
        </w:rPr>
        <w:t>The values</w:t>
      </w:r>
      <w:r w:rsidRPr="00302B40">
        <w:rPr>
          <w:rFonts w:asciiTheme="minorBidi" w:hAnsiTheme="minorBidi"/>
        </w:rPr>
        <w:t xml:space="preserve"> are </w:t>
      </w:r>
      <w:r>
        <w:rPr>
          <w:rFonts w:ascii="Times New Roman" w:eastAsia="Apis For Office" w:hAnsi="Times New Roman" w:cs="Times New Roman"/>
        </w:rPr>
        <w:t xml:space="preserve">the </w:t>
      </w:r>
      <w:r w:rsidRPr="00302B40">
        <w:rPr>
          <w:rFonts w:asciiTheme="minorBidi" w:hAnsiTheme="minorBidi"/>
        </w:rPr>
        <w:t xml:space="preserve">means for diabetes duration, HbA1c, BMI, and eGFR and percentages for IHD and HF. </w:t>
      </w:r>
      <w:r>
        <w:rPr>
          <w:rFonts w:ascii="Times New Roman" w:eastAsia="Apis For Office" w:hAnsi="Times New Roman" w:cs="Times New Roman"/>
        </w:rPr>
        <w:t>The corresponding</w:t>
      </w:r>
      <w:r w:rsidRPr="00302B40">
        <w:rPr>
          <w:rFonts w:asciiTheme="minorBidi" w:hAnsiTheme="minorBidi"/>
        </w:rPr>
        <w:t xml:space="preserve"> HbA1c values in </w:t>
      </w:r>
      <w:r>
        <w:rPr>
          <w:rFonts w:ascii="Times New Roman" w:eastAsia="Apis For Office" w:hAnsi="Times New Roman" w:cs="Times New Roman"/>
        </w:rPr>
        <w:t xml:space="preserve">the </w:t>
      </w:r>
      <w:r w:rsidRPr="00302B40">
        <w:rPr>
          <w:rFonts w:asciiTheme="minorBidi" w:hAnsiTheme="minorBidi"/>
        </w:rPr>
        <w:t xml:space="preserve">SI units are 58.5, 61.7, and 71.6 mmol/mol for RWE, FLOW, and SUSTAIN 6, respectively. BMI, body mass index; eGFR, estimated glomerular filtration rate; HbA1c, glycated </w:t>
      </w:r>
      <w:r>
        <w:rPr>
          <w:rFonts w:ascii="Times New Roman" w:eastAsia="Apis For Office" w:hAnsi="Times New Roman" w:cs="Times New Roman"/>
        </w:rPr>
        <w:t>hemoglobin</w:t>
      </w:r>
      <w:r w:rsidRPr="00302B40">
        <w:rPr>
          <w:rFonts w:asciiTheme="minorBidi" w:hAnsiTheme="minorBidi"/>
        </w:rPr>
        <w:t xml:space="preserve">; HF, heart failure; IHD, </w:t>
      </w:r>
      <w:r>
        <w:rPr>
          <w:rFonts w:ascii="Times New Roman" w:eastAsia="Apis For Office" w:hAnsi="Times New Roman" w:cs="Times New Roman"/>
        </w:rPr>
        <w:t>ischemic</w:t>
      </w:r>
      <w:r w:rsidRPr="00302B40">
        <w:rPr>
          <w:rFonts w:asciiTheme="minorBidi" w:hAnsiTheme="minorBidi"/>
        </w:rPr>
        <w:t xml:space="preserve"> heart disease; RWE, real-world evidence.</w:t>
      </w:r>
    </w:p>
    <w:p w14:paraId="72E2AB04" w14:textId="56B34150" w:rsidR="0086003C" w:rsidRPr="006931D9" w:rsidRDefault="0086003C" w:rsidP="006931D9">
      <w:pPr>
        <w:pStyle w:val="Heading1"/>
        <w:rPr>
          <w:rFonts w:asciiTheme="majorBidi" w:hAnsiTheme="majorBidi"/>
          <w:sz w:val="24"/>
          <w:szCs w:val="24"/>
        </w:rPr>
      </w:pPr>
      <w:r w:rsidRPr="006931D9">
        <w:rPr>
          <w:rFonts w:asciiTheme="majorBidi" w:hAnsiTheme="majorBidi"/>
          <w:sz w:val="24"/>
          <w:szCs w:val="24"/>
        </w:rPr>
        <w:t>References</w:t>
      </w:r>
      <w:r w:rsidR="006931D9" w:rsidRPr="006931D9">
        <w:rPr>
          <w:rFonts w:asciiTheme="majorBidi" w:hAnsiTheme="majorBidi"/>
          <w:sz w:val="24"/>
          <w:szCs w:val="24"/>
        </w:rPr>
        <w:t>:</w:t>
      </w:r>
    </w:p>
    <w:p w14:paraId="5480E83E"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American Diabetes Association Professional Practice Committee for Diabetes. Chronic kidney disease and risk management: Standards of Care in Diabetes—2026. Diabetes Care. 2026;49 Suppl 1:S246-S260. doi:10.2337/dc26-S011.</w:t>
      </w:r>
    </w:p>
    <w:p w14:paraId="705A8097"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lastRenderedPageBreak/>
        <w:t xml:space="preserve">Chaudhry K, </w:t>
      </w:r>
      <w:proofErr w:type="spellStart"/>
      <w:r w:rsidRPr="006931D9">
        <w:rPr>
          <w:rFonts w:ascii="Times New Roman" w:eastAsia="Apis For Office" w:hAnsi="Times New Roman" w:cs="Times New Roman"/>
          <w:color w:val="000000"/>
          <w:sz w:val="24"/>
          <w:szCs w:val="24"/>
        </w:rPr>
        <w:t>Karalliedde</w:t>
      </w:r>
      <w:proofErr w:type="spellEnd"/>
      <w:r w:rsidRPr="006931D9">
        <w:rPr>
          <w:rFonts w:ascii="Times New Roman" w:eastAsia="Apis For Office" w:hAnsi="Times New Roman" w:cs="Times New Roman"/>
          <w:color w:val="000000"/>
          <w:sz w:val="24"/>
          <w:szCs w:val="24"/>
        </w:rPr>
        <w:t xml:space="preserve"> J. Chronic kidney disease in type 2 diabetes: the size of the problem, addressing residual renal risk and what we have learned from the CREDENCE trial. Diabetes </w:t>
      </w:r>
      <w:proofErr w:type="spellStart"/>
      <w:r w:rsidRPr="006931D9">
        <w:rPr>
          <w:rFonts w:ascii="Times New Roman" w:eastAsia="Apis For Office" w:hAnsi="Times New Roman" w:cs="Times New Roman"/>
          <w:color w:val="000000"/>
          <w:sz w:val="24"/>
          <w:szCs w:val="24"/>
        </w:rPr>
        <w:t>Obes</w:t>
      </w:r>
      <w:proofErr w:type="spellEnd"/>
      <w:r w:rsidRPr="006931D9">
        <w:rPr>
          <w:rFonts w:ascii="Times New Roman" w:eastAsia="Apis For Office" w:hAnsi="Times New Roman" w:cs="Times New Roman"/>
          <w:color w:val="000000"/>
          <w:sz w:val="24"/>
          <w:szCs w:val="24"/>
        </w:rPr>
        <w:t xml:space="preserve"> </w:t>
      </w:r>
      <w:proofErr w:type="spellStart"/>
      <w:r w:rsidRPr="006931D9">
        <w:rPr>
          <w:rFonts w:ascii="Times New Roman" w:eastAsia="Apis For Office" w:hAnsi="Times New Roman" w:cs="Times New Roman"/>
          <w:color w:val="000000"/>
          <w:sz w:val="24"/>
          <w:szCs w:val="24"/>
        </w:rPr>
        <w:t>Metab</w:t>
      </w:r>
      <w:proofErr w:type="spellEnd"/>
      <w:r w:rsidRPr="006931D9">
        <w:rPr>
          <w:rFonts w:ascii="Times New Roman" w:eastAsia="Apis For Office" w:hAnsi="Times New Roman" w:cs="Times New Roman"/>
          <w:color w:val="000000"/>
          <w:sz w:val="24"/>
          <w:szCs w:val="24"/>
        </w:rPr>
        <w:t>. 2024;26 Suppl 5:25-34. doi:10.1111/dom.15765.</w:t>
      </w:r>
    </w:p>
    <w:p w14:paraId="5B041A8A"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Morales J, Handelsman Y. Cardiovascular outcomes in patients with diabetes and kidney disease: JACC review topic of the week. J Am Coll </w:t>
      </w:r>
      <w:proofErr w:type="spellStart"/>
      <w:r w:rsidRPr="006931D9">
        <w:rPr>
          <w:rFonts w:ascii="Times New Roman" w:eastAsia="Apis For Office" w:hAnsi="Times New Roman" w:cs="Times New Roman"/>
          <w:color w:val="000000"/>
          <w:sz w:val="24"/>
          <w:szCs w:val="24"/>
        </w:rPr>
        <w:t>Cardiol</w:t>
      </w:r>
      <w:proofErr w:type="spellEnd"/>
      <w:r w:rsidRPr="006931D9">
        <w:rPr>
          <w:rFonts w:ascii="Times New Roman" w:eastAsia="Apis For Office" w:hAnsi="Times New Roman" w:cs="Times New Roman"/>
          <w:color w:val="000000"/>
          <w:sz w:val="24"/>
          <w:szCs w:val="24"/>
        </w:rPr>
        <w:t>. 2023;82:161-170. doi:10.1016/j.jacc.2023.04.052.</w:t>
      </w:r>
    </w:p>
    <w:p w14:paraId="477AF95F"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Coresh J, Turin TC, Matsushita K, Sang Y, Ballew SH, Appel LJ, et al. Decline in estimated glomerular filtration rate and subsequent risk of end-stage renal disease and mortality. JAMA. 2014;311:2518-2531. doi:10.1001/jama.2014.6634.</w:t>
      </w:r>
    </w:p>
    <w:p w14:paraId="53BD982A"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Kidney Disease: Improving Global Outcomes (KDIGO) CKD Work Group. KDIGO 2024 Clinical Practice Guideline for the Evaluation and Management of Chronic Kidney Disease. Kidney Int. 2024;105 Suppl 4S:S117-S314. doi:10.1016/j.kint.2023.10.018.</w:t>
      </w:r>
    </w:p>
    <w:p w14:paraId="2B835741"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Perkovic V, Tuttle KR, Rossing P, Mahaffey KW, Mann JFE, </w:t>
      </w:r>
      <w:proofErr w:type="spellStart"/>
      <w:r w:rsidRPr="006931D9">
        <w:rPr>
          <w:rFonts w:ascii="Times New Roman" w:eastAsia="Apis For Office" w:hAnsi="Times New Roman" w:cs="Times New Roman"/>
          <w:color w:val="000000"/>
          <w:sz w:val="24"/>
          <w:szCs w:val="24"/>
        </w:rPr>
        <w:t>Bakris</w:t>
      </w:r>
      <w:proofErr w:type="spellEnd"/>
      <w:r w:rsidRPr="006931D9">
        <w:rPr>
          <w:rFonts w:ascii="Times New Roman" w:eastAsia="Apis For Office" w:hAnsi="Times New Roman" w:cs="Times New Roman"/>
          <w:color w:val="000000"/>
          <w:sz w:val="24"/>
          <w:szCs w:val="24"/>
        </w:rPr>
        <w:t xml:space="preserve"> GL, et al. Effects of semaglutide on chronic kidney disease in patients with type 2 diabetes. N Engl J Med. 2024;391:109-121. doi:10.1056/NEJMoa2403347.</w:t>
      </w:r>
    </w:p>
    <w:p w14:paraId="68B723D7"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proofErr w:type="spellStart"/>
      <w:r w:rsidRPr="006931D9">
        <w:rPr>
          <w:rFonts w:ascii="Times New Roman" w:eastAsia="Apis For Office" w:hAnsi="Times New Roman" w:cs="Times New Roman"/>
          <w:color w:val="000000"/>
          <w:sz w:val="24"/>
          <w:szCs w:val="24"/>
        </w:rPr>
        <w:t>Khunti</w:t>
      </w:r>
      <w:proofErr w:type="spellEnd"/>
      <w:r w:rsidRPr="006931D9">
        <w:rPr>
          <w:rFonts w:ascii="Times New Roman" w:eastAsia="Apis For Office" w:hAnsi="Times New Roman" w:cs="Times New Roman"/>
          <w:color w:val="000000"/>
          <w:sz w:val="24"/>
          <w:szCs w:val="24"/>
        </w:rPr>
        <w:t xml:space="preserve"> K, Charbonnel B, Chen H, Cherney DZ, Cooper A, </w:t>
      </w:r>
      <w:proofErr w:type="spellStart"/>
      <w:r w:rsidRPr="006931D9">
        <w:rPr>
          <w:rFonts w:ascii="Times New Roman" w:eastAsia="Apis For Office" w:hAnsi="Times New Roman" w:cs="Times New Roman"/>
          <w:color w:val="000000"/>
          <w:sz w:val="24"/>
          <w:szCs w:val="24"/>
        </w:rPr>
        <w:t>Fenici</w:t>
      </w:r>
      <w:proofErr w:type="spellEnd"/>
      <w:r w:rsidRPr="006931D9">
        <w:rPr>
          <w:rFonts w:ascii="Times New Roman" w:eastAsia="Apis For Office" w:hAnsi="Times New Roman" w:cs="Times New Roman"/>
          <w:color w:val="000000"/>
          <w:sz w:val="24"/>
          <w:szCs w:val="24"/>
        </w:rPr>
        <w:t xml:space="preserve"> P, et al.; DISCOVER Investigators. Prevalence and progression of chronic kidney disease among patients with type 2 diabetes: insights from the DISCOVER study. Diabetes </w:t>
      </w:r>
      <w:proofErr w:type="spellStart"/>
      <w:r w:rsidRPr="006931D9">
        <w:rPr>
          <w:rFonts w:ascii="Times New Roman" w:eastAsia="Apis For Office" w:hAnsi="Times New Roman" w:cs="Times New Roman"/>
          <w:color w:val="000000"/>
          <w:sz w:val="24"/>
          <w:szCs w:val="24"/>
        </w:rPr>
        <w:t>Obes</w:t>
      </w:r>
      <w:proofErr w:type="spellEnd"/>
      <w:r w:rsidRPr="006931D9">
        <w:rPr>
          <w:rFonts w:ascii="Times New Roman" w:eastAsia="Apis For Office" w:hAnsi="Times New Roman" w:cs="Times New Roman"/>
          <w:color w:val="000000"/>
          <w:sz w:val="24"/>
          <w:szCs w:val="24"/>
        </w:rPr>
        <w:t xml:space="preserve"> </w:t>
      </w:r>
      <w:proofErr w:type="spellStart"/>
      <w:r w:rsidRPr="006931D9">
        <w:rPr>
          <w:rFonts w:ascii="Times New Roman" w:eastAsia="Apis For Office" w:hAnsi="Times New Roman" w:cs="Times New Roman"/>
          <w:color w:val="000000"/>
          <w:sz w:val="24"/>
          <w:szCs w:val="24"/>
        </w:rPr>
        <w:t>Metab</w:t>
      </w:r>
      <w:proofErr w:type="spellEnd"/>
      <w:r w:rsidRPr="006931D9">
        <w:rPr>
          <w:rFonts w:ascii="Times New Roman" w:eastAsia="Apis For Office" w:hAnsi="Times New Roman" w:cs="Times New Roman"/>
          <w:color w:val="000000"/>
          <w:sz w:val="24"/>
          <w:szCs w:val="24"/>
        </w:rPr>
        <w:t>. 2021;23:1956-1960. doi:10.1111/dom.14401.</w:t>
      </w:r>
    </w:p>
    <w:p w14:paraId="54E6D708"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lang w:val="it-IT"/>
        </w:rPr>
        <w:lastRenderedPageBreak/>
        <w:t xml:space="preserve">De Cosmo S, Viazzi F, Pacilli A, Giorda C, Ceriello A, Gentile S, et al.; AMD-Annals Study Group. </w:t>
      </w:r>
      <w:r w:rsidRPr="006931D9">
        <w:rPr>
          <w:rFonts w:ascii="Times New Roman" w:eastAsia="Apis For Office" w:hAnsi="Times New Roman" w:cs="Times New Roman"/>
          <w:color w:val="000000"/>
          <w:sz w:val="24"/>
          <w:szCs w:val="24"/>
        </w:rPr>
        <w:t>Predictors of chronic kidney disease in type 2 diabetes: a longitudinal study from the AMD Annals initiative. Medicine (Baltimore). 2016;95:e4007. doi:10.1097/MD.0000000000004007.</w:t>
      </w:r>
    </w:p>
    <w:p w14:paraId="36D42546"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Ortiz A, Arreola Guerra JM, Chan JCN, Jha V, Kramer H, Nicholas SB, et al.; Conference Participants. Preventing chronic kidney disease and maintaining kidney health: conclusions from a Kidney Disease: Improving Global Outcomes (KDIGO) Controversies Conference. Kidney Int. 2025;108:555-571. doi:10.1016/j.kint.2025.04.005.</w:t>
      </w:r>
    </w:p>
    <w:p w14:paraId="03A6C055"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lang w:val="fr-FR"/>
        </w:rPr>
        <w:t xml:space="preserve"> Mann JFE, Hansen T, Idorn T, Leiter LA, Marso SP, Rossing P, et al. </w:t>
      </w:r>
      <w:r w:rsidRPr="006931D9">
        <w:rPr>
          <w:rFonts w:ascii="Times New Roman" w:eastAsia="Apis For Office" w:hAnsi="Times New Roman" w:cs="Times New Roman"/>
          <w:color w:val="000000"/>
          <w:sz w:val="24"/>
          <w:szCs w:val="24"/>
        </w:rPr>
        <w:t xml:space="preserve">Effects of once-weekly subcutaneous semaglutide on kidney function and safety in patients with type 2 diabetes: a post-hoc analysis of the SUSTAIN 1–7 </w:t>
      </w:r>
      <w:proofErr w:type="spellStart"/>
      <w:r w:rsidRPr="006931D9">
        <w:rPr>
          <w:rFonts w:ascii="Times New Roman" w:eastAsia="Apis For Office" w:hAnsi="Times New Roman" w:cs="Times New Roman"/>
          <w:color w:val="000000"/>
          <w:sz w:val="24"/>
          <w:szCs w:val="24"/>
        </w:rPr>
        <w:t>randomised</w:t>
      </w:r>
      <w:proofErr w:type="spellEnd"/>
      <w:r w:rsidRPr="006931D9">
        <w:rPr>
          <w:rFonts w:ascii="Times New Roman" w:eastAsia="Apis For Office" w:hAnsi="Times New Roman" w:cs="Times New Roman"/>
          <w:color w:val="000000"/>
          <w:sz w:val="24"/>
          <w:szCs w:val="24"/>
        </w:rPr>
        <w:t xml:space="preserve"> controlled trials. Lancet Diabetes Endocrinol. 2020;8:880-893. doi:10.1016/S2213-8587(20)30313-2.</w:t>
      </w:r>
    </w:p>
    <w:p w14:paraId="2F2D1E73"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Levey AS, Stevens LA, Schmid CH, Zhang YL, Castro AF 3rd, Feldman HI, et al.; CKD-EPI (Chronic Kidney Disease Epidemiology Collaboration). A new equation to estimate glomerular filtration rate. Ann Intern Med. 2009;150:604-612. doi:10.7326/0003-4819-150-9-200905050-00006.</w:t>
      </w:r>
    </w:p>
    <w:p w14:paraId="70F5E3A3"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Looker HC, Mauer M, Saulnier PJ, Harder JL, Nair V, Boustany-Kari CM, et al. Changes in albuminuria but not GFR are associated with early changes in kidney </w:t>
      </w:r>
      <w:r w:rsidRPr="006931D9">
        <w:rPr>
          <w:rFonts w:ascii="Times New Roman" w:eastAsia="Apis For Office" w:hAnsi="Times New Roman" w:cs="Times New Roman"/>
          <w:color w:val="000000"/>
          <w:sz w:val="24"/>
          <w:szCs w:val="24"/>
        </w:rPr>
        <w:lastRenderedPageBreak/>
        <w:t>structure in type 2 diabetes. J Am Soc Nephrol. 2019;30:1049-1059. doi:10.1681/ASN.2018111166.</w:t>
      </w:r>
    </w:p>
    <w:p w14:paraId="242AD775"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Gansevoort RT, Matsushita K, van der Velde M, Astor BC, Woodward M, Levey AS, et al.; CKD Prognosis Consortium. Lower estimated GFR and higher albuminuria are associated with adverse kidney outcomes in both general and high-risk populations: a collaborative meta-analysis</w:t>
      </w:r>
      <w:r w:rsidRPr="006931D9">
        <w:rPr>
          <w:rFonts w:eastAsia="Apis For Office" w:cs="Times New Roman"/>
          <w:color w:val="000000"/>
        </w:rPr>
        <w:t xml:space="preserve"> </w:t>
      </w:r>
      <w:r w:rsidRPr="006931D9">
        <w:rPr>
          <w:rFonts w:ascii="Times New Roman" w:eastAsia="Apis For Office" w:hAnsi="Times New Roman" w:cs="Times New Roman"/>
          <w:color w:val="000000"/>
          <w:sz w:val="24"/>
          <w:szCs w:val="24"/>
        </w:rPr>
        <w:t>of general and high-risk population cohorts. Kidney Int. 2011;80:93-104. doi:10.1038/ki.2010.531.</w:t>
      </w:r>
    </w:p>
    <w:p w14:paraId="1A986512"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Matsushita K, Coresh J, Sang Y, Chalmers J, Fox C, </w:t>
      </w:r>
      <w:proofErr w:type="spellStart"/>
      <w:r w:rsidRPr="006931D9">
        <w:rPr>
          <w:rFonts w:ascii="Times New Roman" w:eastAsia="Apis For Office" w:hAnsi="Times New Roman" w:cs="Times New Roman"/>
          <w:color w:val="000000"/>
          <w:sz w:val="24"/>
          <w:szCs w:val="24"/>
        </w:rPr>
        <w:t>Guallar</w:t>
      </w:r>
      <w:proofErr w:type="spellEnd"/>
      <w:r w:rsidRPr="006931D9">
        <w:rPr>
          <w:rFonts w:ascii="Times New Roman" w:eastAsia="Apis For Office" w:hAnsi="Times New Roman" w:cs="Times New Roman"/>
          <w:color w:val="000000"/>
          <w:sz w:val="24"/>
          <w:szCs w:val="24"/>
        </w:rPr>
        <w:t xml:space="preserve"> E, et al.; CKD Prognosis Consortium. Estimated glomerular filtration rate and albuminuria for prediction of cardiovascular outcomes: a collaborative meta-analysis of individual participant data. Lancet Diabetes Endocrinol. 2015;3:514-525. doi:10.1016/S2213-8587(15)00040-6.</w:t>
      </w:r>
    </w:p>
    <w:p w14:paraId="636A148A"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Matsushita K, van der Velde M, Astor BC, Woodward M, Levey AS, de Jong PE, et al.; CKD Prognosis Consortium. Association of estimated glomerular filtration rate and albuminuria with all-cause and cardiovascular mortality in general population cohorts: a collaborative meta-analysis. Lancet. 2010;375:2073-2081. doi:10.1016/S0140-6736(10)60674-5.</w:t>
      </w:r>
    </w:p>
    <w:p w14:paraId="77A2EA64"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lang w:val="it-IT"/>
        </w:rPr>
        <w:t xml:space="preserve">Ruggenenti P, Porrini E, Motterlini N, Perna A, Parvanova Ilieva A, Iliev IP, et al.; BENEDICT Study Investigators. </w:t>
      </w:r>
      <w:r w:rsidRPr="006931D9">
        <w:rPr>
          <w:rFonts w:ascii="Times New Roman" w:eastAsia="Apis For Office" w:hAnsi="Times New Roman" w:cs="Times New Roman"/>
          <w:color w:val="000000"/>
          <w:sz w:val="24"/>
          <w:szCs w:val="24"/>
        </w:rPr>
        <w:t>Measurable urinary albumin predicts cardiovascular risk among normoalbuminuric patients with type 2 diabetes. J Am Soc Nephrol. 2012;23:1717-1724. doi:10.1681/ASN.2012030252.</w:t>
      </w:r>
    </w:p>
    <w:p w14:paraId="4006EC9F"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lang w:val="da-DK"/>
        </w:rPr>
      </w:pPr>
      <w:r w:rsidRPr="006931D9">
        <w:rPr>
          <w:rFonts w:ascii="Times New Roman" w:eastAsia="Apis For Office" w:hAnsi="Times New Roman" w:cs="Times New Roman"/>
          <w:color w:val="000000"/>
          <w:sz w:val="24"/>
          <w:szCs w:val="24"/>
        </w:rPr>
        <w:lastRenderedPageBreak/>
        <w:t xml:space="preserve"> Grams ME, Coresh J, Matsushita K, Ballew SH, Sang Y, Surapaneni A, et al.; CKD Prognosis Consortium. Estimated glomerular filtration rate, albuminuria, and adverse outcomes: an individual-participant data meta-analysis. JAMA. 2023;330:1266-1277. doi:10.1001/jama.2023.17002.</w:t>
      </w:r>
    </w:p>
    <w:p w14:paraId="64B077FC"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lang w:val="da-DK"/>
        </w:rPr>
      </w:pPr>
      <w:r w:rsidRPr="006931D9">
        <w:rPr>
          <w:rFonts w:ascii="Times New Roman" w:eastAsia="Apis For Office" w:hAnsi="Times New Roman" w:cs="Times New Roman"/>
          <w:color w:val="000000"/>
          <w:sz w:val="24"/>
          <w:szCs w:val="24"/>
          <w:lang w:val="fr-FR"/>
        </w:rPr>
        <w:t xml:space="preserve"> Mann JFE, Buse JB, Idorn T, Leiter LA, Pratley RE, Rasmussen S, et al. </w:t>
      </w:r>
      <w:r w:rsidRPr="006931D9">
        <w:rPr>
          <w:rFonts w:ascii="Times New Roman" w:eastAsia="Apis For Office" w:hAnsi="Times New Roman" w:cs="Times New Roman"/>
          <w:color w:val="000000"/>
          <w:sz w:val="24"/>
          <w:szCs w:val="24"/>
        </w:rPr>
        <w:t xml:space="preserve">Potential kidney protection with liraglutide and semaglutide: exploratory mediation analysis. Diabetes </w:t>
      </w:r>
      <w:proofErr w:type="spellStart"/>
      <w:r w:rsidRPr="006931D9">
        <w:rPr>
          <w:rFonts w:ascii="Times New Roman" w:eastAsia="Apis For Office" w:hAnsi="Times New Roman" w:cs="Times New Roman"/>
          <w:color w:val="000000"/>
          <w:sz w:val="24"/>
          <w:szCs w:val="24"/>
        </w:rPr>
        <w:t>Obes</w:t>
      </w:r>
      <w:proofErr w:type="spellEnd"/>
      <w:r w:rsidRPr="006931D9">
        <w:rPr>
          <w:rFonts w:ascii="Times New Roman" w:eastAsia="Apis For Office" w:hAnsi="Times New Roman" w:cs="Times New Roman"/>
          <w:color w:val="000000"/>
          <w:sz w:val="24"/>
          <w:szCs w:val="24"/>
        </w:rPr>
        <w:t xml:space="preserve"> </w:t>
      </w:r>
      <w:proofErr w:type="spellStart"/>
      <w:r w:rsidRPr="006931D9">
        <w:rPr>
          <w:rFonts w:ascii="Times New Roman" w:eastAsia="Apis For Office" w:hAnsi="Times New Roman" w:cs="Times New Roman"/>
          <w:color w:val="000000"/>
          <w:sz w:val="24"/>
          <w:szCs w:val="24"/>
        </w:rPr>
        <w:t>Metab</w:t>
      </w:r>
      <w:proofErr w:type="spellEnd"/>
      <w:r w:rsidRPr="006931D9">
        <w:rPr>
          <w:rFonts w:ascii="Times New Roman" w:eastAsia="Apis For Office" w:hAnsi="Times New Roman" w:cs="Times New Roman"/>
          <w:color w:val="000000"/>
          <w:sz w:val="24"/>
          <w:szCs w:val="24"/>
        </w:rPr>
        <w:t>. 2021;23:2058-2066. doi:10.1111/dom.14443.</w:t>
      </w:r>
    </w:p>
    <w:p w14:paraId="60F7F1C9"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lang w:val="it-IT"/>
        </w:rPr>
        <w:t xml:space="preserve"> Marso SP, Bain SC, Consoli A, Eliaschewitz FG, Jódar E, Leiter LA, et al. </w:t>
      </w:r>
      <w:r w:rsidRPr="006931D9">
        <w:rPr>
          <w:rFonts w:ascii="Times New Roman" w:eastAsia="Apis For Office" w:hAnsi="Times New Roman" w:cs="Times New Roman"/>
          <w:color w:val="000000"/>
          <w:sz w:val="24"/>
          <w:szCs w:val="24"/>
        </w:rPr>
        <w:t>Semaglutide and cardiovascular outcomes in patients with type 2 diabetes. N Engl J Med. 2016;375:1834-1844. doi:10.1056/NEJMoa1607141.</w:t>
      </w:r>
    </w:p>
    <w:p w14:paraId="230393CC"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Jódar E, Michelsen M, Polonsky WH, </w:t>
      </w:r>
      <w:proofErr w:type="spellStart"/>
      <w:r w:rsidRPr="006931D9">
        <w:rPr>
          <w:rFonts w:ascii="Times New Roman" w:eastAsia="Apis For Office" w:hAnsi="Times New Roman" w:cs="Times New Roman"/>
          <w:color w:val="000000"/>
          <w:sz w:val="24"/>
          <w:szCs w:val="24"/>
        </w:rPr>
        <w:t>Réa</w:t>
      </w:r>
      <w:proofErr w:type="spellEnd"/>
      <w:r w:rsidRPr="006931D9">
        <w:rPr>
          <w:rFonts w:ascii="Times New Roman" w:eastAsia="Apis For Office" w:hAnsi="Times New Roman" w:cs="Times New Roman"/>
          <w:color w:val="000000"/>
          <w:sz w:val="24"/>
          <w:szCs w:val="24"/>
        </w:rPr>
        <w:t xml:space="preserve"> R, Sandberg A, Vilsbøll T, et al. Semaglutide improves health-related quality of life versus placebo when added to standard of care in patients with type 2 diabetes at high cardiovascular risk (SUSTAIN 6). Diabetes </w:t>
      </w:r>
      <w:proofErr w:type="spellStart"/>
      <w:r w:rsidRPr="006931D9">
        <w:rPr>
          <w:rFonts w:ascii="Times New Roman" w:eastAsia="Apis For Office" w:hAnsi="Times New Roman" w:cs="Times New Roman"/>
          <w:color w:val="000000"/>
          <w:sz w:val="24"/>
          <w:szCs w:val="24"/>
        </w:rPr>
        <w:t>Obes</w:t>
      </w:r>
      <w:proofErr w:type="spellEnd"/>
      <w:r w:rsidRPr="006931D9">
        <w:rPr>
          <w:rFonts w:ascii="Times New Roman" w:eastAsia="Apis For Office" w:hAnsi="Times New Roman" w:cs="Times New Roman"/>
          <w:color w:val="000000"/>
          <w:sz w:val="24"/>
          <w:szCs w:val="24"/>
        </w:rPr>
        <w:t xml:space="preserve"> </w:t>
      </w:r>
      <w:proofErr w:type="spellStart"/>
      <w:r w:rsidRPr="006931D9">
        <w:rPr>
          <w:rFonts w:ascii="Times New Roman" w:eastAsia="Apis For Office" w:hAnsi="Times New Roman" w:cs="Times New Roman"/>
          <w:color w:val="000000"/>
          <w:sz w:val="24"/>
          <w:szCs w:val="24"/>
        </w:rPr>
        <w:t>Metab</w:t>
      </w:r>
      <w:proofErr w:type="spellEnd"/>
      <w:r w:rsidRPr="006931D9">
        <w:rPr>
          <w:rFonts w:ascii="Times New Roman" w:eastAsia="Apis For Office" w:hAnsi="Times New Roman" w:cs="Times New Roman"/>
          <w:color w:val="000000"/>
          <w:sz w:val="24"/>
          <w:szCs w:val="24"/>
        </w:rPr>
        <w:t>. 2020;22:1339-1347. doi:10.1111/dom.14039.</w:t>
      </w:r>
    </w:p>
    <w:p w14:paraId="5B49C28A"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Scirica BM, Bhatt DL, </w:t>
      </w:r>
      <w:proofErr w:type="spellStart"/>
      <w:r w:rsidRPr="006931D9">
        <w:rPr>
          <w:rFonts w:ascii="Times New Roman" w:eastAsia="Apis For Office" w:hAnsi="Times New Roman" w:cs="Times New Roman"/>
          <w:color w:val="000000"/>
          <w:sz w:val="24"/>
          <w:szCs w:val="24"/>
        </w:rPr>
        <w:t>Braunwald</w:t>
      </w:r>
      <w:proofErr w:type="spellEnd"/>
      <w:r w:rsidRPr="006931D9">
        <w:rPr>
          <w:rFonts w:ascii="Times New Roman" w:eastAsia="Apis For Office" w:hAnsi="Times New Roman" w:cs="Times New Roman"/>
          <w:color w:val="000000"/>
          <w:sz w:val="24"/>
          <w:szCs w:val="24"/>
        </w:rPr>
        <w:t xml:space="preserve"> E, Steg PG, Davidson J, Hirshberg B, et al.; SAVOR-TIMI 53 Steering Committee and Investigators. </w:t>
      </w:r>
      <w:proofErr w:type="spellStart"/>
      <w:r w:rsidRPr="006931D9">
        <w:rPr>
          <w:rFonts w:ascii="Times New Roman" w:eastAsia="Apis For Office" w:hAnsi="Times New Roman" w:cs="Times New Roman"/>
          <w:color w:val="000000"/>
          <w:sz w:val="24"/>
          <w:szCs w:val="24"/>
        </w:rPr>
        <w:t>Saxagliptin</w:t>
      </w:r>
      <w:proofErr w:type="spellEnd"/>
      <w:r w:rsidRPr="006931D9">
        <w:rPr>
          <w:rFonts w:ascii="Times New Roman" w:eastAsia="Apis For Office" w:hAnsi="Times New Roman" w:cs="Times New Roman"/>
          <w:color w:val="000000"/>
          <w:sz w:val="24"/>
          <w:szCs w:val="24"/>
        </w:rPr>
        <w:t xml:space="preserve"> and cardiovascular outcomes in patients with type 2 diabetes mellitus. N Engl J Med. 2013;369:1317-1326. doi:10.1056/NEJMoa1307684.</w:t>
      </w:r>
    </w:p>
    <w:p w14:paraId="37B90246"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White WB, Cannon CP, Heller SR, Nissen SE, </w:t>
      </w:r>
      <w:proofErr w:type="spellStart"/>
      <w:r w:rsidRPr="006931D9">
        <w:rPr>
          <w:rFonts w:ascii="Times New Roman" w:eastAsia="Apis For Office" w:hAnsi="Times New Roman" w:cs="Times New Roman"/>
          <w:color w:val="000000"/>
          <w:sz w:val="24"/>
          <w:szCs w:val="24"/>
        </w:rPr>
        <w:t>Bergenstal</w:t>
      </w:r>
      <w:proofErr w:type="spellEnd"/>
      <w:r w:rsidRPr="006931D9">
        <w:rPr>
          <w:rFonts w:ascii="Times New Roman" w:eastAsia="Apis For Office" w:hAnsi="Times New Roman" w:cs="Times New Roman"/>
          <w:color w:val="000000"/>
          <w:sz w:val="24"/>
          <w:szCs w:val="24"/>
        </w:rPr>
        <w:t xml:space="preserve"> RM, </w:t>
      </w:r>
      <w:proofErr w:type="spellStart"/>
      <w:r w:rsidRPr="006931D9">
        <w:rPr>
          <w:rFonts w:ascii="Times New Roman" w:eastAsia="Apis For Office" w:hAnsi="Times New Roman" w:cs="Times New Roman"/>
          <w:color w:val="000000"/>
          <w:sz w:val="24"/>
          <w:szCs w:val="24"/>
        </w:rPr>
        <w:t>Bakris</w:t>
      </w:r>
      <w:proofErr w:type="spellEnd"/>
      <w:r w:rsidRPr="006931D9">
        <w:rPr>
          <w:rFonts w:ascii="Times New Roman" w:eastAsia="Apis For Office" w:hAnsi="Times New Roman" w:cs="Times New Roman"/>
          <w:color w:val="000000"/>
          <w:sz w:val="24"/>
          <w:szCs w:val="24"/>
        </w:rPr>
        <w:t xml:space="preserve"> GL, et al.; EXAMINE Investigators. Alogliptin after acute coronary syndrome in patients with type 2 diabetes. N Engl J Med. 2013;369:1327-1335. doi:10.1056/NEJMoa1305889.</w:t>
      </w:r>
    </w:p>
    <w:p w14:paraId="4F98FE9C"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lastRenderedPageBreak/>
        <w:t xml:space="preserve"> Green JB, Bethel MA, Armstrong PW, Buse JB, Engel SS, Garg J, et al.; TECOS Study Group. Effect of sitagliptin on cardiovascular outcomes in type 2 diabetes. N Engl J Med. 2015;373:232-242. doi:10.1056/NEJMoa1501352.</w:t>
      </w:r>
    </w:p>
    <w:p w14:paraId="3B6C95F1"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Rosenstock J, Perkovic V, Johansen OE, Cooper ME, Kahn SE, Marx N, et al.; CARMELINA Investigators. Effect of linagliptin vs placebo on major cardiovascular events in adults with type 2 diabetes and high cardiovascular and renal risk: the CARMELINA randomized clinical trial. JAMA. 2019;321:69-79. doi:10.1001/jama.2018.18269.</w:t>
      </w:r>
    </w:p>
    <w:p w14:paraId="4FC10E46"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Gong Y, Bai X, Zhang D, Yang X, Qin Z, Yang Y, et al. Effect of DPP-4i inhibitors on renal function in patients with type 2 diabetes mellitus: a systematic review and meta-analysis of randomized controlled trials. Lipids Health Dis. 2024;23:157. doi:10.1186/s12944-024-02132-x.</w:t>
      </w:r>
    </w:p>
    <w:p w14:paraId="3C4D7776"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Bae JH, Kim S, Park EG, Kim SG, Hahn S, Kim NH. Effects of dipeptidyl peptidase-4 inhibitors on renal outcomes in patients with type 2 diabetes: a systematic review and meta-analysis. Endocrinol </w:t>
      </w:r>
      <w:proofErr w:type="spellStart"/>
      <w:r w:rsidRPr="006931D9">
        <w:rPr>
          <w:rFonts w:ascii="Times New Roman" w:eastAsia="Apis For Office" w:hAnsi="Times New Roman" w:cs="Times New Roman"/>
          <w:color w:val="000000"/>
          <w:sz w:val="24"/>
          <w:szCs w:val="24"/>
        </w:rPr>
        <w:t>Metab</w:t>
      </w:r>
      <w:proofErr w:type="spellEnd"/>
      <w:r w:rsidRPr="006931D9">
        <w:rPr>
          <w:rFonts w:ascii="Times New Roman" w:eastAsia="Apis For Office" w:hAnsi="Times New Roman" w:cs="Times New Roman"/>
          <w:color w:val="000000"/>
          <w:sz w:val="24"/>
          <w:szCs w:val="24"/>
        </w:rPr>
        <w:t xml:space="preserve"> (Seoul). 2019;34:80-92. doi:10.3803/EnM.2019.34.1.80.</w:t>
      </w:r>
    </w:p>
    <w:p w14:paraId="02ECB027"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Levey AS, Gansevoort RT, Coresh J, Inker LA, Heerspink HL, Grams ME, et al. Change in albuminuria and GFR as end points for clinical trials in early stages of CKD: a scientific workshop sponsored by the National Kidney Foundation in collaboration with the US Food and Drug Administration and European Medicines Agency. Am J Kidney Dis. 2020;75:84-104. doi:10.1053/j.ajkd.2019.06.009.</w:t>
      </w:r>
    </w:p>
    <w:p w14:paraId="4D2E8A2E"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lastRenderedPageBreak/>
        <w:t xml:space="preserve"> Melzer Cohen C, Schechter M, Rozenberg A, </w:t>
      </w:r>
      <w:proofErr w:type="spellStart"/>
      <w:r w:rsidRPr="006931D9">
        <w:rPr>
          <w:rFonts w:ascii="Times New Roman" w:eastAsia="Apis For Office" w:hAnsi="Times New Roman" w:cs="Times New Roman"/>
          <w:color w:val="000000"/>
          <w:sz w:val="24"/>
          <w:szCs w:val="24"/>
        </w:rPr>
        <w:t>Yanuv</w:t>
      </w:r>
      <w:proofErr w:type="spellEnd"/>
      <w:r w:rsidRPr="006931D9">
        <w:rPr>
          <w:rFonts w:ascii="Times New Roman" w:eastAsia="Apis For Office" w:hAnsi="Times New Roman" w:cs="Times New Roman"/>
          <w:color w:val="000000"/>
          <w:sz w:val="24"/>
          <w:szCs w:val="24"/>
        </w:rPr>
        <w:t xml:space="preserve"> I, </w:t>
      </w:r>
      <w:proofErr w:type="spellStart"/>
      <w:r w:rsidRPr="006931D9">
        <w:rPr>
          <w:rFonts w:ascii="Times New Roman" w:eastAsia="Apis For Office" w:hAnsi="Times New Roman" w:cs="Times New Roman"/>
          <w:color w:val="000000"/>
          <w:sz w:val="24"/>
          <w:szCs w:val="24"/>
        </w:rPr>
        <w:t>Sehtman</w:t>
      </w:r>
      <w:proofErr w:type="spellEnd"/>
      <w:r w:rsidRPr="006931D9">
        <w:rPr>
          <w:rFonts w:ascii="Times New Roman" w:eastAsia="Apis For Office" w:hAnsi="Times New Roman" w:cs="Times New Roman"/>
          <w:color w:val="000000"/>
          <w:sz w:val="24"/>
          <w:szCs w:val="24"/>
        </w:rPr>
        <w:t>-Shachar DR, Fishkin A, et al. Long-term, real-world kidney outcomes with SGLT2i versus DPP4i in type 2 diabetes without cardiovascular or kidney disease. Clin J Am Soc Nephrol. 2023;18:1153-1162. doi:10.2215/CJN.0000000000000218.</w:t>
      </w:r>
    </w:p>
    <w:p w14:paraId="0D77E188" w14:textId="77777777" w:rsidR="006931D9" w:rsidRPr="006931D9" w:rsidRDefault="006931D9" w:rsidP="006931D9">
      <w:pPr>
        <w:numPr>
          <w:ilvl w:val="0"/>
          <w:numId w:val="15"/>
        </w:numPr>
        <w:spacing w:line="480" w:lineRule="auto"/>
        <w:contextualSpacing/>
        <w:rPr>
          <w:rFonts w:ascii="Times New Roman" w:eastAsia="Apis For Office" w:hAnsi="Times New Roman" w:cs="Times New Roman"/>
          <w:color w:val="000000"/>
          <w:sz w:val="24"/>
          <w:szCs w:val="24"/>
        </w:rPr>
      </w:pPr>
      <w:r w:rsidRPr="006931D9">
        <w:rPr>
          <w:rFonts w:ascii="Times New Roman" w:eastAsia="Apis For Office" w:hAnsi="Times New Roman" w:cs="Times New Roman"/>
          <w:color w:val="000000"/>
          <w:sz w:val="24"/>
          <w:szCs w:val="24"/>
        </w:rPr>
        <w:t xml:space="preserve"> Webb DR, Zaccardi F, Davies MJ, Griffin SJ, Wareham NJ, Simmons RK, et al. Cardiovascular risk factors and incident albuminuria in screen-detected type 2 diabetes. Diabetes </w:t>
      </w:r>
      <w:proofErr w:type="spellStart"/>
      <w:r w:rsidRPr="006931D9">
        <w:rPr>
          <w:rFonts w:ascii="Times New Roman" w:eastAsia="Apis For Office" w:hAnsi="Times New Roman" w:cs="Times New Roman"/>
          <w:color w:val="000000"/>
          <w:sz w:val="24"/>
          <w:szCs w:val="24"/>
        </w:rPr>
        <w:t>Metab</w:t>
      </w:r>
      <w:proofErr w:type="spellEnd"/>
      <w:r w:rsidRPr="006931D9">
        <w:rPr>
          <w:rFonts w:ascii="Times New Roman" w:eastAsia="Apis For Office" w:hAnsi="Times New Roman" w:cs="Times New Roman"/>
          <w:color w:val="000000"/>
          <w:sz w:val="24"/>
          <w:szCs w:val="24"/>
        </w:rPr>
        <w:t xml:space="preserve"> Res Rev. 2017;33:e2877. doi:10.1002/dmrr.2877.</w:t>
      </w:r>
    </w:p>
    <w:p w14:paraId="1882CE9A" w14:textId="77777777" w:rsidR="006931D9" w:rsidRPr="00A03012" w:rsidRDefault="006931D9" w:rsidP="00622F70">
      <w:pPr>
        <w:spacing w:line="480" w:lineRule="auto"/>
        <w:rPr>
          <w:rFonts w:asciiTheme="minorBidi" w:hAnsiTheme="minorBidi"/>
          <w:sz w:val="24"/>
          <w:szCs w:val="24"/>
        </w:rPr>
      </w:pPr>
    </w:p>
    <w:p w14:paraId="4A3D9219" w14:textId="77777777" w:rsidR="00A03012" w:rsidRDefault="00A03012" w:rsidP="00622F70">
      <w:pPr>
        <w:spacing w:line="480" w:lineRule="auto"/>
        <w:rPr>
          <w:rFonts w:asciiTheme="minorBidi" w:hAnsiTheme="minorBidi"/>
        </w:rPr>
      </w:pPr>
    </w:p>
    <w:p w14:paraId="7C79AF7C" w14:textId="3DDB76DA" w:rsidR="00C325F9" w:rsidRDefault="00C325F9" w:rsidP="007D672E"/>
    <w:sectPr w:rsidR="00C325F9" w:rsidSect="00476D37">
      <w:footerReference w:type="default" r:id="rId19"/>
      <w:headerReference w:type="first" r:id="rId20"/>
      <w:pgSz w:w="11906" w:h="16838" w:code="9"/>
      <w:pgMar w:top="2347" w:right="1440" w:bottom="2693" w:left="1440" w:header="562" w:footer="432"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8933" w14:textId="77777777" w:rsidR="00E263CE" w:rsidRDefault="00E263CE" w:rsidP="009E4B94">
      <w:pPr>
        <w:spacing w:line="240" w:lineRule="auto"/>
      </w:pPr>
      <w:r>
        <w:separator/>
      </w:r>
    </w:p>
  </w:endnote>
  <w:endnote w:type="continuationSeparator" w:id="0">
    <w:p w14:paraId="6328641F" w14:textId="77777777" w:rsidR="00E263CE" w:rsidRDefault="00E263CE"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is For Office">
    <w:panose1 w:val="020B0504010101010104"/>
    <w:charset w:val="00"/>
    <w:family w:val="swiss"/>
    <w:pitch w:val="variable"/>
    <w:sig w:usb0="E00002FF" w:usb1="4000205F" w:usb2="08000029" w:usb3="00000000" w:csb0="0000019F" w:csb1="00000000"/>
    <w:embedRegular r:id="rId1" w:fontKey="{843AC1BA-2373-40C3-9313-8D981DBAD460}"/>
    <w:embedBold r:id="rId2" w:fontKey="{02B92051-67DA-4021-9C19-F7B76664CEE6}"/>
    <w:embedItalic r:id="rId3" w:fontKey="{17F7112B-8D42-4AE3-8317-E19AEE7EF020}"/>
    <w:embedBoldItalic r:id="rId4" w:fontKey="{79829DB8-1FDD-4546-8B5E-71C20BA4E45A}"/>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NovoOffice">
    <w:panose1 w:val="020B0503030502040204"/>
    <w:charset w:val="00"/>
    <w:family w:val="swiss"/>
    <w:pitch w:val="variable"/>
    <w:sig w:usb0="A10000FF" w:usb1="5200A04B" w:usb2="02000000" w:usb3="00000000" w:csb0="00000193" w:csb1="00000000"/>
    <w:embedRegular r:id="rId5" w:fontKey="{5B304421-5B6B-45AE-9530-03660BAF4B84}"/>
  </w:font>
  <w:font w:name="Aptos">
    <w:charset w:val="00"/>
    <w:family w:val="swiss"/>
    <w:pitch w:val="variable"/>
    <w:sig w:usb0="20000287" w:usb1="00000003" w:usb2="00000000" w:usb3="00000000" w:csb0="0000019F" w:csb1="00000000"/>
    <w:embedRegular r:id="rId6" w:fontKey="{582EBAEE-AC10-4555-809F-42D2BD02BB47}"/>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7" w:fontKey="{4B2B09ED-5AB5-421B-9D61-21282E7D5AE0}"/>
    <w:embedItalic r:id="rId8" w:fontKey="{E9F1D398-163B-46AE-AAB9-1745DE5A80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296241"/>
      <w:docPartObj>
        <w:docPartGallery w:val="Page Numbers (Bottom of Page)"/>
        <w:docPartUnique/>
      </w:docPartObj>
    </w:sdtPr>
    <w:sdtEndPr>
      <w:rPr>
        <w:noProof/>
        <w:sz w:val="20"/>
      </w:rPr>
    </w:sdtEndPr>
    <w:sdtContent>
      <w:p w14:paraId="35BA78E1" w14:textId="49D20DD7" w:rsidR="005518D7" w:rsidRPr="005518D7" w:rsidRDefault="005518D7">
        <w:pPr>
          <w:pStyle w:val="Footer"/>
          <w:rPr>
            <w:sz w:val="20"/>
          </w:rPr>
        </w:pPr>
        <w:r w:rsidRPr="005518D7">
          <w:rPr>
            <w:sz w:val="20"/>
          </w:rPr>
          <w:fldChar w:fldCharType="begin"/>
        </w:r>
        <w:r w:rsidRPr="005518D7">
          <w:rPr>
            <w:sz w:val="20"/>
          </w:rPr>
          <w:instrText xml:space="preserve"> PAGE   \* MERGEFORMAT </w:instrText>
        </w:r>
        <w:r w:rsidRPr="005518D7">
          <w:rPr>
            <w:sz w:val="20"/>
          </w:rPr>
          <w:fldChar w:fldCharType="separate"/>
        </w:r>
        <w:r w:rsidRPr="005518D7">
          <w:rPr>
            <w:noProof/>
            <w:sz w:val="20"/>
          </w:rPr>
          <w:t>2</w:t>
        </w:r>
        <w:r w:rsidRPr="005518D7">
          <w:rPr>
            <w:noProof/>
            <w:sz w:val="20"/>
          </w:rPr>
          <w:fldChar w:fldCharType="end"/>
        </w:r>
      </w:p>
    </w:sdtContent>
  </w:sdt>
  <w:p w14:paraId="32C00CE6" w14:textId="77777777" w:rsidR="005518D7" w:rsidRDefault="00551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7A156" w14:textId="77777777" w:rsidR="00E263CE" w:rsidRDefault="00E263CE" w:rsidP="009E4B94">
      <w:pPr>
        <w:spacing w:line="240" w:lineRule="auto"/>
      </w:pPr>
      <w:r>
        <w:separator/>
      </w:r>
    </w:p>
  </w:footnote>
  <w:footnote w:type="continuationSeparator" w:id="0">
    <w:p w14:paraId="2B66C5E2" w14:textId="77777777" w:rsidR="00E263CE" w:rsidRDefault="00E263CE"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3BDE" w14:textId="77777777" w:rsidR="00C325F9" w:rsidRDefault="00C325F9" w:rsidP="00C325F9">
    <w:pPr>
      <w:pStyle w:val="Header"/>
    </w:pPr>
  </w:p>
  <w:p w14:paraId="23339D26" w14:textId="625C781D" w:rsidR="001C54AA" w:rsidRPr="00C325F9" w:rsidRDefault="001C54AA" w:rsidP="00C325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BC49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8079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F8D6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FAB8F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A6E4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6829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02E2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8250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DE41CE9"/>
    <w:multiLevelType w:val="multilevel"/>
    <w:tmpl w:val="B9DE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E52EE3"/>
    <w:multiLevelType w:val="multilevel"/>
    <w:tmpl w:val="DD909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DF34F6"/>
    <w:multiLevelType w:val="multilevel"/>
    <w:tmpl w:val="18EE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0D6A02"/>
    <w:multiLevelType w:val="multilevel"/>
    <w:tmpl w:val="4946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0F12DC"/>
    <w:multiLevelType w:val="hybridMultilevel"/>
    <w:tmpl w:val="F9EA404E"/>
    <w:lvl w:ilvl="0" w:tplc="D8AA86BE">
      <w:start w:val="1"/>
      <w:numFmt w:val="decimal"/>
      <w:lvlText w:val="%1."/>
      <w:lvlJc w:val="left"/>
      <w:pPr>
        <w:ind w:left="720" w:hanging="360"/>
      </w:pPr>
      <w:rPr>
        <w:rFonts w:hint="default"/>
      </w:rPr>
    </w:lvl>
    <w:lvl w:ilvl="1" w:tplc="A4783C3A" w:tentative="1">
      <w:start w:val="1"/>
      <w:numFmt w:val="lowerLetter"/>
      <w:lvlText w:val="%2."/>
      <w:lvlJc w:val="left"/>
      <w:pPr>
        <w:ind w:left="1440" w:hanging="360"/>
      </w:pPr>
    </w:lvl>
    <w:lvl w:ilvl="2" w:tplc="D2686164" w:tentative="1">
      <w:start w:val="1"/>
      <w:numFmt w:val="lowerRoman"/>
      <w:lvlText w:val="%3."/>
      <w:lvlJc w:val="right"/>
      <w:pPr>
        <w:ind w:left="2160" w:hanging="180"/>
      </w:pPr>
    </w:lvl>
    <w:lvl w:ilvl="3" w:tplc="8CF62F0C" w:tentative="1">
      <w:start w:val="1"/>
      <w:numFmt w:val="decimal"/>
      <w:lvlText w:val="%4."/>
      <w:lvlJc w:val="left"/>
      <w:pPr>
        <w:ind w:left="2880" w:hanging="360"/>
      </w:pPr>
    </w:lvl>
    <w:lvl w:ilvl="4" w:tplc="48E27074" w:tentative="1">
      <w:start w:val="1"/>
      <w:numFmt w:val="lowerLetter"/>
      <w:lvlText w:val="%5."/>
      <w:lvlJc w:val="left"/>
      <w:pPr>
        <w:ind w:left="3600" w:hanging="360"/>
      </w:pPr>
    </w:lvl>
    <w:lvl w:ilvl="5" w:tplc="B66CC0E8" w:tentative="1">
      <w:start w:val="1"/>
      <w:numFmt w:val="lowerRoman"/>
      <w:lvlText w:val="%6."/>
      <w:lvlJc w:val="right"/>
      <w:pPr>
        <w:ind w:left="4320" w:hanging="180"/>
      </w:pPr>
    </w:lvl>
    <w:lvl w:ilvl="6" w:tplc="F5207D42" w:tentative="1">
      <w:start w:val="1"/>
      <w:numFmt w:val="decimal"/>
      <w:lvlText w:val="%7."/>
      <w:lvlJc w:val="left"/>
      <w:pPr>
        <w:ind w:left="5040" w:hanging="360"/>
      </w:pPr>
    </w:lvl>
    <w:lvl w:ilvl="7" w:tplc="D7465B36" w:tentative="1">
      <w:start w:val="1"/>
      <w:numFmt w:val="lowerLetter"/>
      <w:lvlText w:val="%8."/>
      <w:lvlJc w:val="left"/>
      <w:pPr>
        <w:ind w:left="5760" w:hanging="360"/>
      </w:pPr>
    </w:lvl>
    <w:lvl w:ilvl="8" w:tplc="A1803D28" w:tentative="1">
      <w:start w:val="1"/>
      <w:numFmt w:val="lowerRoman"/>
      <w:lvlText w:val="%9."/>
      <w:lvlJc w:val="right"/>
      <w:pPr>
        <w:ind w:left="6480" w:hanging="180"/>
      </w:pPr>
    </w:lvl>
  </w:abstractNum>
  <w:abstractNum w:abstractNumId="13" w15:restartNumberingAfterBreak="0">
    <w:nsid w:val="50D6761C"/>
    <w:multiLevelType w:val="multilevel"/>
    <w:tmpl w:val="D248A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6E2069"/>
    <w:multiLevelType w:val="multilevel"/>
    <w:tmpl w:val="3A40F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3F0815"/>
    <w:multiLevelType w:val="multilevel"/>
    <w:tmpl w:val="8CEC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786BFB"/>
    <w:multiLevelType w:val="multilevel"/>
    <w:tmpl w:val="2000001D"/>
    <w:styleLink w:val="1ai"/>
    <w:lvl w:ilvl="0">
      <w:start w:val="1"/>
      <w:numFmt w:val="decimal"/>
      <w:lvlText w:val="%1)"/>
      <w:lvlJc w:val="left"/>
      <w:pPr>
        <w:ind w:left="360" w:hanging="360"/>
      </w:pPr>
      <w:rPr>
        <w:rFonts w:ascii="Apis For Office" w:hAnsi="Apis For Office" w:cs="Apis For Offic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BE96A83"/>
    <w:multiLevelType w:val="multilevel"/>
    <w:tmpl w:val="2000001F"/>
    <w:styleLink w:val="111111"/>
    <w:lvl w:ilvl="0">
      <w:start w:val="1"/>
      <w:numFmt w:val="decimal"/>
      <w:lvlText w:val="%1."/>
      <w:lvlJc w:val="left"/>
      <w:pPr>
        <w:ind w:left="360" w:hanging="360"/>
      </w:pPr>
      <w:rPr>
        <w:rFonts w:ascii="Apis For Office" w:hAnsi="Apis For Office" w:cs="Apis For Offic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E20588C"/>
    <w:multiLevelType w:val="multilevel"/>
    <w:tmpl w:val="1872485C"/>
    <w:lvl w:ilvl="0">
      <w:start w:val="1"/>
      <w:numFmt w:val="decimal"/>
      <w:pStyle w:val="ListNumber"/>
      <w:lvlText w:val="%1."/>
      <w:lvlJc w:val="left"/>
      <w:pPr>
        <w:ind w:left="340" w:hanging="340"/>
      </w:pPr>
      <w:rPr>
        <w:rFonts w:asciiTheme="minorHAnsi" w:hAnsiTheme="minorHAnsi" w:hint="default"/>
      </w:rPr>
    </w:lvl>
    <w:lvl w:ilvl="1">
      <w:start w:val="1"/>
      <w:numFmt w:val="decimal"/>
      <w:lvlText w:val="%1.%2."/>
      <w:lvlJc w:val="left"/>
      <w:pPr>
        <w:ind w:left="964" w:hanging="624"/>
      </w:pPr>
      <w:rPr>
        <w:rFonts w:asciiTheme="minorHAnsi" w:hAnsiTheme="minorHAnsi" w:hint="default"/>
      </w:rPr>
    </w:lvl>
    <w:lvl w:ilvl="2">
      <w:start w:val="1"/>
      <w:numFmt w:val="decimal"/>
      <w:lvlText w:val="%1.%2.%3."/>
      <w:lvlJc w:val="left"/>
      <w:pPr>
        <w:ind w:left="1588" w:hanging="624"/>
      </w:pPr>
      <w:rPr>
        <w:rFonts w:asciiTheme="minorHAnsi" w:hAnsiTheme="minorHAnsi" w:hint="default"/>
      </w:rPr>
    </w:lvl>
    <w:lvl w:ilvl="3">
      <w:start w:val="1"/>
      <w:numFmt w:val="decimal"/>
      <w:lvlText w:val="%1.%2.%3.%4."/>
      <w:lvlJc w:val="left"/>
      <w:pPr>
        <w:ind w:left="2381" w:hanging="793"/>
      </w:pPr>
      <w:rPr>
        <w:rFonts w:asciiTheme="minorHAnsi" w:hAnsiTheme="minorHAnsi" w:hint="default"/>
      </w:rPr>
    </w:lvl>
    <w:lvl w:ilvl="4">
      <w:start w:val="1"/>
      <w:numFmt w:val="decimal"/>
      <w:lvlText w:val="%1.%2.%3.%4.%5."/>
      <w:lvlJc w:val="left"/>
      <w:pPr>
        <w:ind w:left="2552" w:hanging="964"/>
      </w:pPr>
      <w:rPr>
        <w:rFonts w:asciiTheme="minorHAnsi" w:hAnsiTheme="minorHAnsi" w:hint="default"/>
      </w:rPr>
    </w:lvl>
    <w:lvl w:ilvl="5">
      <w:start w:val="1"/>
      <w:numFmt w:val="decimal"/>
      <w:lvlText w:val="%1.%2.%3.%4.%5.%6."/>
      <w:lvlJc w:val="left"/>
      <w:pPr>
        <w:ind w:left="2552" w:hanging="964"/>
      </w:pPr>
      <w:rPr>
        <w:rFonts w:asciiTheme="minorHAnsi" w:hAnsiTheme="minorHAnsi" w:hint="default"/>
      </w:rPr>
    </w:lvl>
    <w:lvl w:ilvl="6">
      <w:start w:val="1"/>
      <w:numFmt w:val="decimal"/>
      <w:lvlText w:val="%1.%2.%3.%4.%5.%6.%7."/>
      <w:lvlJc w:val="left"/>
      <w:pPr>
        <w:ind w:left="3119" w:hanging="1531"/>
      </w:pPr>
      <w:rPr>
        <w:rFonts w:asciiTheme="minorHAnsi" w:hAnsiTheme="minorHAnsi" w:hint="default"/>
      </w:rPr>
    </w:lvl>
    <w:lvl w:ilvl="7">
      <w:start w:val="1"/>
      <w:numFmt w:val="decimal"/>
      <w:lvlText w:val="%1.%2.%3.%4.%5.%6.%7.%8."/>
      <w:lvlJc w:val="left"/>
      <w:pPr>
        <w:ind w:left="3175" w:hanging="1587"/>
      </w:pPr>
      <w:rPr>
        <w:rFonts w:asciiTheme="minorHAnsi" w:hAnsiTheme="minorHAnsi" w:hint="default"/>
      </w:rPr>
    </w:lvl>
    <w:lvl w:ilvl="8">
      <w:start w:val="1"/>
      <w:numFmt w:val="decimal"/>
      <w:lvlText w:val="%1.%2.%3.%4.%5.%6.%7.%8.%9."/>
      <w:lvlJc w:val="left"/>
      <w:pPr>
        <w:ind w:left="3289" w:hanging="1701"/>
      </w:pPr>
      <w:rPr>
        <w:rFonts w:asciiTheme="minorHAnsi" w:hAnsiTheme="minorHAnsi" w:hint="default"/>
      </w:rPr>
    </w:lvl>
  </w:abstractNum>
  <w:abstractNum w:abstractNumId="19" w15:restartNumberingAfterBreak="0">
    <w:nsid w:val="7FB354B8"/>
    <w:multiLevelType w:val="multilevel"/>
    <w:tmpl w:val="67E64E2A"/>
    <w:lvl w:ilvl="0">
      <w:start w:val="1"/>
      <w:numFmt w:val="bullet"/>
      <w:pStyle w:val="ListBullet"/>
      <w:lvlText w:val=""/>
      <w:lvlJc w:val="left"/>
      <w:pPr>
        <w:ind w:left="284" w:hanging="284"/>
      </w:pPr>
      <w:rPr>
        <w:rFonts w:ascii="Symbol" w:hAnsi="Symbol" w:hint="default"/>
        <w:color w:val="00008F" w:themeColor="text2"/>
      </w:rPr>
    </w:lvl>
    <w:lvl w:ilvl="1">
      <w:start w:val="1"/>
      <w:numFmt w:val="bullet"/>
      <w:lvlText w:val=""/>
      <w:lvlJc w:val="left"/>
      <w:pPr>
        <w:ind w:left="568" w:hanging="284"/>
      </w:pPr>
      <w:rPr>
        <w:rFonts w:ascii="Symbol" w:hAnsi="Symbol" w:hint="default"/>
        <w:color w:val="00008F" w:themeColor="text2"/>
      </w:rPr>
    </w:lvl>
    <w:lvl w:ilvl="2">
      <w:start w:val="1"/>
      <w:numFmt w:val="bullet"/>
      <w:lvlText w:val=""/>
      <w:lvlJc w:val="left"/>
      <w:pPr>
        <w:ind w:left="852" w:hanging="284"/>
      </w:pPr>
      <w:rPr>
        <w:rFonts w:ascii="Symbol" w:hAnsi="Symbol" w:hint="default"/>
        <w:color w:val="00008F" w:themeColor="text2"/>
      </w:rPr>
    </w:lvl>
    <w:lvl w:ilvl="3">
      <w:start w:val="1"/>
      <w:numFmt w:val="bullet"/>
      <w:lvlText w:val=""/>
      <w:lvlJc w:val="left"/>
      <w:pPr>
        <w:ind w:left="1136" w:hanging="284"/>
      </w:pPr>
      <w:rPr>
        <w:rFonts w:ascii="Symbol" w:hAnsi="Symbol" w:hint="default"/>
        <w:color w:val="00008F" w:themeColor="text2"/>
      </w:rPr>
    </w:lvl>
    <w:lvl w:ilvl="4">
      <w:start w:val="1"/>
      <w:numFmt w:val="bullet"/>
      <w:lvlText w:val=""/>
      <w:lvlJc w:val="left"/>
      <w:pPr>
        <w:ind w:left="1420" w:hanging="284"/>
      </w:pPr>
      <w:rPr>
        <w:rFonts w:ascii="Symbol" w:hAnsi="Symbol" w:hint="default"/>
        <w:color w:val="00008F" w:themeColor="text2"/>
      </w:rPr>
    </w:lvl>
    <w:lvl w:ilvl="5">
      <w:start w:val="1"/>
      <w:numFmt w:val="bullet"/>
      <w:lvlText w:val=""/>
      <w:lvlJc w:val="left"/>
      <w:pPr>
        <w:ind w:left="1704" w:hanging="284"/>
      </w:pPr>
      <w:rPr>
        <w:rFonts w:ascii="Symbol" w:hAnsi="Symbol" w:hint="default"/>
        <w:color w:val="00008F" w:themeColor="text2"/>
      </w:rPr>
    </w:lvl>
    <w:lvl w:ilvl="6">
      <w:start w:val="1"/>
      <w:numFmt w:val="bullet"/>
      <w:lvlText w:val=""/>
      <w:lvlJc w:val="left"/>
      <w:pPr>
        <w:ind w:left="1988" w:hanging="284"/>
      </w:pPr>
      <w:rPr>
        <w:rFonts w:ascii="Symbol" w:hAnsi="Symbol" w:hint="default"/>
        <w:color w:val="00008F" w:themeColor="text2"/>
      </w:rPr>
    </w:lvl>
    <w:lvl w:ilvl="7">
      <w:start w:val="1"/>
      <w:numFmt w:val="bullet"/>
      <w:lvlText w:val=""/>
      <w:lvlJc w:val="left"/>
      <w:pPr>
        <w:ind w:left="2272" w:hanging="284"/>
      </w:pPr>
      <w:rPr>
        <w:rFonts w:ascii="Symbol" w:hAnsi="Symbol" w:hint="default"/>
        <w:color w:val="00008F" w:themeColor="text2"/>
      </w:rPr>
    </w:lvl>
    <w:lvl w:ilvl="8">
      <w:start w:val="1"/>
      <w:numFmt w:val="bullet"/>
      <w:lvlText w:val=""/>
      <w:lvlJc w:val="left"/>
      <w:pPr>
        <w:ind w:left="2556" w:hanging="284"/>
      </w:pPr>
      <w:rPr>
        <w:rFonts w:ascii="Symbol" w:hAnsi="Symbol" w:hint="default"/>
        <w:color w:val="00008F" w:themeColor="text2"/>
      </w:rPr>
    </w:lvl>
  </w:abstractNum>
  <w:num w:numId="1" w16cid:durableId="523591225">
    <w:abstractNumId w:val="17"/>
  </w:num>
  <w:num w:numId="2" w16cid:durableId="2015380315">
    <w:abstractNumId w:val="16"/>
  </w:num>
  <w:num w:numId="3" w16cid:durableId="1025401873">
    <w:abstractNumId w:val="19"/>
  </w:num>
  <w:num w:numId="4" w16cid:durableId="290482600">
    <w:abstractNumId w:val="7"/>
  </w:num>
  <w:num w:numId="5" w16cid:durableId="628555903">
    <w:abstractNumId w:val="6"/>
  </w:num>
  <w:num w:numId="6" w16cid:durableId="48649439">
    <w:abstractNumId w:val="5"/>
  </w:num>
  <w:num w:numId="7" w16cid:durableId="1519466238">
    <w:abstractNumId w:val="4"/>
  </w:num>
  <w:num w:numId="8" w16cid:durableId="389772829">
    <w:abstractNumId w:val="18"/>
  </w:num>
  <w:num w:numId="9" w16cid:durableId="829642224">
    <w:abstractNumId w:val="3"/>
  </w:num>
  <w:num w:numId="10" w16cid:durableId="1811289134">
    <w:abstractNumId w:val="2"/>
  </w:num>
  <w:num w:numId="11" w16cid:durableId="422535154">
    <w:abstractNumId w:val="1"/>
  </w:num>
  <w:num w:numId="12" w16cid:durableId="419563330">
    <w:abstractNumId w:val="0"/>
  </w:num>
  <w:num w:numId="13" w16cid:durableId="1102267059">
    <w:abstractNumId w:val="14"/>
  </w:num>
  <w:num w:numId="14" w16cid:durableId="2092774957">
    <w:abstractNumId w:val="9"/>
  </w:num>
  <w:num w:numId="15" w16cid:durableId="936210153">
    <w:abstractNumId w:val="12"/>
  </w:num>
  <w:num w:numId="16" w16cid:durableId="1695765622">
    <w:abstractNumId w:val="10"/>
  </w:num>
  <w:num w:numId="17" w16cid:durableId="324675281">
    <w:abstractNumId w:val="15"/>
  </w:num>
  <w:num w:numId="18" w16cid:durableId="1572154934">
    <w:abstractNumId w:val="13"/>
  </w:num>
  <w:num w:numId="19" w16cid:durableId="2068724767">
    <w:abstractNumId w:val="8"/>
  </w:num>
  <w:num w:numId="20" w16cid:durableId="64824286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F70"/>
    <w:rsid w:val="00004865"/>
    <w:rsid w:val="00016457"/>
    <w:rsid w:val="0002090E"/>
    <w:rsid w:val="00041151"/>
    <w:rsid w:val="0005360C"/>
    <w:rsid w:val="0005732B"/>
    <w:rsid w:val="0006098D"/>
    <w:rsid w:val="00066D48"/>
    <w:rsid w:val="00076E56"/>
    <w:rsid w:val="0008337E"/>
    <w:rsid w:val="000844AC"/>
    <w:rsid w:val="00094ABD"/>
    <w:rsid w:val="000A0CC7"/>
    <w:rsid w:val="000A287E"/>
    <w:rsid w:val="000A5D44"/>
    <w:rsid w:val="000C47A2"/>
    <w:rsid w:val="000D3C1D"/>
    <w:rsid w:val="000E178D"/>
    <w:rsid w:val="0013244F"/>
    <w:rsid w:val="00144EF2"/>
    <w:rsid w:val="00145000"/>
    <w:rsid w:val="001457C0"/>
    <w:rsid w:val="00163D83"/>
    <w:rsid w:val="00182651"/>
    <w:rsid w:val="0019745F"/>
    <w:rsid w:val="001C54AA"/>
    <w:rsid w:val="001D017D"/>
    <w:rsid w:val="001D2AB7"/>
    <w:rsid w:val="001E7395"/>
    <w:rsid w:val="001F0B6C"/>
    <w:rsid w:val="001F5FF8"/>
    <w:rsid w:val="00243370"/>
    <w:rsid w:val="00244D70"/>
    <w:rsid w:val="002549C5"/>
    <w:rsid w:val="00255F14"/>
    <w:rsid w:val="00257BAA"/>
    <w:rsid w:val="002675C5"/>
    <w:rsid w:val="00270ACF"/>
    <w:rsid w:val="002736A6"/>
    <w:rsid w:val="002E07F4"/>
    <w:rsid w:val="002E74A4"/>
    <w:rsid w:val="003056CE"/>
    <w:rsid w:val="00316CA3"/>
    <w:rsid w:val="003220D1"/>
    <w:rsid w:val="003309A6"/>
    <w:rsid w:val="003454F3"/>
    <w:rsid w:val="00350FDD"/>
    <w:rsid w:val="00361B1D"/>
    <w:rsid w:val="00372CFD"/>
    <w:rsid w:val="003947B6"/>
    <w:rsid w:val="00397A65"/>
    <w:rsid w:val="003B35B0"/>
    <w:rsid w:val="003B6B87"/>
    <w:rsid w:val="003C156A"/>
    <w:rsid w:val="003C1CA6"/>
    <w:rsid w:val="003C3D7C"/>
    <w:rsid w:val="003C60F1"/>
    <w:rsid w:val="003E2719"/>
    <w:rsid w:val="003F1394"/>
    <w:rsid w:val="003F3AA2"/>
    <w:rsid w:val="003F72BD"/>
    <w:rsid w:val="00403920"/>
    <w:rsid w:val="004176B2"/>
    <w:rsid w:val="00420FCD"/>
    <w:rsid w:val="00421230"/>
    <w:rsid w:val="00424709"/>
    <w:rsid w:val="00427924"/>
    <w:rsid w:val="004322F6"/>
    <w:rsid w:val="00450352"/>
    <w:rsid w:val="00456ABC"/>
    <w:rsid w:val="004618A7"/>
    <w:rsid w:val="00462B18"/>
    <w:rsid w:val="00467FCA"/>
    <w:rsid w:val="00474E78"/>
    <w:rsid w:val="00476D37"/>
    <w:rsid w:val="004B09DE"/>
    <w:rsid w:val="004C01B2"/>
    <w:rsid w:val="004C3F54"/>
    <w:rsid w:val="005079B3"/>
    <w:rsid w:val="00511A3B"/>
    <w:rsid w:val="00536E44"/>
    <w:rsid w:val="00540209"/>
    <w:rsid w:val="00543AF8"/>
    <w:rsid w:val="005518D7"/>
    <w:rsid w:val="00554E89"/>
    <w:rsid w:val="00560C04"/>
    <w:rsid w:val="00564A6F"/>
    <w:rsid w:val="00587C68"/>
    <w:rsid w:val="00596784"/>
    <w:rsid w:val="005A28D4"/>
    <w:rsid w:val="005B0FEB"/>
    <w:rsid w:val="005C049C"/>
    <w:rsid w:val="005C12F0"/>
    <w:rsid w:val="005D0CBC"/>
    <w:rsid w:val="005F12E3"/>
    <w:rsid w:val="005F1580"/>
    <w:rsid w:val="006001C0"/>
    <w:rsid w:val="006059C9"/>
    <w:rsid w:val="0061565A"/>
    <w:rsid w:val="00617B8F"/>
    <w:rsid w:val="00622F70"/>
    <w:rsid w:val="00623DF1"/>
    <w:rsid w:val="00631596"/>
    <w:rsid w:val="00631E54"/>
    <w:rsid w:val="00637FD4"/>
    <w:rsid w:val="0064178B"/>
    <w:rsid w:val="00643812"/>
    <w:rsid w:val="00651548"/>
    <w:rsid w:val="00655B49"/>
    <w:rsid w:val="00681D83"/>
    <w:rsid w:val="00684089"/>
    <w:rsid w:val="006931D9"/>
    <w:rsid w:val="006A40FE"/>
    <w:rsid w:val="006B30A9"/>
    <w:rsid w:val="006B379E"/>
    <w:rsid w:val="006B6008"/>
    <w:rsid w:val="006D4ED5"/>
    <w:rsid w:val="006F03AF"/>
    <w:rsid w:val="0070267E"/>
    <w:rsid w:val="007047C5"/>
    <w:rsid w:val="00711BA2"/>
    <w:rsid w:val="00720391"/>
    <w:rsid w:val="00720D49"/>
    <w:rsid w:val="00731854"/>
    <w:rsid w:val="00750645"/>
    <w:rsid w:val="007546AF"/>
    <w:rsid w:val="00761D5F"/>
    <w:rsid w:val="00763204"/>
    <w:rsid w:val="00765934"/>
    <w:rsid w:val="007B2D38"/>
    <w:rsid w:val="007D13A5"/>
    <w:rsid w:val="007D3A35"/>
    <w:rsid w:val="007D672E"/>
    <w:rsid w:val="007E2B3C"/>
    <w:rsid w:val="007E373C"/>
    <w:rsid w:val="00801127"/>
    <w:rsid w:val="008056D6"/>
    <w:rsid w:val="00823A77"/>
    <w:rsid w:val="00825DB9"/>
    <w:rsid w:val="00830277"/>
    <w:rsid w:val="00830AFA"/>
    <w:rsid w:val="0086003C"/>
    <w:rsid w:val="00862635"/>
    <w:rsid w:val="00863443"/>
    <w:rsid w:val="00871F9E"/>
    <w:rsid w:val="00881C1B"/>
    <w:rsid w:val="00884F39"/>
    <w:rsid w:val="00892D08"/>
    <w:rsid w:val="008A20B3"/>
    <w:rsid w:val="008A2600"/>
    <w:rsid w:val="008A492C"/>
    <w:rsid w:val="008B0069"/>
    <w:rsid w:val="008B1D39"/>
    <w:rsid w:val="008B2363"/>
    <w:rsid w:val="008B5AE3"/>
    <w:rsid w:val="008C6916"/>
    <w:rsid w:val="008C773D"/>
    <w:rsid w:val="008E4A26"/>
    <w:rsid w:val="008E5A6D"/>
    <w:rsid w:val="008E78E2"/>
    <w:rsid w:val="008F32DF"/>
    <w:rsid w:val="008F4D20"/>
    <w:rsid w:val="0095492F"/>
    <w:rsid w:val="009705A4"/>
    <w:rsid w:val="00980967"/>
    <w:rsid w:val="00983DDC"/>
    <w:rsid w:val="009841F7"/>
    <w:rsid w:val="009D0AE3"/>
    <w:rsid w:val="009D3962"/>
    <w:rsid w:val="009E137B"/>
    <w:rsid w:val="009E4B94"/>
    <w:rsid w:val="009E6940"/>
    <w:rsid w:val="009F6F81"/>
    <w:rsid w:val="00A02985"/>
    <w:rsid w:val="00A03012"/>
    <w:rsid w:val="00A11318"/>
    <w:rsid w:val="00A240E8"/>
    <w:rsid w:val="00A25BE7"/>
    <w:rsid w:val="00A321BC"/>
    <w:rsid w:val="00A53D96"/>
    <w:rsid w:val="00A70A1D"/>
    <w:rsid w:val="00A71DD6"/>
    <w:rsid w:val="00A73898"/>
    <w:rsid w:val="00A96C01"/>
    <w:rsid w:val="00A97606"/>
    <w:rsid w:val="00AA3C0F"/>
    <w:rsid w:val="00AC0604"/>
    <w:rsid w:val="00AE116D"/>
    <w:rsid w:val="00AE1670"/>
    <w:rsid w:val="00AE6390"/>
    <w:rsid w:val="00AF1D02"/>
    <w:rsid w:val="00B00D92"/>
    <w:rsid w:val="00B07929"/>
    <w:rsid w:val="00B079CF"/>
    <w:rsid w:val="00B15E30"/>
    <w:rsid w:val="00B352A7"/>
    <w:rsid w:val="00B3671D"/>
    <w:rsid w:val="00B41C74"/>
    <w:rsid w:val="00B46DB9"/>
    <w:rsid w:val="00B476F9"/>
    <w:rsid w:val="00B51D5D"/>
    <w:rsid w:val="00B75CB8"/>
    <w:rsid w:val="00B766A3"/>
    <w:rsid w:val="00B97504"/>
    <w:rsid w:val="00BA4ABC"/>
    <w:rsid w:val="00BB6C86"/>
    <w:rsid w:val="00BC33E3"/>
    <w:rsid w:val="00BD2252"/>
    <w:rsid w:val="00BD7321"/>
    <w:rsid w:val="00BF3D18"/>
    <w:rsid w:val="00BF47FD"/>
    <w:rsid w:val="00BF65FA"/>
    <w:rsid w:val="00C325F9"/>
    <w:rsid w:val="00C43243"/>
    <w:rsid w:val="00C5048D"/>
    <w:rsid w:val="00C76F38"/>
    <w:rsid w:val="00CA464D"/>
    <w:rsid w:val="00CB385A"/>
    <w:rsid w:val="00CB47CA"/>
    <w:rsid w:val="00CC2CE3"/>
    <w:rsid w:val="00CD42FC"/>
    <w:rsid w:val="00D05BCA"/>
    <w:rsid w:val="00D3113A"/>
    <w:rsid w:val="00D329E6"/>
    <w:rsid w:val="00D32D01"/>
    <w:rsid w:val="00D42149"/>
    <w:rsid w:val="00D42DBB"/>
    <w:rsid w:val="00D42E5D"/>
    <w:rsid w:val="00D96141"/>
    <w:rsid w:val="00D9709A"/>
    <w:rsid w:val="00DA5D81"/>
    <w:rsid w:val="00DA7D14"/>
    <w:rsid w:val="00DA7E28"/>
    <w:rsid w:val="00DB207F"/>
    <w:rsid w:val="00DD4DAF"/>
    <w:rsid w:val="00DE2B28"/>
    <w:rsid w:val="00E02605"/>
    <w:rsid w:val="00E06B2F"/>
    <w:rsid w:val="00E14ED5"/>
    <w:rsid w:val="00E1555D"/>
    <w:rsid w:val="00E263CE"/>
    <w:rsid w:val="00E471EF"/>
    <w:rsid w:val="00E57C5E"/>
    <w:rsid w:val="00EC0E65"/>
    <w:rsid w:val="00EC17C2"/>
    <w:rsid w:val="00EC5914"/>
    <w:rsid w:val="00EC6167"/>
    <w:rsid w:val="00EE70BE"/>
    <w:rsid w:val="00EF2B9A"/>
    <w:rsid w:val="00EF33DE"/>
    <w:rsid w:val="00EF435F"/>
    <w:rsid w:val="00EF58B4"/>
    <w:rsid w:val="00EF6F6B"/>
    <w:rsid w:val="00F0235E"/>
    <w:rsid w:val="00F06B9B"/>
    <w:rsid w:val="00F2403E"/>
    <w:rsid w:val="00F4232F"/>
    <w:rsid w:val="00F8728D"/>
    <w:rsid w:val="00F97A55"/>
    <w:rsid w:val="00FB2F0A"/>
    <w:rsid w:val="00FD003A"/>
    <w:rsid w:val="00FD462F"/>
    <w:rsid w:val="00FD4C02"/>
    <w:rsid w:val="00FD7A22"/>
    <w:rsid w:val="00FE2167"/>
    <w:rsid w:val="00FE2C9C"/>
    <w:rsid w:val="00FE4EEB"/>
    <w:rsid w:val="00FE79BC"/>
    <w:rsid w:val="00FF00AC"/>
  </w:rsids>
  <m:mathPr>
    <m:mathFont m:val="Cambria Math"/>
    <m:brkBin m:val="before"/>
    <m:brkBinSub m:val="--"/>
    <m:smallFrac m:val="0"/>
    <m:dispDef/>
    <m:lMargin m:val="0"/>
    <m:rMargin m:val="0"/>
    <m:defJc m:val="centerGroup"/>
    <m:wrapIndent m:val="1440"/>
    <m:intLim m:val="subSup"/>
    <m:naryLim m:val="undOvr"/>
  </m:mathPr>
  <w:themeFontLang w:val="da-DK"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9A464"/>
  <w15:docId w15:val="{1627CF33-F4B7-4FDD-8531-DA695B4A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8F" w:themeColor="text2"/>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1" w:unhideWhenUsed="1"/>
    <w:lsdException w:name="FollowedHyperlink" w:semiHidden="1" w:uiPriority="21" w:unhideWhenUsed="1"/>
    <w:lsdException w:name="Strong" w:uiPriority="22" w:qFormat="1"/>
    <w:lsdException w:name="Emphasis" w:semiHidden="1"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622F70"/>
    <w:pPr>
      <w:spacing w:after="40"/>
    </w:pPr>
    <w:rPr>
      <w:rFonts w:ascii="Apis For Office" w:hAnsi="Apis For Office"/>
      <w:color w:val="000000" w:themeColor="text1"/>
      <w:lang w:val="en-US"/>
    </w:rPr>
  </w:style>
  <w:style w:type="paragraph" w:styleId="Heading1">
    <w:name w:val="heading 1"/>
    <w:basedOn w:val="Normal"/>
    <w:next w:val="Normal"/>
    <w:link w:val="Heading1Char"/>
    <w:uiPriority w:val="1"/>
    <w:qFormat/>
    <w:rsid w:val="00D42149"/>
    <w:pPr>
      <w:keepNext/>
      <w:keepLines/>
      <w:spacing w:before="280" w:line="360" w:lineRule="atLeast"/>
      <w:contextualSpacing/>
      <w:outlineLvl w:val="0"/>
    </w:pPr>
    <w:rPr>
      <w:rFonts w:eastAsiaTheme="majorEastAsia" w:cstheme="majorBidi"/>
      <w:b/>
      <w:bCs/>
      <w:sz w:val="28"/>
      <w:szCs w:val="28"/>
      <w:lang w:val="en-GB"/>
    </w:rPr>
  </w:style>
  <w:style w:type="paragraph" w:styleId="Heading2">
    <w:name w:val="heading 2"/>
    <w:basedOn w:val="Normal"/>
    <w:next w:val="Normal"/>
    <w:link w:val="Heading2Char"/>
    <w:uiPriority w:val="1"/>
    <w:qFormat/>
    <w:rsid w:val="00D42149"/>
    <w:pPr>
      <w:keepNext/>
      <w:keepLines/>
      <w:spacing w:before="280" w:line="320" w:lineRule="atLeast"/>
      <w:contextualSpacing/>
      <w:outlineLvl w:val="1"/>
    </w:pPr>
    <w:rPr>
      <w:rFonts w:eastAsiaTheme="majorEastAsia" w:cstheme="majorBidi"/>
      <w:b/>
      <w:bCs/>
      <w:sz w:val="24"/>
      <w:szCs w:val="26"/>
      <w:lang w:val="en-GB"/>
    </w:rPr>
  </w:style>
  <w:style w:type="paragraph" w:styleId="Heading3">
    <w:name w:val="heading 3"/>
    <w:basedOn w:val="Normal"/>
    <w:next w:val="Normal"/>
    <w:link w:val="Heading3Char"/>
    <w:uiPriority w:val="1"/>
    <w:qFormat/>
    <w:rsid w:val="00D42149"/>
    <w:pPr>
      <w:keepNext/>
      <w:keepLines/>
      <w:spacing w:before="280"/>
      <w:contextualSpacing/>
      <w:outlineLvl w:val="2"/>
    </w:pPr>
    <w:rPr>
      <w:rFonts w:eastAsiaTheme="majorEastAsia" w:cstheme="majorBidi"/>
      <w:b/>
      <w:bCs/>
      <w:lang w:val="en-GB"/>
    </w:rPr>
  </w:style>
  <w:style w:type="paragraph" w:styleId="Heading4">
    <w:name w:val="heading 4"/>
    <w:basedOn w:val="Normal"/>
    <w:next w:val="Normal"/>
    <w:link w:val="Heading4Char"/>
    <w:uiPriority w:val="1"/>
    <w:semiHidden/>
    <w:rsid w:val="00D42149"/>
    <w:pPr>
      <w:keepNext/>
      <w:keepLines/>
      <w:spacing w:before="260"/>
      <w:contextualSpacing/>
      <w:outlineLvl w:val="3"/>
    </w:pPr>
    <w:rPr>
      <w:rFonts w:eastAsiaTheme="majorEastAsia" w:cstheme="majorBidi"/>
      <w:b/>
      <w:bCs/>
      <w:iCs/>
      <w:lang w:val="en-GB"/>
    </w:rPr>
  </w:style>
  <w:style w:type="paragraph" w:styleId="Heading5">
    <w:name w:val="heading 5"/>
    <w:basedOn w:val="Normal"/>
    <w:next w:val="Normal"/>
    <w:link w:val="Heading5Char"/>
    <w:uiPriority w:val="1"/>
    <w:semiHidden/>
    <w:rsid w:val="00D42149"/>
    <w:pPr>
      <w:keepNext/>
      <w:keepLines/>
      <w:spacing w:before="260"/>
      <w:contextualSpacing/>
      <w:outlineLvl w:val="4"/>
    </w:pPr>
    <w:rPr>
      <w:rFonts w:eastAsiaTheme="majorEastAsia" w:cstheme="majorBidi"/>
      <w:b/>
      <w:lang w:val="en-GB"/>
    </w:rPr>
  </w:style>
  <w:style w:type="paragraph" w:styleId="Heading6">
    <w:name w:val="heading 6"/>
    <w:basedOn w:val="Normal"/>
    <w:next w:val="Normal"/>
    <w:link w:val="Heading6Char"/>
    <w:uiPriority w:val="1"/>
    <w:semiHidden/>
    <w:rsid w:val="00D42149"/>
    <w:pPr>
      <w:keepNext/>
      <w:keepLines/>
      <w:spacing w:before="260"/>
      <w:contextualSpacing/>
      <w:outlineLvl w:val="5"/>
    </w:pPr>
    <w:rPr>
      <w:rFonts w:eastAsiaTheme="majorEastAsia" w:cstheme="majorBidi"/>
      <w:b/>
      <w:iCs/>
      <w:lang w:val="en-GB"/>
    </w:rPr>
  </w:style>
  <w:style w:type="paragraph" w:styleId="Heading7">
    <w:name w:val="heading 7"/>
    <w:basedOn w:val="Normal"/>
    <w:next w:val="Normal"/>
    <w:link w:val="Heading7Char"/>
    <w:uiPriority w:val="1"/>
    <w:semiHidden/>
    <w:rsid w:val="00D42149"/>
    <w:pPr>
      <w:keepNext/>
      <w:keepLines/>
      <w:spacing w:before="260"/>
      <w:contextualSpacing/>
      <w:outlineLvl w:val="6"/>
    </w:pPr>
    <w:rPr>
      <w:rFonts w:eastAsiaTheme="majorEastAsia" w:cstheme="majorBidi"/>
      <w:b/>
      <w:iCs/>
      <w:lang w:val="en-GB"/>
    </w:rPr>
  </w:style>
  <w:style w:type="paragraph" w:styleId="Heading8">
    <w:name w:val="heading 8"/>
    <w:basedOn w:val="Normal"/>
    <w:next w:val="Normal"/>
    <w:link w:val="Heading8Char"/>
    <w:uiPriority w:val="1"/>
    <w:semiHidden/>
    <w:rsid w:val="00D42149"/>
    <w:pPr>
      <w:keepNext/>
      <w:keepLines/>
      <w:spacing w:before="260"/>
      <w:contextualSpacing/>
      <w:outlineLvl w:val="7"/>
    </w:pPr>
    <w:rPr>
      <w:rFonts w:eastAsiaTheme="majorEastAsia" w:cstheme="majorBidi"/>
      <w:b/>
      <w:lang w:val="en-GB"/>
    </w:rPr>
  </w:style>
  <w:style w:type="paragraph" w:styleId="Heading9">
    <w:name w:val="heading 9"/>
    <w:basedOn w:val="Normal"/>
    <w:next w:val="Normal"/>
    <w:link w:val="Heading9Char"/>
    <w:uiPriority w:val="1"/>
    <w:semiHidden/>
    <w:rsid w:val="00D42149"/>
    <w:pPr>
      <w:keepNext/>
      <w:keepLines/>
      <w:spacing w:before="260"/>
      <w:contextualSpacing/>
      <w:outlineLvl w:val="8"/>
    </w:pPr>
    <w:rPr>
      <w:rFonts w:eastAsiaTheme="majorEastAsia" w:cstheme="majorBidi"/>
      <w:b/>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2149"/>
    <w:pPr>
      <w:spacing w:after="0" w:line="180" w:lineRule="atLeast"/>
    </w:pPr>
    <w:rPr>
      <w:sz w:val="12"/>
      <w:lang w:val="en-GB"/>
    </w:rPr>
  </w:style>
  <w:style w:type="character" w:customStyle="1" w:styleId="HeaderChar">
    <w:name w:val="Header Char"/>
    <w:basedOn w:val="DefaultParagraphFont"/>
    <w:link w:val="Header"/>
    <w:uiPriority w:val="99"/>
    <w:rsid w:val="00D42149"/>
    <w:rPr>
      <w:rFonts w:asciiTheme="minorHAnsi" w:hAnsiTheme="minorHAnsi"/>
      <w:color w:val="00008F" w:themeColor="text2"/>
      <w:sz w:val="12"/>
      <w:lang w:val="en-GB"/>
    </w:rPr>
  </w:style>
  <w:style w:type="paragraph" w:styleId="Footer">
    <w:name w:val="footer"/>
    <w:basedOn w:val="Normal"/>
    <w:link w:val="FooterChar"/>
    <w:uiPriority w:val="99"/>
    <w:rsid w:val="00D42149"/>
    <w:pPr>
      <w:tabs>
        <w:tab w:val="center" w:pos="4819"/>
        <w:tab w:val="right" w:pos="9638"/>
      </w:tabs>
      <w:spacing w:after="0" w:line="180" w:lineRule="atLeast"/>
    </w:pPr>
    <w:rPr>
      <w:sz w:val="12"/>
      <w:lang w:val="en-GB"/>
    </w:rPr>
  </w:style>
  <w:style w:type="character" w:customStyle="1" w:styleId="FooterChar">
    <w:name w:val="Footer Char"/>
    <w:basedOn w:val="DefaultParagraphFont"/>
    <w:link w:val="Footer"/>
    <w:uiPriority w:val="99"/>
    <w:rsid w:val="00D42149"/>
    <w:rPr>
      <w:rFonts w:asciiTheme="minorHAnsi" w:hAnsiTheme="minorHAnsi"/>
      <w:color w:val="00008F" w:themeColor="text2"/>
      <w:sz w:val="12"/>
      <w:lang w:val="en-GB"/>
    </w:rPr>
  </w:style>
  <w:style w:type="character" w:customStyle="1" w:styleId="Heading1Char">
    <w:name w:val="Heading 1 Char"/>
    <w:basedOn w:val="DefaultParagraphFont"/>
    <w:link w:val="Heading1"/>
    <w:uiPriority w:val="1"/>
    <w:rsid w:val="00D42149"/>
    <w:rPr>
      <w:rFonts w:asciiTheme="minorHAnsi" w:eastAsiaTheme="majorEastAsia" w:hAnsiTheme="minorHAnsi" w:cstheme="majorBidi"/>
      <w:b/>
      <w:bCs/>
      <w:color w:val="00008F" w:themeColor="text2"/>
      <w:sz w:val="28"/>
      <w:szCs w:val="28"/>
      <w:lang w:val="en-GB"/>
    </w:rPr>
  </w:style>
  <w:style w:type="character" w:customStyle="1" w:styleId="Heading2Char">
    <w:name w:val="Heading 2 Char"/>
    <w:basedOn w:val="DefaultParagraphFont"/>
    <w:link w:val="Heading2"/>
    <w:uiPriority w:val="1"/>
    <w:rsid w:val="00D42149"/>
    <w:rPr>
      <w:rFonts w:asciiTheme="minorHAnsi" w:eastAsiaTheme="majorEastAsia" w:hAnsiTheme="minorHAnsi" w:cstheme="majorBidi"/>
      <w:b/>
      <w:bCs/>
      <w:color w:val="00008F" w:themeColor="text2"/>
      <w:sz w:val="24"/>
      <w:szCs w:val="26"/>
      <w:lang w:val="en-GB"/>
    </w:rPr>
  </w:style>
  <w:style w:type="character" w:customStyle="1" w:styleId="Heading3Char">
    <w:name w:val="Heading 3 Char"/>
    <w:basedOn w:val="DefaultParagraphFont"/>
    <w:link w:val="Heading3"/>
    <w:uiPriority w:val="1"/>
    <w:rsid w:val="00D42149"/>
    <w:rPr>
      <w:rFonts w:asciiTheme="minorHAnsi" w:eastAsiaTheme="majorEastAsia" w:hAnsiTheme="minorHAnsi" w:cstheme="majorBidi"/>
      <w:b/>
      <w:bCs/>
      <w:color w:val="00008F" w:themeColor="text2"/>
      <w:lang w:val="en-GB"/>
    </w:rPr>
  </w:style>
  <w:style w:type="character" w:customStyle="1" w:styleId="Heading4Char">
    <w:name w:val="Heading 4 Char"/>
    <w:basedOn w:val="DefaultParagraphFont"/>
    <w:link w:val="Heading4"/>
    <w:uiPriority w:val="1"/>
    <w:semiHidden/>
    <w:rsid w:val="00D42149"/>
    <w:rPr>
      <w:rFonts w:asciiTheme="minorHAnsi" w:eastAsiaTheme="majorEastAsia" w:hAnsiTheme="minorHAnsi" w:cstheme="majorBidi"/>
      <w:b/>
      <w:bCs/>
      <w:iCs/>
      <w:color w:val="00008F" w:themeColor="text2"/>
      <w:lang w:val="en-GB"/>
    </w:rPr>
  </w:style>
  <w:style w:type="character" w:customStyle="1" w:styleId="Heading5Char">
    <w:name w:val="Heading 5 Char"/>
    <w:basedOn w:val="DefaultParagraphFont"/>
    <w:link w:val="Heading5"/>
    <w:uiPriority w:val="1"/>
    <w:semiHidden/>
    <w:rsid w:val="00D42149"/>
    <w:rPr>
      <w:rFonts w:asciiTheme="minorHAnsi" w:eastAsiaTheme="majorEastAsia" w:hAnsiTheme="minorHAnsi" w:cstheme="majorBidi"/>
      <w:b/>
      <w:color w:val="00008F" w:themeColor="text2"/>
      <w:lang w:val="en-GB"/>
    </w:rPr>
  </w:style>
  <w:style w:type="character" w:customStyle="1" w:styleId="Heading6Char">
    <w:name w:val="Heading 6 Char"/>
    <w:basedOn w:val="DefaultParagraphFont"/>
    <w:link w:val="Heading6"/>
    <w:uiPriority w:val="1"/>
    <w:semiHidden/>
    <w:rsid w:val="00D42149"/>
    <w:rPr>
      <w:rFonts w:asciiTheme="minorHAnsi" w:eastAsiaTheme="majorEastAsia" w:hAnsiTheme="minorHAnsi" w:cstheme="majorBidi"/>
      <w:b/>
      <w:iCs/>
      <w:color w:val="00008F" w:themeColor="text2"/>
      <w:lang w:val="en-GB"/>
    </w:rPr>
  </w:style>
  <w:style w:type="character" w:customStyle="1" w:styleId="Heading7Char">
    <w:name w:val="Heading 7 Char"/>
    <w:basedOn w:val="DefaultParagraphFont"/>
    <w:link w:val="Heading7"/>
    <w:uiPriority w:val="1"/>
    <w:semiHidden/>
    <w:rsid w:val="00D42149"/>
    <w:rPr>
      <w:rFonts w:asciiTheme="minorHAnsi" w:eastAsiaTheme="majorEastAsia" w:hAnsiTheme="minorHAnsi" w:cstheme="majorBidi"/>
      <w:b/>
      <w:iCs/>
      <w:color w:val="00008F" w:themeColor="text2"/>
      <w:lang w:val="en-GB"/>
    </w:rPr>
  </w:style>
  <w:style w:type="character" w:customStyle="1" w:styleId="Heading8Char">
    <w:name w:val="Heading 8 Char"/>
    <w:basedOn w:val="DefaultParagraphFont"/>
    <w:link w:val="Heading8"/>
    <w:uiPriority w:val="1"/>
    <w:semiHidden/>
    <w:rsid w:val="00D42149"/>
    <w:rPr>
      <w:rFonts w:asciiTheme="minorHAnsi" w:eastAsiaTheme="majorEastAsia" w:hAnsiTheme="minorHAnsi" w:cstheme="majorBidi"/>
      <w:b/>
      <w:color w:val="00008F" w:themeColor="text2"/>
      <w:lang w:val="en-GB"/>
    </w:rPr>
  </w:style>
  <w:style w:type="character" w:customStyle="1" w:styleId="Heading9Char">
    <w:name w:val="Heading 9 Char"/>
    <w:basedOn w:val="DefaultParagraphFont"/>
    <w:link w:val="Heading9"/>
    <w:uiPriority w:val="1"/>
    <w:semiHidden/>
    <w:rsid w:val="00D42149"/>
    <w:rPr>
      <w:rFonts w:asciiTheme="minorHAnsi" w:eastAsiaTheme="majorEastAsia" w:hAnsiTheme="minorHAnsi" w:cstheme="majorBidi"/>
      <w:b/>
      <w:iCs/>
      <w:color w:val="00008F" w:themeColor="text2"/>
      <w:lang w:val="en-GB"/>
    </w:rPr>
  </w:style>
  <w:style w:type="paragraph" w:styleId="Title">
    <w:name w:val="Title"/>
    <w:basedOn w:val="Normal"/>
    <w:next w:val="Normal"/>
    <w:link w:val="TitleChar"/>
    <w:uiPriority w:val="19"/>
    <w:semiHidden/>
    <w:rsid w:val="00D42149"/>
    <w:pPr>
      <w:spacing w:before="500" w:after="500" w:line="500" w:lineRule="atLeast"/>
      <w:contextualSpacing/>
    </w:pPr>
    <w:rPr>
      <w:rFonts w:eastAsiaTheme="majorEastAsia" w:cstheme="majorBidi"/>
      <w:b/>
      <w:kern w:val="28"/>
      <w:sz w:val="40"/>
      <w:szCs w:val="52"/>
      <w:lang w:val="en-GB"/>
    </w:rPr>
  </w:style>
  <w:style w:type="character" w:customStyle="1" w:styleId="TitleChar">
    <w:name w:val="Title Char"/>
    <w:basedOn w:val="DefaultParagraphFont"/>
    <w:link w:val="Title"/>
    <w:uiPriority w:val="19"/>
    <w:semiHidden/>
    <w:rsid w:val="00D42149"/>
    <w:rPr>
      <w:rFonts w:asciiTheme="minorHAnsi" w:eastAsiaTheme="majorEastAsia" w:hAnsiTheme="minorHAnsi" w:cstheme="majorBidi"/>
      <w:b/>
      <w:color w:val="00008F" w:themeColor="text2"/>
      <w:kern w:val="28"/>
      <w:sz w:val="40"/>
      <w:szCs w:val="52"/>
      <w:lang w:val="en-GB"/>
    </w:rPr>
  </w:style>
  <w:style w:type="paragraph" w:styleId="Subtitle">
    <w:name w:val="Subtitle"/>
    <w:basedOn w:val="Normal"/>
    <w:next w:val="Normal"/>
    <w:link w:val="SubtitleChar"/>
    <w:uiPriority w:val="19"/>
    <w:semiHidden/>
    <w:rsid w:val="00D42149"/>
    <w:pPr>
      <w:numPr>
        <w:ilvl w:val="1"/>
      </w:numPr>
      <w:spacing w:before="400" w:after="400" w:line="400" w:lineRule="atLeast"/>
      <w:contextualSpacing/>
    </w:pPr>
    <w:rPr>
      <w:rFonts w:eastAsiaTheme="majorEastAsia" w:cstheme="majorBidi"/>
      <w:b/>
      <w:iCs/>
      <w:sz w:val="36"/>
      <w:szCs w:val="24"/>
      <w:lang w:val="en-GB"/>
    </w:rPr>
  </w:style>
  <w:style w:type="character" w:customStyle="1" w:styleId="SubtitleChar">
    <w:name w:val="Subtitle Char"/>
    <w:basedOn w:val="DefaultParagraphFont"/>
    <w:link w:val="Subtitle"/>
    <w:uiPriority w:val="19"/>
    <w:semiHidden/>
    <w:rsid w:val="00D42149"/>
    <w:rPr>
      <w:rFonts w:asciiTheme="minorHAnsi" w:eastAsiaTheme="majorEastAsia" w:hAnsiTheme="minorHAnsi" w:cstheme="majorBidi"/>
      <w:b/>
      <w:iCs/>
      <w:color w:val="00008F" w:themeColor="text2"/>
      <w:sz w:val="36"/>
      <w:szCs w:val="24"/>
      <w:lang w:val="en-GB"/>
    </w:rPr>
  </w:style>
  <w:style w:type="character" w:styleId="SubtleEmphasis">
    <w:name w:val="Subtle Emphasis"/>
    <w:basedOn w:val="DefaultParagraphFont"/>
    <w:uiPriority w:val="99"/>
    <w:semiHidden/>
    <w:qFormat/>
    <w:rsid w:val="00D42149"/>
    <w:rPr>
      <w:i/>
      <w:iCs/>
      <w:color w:val="808080" w:themeColor="text1" w:themeTint="7F"/>
      <w:lang w:val="en-GB"/>
    </w:rPr>
  </w:style>
  <w:style w:type="character" w:styleId="IntenseEmphasis">
    <w:name w:val="Intense Emphasis"/>
    <w:basedOn w:val="DefaultParagraphFont"/>
    <w:uiPriority w:val="19"/>
    <w:semiHidden/>
    <w:rsid w:val="00D42149"/>
    <w:rPr>
      <w:b/>
      <w:bCs/>
      <w:i/>
      <w:iCs/>
      <w:color w:val="auto"/>
      <w:lang w:val="en-GB"/>
    </w:rPr>
  </w:style>
  <w:style w:type="character" w:styleId="Strong">
    <w:name w:val="Strong"/>
    <w:basedOn w:val="DefaultParagraphFont"/>
    <w:uiPriority w:val="22"/>
    <w:qFormat/>
    <w:rsid w:val="00D42149"/>
    <w:rPr>
      <w:b/>
      <w:bCs/>
      <w:lang w:val="en-GB"/>
    </w:rPr>
  </w:style>
  <w:style w:type="paragraph" w:styleId="IntenseQuote">
    <w:name w:val="Intense Quote"/>
    <w:basedOn w:val="Normal"/>
    <w:next w:val="Normal"/>
    <w:link w:val="IntenseQuoteChar"/>
    <w:uiPriority w:val="19"/>
    <w:semiHidden/>
    <w:rsid w:val="00D42149"/>
    <w:pPr>
      <w:spacing w:before="260" w:after="260"/>
      <w:ind w:left="851" w:right="851"/>
    </w:pPr>
    <w:rPr>
      <w:b/>
      <w:bCs/>
      <w:i/>
      <w:iCs/>
      <w:lang w:val="en-GB"/>
    </w:rPr>
  </w:style>
  <w:style w:type="character" w:customStyle="1" w:styleId="IntenseQuoteChar">
    <w:name w:val="Intense Quote Char"/>
    <w:basedOn w:val="DefaultParagraphFont"/>
    <w:link w:val="IntenseQuote"/>
    <w:uiPriority w:val="19"/>
    <w:semiHidden/>
    <w:rsid w:val="00D42149"/>
    <w:rPr>
      <w:rFonts w:asciiTheme="minorHAnsi" w:hAnsiTheme="minorHAnsi"/>
      <w:b/>
      <w:bCs/>
      <w:i/>
      <w:iCs/>
      <w:color w:val="00008F" w:themeColor="text2"/>
      <w:lang w:val="en-GB"/>
    </w:rPr>
  </w:style>
  <w:style w:type="character" w:styleId="SubtleReference">
    <w:name w:val="Subtle Reference"/>
    <w:basedOn w:val="DefaultParagraphFont"/>
    <w:uiPriority w:val="99"/>
    <w:semiHidden/>
    <w:qFormat/>
    <w:rsid w:val="00D42149"/>
    <w:rPr>
      <w:caps w:val="0"/>
      <w:smallCaps w:val="0"/>
      <w:color w:val="auto"/>
      <w:u w:val="single"/>
      <w:lang w:val="en-GB"/>
    </w:rPr>
  </w:style>
  <w:style w:type="character" w:styleId="IntenseReference">
    <w:name w:val="Intense Reference"/>
    <w:basedOn w:val="DefaultParagraphFont"/>
    <w:uiPriority w:val="99"/>
    <w:semiHidden/>
    <w:qFormat/>
    <w:rsid w:val="00D42149"/>
    <w:rPr>
      <w:b/>
      <w:bCs/>
      <w:caps w:val="0"/>
      <w:smallCaps w:val="0"/>
      <w:color w:val="auto"/>
      <w:spacing w:val="5"/>
      <w:u w:val="single"/>
      <w:lang w:val="en-GB"/>
    </w:rPr>
  </w:style>
  <w:style w:type="paragraph" w:styleId="Caption">
    <w:name w:val="caption"/>
    <w:basedOn w:val="Normal"/>
    <w:next w:val="Normal"/>
    <w:uiPriority w:val="3"/>
    <w:rsid w:val="00D42149"/>
    <w:rPr>
      <w:b/>
      <w:bCs/>
      <w:sz w:val="16"/>
      <w:lang w:val="en-GB"/>
    </w:rPr>
  </w:style>
  <w:style w:type="paragraph" w:styleId="TOC1">
    <w:name w:val="toc 1"/>
    <w:basedOn w:val="Normal"/>
    <w:next w:val="Normal"/>
    <w:uiPriority w:val="39"/>
    <w:semiHidden/>
    <w:rsid w:val="00D42149"/>
    <w:pPr>
      <w:tabs>
        <w:tab w:val="right" w:leader="dot" w:pos="8726"/>
      </w:tabs>
      <w:spacing w:before="280"/>
      <w:ind w:right="567"/>
    </w:pPr>
    <w:rPr>
      <w:b/>
      <w:lang w:val="en-GB"/>
    </w:rPr>
  </w:style>
  <w:style w:type="paragraph" w:styleId="TOC2">
    <w:name w:val="toc 2"/>
    <w:basedOn w:val="Normal"/>
    <w:next w:val="Normal"/>
    <w:uiPriority w:val="39"/>
    <w:semiHidden/>
    <w:rsid w:val="00D42149"/>
    <w:pPr>
      <w:tabs>
        <w:tab w:val="right" w:leader="dot" w:pos="8726"/>
      </w:tabs>
      <w:ind w:right="567"/>
    </w:pPr>
    <w:rPr>
      <w:lang w:val="en-GB"/>
    </w:rPr>
  </w:style>
  <w:style w:type="paragraph" w:styleId="TOC3">
    <w:name w:val="toc 3"/>
    <w:basedOn w:val="Normal"/>
    <w:next w:val="Normal"/>
    <w:uiPriority w:val="39"/>
    <w:semiHidden/>
    <w:rsid w:val="00D42149"/>
    <w:pPr>
      <w:tabs>
        <w:tab w:val="right" w:leader="dot" w:pos="8726"/>
      </w:tabs>
      <w:ind w:right="567"/>
    </w:pPr>
    <w:rPr>
      <w:lang w:val="en-GB"/>
    </w:rPr>
  </w:style>
  <w:style w:type="paragraph" w:styleId="TOC4">
    <w:name w:val="toc 4"/>
    <w:basedOn w:val="Normal"/>
    <w:next w:val="Normal"/>
    <w:uiPriority w:val="39"/>
    <w:semiHidden/>
    <w:rsid w:val="00D42149"/>
    <w:pPr>
      <w:tabs>
        <w:tab w:val="right" w:leader="dot" w:pos="8726"/>
      </w:tabs>
      <w:ind w:right="567"/>
    </w:pPr>
    <w:rPr>
      <w:lang w:val="en-GB"/>
    </w:rPr>
  </w:style>
  <w:style w:type="paragraph" w:styleId="TOC5">
    <w:name w:val="toc 5"/>
    <w:basedOn w:val="Normal"/>
    <w:next w:val="Normal"/>
    <w:uiPriority w:val="39"/>
    <w:semiHidden/>
    <w:rsid w:val="00D42149"/>
    <w:pPr>
      <w:ind w:right="567"/>
    </w:pPr>
    <w:rPr>
      <w:lang w:val="en-GB"/>
    </w:rPr>
  </w:style>
  <w:style w:type="paragraph" w:styleId="TOC6">
    <w:name w:val="toc 6"/>
    <w:basedOn w:val="Normal"/>
    <w:next w:val="Normal"/>
    <w:uiPriority w:val="39"/>
    <w:semiHidden/>
    <w:rsid w:val="00D42149"/>
    <w:pPr>
      <w:ind w:right="567"/>
    </w:pPr>
    <w:rPr>
      <w:lang w:val="en-GB"/>
    </w:rPr>
  </w:style>
  <w:style w:type="paragraph" w:styleId="TOC7">
    <w:name w:val="toc 7"/>
    <w:basedOn w:val="Normal"/>
    <w:next w:val="Normal"/>
    <w:uiPriority w:val="39"/>
    <w:semiHidden/>
    <w:rsid w:val="00D42149"/>
    <w:pPr>
      <w:ind w:right="567"/>
    </w:pPr>
    <w:rPr>
      <w:lang w:val="en-GB"/>
    </w:rPr>
  </w:style>
  <w:style w:type="paragraph" w:styleId="TOC8">
    <w:name w:val="toc 8"/>
    <w:basedOn w:val="Normal"/>
    <w:next w:val="Normal"/>
    <w:uiPriority w:val="39"/>
    <w:semiHidden/>
    <w:rsid w:val="00D42149"/>
    <w:pPr>
      <w:ind w:right="567"/>
    </w:pPr>
    <w:rPr>
      <w:lang w:val="en-GB"/>
    </w:rPr>
  </w:style>
  <w:style w:type="paragraph" w:styleId="TOC9">
    <w:name w:val="toc 9"/>
    <w:basedOn w:val="Normal"/>
    <w:next w:val="Normal"/>
    <w:uiPriority w:val="39"/>
    <w:semiHidden/>
    <w:rsid w:val="00D42149"/>
    <w:pPr>
      <w:ind w:right="567"/>
    </w:pPr>
    <w:rPr>
      <w:lang w:val="en-GB"/>
    </w:rPr>
  </w:style>
  <w:style w:type="paragraph" w:styleId="TOCHeading">
    <w:name w:val="TOC Heading"/>
    <w:next w:val="Normal"/>
    <w:uiPriority w:val="39"/>
    <w:semiHidden/>
    <w:rsid w:val="00D42149"/>
    <w:pPr>
      <w:spacing w:after="520" w:line="320" w:lineRule="atLeast"/>
    </w:pPr>
    <w:rPr>
      <w:rFonts w:eastAsiaTheme="majorEastAsia" w:cstheme="majorBidi"/>
      <w:b/>
      <w:bCs/>
      <w:sz w:val="24"/>
      <w:szCs w:val="28"/>
      <w:lang w:val="en-GB"/>
    </w:rPr>
  </w:style>
  <w:style w:type="paragraph" w:styleId="BlockText">
    <w:name w:val="Block Text"/>
    <w:basedOn w:val="Normal"/>
    <w:uiPriority w:val="99"/>
    <w:semiHidden/>
    <w:rsid w:val="00D42149"/>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lang w:val="en-GB"/>
    </w:rPr>
  </w:style>
  <w:style w:type="paragraph" w:styleId="EndnoteText">
    <w:name w:val="endnote text"/>
    <w:basedOn w:val="Normal"/>
    <w:link w:val="EndnoteTextChar"/>
    <w:uiPriority w:val="21"/>
    <w:semiHidden/>
    <w:rsid w:val="00D42149"/>
    <w:pPr>
      <w:spacing w:after="120" w:line="240" w:lineRule="atLeast"/>
      <w:ind w:left="85" w:hanging="85"/>
    </w:pPr>
    <w:rPr>
      <w:sz w:val="16"/>
      <w:lang w:val="en-GB"/>
    </w:rPr>
  </w:style>
  <w:style w:type="character" w:customStyle="1" w:styleId="EndnoteTextChar">
    <w:name w:val="Endnote Text Char"/>
    <w:basedOn w:val="DefaultParagraphFont"/>
    <w:link w:val="EndnoteText"/>
    <w:uiPriority w:val="21"/>
    <w:semiHidden/>
    <w:rsid w:val="00D42149"/>
    <w:rPr>
      <w:rFonts w:asciiTheme="minorHAnsi" w:hAnsiTheme="minorHAnsi"/>
      <w:color w:val="00008F" w:themeColor="text2"/>
      <w:sz w:val="16"/>
      <w:lang w:val="en-GB"/>
    </w:rPr>
  </w:style>
  <w:style w:type="character" w:styleId="EndnoteReference">
    <w:name w:val="endnote reference"/>
    <w:basedOn w:val="DefaultParagraphFont"/>
    <w:uiPriority w:val="21"/>
    <w:semiHidden/>
    <w:rsid w:val="00D42149"/>
    <w:rPr>
      <w:vertAlign w:val="superscript"/>
      <w:lang w:val="en-GB"/>
    </w:rPr>
  </w:style>
  <w:style w:type="paragraph" w:styleId="FootnoteText">
    <w:name w:val="footnote text"/>
    <w:basedOn w:val="Normal"/>
    <w:link w:val="FootnoteTextChar"/>
    <w:uiPriority w:val="21"/>
    <w:semiHidden/>
    <w:rsid w:val="00D42149"/>
    <w:pPr>
      <w:spacing w:after="120" w:line="240" w:lineRule="atLeast"/>
      <w:ind w:left="85" w:hanging="85"/>
    </w:pPr>
    <w:rPr>
      <w:sz w:val="16"/>
      <w:lang w:val="en-GB"/>
    </w:rPr>
  </w:style>
  <w:style w:type="character" w:customStyle="1" w:styleId="FootnoteTextChar">
    <w:name w:val="Footnote Text Char"/>
    <w:basedOn w:val="DefaultParagraphFont"/>
    <w:link w:val="FootnoteText"/>
    <w:uiPriority w:val="21"/>
    <w:semiHidden/>
    <w:rsid w:val="00D42149"/>
    <w:rPr>
      <w:rFonts w:asciiTheme="minorHAnsi" w:hAnsiTheme="minorHAnsi"/>
      <w:color w:val="00008F" w:themeColor="text2"/>
      <w:sz w:val="16"/>
      <w:lang w:val="en-GB"/>
    </w:rPr>
  </w:style>
  <w:style w:type="paragraph" w:styleId="ListBullet">
    <w:name w:val="List Bullet"/>
    <w:basedOn w:val="Normal"/>
    <w:uiPriority w:val="2"/>
    <w:qFormat/>
    <w:rsid w:val="00D42149"/>
    <w:pPr>
      <w:numPr>
        <w:numId w:val="3"/>
      </w:numPr>
      <w:contextualSpacing/>
    </w:pPr>
    <w:rPr>
      <w:lang w:val="en-GB"/>
    </w:rPr>
  </w:style>
  <w:style w:type="paragraph" w:styleId="ListNumber">
    <w:name w:val="List Number"/>
    <w:basedOn w:val="Normal"/>
    <w:uiPriority w:val="2"/>
    <w:qFormat/>
    <w:rsid w:val="00D42149"/>
    <w:pPr>
      <w:numPr>
        <w:numId w:val="8"/>
      </w:numPr>
      <w:contextualSpacing/>
    </w:pPr>
    <w:rPr>
      <w:lang w:val="en-GB"/>
    </w:rPr>
  </w:style>
  <w:style w:type="character" w:styleId="PageNumber">
    <w:name w:val="page number"/>
    <w:basedOn w:val="DefaultParagraphFont"/>
    <w:uiPriority w:val="21"/>
    <w:semiHidden/>
    <w:rsid w:val="00D42149"/>
    <w:rPr>
      <w:color w:val="00008F" w:themeColor="text2"/>
      <w:sz w:val="12"/>
      <w:lang w:val="en-GB"/>
    </w:rPr>
  </w:style>
  <w:style w:type="paragraph" w:customStyle="1" w:styleId="Template">
    <w:name w:val="Template"/>
    <w:uiPriority w:val="8"/>
    <w:semiHidden/>
    <w:rsid w:val="00D42149"/>
    <w:pPr>
      <w:spacing w:line="200" w:lineRule="atLeast"/>
    </w:pPr>
    <w:rPr>
      <w:noProof/>
      <w:sz w:val="14"/>
      <w:lang w:val="en-GB"/>
    </w:rPr>
  </w:style>
  <w:style w:type="paragraph" w:customStyle="1" w:styleId="Template-Address">
    <w:name w:val="Template - Address"/>
    <w:basedOn w:val="Template"/>
    <w:uiPriority w:val="8"/>
    <w:semiHidden/>
    <w:rsid w:val="00D42149"/>
    <w:pPr>
      <w:suppressAutoHyphens/>
      <w:spacing w:line="180" w:lineRule="atLeast"/>
      <w:ind w:right="227"/>
    </w:pPr>
    <w:rPr>
      <w:sz w:val="12"/>
    </w:rPr>
  </w:style>
  <w:style w:type="paragraph" w:customStyle="1" w:styleId="Template-CompanyName">
    <w:name w:val="Template - Company Name"/>
    <w:basedOn w:val="Template-Address"/>
    <w:next w:val="Template-Address"/>
    <w:uiPriority w:val="8"/>
    <w:semiHidden/>
    <w:rsid w:val="00D42149"/>
    <w:rPr>
      <w:b/>
    </w:rPr>
  </w:style>
  <w:style w:type="paragraph" w:styleId="TOAHeading">
    <w:name w:val="toa heading"/>
    <w:basedOn w:val="Normal"/>
    <w:next w:val="Normal"/>
    <w:uiPriority w:val="10"/>
    <w:semiHidden/>
    <w:rsid w:val="00D42149"/>
    <w:pPr>
      <w:spacing w:after="520" w:line="360" w:lineRule="atLeast"/>
    </w:pPr>
    <w:rPr>
      <w:rFonts w:eastAsiaTheme="majorEastAsia" w:cstheme="majorBidi"/>
      <w:b/>
      <w:bCs/>
      <w:sz w:val="28"/>
      <w:szCs w:val="24"/>
      <w:lang w:val="en-GB"/>
    </w:rPr>
  </w:style>
  <w:style w:type="paragraph" w:styleId="TableofFigures">
    <w:name w:val="table of figures"/>
    <w:basedOn w:val="Normal"/>
    <w:next w:val="Normal"/>
    <w:uiPriority w:val="10"/>
    <w:semiHidden/>
    <w:rsid w:val="00D42149"/>
    <w:pPr>
      <w:ind w:right="567"/>
    </w:pPr>
    <w:rPr>
      <w:lang w:val="en-GB"/>
    </w:rPr>
  </w:style>
  <w:style w:type="paragraph" w:styleId="Signature">
    <w:name w:val="Signature"/>
    <w:basedOn w:val="Normal"/>
    <w:link w:val="SignatureChar"/>
    <w:uiPriority w:val="99"/>
    <w:semiHidden/>
    <w:rsid w:val="00D42149"/>
    <w:pPr>
      <w:spacing w:line="240" w:lineRule="auto"/>
      <w:ind w:left="4252"/>
    </w:pPr>
    <w:rPr>
      <w:lang w:val="en-GB"/>
    </w:rPr>
  </w:style>
  <w:style w:type="character" w:customStyle="1" w:styleId="SignatureChar">
    <w:name w:val="Signature Char"/>
    <w:basedOn w:val="DefaultParagraphFont"/>
    <w:link w:val="Signature"/>
    <w:uiPriority w:val="99"/>
    <w:semiHidden/>
    <w:rsid w:val="00D42149"/>
    <w:rPr>
      <w:rFonts w:asciiTheme="minorHAnsi" w:hAnsiTheme="minorHAnsi"/>
      <w:color w:val="00008F" w:themeColor="text2"/>
      <w:lang w:val="en-GB"/>
    </w:rPr>
  </w:style>
  <w:style w:type="character" w:styleId="PlaceholderText">
    <w:name w:val="Placeholder Text"/>
    <w:basedOn w:val="DefaultParagraphFont"/>
    <w:uiPriority w:val="99"/>
    <w:semiHidden/>
    <w:rsid w:val="00D42149"/>
    <w:rPr>
      <w:color w:val="auto"/>
      <w:lang w:val="en-GB"/>
    </w:rPr>
  </w:style>
  <w:style w:type="paragraph" w:customStyle="1" w:styleId="Table">
    <w:name w:val="Table"/>
    <w:uiPriority w:val="4"/>
    <w:rsid w:val="00D42149"/>
    <w:pPr>
      <w:spacing w:before="40" w:after="40" w:line="240" w:lineRule="atLeast"/>
      <w:ind w:left="113" w:right="113"/>
    </w:pPr>
    <w:rPr>
      <w:sz w:val="18"/>
      <w:lang w:val="en-GB"/>
    </w:rPr>
  </w:style>
  <w:style w:type="paragraph" w:customStyle="1" w:styleId="Table-Text">
    <w:name w:val="Table - Text"/>
    <w:basedOn w:val="Table"/>
    <w:uiPriority w:val="4"/>
    <w:rsid w:val="00D42149"/>
  </w:style>
  <w:style w:type="paragraph" w:customStyle="1" w:styleId="Table-TextTotal">
    <w:name w:val="Table - Text Total"/>
    <w:basedOn w:val="Table-Text"/>
    <w:uiPriority w:val="4"/>
    <w:rsid w:val="00D42149"/>
    <w:rPr>
      <w:b/>
    </w:rPr>
  </w:style>
  <w:style w:type="paragraph" w:customStyle="1" w:styleId="Table-Numbers">
    <w:name w:val="Table - Numbers"/>
    <w:basedOn w:val="Table"/>
    <w:uiPriority w:val="4"/>
    <w:rsid w:val="00D42149"/>
    <w:pPr>
      <w:jc w:val="right"/>
    </w:pPr>
  </w:style>
  <w:style w:type="paragraph" w:customStyle="1" w:styleId="Table-NumbersTotal">
    <w:name w:val="Table - Numbers Total"/>
    <w:basedOn w:val="Table-Numbers"/>
    <w:uiPriority w:val="4"/>
    <w:rsid w:val="00D42149"/>
    <w:rPr>
      <w:b/>
    </w:rPr>
  </w:style>
  <w:style w:type="paragraph" w:styleId="Quote">
    <w:name w:val="Quote"/>
    <w:basedOn w:val="Normal"/>
    <w:next w:val="Normal"/>
    <w:link w:val="QuoteChar"/>
    <w:uiPriority w:val="19"/>
    <w:semiHidden/>
    <w:rsid w:val="00D42149"/>
    <w:pPr>
      <w:spacing w:before="260" w:after="260"/>
      <w:ind w:left="567" w:right="567"/>
    </w:pPr>
    <w:rPr>
      <w:b/>
      <w:iCs/>
      <w:lang w:val="en-GB"/>
    </w:rPr>
  </w:style>
  <w:style w:type="character" w:customStyle="1" w:styleId="QuoteChar">
    <w:name w:val="Quote Char"/>
    <w:basedOn w:val="DefaultParagraphFont"/>
    <w:link w:val="Quote"/>
    <w:uiPriority w:val="19"/>
    <w:semiHidden/>
    <w:rsid w:val="00D42149"/>
    <w:rPr>
      <w:rFonts w:asciiTheme="minorHAnsi" w:hAnsiTheme="minorHAnsi"/>
      <w:b/>
      <w:iCs/>
      <w:color w:val="00008F" w:themeColor="text2"/>
      <w:lang w:val="en-GB"/>
    </w:rPr>
  </w:style>
  <w:style w:type="character" w:styleId="BookTitle">
    <w:name w:val="Book Title"/>
    <w:basedOn w:val="DefaultParagraphFont"/>
    <w:uiPriority w:val="99"/>
    <w:semiHidden/>
    <w:qFormat/>
    <w:rsid w:val="00D42149"/>
    <w:rPr>
      <w:b/>
      <w:bCs/>
      <w:caps w:val="0"/>
      <w:smallCaps w:val="0"/>
      <w:spacing w:val="5"/>
      <w:lang w:val="en-GB"/>
    </w:rPr>
  </w:style>
  <w:style w:type="paragraph" w:styleId="TableofAuthorities">
    <w:name w:val="table of authorities"/>
    <w:basedOn w:val="Normal"/>
    <w:next w:val="Normal"/>
    <w:uiPriority w:val="10"/>
    <w:semiHidden/>
    <w:rsid w:val="00D42149"/>
    <w:pPr>
      <w:ind w:right="567"/>
    </w:pPr>
    <w:rPr>
      <w:lang w:val="en-GB"/>
    </w:rPr>
  </w:style>
  <w:style w:type="paragraph" w:styleId="NormalIndent">
    <w:name w:val="Normal Indent"/>
    <w:basedOn w:val="Normal"/>
    <w:uiPriority w:val="99"/>
    <w:semiHidden/>
    <w:rsid w:val="00D42149"/>
    <w:pPr>
      <w:ind w:left="1134"/>
    </w:pPr>
    <w:rPr>
      <w:lang w:val="en-GB"/>
    </w:rPr>
  </w:style>
  <w:style w:type="table" w:styleId="TableGrid">
    <w:name w:val="Table Grid"/>
    <w:basedOn w:val="TableNormal"/>
    <w:uiPriority w:val="59"/>
    <w:rsid w:val="00D42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D42149"/>
    <w:pPr>
      <w:spacing w:after="260" w:line="300" w:lineRule="atLeast"/>
    </w:pPr>
    <w:rPr>
      <w:b/>
      <w:sz w:val="22"/>
      <w:lang w:val="en-GB"/>
    </w:rPr>
  </w:style>
  <w:style w:type="paragraph" w:customStyle="1" w:styleId="DocumentName">
    <w:name w:val="Document Name"/>
    <w:basedOn w:val="Normal"/>
    <w:uiPriority w:val="8"/>
    <w:semiHidden/>
    <w:rsid w:val="00D42149"/>
    <w:pPr>
      <w:spacing w:after="840" w:line="520" w:lineRule="atLeast"/>
    </w:pPr>
    <w:rPr>
      <w:sz w:val="48"/>
      <w:lang w:val="en-GB"/>
    </w:rPr>
  </w:style>
  <w:style w:type="paragraph" w:customStyle="1" w:styleId="Template-Dateandref">
    <w:name w:val="Template - Date and ref"/>
    <w:basedOn w:val="Template"/>
    <w:uiPriority w:val="8"/>
    <w:semiHidden/>
    <w:rsid w:val="00D42149"/>
    <w:pPr>
      <w:spacing w:after="40" w:line="280" w:lineRule="atLeast"/>
      <w:jc w:val="right"/>
    </w:pPr>
    <w:rPr>
      <w:sz w:val="18"/>
    </w:rPr>
  </w:style>
  <w:style w:type="table" w:customStyle="1" w:styleId="Blank">
    <w:name w:val="Blank"/>
    <w:basedOn w:val="TableNormal"/>
    <w:uiPriority w:val="99"/>
    <w:rsid w:val="00D42149"/>
    <w:pPr>
      <w:spacing w:line="240" w:lineRule="atLeast"/>
    </w:pPr>
    <w:tblPr>
      <w:tblCellMar>
        <w:left w:w="0" w:type="dxa"/>
        <w:right w:w="0" w:type="dxa"/>
      </w:tblCellMar>
    </w:tblPr>
  </w:style>
  <w:style w:type="paragraph" w:styleId="NoSpacing">
    <w:name w:val="No Spacing"/>
    <w:uiPriority w:val="99"/>
    <w:semiHidden/>
    <w:rsid w:val="00D42149"/>
    <w:pPr>
      <w:spacing w:line="240" w:lineRule="atLeast"/>
    </w:pPr>
    <w:rPr>
      <w:lang w:val="en-GB"/>
    </w:rPr>
  </w:style>
  <w:style w:type="paragraph" w:styleId="BalloonText">
    <w:name w:val="Balloon Text"/>
    <w:basedOn w:val="Normal"/>
    <w:link w:val="BalloonTextChar"/>
    <w:uiPriority w:val="99"/>
    <w:semiHidden/>
    <w:rsid w:val="00D42149"/>
    <w:pPr>
      <w:spacing w:line="240" w:lineRule="auto"/>
    </w:pPr>
    <w:rPr>
      <w:rFonts w:cs="Arial"/>
      <w:lang w:val="en-GB"/>
    </w:rPr>
  </w:style>
  <w:style w:type="character" w:customStyle="1" w:styleId="BalloonTextChar">
    <w:name w:val="Balloon Text Char"/>
    <w:basedOn w:val="DefaultParagraphFont"/>
    <w:link w:val="BalloonText"/>
    <w:uiPriority w:val="99"/>
    <w:semiHidden/>
    <w:rsid w:val="00D42149"/>
    <w:rPr>
      <w:rFonts w:asciiTheme="minorHAnsi" w:hAnsiTheme="minorHAnsi" w:cs="Arial"/>
      <w:color w:val="00008F" w:themeColor="text2"/>
      <w:lang w:val="en-GB"/>
    </w:rPr>
  </w:style>
  <w:style w:type="paragraph" w:styleId="Bibliography">
    <w:name w:val="Bibliography"/>
    <w:basedOn w:val="Normal"/>
    <w:next w:val="Normal"/>
    <w:uiPriority w:val="99"/>
    <w:semiHidden/>
    <w:rsid w:val="00D42149"/>
    <w:rPr>
      <w:lang w:val="en-GB"/>
    </w:rPr>
  </w:style>
  <w:style w:type="paragraph" w:styleId="BodyText">
    <w:name w:val="Body Text"/>
    <w:aliases w:val="Body Text Char Char,Body Text Char Char1,Body Text Char Char1 Char Char,Body Text Char Char1 Char Char Char Char,Body Text Char1,Body Text Char1 Char Char,Body Text Char1 Char Char Char Char,Body Text Char1 Char Char Char Char Char Char"/>
    <w:basedOn w:val="Normal"/>
    <w:link w:val="BodyTextChar"/>
    <w:uiPriority w:val="9"/>
    <w:qFormat/>
    <w:rsid w:val="00D42149"/>
    <w:pPr>
      <w:spacing w:after="120"/>
    </w:pPr>
    <w:rPr>
      <w:lang w:val="en-GB"/>
    </w:rPr>
  </w:style>
  <w:style w:type="character" w:customStyle="1" w:styleId="BodyTextChar">
    <w:name w:val="Body Text Char"/>
    <w:aliases w:val="Body Text Char Char Char,Body Text Char Char1 Char,Body Text Char Char1 Char Char Char,Body Text Char Char1 Char Char Char Char Char,Body Text Char1 Char,Body Text Char1 Char Char Char,Body Text Char1 Char Char Char Char Char"/>
    <w:basedOn w:val="DefaultParagraphFont"/>
    <w:link w:val="BodyText"/>
    <w:uiPriority w:val="9"/>
    <w:rsid w:val="00D42149"/>
    <w:rPr>
      <w:rFonts w:asciiTheme="minorHAnsi" w:hAnsiTheme="minorHAnsi"/>
      <w:color w:val="00008F" w:themeColor="text2"/>
      <w:lang w:val="en-GB"/>
    </w:rPr>
  </w:style>
  <w:style w:type="paragraph" w:styleId="BodyText2">
    <w:name w:val="Body Text 2"/>
    <w:basedOn w:val="Normal"/>
    <w:link w:val="BodyText2Char"/>
    <w:uiPriority w:val="99"/>
    <w:semiHidden/>
    <w:rsid w:val="00D42149"/>
    <w:pPr>
      <w:spacing w:after="120" w:line="480" w:lineRule="auto"/>
    </w:pPr>
    <w:rPr>
      <w:lang w:val="en-GB"/>
    </w:rPr>
  </w:style>
  <w:style w:type="character" w:customStyle="1" w:styleId="BodyText2Char">
    <w:name w:val="Body Text 2 Char"/>
    <w:basedOn w:val="DefaultParagraphFont"/>
    <w:link w:val="BodyText2"/>
    <w:uiPriority w:val="99"/>
    <w:semiHidden/>
    <w:rsid w:val="00D42149"/>
    <w:rPr>
      <w:rFonts w:asciiTheme="minorHAnsi" w:hAnsiTheme="minorHAnsi"/>
      <w:color w:val="00008F" w:themeColor="text2"/>
      <w:lang w:val="en-GB"/>
    </w:rPr>
  </w:style>
  <w:style w:type="paragraph" w:styleId="BodyText3">
    <w:name w:val="Body Text 3"/>
    <w:basedOn w:val="Normal"/>
    <w:link w:val="BodyText3Char"/>
    <w:uiPriority w:val="99"/>
    <w:semiHidden/>
    <w:rsid w:val="00D42149"/>
    <w:pPr>
      <w:spacing w:after="120"/>
    </w:pPr>
    <w:rPr>
      <w:sz w:val="16"/>
      <w:szCs w:val="16"/>
      <w:lang w:val="en-GB"/>
    </w:rPr>
  </w:style>
  <w:style w:type="character" w:customStyle="1" w:styleId="BodyText3Char">
    <w:name w:val="Body Text 3 Char"/>
    <w:basedOn w:val="DefaultParagraphFont"/>
    <w:link w:val="BodyText3"/>
    <w:uiPriority w:val="99"/>
    <w:semiHidden/>
    <w:rsid w:val="00D42149"/>
    <w:rPr>
      <w:rFonts w:asciiTheme="minorHAnsi" w:hAnsiTheme="minorHAnsi"/>
      <w:color w:val="00008F" w:themeColor="text2"/>
      <w:sz w:val="16"/>
      <w:szCs w:val="16"/>
      <w:lang w:val="en-GB"/>
    </w:rPr>
  </w:style>
  <w:style w:type="paragraph" w:styleId="BodyTextFirstIndent">
    <w:name w:val="Body Text First Indent"/>
    <w:basedOn w:val="BodyText"/>
    <w:link w:val="BodyTextFirstIndentChar"/>
    <w:uiPriority w:val="99"/>
    <w:semiHidden/>
    <w:rsid w:val="00D42149"/>
    <w:pPr>
      <w:spacing w:after="0"/>
      <w:ind w:firstLine="360"/>
    </w:pPr>
  </w:style>
  <w:style w:type="character" w:customStyle="1" w:styleId="BodyTextFirstIndentChar">
    <w:name w:val="Body Text First Indent Char"/>
    <w:basedOn w:val="BodyTextChar"/>
    <w:link w:val="BodyTextFirstIndent"/>
    <w:uiPriority w:val="99"/>
    <w:semiHidden/>
    <w:rsid w:val="00D42149"/>
    <w:rPr>
      <w:rFonts w:asciiTheme="minorHAnsi" w:hAnsiTheme="minorHAnsi"/>
      <w:color w:val="00008F" w:themeColor="text2"/>
      <w:lang w:val="en-GB"/>
    </w:rPr>
  </w:style>
  <w:style w:type="paragraph" w:styleId="BodyTextIndent">
    <w:name w:val="Body Text Indent"/>
    <w:basedOn w:val="Normal"/>
    <w:link w:val="BodyTextIndentChar"/>
    <w:uiPriority w:val="99"/>
    <w:semiHidden/>
    <w:rsid w:val="00D42149"/>
    <w:pPr>
      <w:spacing w:after="120"/>
      <w:ind w:left="283"/>
    </w:pPr>
    <w:rPr>
      <w:lang w:val="en-GB"/>
    </w:rPr>
  </w:style>
  <w:style w:type="character" w:customStyle="1" w:styleId="BodyTextIndentChar">
    <w:name w:val="Body Text Indent Char"/>
    <w:basedOn w:val="DefaultParagraphFont"/>
    <w:link w:val="BodyTextIndent"/>
    <w:uiPriority w:val="99"/>
    <w:semiHidden/>
    <w:rsid w:val="00D42149"/>
    <w:rPr>
      <w:rFonts w:asciiTheme="minorHAnsi" w:hAnsiTheme="minorHAnsi"/>
      <w:color w:val="00008F" w:themeColor="text2"/>
      <w:lang w:val="en-GB"/>
    </w:rPr>
  </w:style>
  <w:style w:type="paragraph" w:styleId="BodyTextFirstIndent2">
    <w:name w:val="Body Text First Indent 2"/>
    <w:basedOn w:val="BodyTextIndent"/>
    <w:link w:val="BodyTextFirstIndent2Char"/>
    <w:uiPriority w:val="99"/>
    <w:semiHidden/>
    <w:rsid w:val="00D42149"/>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2149"/>
    <w:rPr>
      <w:rFonts w:asciiTheme="minorHAnsi" w:hAnsiTheme="minorHAnsi"/>
      <w:color w:val="00008F" w:themeColor="text2"/>
      <w:lang w:val="en-GB"/>
    </w:rPr>
  </w:style>
  <w:style w:type="paragraph" w:styleId="BodyTextIndent2">
    <w:name w:val="Body Text Indent 2"/>
    <w:basedOn w:val="Normal"/>
    <w:link w:val="BodyTextIndent2Char"/>
    <w:uiPriority w:val="99"/>
    <w:semiHidden/>
    <w:rsid w:val="00D42149"/>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D42149"/>
    <w:rPr>
      <w:rFonts w:asciiTheme="minorHAnsi" w:hAnsiTheme="minorHAnsi"/>
      <w:color w:val="00008F" w:themeColor="text2"/>
      <w:lang w:val="en-GB"/>
    </w:rPr>
  </w:style>
  <w:style w:type="paragraph" w:styleId="BodyTextIndent3">
    <w:name w:val="Body Text Indent 3"/>
    <w:basedOn w:val="Normal"/>
    <w:link w:val="BodyTextIndent3Char"/>
    <w:uiPriority w:val="99"/>
    <w:semiHidden/>
    <w:rsid w:val="00D42149"/>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D42149"/>
    <w:rPr>
      <w:rFonts w:asciiTheme="minorHAnsi" w:hAnsiTheme="minorHAnsi"/>
      <w:color w:val="00008F" w:themeColor="text2"/>
      <w:sz w:val="16"/>
      <w:szCs w:val="16"/>
      <w:lang w:val="en-GB"/>
    </w:rPr>
  </w:style>
  <w:style w:type="paragraph" w:styleId="Closing">
    <w:name w:val="Closing"/>
    <w:basedOn w:val="Normal"/>
    <w:link w:val="ClosingChar"/>
    <w:uiPriority w:val="99"/>
    <w:semiHidden/>
    <w:rsid w:val="00D42149"/>
    <w:pPr>
      <w:spacing w:line="240" w:lineRule="auto"/>
      <w:ind w:left="4252"/>
    </w:pPr>
    <w:rPr>
      <w:lang w:val="en-GB"/>
    </w:rPr>
  </w:style>
  <w:style w:type="character" w:customStyle="1" w:styleId="ClosingChar">
    <w:name w:val="Closing Char"/>
    <w:basedOn w:val="DefaultParagraphFont"/>
    <w:link w:val="Closing"/>
    <w:uiPriority w:val="99"/>
    <w:semiHidden/>
    <w:rsid w:val="00D42149"/>
    <w:rPr>
      <w:rFonts w:asciiTheme="minorHAnsi" w:hAnsiTheme="minorHAnsi"/>
      <w:color w:val="00008F" w:themeColor="text2"/>
      <w:lang w:val="en-GB"/>
    </w:rPr>
  </w:style>
  <w:style w:type="table" w:styleId="ColorfulGrid">
    <w:name w:val="Colorful Grid"/>
    <w:basedOn w:val="TableNormal"/>
    <w:uiPriority w:val="73"/>
    <w:semiHidden/>
    <w:unhideWhenUsed/>
    <w:rsid w:val="00D42149"/>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42149"/>
    <w:pPr>
      <w:spacing w:line="240" w:lineRule="auto"/>
    </w:pPr>
    <w:tblPr>
      <w:tblStyleRowBandSize w:val="1"/>
      <w:tblStyleColBandSize w:val="1"/>
      <w:tblBorders>
        <w:insideH w:val="single" w:sz="4" w:space="0" w:color="FFFFFF" w:themeColor="background1"/>
      </w:tblBorders>
    </w:tblPr>
    <w:tcPr>
      <w:shd w:val="clear" w:color="auto" w:fill="B5B5FF" w:themeFill="accent1" w:themeFillTint="33"/>
    </w:tcPr>
    <w:tblStylePr w:type="firstRow">
      <w:rPr>
        <w:b/>
        <w:bCs/>
      </w:rPr>
      <w:tblPr/>
      <w:tcPr>
        <w:shd w:val="clear" w:color="auto" w:fill="6C6CFF" w:themeFill="accent1" w:themeFillTint="66"/>
      </w:tcPr>
    </w:tblStylePr>
    <w:tblStylePr w:type="lastRow">
      <w:rPr>
        <w:b/>
        <w:bCs/>
        <w:color w:val="000000" w:themeColor="text1"/>
      </w:rPr>
      <w:tblPr/>
      <w:tcPr>
        <w:shd w:val="clear" w:color="auto" w:fill="6C6CFF" w:themeFill="accent1" w:themeFillTint="66"/>
      </w:tcPr>
    </w:tblStylePr>
    <w:tblStylePr w:type="firstCol">
      <w:rPr>
        <w:color w:val="FFFFFF" w:themeColor="background1"/>
      </w:rPr>
      <w:tblPr/>
      <w:tcPr>
        <w:shd w:val="clear" w:color="auto" w:fill="00006B" w:themeFill="accent1" w:themeFillShade="BF"/>
      </w:tcPr>
    </w:tblStylePr>
    <w:tblStylePr w:type="lastCol">
      <w:rPr>
        <w:color w:val="FFFFFF" w:themeColor="background1"/>
      </w:rPr>
      <w:tblPr/>
      <w:tcPr>
        <w:shd w:val="clear" w:color="auto" w:fill="00006B" w:themeFill="accent1" w:themeFillShade="BF"/>
      </w:tcPr>
    </w:tblStylePr>
    <w:tblStylePr w:type="band1Vert">
      <w:tblPr/>
      <w:tcPr>
        <w:shd w:val="clear" w:color="auto" w:fill="4848FF" w:themeFill="accent1" w:themeFillTint="7F"/>
      </w:tcPr>
    </w:tblStylePr>
    <w:tblStylePr w:type="band1Horz">
      <w:tblPr/>
      <w:tcPr>
        <w:shd w:val="clear" w:color="auto" w:fill="4848FF" w:themeFill="accent1" w:themeFillTint="7F"/>
      </w:tcPr>
    </w:tblStylePr>
  </w:style>
  <w:style w:type="table" w:styleId="ColorfulGrid-Accent2">
    <w:name w:val="Colorful Grid Accent 2"/>
    <w:basedOn w:val="TableNormal"/>
    <w:uiPriority w:val="73"/>
    <w:semiHidden/>
    <w:unhideWhenUsed/>
    <w:rsid w:val="00D42149"/>
    <w:pPr>
      <w:spacing w:line="240" w:lineRule="auto"/>
    </w:pPr>
    <w:tblPr>
      <w:tblStyleRowBandSize w:val="1"/>
      <w:tblStyleColBandSize w:val="1"/>
      <w:tblBorders>
        <w:insideH w:val="single" w:sz="4" w:space="0" w:color="FFFFFF" w:themeColor="background1"/>
      </w:tblBorders>
    </w:tblPr>
    <w:tcPr>
      <w:shd w:val="clear" w:color="auto" w:fill="F0FBFF" w:themeFill="accent2" w:themeFillTint="33"/>
    </w:tcPr>
    <w:tblStylePr w:type="firstRow">
      <w:rPr>
        <w:b/>
        <w:bCs/>
      </w:rPr>
      <w:tblPr/>
      <w:tcPr>
        <w:shd w:val="clear" w:color="auto" w:fill="E1F8FF" w:themeFill="accent2" w:themeFillTint="66"/>
      </w:tcPr>
    </w:tblStylePr>
    <w:tblStylePr w:type="lastRow">
      <w:rPr>
        <w:b/>
        <w:bCs/>
        <w:color w:val="000000" w:themeColor="text1"/>
      </w:rPr>
      <w:tblPr/>
      <w:tcPr>
        <w:shd w:val="clear" w:color="auto" w:fill="E1F8FF" w:themeFill="accent2" w:themeFillTint="66"/>
      </w:tcPr>
    </w:tblStylePr>
    <w:tblStylePr w:type="firstCol">
      <w:rPr>
        <w:color w:val="FFFFFF" w:themeColor="background1"/>
      </w:rPr>
      <w:tblPr/>
      <w:tcPr>
        <w:shd w:val="clear" w:color="auto" w:fill="48D8FF" w:themeFill="accent2" w:themeFillShade="BF"/>
      </w:tcPr>
    </w:tblStylePr>
    <w:tblStylePr w:type="lastCol">
      <w:rPr>
        <w:color w:val="FFFFFF" w:themeColor="background1"/>
      </w:rPr>
      <w:tblPr/>
      <w:tcPr>
        <w:shd w:val="clear" w:color="auto" w:fill="48D8FF" w:themeFill="accent2" w:themeFillShade="BF"/>
      </w:tcPr>
    </w:tblStylePr>
    <w:tblStylePr w:type="band1Vert">
      <w:tblPr/>
      <w:tcPr>
        <w:shd w:val="clear" w:color="auto" w:fill="DAF7FF" w:themeFill="accent2" w:themeFillTint="7F"/>
      </w:tcPr>
    </w:tblStylePr>
    <w:tblStylePr w:type="band1Horz">
      <w:tblPr/>
      <w:tcPr>
        <w:shd w:val="clear" w:color="auto" w:fill="DAF7FF" w:themeFill="accent2" w:themeFillTint="7F"/>
      </w:tcPr>
    </w:tblStylePr>
  </w:style>
  <w:style w:type="table" w:styleId="ColorfulGrid-Accent3">
    <w:name w:val="Colorful Grid Accent 3"/>
    <w:basedOn w:val="TableNormal"/>
    <w:uiPriority w:val="73"/>
    <w:semiHidden/>
    <w:unhideWhenUsed/>
    <w:rsid w:val="00D42149"/>
    <w:pPr>
      <w:spacing w:line="240" w:lineRule="auto"/>
    </w:pPr>
    <w:tblPr>
      <w:tblStyleRowBandSize w:val="1"/>
      <w:tblStyleColBandSize w:val="1"/>
      <w:tblBorders>
        <w:insideH w:val="single" w:sz="4" w:space="0" w:color="FFFFFF" w:themeColor="background1"/>
      </w:tblBorders>
    </w:tblPr>
    <w:tcPr>
      <w:shd w:val="clear" w:color="auto" w:fill="F1EDFF" w:themeFill="accent3" w:themeFillTint="33"/>
    </w:tcPr>
    <w:tblStylePr w:type="firstRow">
      <w:rPr>
        <w:b/>
        <w:bCs/>
      </w:rPr>
      <w:tblPr/>
      <w:tcPr>
        <w:shd w:val="clear" w:color="auto" w:fill="E3DBFF" w:themeFill="accent3" w:themeFillTint="66"/>
      </w:tcPr>
    </w:tblStylePr>
    <w:tblStylePr w:type="lastRow">
      <w:rPr>
        <w:b/>
        <w:bCs/>
        <w:color w:val="000000" w:themeColor="text1"/>
      </w:rPr>
      <w:tblPr/>
      <w:tcPr>
        <w:shd w:val="clear" w:color="auto" w:fill="E3DBFF" w:themeFill="accent3" w:themeFillTint="66"/>
      </w:tcPr>
    </w:tblStylePr>
    <w:tblStylePr w:type="firstCol">
      <w:rPr>
        <w:color w:val="FFFFFF" w:themeColor="background1"/>
      </w:rPr>
      <w:tblPr/>
      <w:tcPr>
        <w:shd w:val="clear" w:color="auto" w:fill="6A3BFF" w:themeFill="accent3" w:themeFillShade="BF"/>
      </w:tcPr>
    </w:tblStylePr>
    <w:tblStylePr w:type="lastCol">
      <w:rPr>
        <w:color w:val="FFFFFF" w:themeColor="background1"/>
      </w:rPr>
      <w:tblPr/>
      <w:tcPr>
        <w:shd w:val="clear" w:color="auto" w:fill="6A3BFF" w:themeFill="accent3" w:themeFillShade="BF"/>
      </w:tcPr>
    </w:tblStylePr>
    <w:tblStylePr w:type="band1Vert">
      <w:tblPr/>
      <w:tcPr>
        <w:shd w:val="clear" w:color="auto" w:fill="DCD2FF" w:themeFill="accent3" w:themeFillTint="7F"/>
      </w:tcPr>
    </w:tblStylePr>
    <w:tblStylePr w:type="band1Horz">
      <w:tblPr/>
      <w:tcPr>
        <w:shd w:val="clear" w:color="auto" w:fill="DCD2FF" w:themeFill="accent3" w:themeFillTint="7F"/>
      </w:tcPr>
    </w:tblStylePr>
  </w:style>
  <w:style w:type="table" w:styleId="ColorfulGrid-Accent4">
    <w:name w:val="Colorful Grid Accent 4"/>
    <w:basedOn w:val="TableNormal"/>
    <w:uiPriority w:val="73"/>
    <w:semiHidden/>
    <w:unhideWhenUsed/>
    <w:rsid w:val="00D42149"/>
    <w:pPr>
      <w:spacing w:line="240" w:lineRule="auto"/>
    </w:pPr>
    <w:tblPr>
      <w:tblStyleRowBandSize w:val="1"/>
      <w:tblStyleColBandSize w:val="1"/>
      <w:tblBorders>
        <w:insideH w:val="single" w:sz="4" w:space="0" w:color="FFFFFF" w:themeColor="background1"/>
      </w:tblBorders>
    </w:tblPr>
    <w:tcPr>
      <w:shd w:val="clear" w:color="auto" w:fill="F7FFEF" w:themeFill="accent4" w:themeFillTint="33"/>
    </w:tcPr>
    <w:tblStylePr w:type="firstRow">
      <w:rPr>
        <w:b/>
        <w:bCs/>
      </w:rPr>
      <w:tblPr/>
      <w:tcPr>
        <w:shd w:val="clear" w:color="auto" w:fill="F0FFDF" w:themeFill="accent4" w:themeFillTint="66"/>
      </w:tcPr>
    </w:tblStylePr>
    <w:tblStylePr w:type="lastRow">
      <w:rPr>
        <w:b/>
        <w:bCs/>
        <w:color w:val="000000" w:themeColor="text1"/>
      </w:rPr>
      <w:tblPr/>
      <w:tcPr>
        <w:shd w:val="clear" w:color="auto" w:fill="F0FFDF" w:themeFill="accent4" w:themeFillTint="66"/>
      </w:tcPr>
    </w:tblStylePr>
    <w:tblStylePr w:type="firstCol">
      <w:rPr>
        <w:color w:val="FFFFFF" w:themeColor="background1"/>
      </w:rPr>
      <w:tblPr/>
      <w:tcPr>
        <w:shd w:val="clear" w:color="auto" w:fill="A8FF43" w:themeFill="accent4" w:themeFillShade="BF"/>
      </w:tcPr>
    </w:tblStylePr>
    <w:tblStylePr w:type="lastCol">
      <w:rPr>
        <w:color w:val="FFFFFF" w:themeColor="background1"/>
      </w:rPr>
      <w:tblPr/>
      <w:tcPr>
        <w:shd w:val="clear" w:color="auto" w:fill="A8FF43" w:themeFill="accent4" w:themeFillShade="BF"/>
      </w:tcPr>
    </w:tblStylePr>
    <w:tblStylePr w:type="band1Vert">
      <w:tblPr/>
      <w:tcPr>
        <w:shd w:val="clear" w:color="auto" w:fill="ECFFD7" w:themeFill="accent4" w:themeFillTint="7F"/>
      </w:tcPr>
    </w:tblStylePr>
    <w:tblStylePr w:type="band1Horz">
      <w:tblPr/>
      <w:tcPr>
        <w:shd w:val="clear" w:color="auto" w:fill="ECFFD7" w:themeFill="accent4" w:themeFillTint="7F"/>
      </w:tcPr>
    </w:tblStylePr>
  </w:style>
  <w:style w:type="table" w:styleId="ColorfulGrid-Accent5">
    <w:name w:val="Colorful Grid Accent 5"/>
    <w:basedOn w:val="TableNormal"/>
    <w:uiPriority w:val="73"/>
    <w:semiHidden/>
    <w:unhideWhenUsed/>
    <w:rsid w:val="00D42149"/>
    <w:pPr>
      <w:spacing w:line="240" w:lineRule="auto"/>
    </w:pPr>
    <w:tblPr>
      <w:tblStyleRowBandSize w:val="1"/>
      <w:tblStyleColBandSize w:val="1"/>
      <w:tblBorders>
        <w:insideH w:val="single" w:sz="4" w:space="0" w:color="FFFFFF" w:themeColor="background1"/>
      </w:tblBorders>
    </w:tblPr>
    <w:tcPr>
      <w:shd w:val="clear" w:color="auto" w:fill="FFF0E2" w:themeFill="accent5" w:themeFillTint="33"/>
    </w:tcPr>
    <w:tblStylePr w:type="firstRow">
      <w:rPr>
        <w:b/>
        <w:bCs/>
      </w:rPr>
      <w:tblPr/>
      <w:tcPr>
        <w:shd w:val="clear" w:color="auto" w:fill="FFE2C5" w:themeFill="accent5" w:themeFillTint="66"/>
      </w:tcPr>
    </w:tblStylePr>
    <w:tblStylePr w:type="lastRow">
      <w:rPr>
        <w:b/>
        <w:bCs/>
        <w:color w:val="000000" w:themeColor="text1"/>
      </w:rPr>
      <w:tblPr/>
      <w:tcPr>
        <w:shd w:val="clear" w:color="auto" w:fill="FFE2C5" w:themeFill="accent5" w:themeFillTint="66"/>
      </w:tcPr>
    </w:tblStylePr>
    <w:tblStylePr w:type="firstCol">
      <w:rPr>
        <w:color w:val="FFFFFF" w:themeColor="background1"/>
      </w:rPr>
      <w:tblPr/>
      <w:tcPr>
        <w:shd w:val="clear" w:color="auto" w:fill="FF8C13" w:themeFill="accent5" w:themeFillShade="BF"/>
      </w:tcPr>
    </w:tblStylePr>
    <w:tblStylePr w:type="lastCol">
      <w:rPr>
        <w:color w:val="FFFFFF" w:themeColor="background1"/>
      </w:rPr>
      <w:tblPr/>
      <w:tcPr>
        <w:shd w:val="clear" w:color="auto" w:fill="FF8C13" w:themeFill="accent5" w:themeFillShade="BF"/>
      </w:tcPr>
    </w:tblStylePr>
    <w:tblStylePr w:type="band1Vert">
      <w:tblPr/>
      <w:tcPr>
        <w:shd w:val="clear" w:color="auto" w:fill="FFDBB7" w:themeFill="accent5" w:themeFillTint="7F"/>
      </w:tcPr>
    </w:tblStylePr>
    <w:tblStylePr w:type="band1Horz">
      <w:tblPr/>
      <w:tcPr>
        <w:shd w:val="clear" w:color="auto" w:fill="FFDBB7" w:themeFill="accent5" w:themeFillTint="7F"/>
      </w:tcPr>
    </w:tblStylePr>
  </w:style>
  <w:style w:type="table" w:styleId="ColorfulGrid-Accent6">
    <w:name w:val="Colorful Grid Accent 6"/>
    <w:basedOn w:val="TableNormal"/>
    <w:uiPriority w:val="73"/>
    <w:semiHidden/>
    <w:unhideWhenUsed/>
    <w:rsid w:val="00D42149"/>
    <w:pPr>
      <w:spacing w:line="240" w:lineRule="auto"/>
    </w:pPr>
    <w:tblPr>
      <w:tblStyleRowBandSize w:val="1"/>
      <w:tblStyleColBandSize w:val="1"/>
      <w:tblBorders>
        <w:insideH w:val="single" w:sz="4" w:space="0" w:color="FFFFFF" w:themeColor="background1"/>
      </w:tblBorders>
    </w:tblPr>
    <w:tcPr>
      <w:shd w:val="clear" w:color="auto" w:fill="F8F6F4" w:themeFill="accent6" w:themeFillTint="33"/>
    </w:tcPr>
    <w:tblStylePr w:type="firstRow">
      <w:rPr>
        <w:b/>
        <w:bCs/>
      </w:rPr>
      <w:tblPr/>
      <w:tcPr>
        <w:shd w:val="clear" w:color="auto" w:fill="F1EDE9" w:themeFill="accent6" w:themeFillTint="66"/>
      </w:tcPr>
    </w:tblStylePr>
    <w:tblStylePr w:type="lastRow">
      <w:rPr>
        <w:b/>
        <w:bCs/>
        <w:color w:val="000000" w:themeColor="text1"/>
      </w:rPr>
      <w:tblPr/>
      <w:tcPr>
        <w:shd w:val="clear" w:color="auto" w:fill="F1EDE9" w:themeFill="accent6" w:themeFillTint="66"/>
      </w:tcPr>
    </w:tblStylePr>
    <w:tblStylePr w:type="firstCol">
      <w:rPr>
        <w:color w:val="FFFFFF" w:themeColor="background1"/>
      </w:rPr>
      <w:tblPr/>
      <w:tcPr>
        <w:shd w:val="clear" w:color="auto" w:fill="B4A088" w:themeFill="accent6" w:themeFillShade="BF"/>
      </w:tcPr>
    </w:tblStylePr>
    <w:tblStylePr w:type="lastCol">
      <w:rPr>
        <w:color w:val="FFFFFF" w:themeColor="background1"/>
      </w:rPr>
      <w:tblPr/>
      <w:tcPr>
        <w:shd w:val="clear" w:color="auto" w:fill="B4A088" w:themeFill="accent6" w:themeFillShade="BF"/>
      </w:tcPr>
    </w:tblStylePr>
    <w:tblStylePr w:type="band1Vert">
      <w:tblPr/>
      <w:tcPr>
        <w:shd w:val="clear" w:color="auto" w:fill="EEE9E4" w:themeFill="accent6" w:themeFillTint="7F"/>
      </w:tcPr>
    </w:tblStylePr>
    <w:tblStylePr w:type="band1Horz">
      <w:tblPr/>
      <w:tcPr>
        <w:shd w:val="clear" w:color="auto" w:fill="EEE9E4" w:themeFill="accent6" w:themeFillTint="7F"/>
      </w:tcPr>
    </w:tblStylePr>
  </w:style>
  <w:style w:type="table" w:styleId="ColorfulList">
    <w:name w:val="Colorful List"/>
    <w:basedOn w:val="TableNormal"/>
    <w:uiPriority w:val="72"/>
    <w:semiHidden/>
    <w:unhideWhenUsed/>
    <w:rsid w:val="00D42149"/>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EDDFF" w:themeFill="accent2" w:themeFillShade="CC"/>
      </w:tcPr>
    </w:tblStylePr>
    <w:tblStylePr w:type="lastRow">
      <w:rPr>
        <w:b/>
        <w:bCs/>
        <w:color w:val="5EDDF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42149"/>
    <w:pPr>
      <w:spacing w:line="240" w:lineRule="auto"/>
    </w:pPr>
    <w:tblPr>
      <w:tblStyleRowBandSize w:val="1"/>
      <w:tblStyleColBandSize w:val="1"/>
    </w:tblPr>
    <w:tcPr>
      <w:shd w:val="clear" w:color="auto" w:fill="DBDBFF" w:themeFill="accent1" w:themeFillTint="19"/>
    </w:tcPr>
    <w:tblStylePr w:type="firstRow">
      <w:rPr>
        <w:b/>
        <w:bCs/>
        <w:color w:val="FFFFFF" w:themeColor="background1"/>
      </w:rPr>
      <w:tblPr/>
      <w:tcPr>
        <w:tcBorders>
          <w:bottom w:val="single" w:sz="12" w:space="0" w:color="FFFFFF" w:themeColor="background1"/>
        </w:tcBorders>
        <w:shd w:val="clear" w:color="auto" w:fill="5EDDFF" w:themeFill="accent2" w:themeFillShade="CC"/>
      </w:tcPr>
    </w:tblStylePr>
    <w:tblStylePr w:type="lastRow">
      <w:rPr>
        <w:b/>
        <w:bCs/>
        <w:color w:val="5EDDF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A4FF" w:themeFill="accent1" w:themeFillTint="3F"/>
      </w:tcPr>
    </w:tblStylePr>
    <w:tblStylePr w:type="band1Horz">
      <w:tblPr/>
      <w:tcPr>
        <w:shd w:val="clear" w:color="auto" w:fill="B5B5FF" w:themeFill="accent1" w:themeFillTint="33"/>
      </w:tcPr>
    </w:tblStylePr>
  </w:style>
  <w:style w:type="table" w:styleId="ColorfulList-Accent2">
    <w:name w:val="Colorful List Accent 2"/>
    <w:basedOn w:val="TableNormal"/>
    <w:uiPriority w:val="72"/>
    <w:semiHidden/>
    <w:unhideWhenUsed/>
    <w:rsid w:val="00D42149"/>
    <w:pPr>
      <w:spacing w:line="240" w:lineRule="auto"/>
    </w:pPr>
    <w:tblPr>
      <w:tblStyleRowBandSize w:val="1"/>
      <w:tblStyleColBandSize w:val="1"/>
    </w:tblPr>
    <w:tcPr>
      <w:shd w:val="clear" w:color="auto" w:fill="F7FDFF" w:themeFill="accent2" w:themeFillTint="19"/>
    </w:tcPr>
    <w:tblStylePr w:type="firstRow">
      <w:rPr>
        <w:b/>
        <w:bCs/>
        <w:color w:val="FFFFFF" w:themeColor="background1"/>
      </w:rPr>
      <w:tblPr/>
      <w:tcPr>
        <w:tcBorders>
          <w:bottom w:val="single" w:sz="12" w:space="0" w:color="FFFFFF" w:themeColor="background1"/>
        </w:tcBorders>
        <w:shd w:val="clear" w:color="auto" w:fill="5EDDFF" w:themeFill="accent2" w:themeFillShade="CC"/>
      </w:tcPr>
    </w:tblStylePr>
    <w:tblStylePr w:type="lastRow">
      <w:rPr>
        <w:b/>
        <w:bCs/>
        <w:color w:val="5EDDF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FBFF" w:themeFill="accent2" w:themeFillTint="3F"/>
      </w:tcPr>
    </w:tblStylePr>
    <w:tblStylePr w:type="band1Horz">
      <w:tblPr/>
      <w:tcPr>
        <w:shd w:val="clear" w:color="auto" w:fill="F0FBFF" w:themeFill="accent2" w:themeFillTint="33"/>
      </w:tcPr>
    </w:tblStylePr>
  </w:style>
  <w:style w:type="table" w:styleId="ColorfulList-Accent3">
    <w:name w:val="Colorful List Accent 3"/>
    <w:basedOn w:val="TableNormal"/>
    <w:uiPriority w:val="72"/>
    <w:semiHidden/>
    <w:unhideWhenUsed/>
    <w:rsid w:val="00D42149"/>
    <w:pPr>
      <w:spacing w:line="240" w:lineRule="auto"/>
    </w:pPr>
    <w:tblPr>
      <w:tblStyleRowBandSize w:val="1"/>
      <w:tblStyleColBandSize w:val="1"/>
    </w:tblPr>
    <w:tcPr>
      <w:shd w:val="clear" w:color="auto" w:fill="F8F6FF" w:themeFill="accent3" w:themeFillTint="19"/>
    </w:tcPr>
    <w:tblStylePr w:type="firstRow">
      <w:rPr>
        <w:b/>
        <w:bCs/>
        <w:color w:val="FFFFFF" w:themeColor="background1"/>
      </w:rPr>
      <w:tblPr/>
      <w:tcPr>
        <w:tcBorders>
          <w:bottom w:val="single" w:sz="12" w:space="0" w:color="FFFFFF" w:themeColor="background1"/>
        </w:tcBorders>
        <w:shd w:val="clear" w:color="auto" w:fill="B2FF59" w:themeFill="accent4" w:themeFillShade="CC"/>
      </w:tcPr>
    </w:tblStylePr>
    <w:tblStylePr w:type="lastRow">
      <w:rPr>
        <w:b/>
        <w:bCs/>
        <w:color w:val="B2FF5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8FF" w:themeFill="accent3" w:themeFillTint="3F"/>
      </w:tcPr>
    </w:tblStylePr>
    <w:tblStylePr w:type="band1Horz">
      <w:tblPr/>
      <w:tcPr>
        <w:shd w:val="clear" w:color="auto" w:fill="F1EDFF" w:themeFill="accent3" w:themeFillTint="33"/>
      </w:tcPr>
    </w:tblStylePr>
  </w:style>
  <w:style w:type="table" w:styleId="ColorfulList-Accent4">
    <w:name w:val="Colorful List Accent 4"/>
    <w:basedOn w:val="TableNormal"/>
    <w:uiPriority w:val="72"/>
    <w:semiHidden/>
    <w:unhideWhenUsed/>
    <w:rsid w:val="00D42149"/>
    <w:pPr>
      <w:spacing w:line="240" w:lineRule="auto"/>
    </w:pPr>
    <w:tblPr>
      <w:tblStyleRowBandSize w:val="1"/>
      <w:tblStyleColBandSize w:val="1"/>
    </w:tblPr>
    <w:tcPr>
      <w:shd w:val="clear" w:color="auto" w:fill="FBFFF7" w:themeFill="accent4" w:themeFillTint="19"/>
    </w:tcPr>
    <w:tblStylePr w:type="firstRow">
      <w:rPr>
        <w:b/>
        <w:bCs/>
        <w:color w:val="FFFFFF" w:themeColor="background1"/>
      </w:rPr>
      <w:tblPr/>
      <w:tcPr>
        <w:tcBorders>
          <w:bottom w:val="single" w:sz="12" w:space="0" w:color="FFFFFF" w:themeColor="background1"/>
        </w:tcBorders>
        <w:shd w:val="clear" w:color="auto" w:fill="7B51FF" w:themeFill="accent3" w:themeFillShade="CC"/>
      </w:tcPr>
    </w:tblStylePr>
    <w:tblStylePr w:type="lastRow">
      <w:rPr>
        <w:b/>
        <w:bCs/>
        <w:color w:val="7B51F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FEB" w:themeFill="accent4" w:themeFillTint="3F"/>
      </w:tcPr>
    </w:tblStylePr>
    <w:tblStylePr w:type="band1Horz">
      <w:tblPr/>
      <w:tcPr>
        <w:shd w:val="clear" w:color="auto" w:fill="F7FFEF" w:themeFill="accent4" w:themeFillTint="33"/>
      </w:tcPr>
    </w:tblStylePr>
  </w:style>
  <w:style w:type="table" w:styleId="ColorfulList-Accent5">
    <w:name w:val="Colorful List Accent 5"/>
    <w:basedOn w:val="TableNormal"/>
    <w:uiPriority w:val="72"/>
    <w:semiHidden/>
    <w:unhideWhenUsed/>
    <w:rsid w:val="00D42149"/>
    <w:pPr>
      <w:spacing w:line="240" w:lineRule="auto"/>
    </w:pPr>
    <w:tblPr>
      <w:tblStyleRowBandSize w:val="1"/>
      <w:tblStyleColBandSize w:val="1"/>
    </w:tblPr>
    <w:tcPr>
      <w:shd w:val="clear" w:color="auto" w:fill="FFF8F0" w:themeFill="accent5" w:themeFillTint="19"/>
    </w:tcPr>
    <w:tblStylePr w:type="firstRow">
      <w:rPr>
        <w:b/>
        <w:bCs/>
        <w:color w:val="FFFFFF" w:themeColor="background1"/>
      </w:rPr>
      <w:tblPr/>
      <w:tcPr>
        <w:tcBorders>
          <w:bottom w:val="single" w:sz="12" w:space="0" w:color="FFFFFF" w:themeColor="background1"/>
        </w:tcBorders>
        <w:shd w:val="clear" w:color="auto" w:fill="BCAA95" w:themeFill="accent6" w:themeFillShade="CC"/>
      </w:tcPr>
    </w:tblStylePr>
    <w:tblStylePr w:type="lastRow">
      <w:rPr>
        <w:b/>
        <w:bCs/>
        <w:color w:val="BCAA9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DDB" w:themeFill="accent5" w:themeFillTint="3F"/>
      </w:tcPr>
    </w:tblStylePr>
    <w:tblStylePr w:type="band1Horz">
      <w:tblPr/>
      <w:tcPr>
        <w:shd w:val="clear" w:color="auto" w:fill="FFF0E2" w:themeFill="accent5" w:themeFillTint="33"/>
      </w:tcPr>
    </w:tblStylePr>
  </w:style>
  <w:style w:type="table" w:styleId="ColorfulList-Accent6">
    <w:name w:val="Colorful List Accent 6"/>
    <w:basedOn w:val="TableNormal"/>
    <w:uiPriority w:val="72"/>
    <w:semiHidden/>
    <w:unhideWhenUsed/>
    <w:rsid w:val="00D42149"/>
    <w:pPr>
      <w:spacing w:line="240" w:lineRule="auto"/>
    </w:pPr>
    <w:tblPr>
      <w:tblStyleRowBandSize w:val="1"/>
      <w:tblStyleColBandSize w:val="1"/>
    </w:tblPr>
    <w:tcPr>
      <w:shd w:val="clear" w:color="auto" w:fill="FBFAF9" w:themeFill="accent6" w:themeFillTint="19"/>
    </w:tcPr>
    <w:tblStylePr w:type="firstRow">
      <w:rPr>
        <w:b/>
        <w:bCs/>
        <w:color w:val="FFFFFF" w:themeColor="background1"/>
      </w:rPr>
      <w:tblPr/>
      <w:tcPr>
        <w:tcBorders>
          <w:bottom w:val="single" w:sz="12" w:space="0" w:color="FFFFFF" w:themeColor="background1"/>
        </w:tcBorders>
        <w:shd w:val="clear" w:color="auto" w:fill="FF9525" w:themeFill="accent5" w:themeFillShade="CC"/>
      </w:tcPr>
    </w:tblStylePr>
    <w:tblStylePr w:type="lastRow">
      <w:rPr>
        <w:b/>
        <w:bCs/>
        <w:color w:val="FF952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F1" w:themeFill="accent6" w:themeFillTint="3F"/>
      </w:tcPr>
    </w:tblStylePr>
    <w:tblStylePr w:type="band1Horz">
      <w:tblPr/>
      <w:tcPr>
        <w:shd w:val="clear" w:color="auto" w:fill="F8F6F4" w:themeFill="accent6" w:themeFillTint="33"/>
      </w:tcPr>
    </w:tblStylePr>
  </w:style>
  <w:style w:type="table" w:styleId="ColorfulShading">
    <w:name w:val="Colorful Shading"/>
    <w:basedOn w:val="TableNormal"/>
    <w:uiPriority w:val="71"/>
    <w:semiHidden/>
    <w:unhideWhenUsed/>
    <w:rsid w:val="00D42149"/>
    <w:pPr>
      <w:spacing w:line="240" w:lineRule="auto"/>
    </w:pPr>
    <w:tblPr>
      <w:tblStyleRowBandSize w:val="1"/>
      <w:tblStyleColBandSize w:val="1"/>
      <w:tblBorders>
        <w:top w:val="single" w:sz="24" w:space="0" w:color="B6F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6F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42149"/>
    <w:pPr>
      <w:spacing w:line="240" w:lineRule="auto"/>
    </w:pPr>
    <w:tblPr>
      <w:tblStyleRowBandSize w:val="1"/>
      <w:tblStyleColBandSize w:val="1"/>
      <w:tblBorders>
        <w:top w:val="single" w:sz="24" w:space="0" w:color="B6F0FF" w:themeColor="accent2"/>
        <w:left w:val="single" w:sz="4" w:space="0" w:color="00008F" w:themeColor="accent1"/>
        <w:bottom w:val="single" w:sz="4" w:space="0" w:color="00008F" w:themeColor="accent1"/>
        <w:right w:val="single" w:sz="4" w:space="0" w:color="00008F" w:themeColor="accent1"/>
        <w:insideH w:val="single" w:sz="4" w:space="0" w:color="FFFFFF" w:themeColor="background1"/>
        <w:insideV w:val="single" w:sz="4" w:space="0" w:color="FFFFFF" w:themeColor="background1"/>
      </w:tblBorders>
    </w:tblPr>
    <w:tcPr>
      <w:shd w:val="clear" w:color="auto" w:fill="DBDBFF" w:themeFill="accent1" w:themeFillTint="19"/>
    </w:tcPr>
    <w:tblStylePr w:type="firstRow">
      <w:rPr>
        <w:b/>
        <w:bCs/>
      </w:rPr>
      <w:tblPr/>
      <w:tcPr>
        <w:tcBorders>
          <w:top w:val="nil"/>
          <w:left w:val="nil"/>
          <w:bottom w:val="single" w:sz="24" w:space="0" w:color="B6F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55" w:themeFill="accent1" w:themeFillShade="99"/>
      </w:tcPr>
    </w:tblStylePr>
    <w:tblStylePr w:type="firstCol">
      <w:rPr>
        <w:color w:val="FFFFFF" w:themeColor="background1"/>
      </w:rPr>
      <w:tblPr/>
      <w:tcPr>
        <w:tcBorders>
          <w:top w:val="nil"/>
          <w:left w:val="nil"/>
          <w:bottom w:val="nil"/>
          <w:right w:val="nil"/>
          <w:insideH w:val="single" w:sz="4" w:space="0" w:color="000055" w:themeColor="accent1" w:themeShade="99"/>
          <w:insideV w:val="nil"/>
        </w:tcBorders>
        <w:shd w:val="clear" w:color="auto" w:fill="0000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55" w:themeFill="accent1" w:themeFillShade="99"/>
      </w:tcPr>
    </w:tblStylePr>
    <w:tblStylePr w:type="band1Vert">
      <w:tblPr/>
      <w:tcPr>
        <w:shd w:val="clear" w:color="auto" w:fill="6C6CFF" w:themeFill="accent1" w:themeFillTint="66"/>
      </w:tcPr>
    </w:tblStylePr>
    <w:tblStylePr w:type="band1Horz">
      <w:tblPr/>
      <w:tcPr>
        <w:shd w:val="clear" w:color="auto" w:fill="4848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42149"/>
    <w:pPr>
      <w:spacing w:line="240" w:lineRule="auto"/>
    </w:pPr>
    <w:tblPr>
      <w:tblStyleRowBandSize w:val="1"/>
      <w:tblStyleColBandSize w:val="1"/>
      <w:tblBorders>
        <w:top w:val="single" w:sz="24" w:space="0" w:color="B6F0FF" w:themeColor="accent2"/>
        <w:left w:val="single" w:sz="4" w:space="0" w:color="B6F0FF" w:themeColor="accent2"/>
        <w:bottom w:val="single" w:sz="4" w:space="0" w:color="B6F0FF" w:themeColor="accent2"/>
        <w:right w:val="single" w:sz="4" w:space="0" w:color="B6F0FF" w:themeColor="accent2"/>
        <w:insideH w:val="single" w:sz="4" w:space="0" w:color="FFFFFF" w:themeColor="background1"/>
        <w:insideV w:val="single" w:sz="4" w:space="0" w:color="FFFFFF" w:themeColor="background1"/>
      </w:tblBorders>
    </w:tblPr>
    <w:tcPr>
      <w:shd w:val="clear" w:color="auto" w:fill="F7FDFF" w:themeFill="accent2" w:themeFillTint="19"/>
    </w:tcPr>
    <w:tblStylePr w:type="firstRow">
      <w:rPr>
        <w:b/>
        <w:bCs/>
      </w:rPr>
      <w:tblPr/>
      <w:tcPr>
        <w:tcBorders>
          <w:top w:val="nil"/>
          <w:left w:val="nil"/>
          <w:bottom w:val="single" w:sz="24" w:space="0" w:color="B6F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CBFF" w:themeFill="accent2" w:themeFillShade="99"/>
      </w:tcPr>
    </w:tblStylePr>
    <w:tblStylePr w:type="firstCol">
      <w:rPr>
        <w:color w:val="FFFFFF" w:themeColor="background1"/>
      </w:rPr>
      <w:tblPr/>
      <w:tcPr>
        <w:tcBorders>
          <w:top w:val="nil"/>
          <w:left w:val="nil"/>
          <w:bottom w:val="nil"/>
          <w:right w:val="nil"/>
          <w:insideH w:val="single" w:sz="4" w:space="0" w:color="07CBFF" w:themeColor="accent2" w:themeShade="99"/>
          <w:insideV w:val="nil"/>
        </w:tcBorders>
        <w:shd w:val="clear" w:color="auto" w:fill="07CBF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7CBFF" w:themeFill="accent2" w:themeFillShade="99"/>
      </w:tcPr>
    </w:tblStylePr>
    <w:tblStylePr w:type="band1Vert">
      <w:tblPr/>
      <w:tcPr>
        <w:shd w:val="clear" w:color="auto" w:fill="E1F8FF" w:themeFill="accent2" w:themeFillTint="66"/>
      </w:tcPr>
    </w:tblStylePr>
    <w:tblStylePr w:type="band1Horz">
      <w:tblPr/>
      <w:tcPr>
        <w:shd w:val="clear" w:color="auto" w:fill="DAF7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42149"/>
    <w:pPr>
      <w:spacing w:line="240" w:lineRule="auto"/>
    </w:pPr>
    <w:tblPr>
      <w:tblStyleRowBandSize w:val="1"/>
      <w:tblStyleColBandSize w:val="1"/>
      <w:tblBorders>
        <w:top w:val="single" w:sz="24" w:space="0" w:color="DAFFAF" w:themeColor="accent4"/>
        <w:left w:val="single" w:sz="4" w:space="0" w:color="BBA5FF" w:themeColor="accent3"/>
        <w:bottom w:val="single" w:sz="4" w:space="0" w:color="BBA5FF" w:themeColor="accent3"/>
        <w:right w:val="single" w:sz="4" w:space="0" w:color="BBA5FF" w:themeColor="accent3"/>
        <w:insideH w:val="single" w:sz="4" w:space="0" w:color="FFFFFF" w:themeColor="background1"/>
        <w:insideV w:val="single" w:sz="4" w:space="0" w:color="FFFFFF" w:themeColor="background1"/>
      </w:tblBorders>
    </w:tblPr>
    <w:tcPr>
      <w:shd w:val="clear" w:color="auto" w:fill="F8F6FF" w:themeFill="accent3" w:themeFillTint="19"/>
    </w:tcPr>
    <w:tblStylePr w:type="firstRow">
      <w:rPr>
        <w:b/>
        <w:bCs/>
      </w:rPr>
      <w:tblPr/>
      <w:tcPr>
        <w:tcBorders>
          <w:top w:val="nil"/>
          <w:left w:val="nil"/>
          <w:bottom w:val="single" w:sz="24" w:space="0" w:color="DAFF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00FC" w:themeFill="accent3" w:themeFillShade="99"/>
      </w:tcPr>
    </w:tblStylePr>
    <w:tblStylePr w:type="firstCol">
      <w:rPr>
        <w:color w:val="FFFFFF" w:themeColor="background1"/>
      </w:rPr>
      <w:tblPr/>
      <w:tcPr>
        <w:tcBorders>
          <w:top w:val="nil"/>
          <w:left w:val="nil"/>
          <w:bottom w:val="nil"/>
          <w:right w:val="nil"/>
          <w:insideH w:val="single" w:sz="4" w:space="0" w:color="3D00FC" w:themeColor="accent3" w:themeShade="99"/>
          <w:insideV w:val="nil"/>
        </w:tcBorders>
        <w:shd w:val="clear" w:color="auto" w:fill="3D00F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D00FC" w:themeFill="accent3" w:themeFillShade="99"/>
      </w:tcPr>
    </w:tblStylePr>
    <w:tblStylePr w:type="band1Vert">
      <w:tblPr/>
      <w:tcPr>
        <w:shd w:val="clear" w:color="auto" w:fill="E3DBFF" w:themeFill="accent3" w:themeFillTint="66"/>
      </w:tcPr>
    </w:tblStylePr>
    <w:tblStylePr w:type="band1Horz">
      <w:tblPr/>
      <w:tcPr>
        <w:shd w:val="clear" w:color="auto" w:fill="DCD2FF" w:themeFill="accent3" w:themeFillTint="7F"/>
      </w:tcPr>
    </w:tblStylePr>
  </w:style>
  <w:style w:type="table" w:styleId="ColorfulShading-Accent4">
    <w:name w:val="Colorful Shading Accent 4"/>
    <w:basedOn w:val="TableNormal"/>
    <w:uiPriority w:val="71"/>
    <w:semiHidden/>
    <w:unhideWhenUsed/>
    <w:rsid w:val="00D42149"/>
    <w:pPr>
      <w:spacing w:line="240" w:lineRule="auto"/>
    </w:pPr>
    <w:tblPr>
      <w:tblStyleRowBandSize w:val="1"/>
      <w:tblStyleColBandSize w:val="1"/>
      <w:tblBorders>
        <w:top w:val="single" w:sz="24" w:space="0" w:color="BBA5FF" w:themeColor="accent3"/>
        <w:left w:val="single" w:sz="4" w:space="0" w:color="DAFFAF" w:themeColor="accent4"/>
        <w:bottom w:val="single" w:sz="4" w:space="0" w:color="DAFFAF" w:themeColor="accent4"/>
        <w:right w:val="single" w:sz="4" w:space="0" w:color="DAFFAF" w:themeColor="accent4"/>
        <w:insideH w:val="single" w:sz="4" w:space="0" w:color="FFFFFF" w:themeColor="background1"/>
        <w:insideV w:val="single" w:sz="4" w:space="0" w:color="FFFFFF" w:themeColor="background1"/>
      </w:tblBorders>
    </w:tblPr>
    <w:tcPr>
      <w:shd w:val="clear" w:color="auto" w:fill="FBFFF7" w:themeFill="accent4" w:themeFillTint="19"/>
    </w:tcPr>
    <w:tblStylePr w:type="firstRow">
      <w:rPr>
        <w:b/>
        <w:bCs/>
      </w:rPr>
      <w:tblPr/>
      <w:tcPr>
        <w:tcBorders>
          <w:top w:val="nil"/>
          <w:left w:val="nil"/>
          <w:bottom w:val="single" w:sz="24" w:space="0" w:color="BBA5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FF03" w:themeFill="accent4" w:themeFillShade="99"/>
      </w:tcPr>
    </w:tblStylePr>
    <w:tblStylePr w:type="firstCol">
      <w:rPr>
        <w:color w:val="FFFFFF" w:themeColor="background1"/>
      </w:rPr>
      <w:tblPr/>
      <w:tcPr>
        <w:tcBorders>
          <w:top w:val="nil"/>
          <w:left w:val="nil"/>
          <w:bottom w:val="nil"/>
          <w:right w:val="nil"/>
          <w:insideH w:val="single" w:sz="4" w:space="0" w:color="8AFF03" w:themeColor="accent4" w:themeShade="99"/>
          <w:insideV w:val="nil"/>
        </w:tcBorders>
        <w:shd w:val="clear" w:color="auto" w:fill="8AFF0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AFF03" w:themeFill="accent4" w:themeFillShade="99"/>
      </w:tcPr>
    </w:tblStylePr>
    <w:tblStylePr w:type="band1Vert">
      <w:tblPr/>
      <w:tcPr>
        <w:shd w:val="clear" w:color="auto" w:fill="F0FFDF" w:themeFill="accent4" w:themeFillTint="66"/>
      </w:tcPr>
    </w:tblStylePr>
    <w:tblStylePr w:type="band1Horz">
      <w:tblPr/>
      <w:tcPr>
        <w:shd w:val="clear" w:color="auto" w:fill="ECFFD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42149"/>
    <w:pPr>
      <w:spacing w:line="240" w:lineRule="auto"/>
    </w:pPr>
    <w:tblPr>
      <w:tblStyleRowBandSize w:val="1"/>
      <w:tblStyleColBandSize w:val="1"/>
      <w:tblBorders>
        <w:top w:val="single" w:sz="24" w:space="0" w:color="DDD4C9" w:themeColor="accent6"/>
        <w:left w:val="single" w:sz="4" w:space="0" w:color="FFB96F" w:themeColor="accent5"/>
        <w:bottom w:val="single" w:sz="4" w:space="0" w:color="FFB96F" w:themeColor="accent5"/>
        <w:right w:val="single" w:sz="4" w:space="0" w:color="FFB96F" w:themeColor="accent5"/>
        <w:insideH w:val="single" w:sz="4" w:space="0" w:color="FFFFFF" w:themeColor="background1"/>
        <w:insideV w:val="single" w:sz="4" w:space="0" w:color="FFFFFF" w:themeColor="background1"/>
      </w:tblBorders>
    </w:tblPr>
    <w:tcPr>
      <w:shd w:val="clear" w:color="auto" w:fill="FFF8F0" w:themeFill="accent5" w:themeFillTint="19"/>
    </w:tcPr>
    <w:tblStylePr w:type="firstRow">
      <w:rPr>
        <w:b/>
        <w:bCs/>
      </w:rPr>
      <w:tblPr/>
      <w:tcPr>
        <w:tcBorders>
          <w:top w:val="nil"/>
          <w:left w:val="nil"/>
          <w:bottom w:val="single" w:sz="24" w:space="0" w:color="DDD4C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B7000" w:themeFill="accent5" w:themeFillShade="99"/>
      </w:tcPr>
    </w:tblStylePr>
    <w:tblStylePr w:type="firstCol">
      <w:rPr>
        <w:color w:val="FFFFFF" w:themeColor="background1"/>
      </w:rPr>
      <w:tblPr/>
      <w:tcPr>
        <w:tcBorders>
          <w:top w:val="nil"/>
          <w:left w:val="nil"/>
          <w:bottom w:val="nil"/>
          <w:right w:val="nil"/>
          <w:insideH w:val="single" w:sz="4" w:space="0" w:color="DB7000" w:themeColor="accent5" w:themeShade="99"/>
          <w:insideV w:val="nil"/>
        </w:tcBorders>
        <w:shd w:val="clear" w:color="auto" w:fill="DB7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DB7000" w:themeFill="accent5" w:themeFillShade="99"/>
      </w:tcPr>
    </w:tblStylePr>
    <w:tblStylePr w:type="band1Vert">
      <w:tblPr/>
      <w:tcPr>
        <w:shd w:val="clear" w:color="auto" w:fill="FFE2C5" w:themeFill="accent5" w:themeFillTint="66"/>
      </w:tcPr>
    </w:tblStylePr>
    <w:tblStylePr w:type="band1Horz">
      <w:tblPr/>
      <w:tcPr>
        <w:shd w:val="clear" w:color="auto" w:fill="FFDBB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42149"/>
    <w:pPr>
      <w:spacing w:line="240" w:lineRule="auto"/>
    </w:pPr>
    <w:tblPr>
      <w:tblStyleRowBandSize w:val="1"/>
      <w:tblStyleColBandSize w:val="1"/>
      <w:tblBorders>
        <w:top w:val="single" w:sz="24" w:space="0" w:color="FFB96F" w:themeColor="accent5"/>
        <w:left w:val="single" w:sz="4" w:space="0" w:color="DDD4C9" w:themeColor="accent6"/>
        <w:bottom w:val="single" w:sz="4" w:space="0" w:color="DDD4C9" w:themeColor="accent6"/>
        <w:right w:val="single" w:sz="4" w:space="0" w:color="DDD4C9" w:themeColor="accent6"/>
        <w:insideH w:val="single" w:sz="4" w:space="0" w:color="FFFFFF" w:themeColor="background1"/>
        <w:insideV w:val="single" w:sz="4" w:space="0" w:color="FFFFFF" w:themeColor="background1"/>
      </w:tblBorders>
    </w:tblPr>
    <w:tcPr>
      <w:shd w:val="clear" w:color="auto" w:fill="FBFAF9" w:themeFill="accent6" w:themeFillTint="19"/>
    </w:tcPr>
    <w:tblStylePr w:type="firstRow">
      <w:rPr>
        <w:b/>
        <w:bCs/>
      </w:rPr>
      <w:tblPr/>
      <w:tcPr>
        <w:tcBorders>
          <w:top w:val="nil"/>
          <w:left w:val="nil"/>
          <w:bottom w:val="single" w:sz="24" w:space="0" w:color="FFB96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8161" w:themeFill="accent6" w:themeFillShade="99"/>
      </w:tcPr>
    </w:tblStylePr>
    <w:tblStylePr w:type="firstCol">
      <w:rPr>
        <w:color w:val="FFFFFF" w:themeColor="background1"/>
      </w:rPr>
      <w:tblPr/>
      <w:tcPr>
        <w:tcBorders>
          <w:top w:val="nil"/>
          <w:left w:val="nil"/>
          <w:bottom w:val="nil"/>
          <w:right w:val="nil"/>
          <w:insideH w:val="single" w:sz="4" w:space="0" w:color="9B8161" w:themeColor="accent6" w:themeShade="99"/>
          <w:insideV w:val="nil"/>
        </w:tcBorders>
        <w:shd w:val="clear" w:color="auto" w:fill="9B816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B8161" w:themeFill="accent6" w:themeFillShade="99"/>
      </w:tcPr>
    </w:tblStylePr>
    <w:tblStylePr w:type="band1Vert">
      <w:tblPr/>
      <w:tcPr>
        <w:shd w:val="clear" w:color="auto" w:fill="F1EDE9" w:themeFill="accent6" w:themeFillTint="66"/>
      </w:tcPr>
    </w:tblStylePr>
    <w:tblStylePr w:type="band1Horz">
      <w:tblPr/>
      <w:tcPr>
        <w:shd w:val="clear" w:color="auto" w:fill="EEE9E4"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42149"/>
    <w:rPr>
      <w:sz w:val="16"/>
      <w:szCs w:val="16"/>
      <w:lang w:val="en-GB"/>
    </w:rPr>
  </w:style>
  <w:style w:type="paragraph" w:styleId="CommentText">
    <w:name w:val="annotation text"/>
    <w:basedOn w:val="Normal"/>
    <w:link w:val="CommentTextChar"/>
    <w:uiPriority w:val="99"/>
    <w:semiHidden/>
    <w:rsid w:val="00D42149"/>
    <w:pPr>
      <w:spacing w:line="240" w:lineRule="auto"/>
    </w:pPr>
    <w:rPr>
      <w:lang w:val="en-GB"/>
    </w:rPr>
  </w:style>
  <w:style w:type="character" w:customStyle="1" w:styleId="CommentTextChar">
    <w:name w:val="Comment Text Char"/>
    <w:basedOn w:val="DefaultParagraphFont"/>
    <w:link w:val="CommentText"/>
    <w:uiPriority w:val="99"/>
    <w:semiHidden/>
    <w:rsid w:val="00D42149"/>
    <w:rPr>
      <w:rFonts w:asciiTheme="minorHAnsi" w:hAnsiTheme="minorHAnsi"/>
      <w:color w:val="00008F" w:themeColor="text2"/>
      <w:lang w:val="en-GB"/>
    </w:rPr>
  </w:style>
  <w:style w:type="paragraph" w:styleId="CommentSubject">
    <w:name w:val="annotation subject"/>
    <w:basedOn w:val="CommentText"/>
    <w:next w:val="CommentText"/>
    <w:link w:val="CommentSubjectChar"/>
    <w:uiPriority w:val="99"/>
    <w:semiHidden/>
    <w:rsid w:val="00D42149"/>
    <w:rPr>
      <w:b/>
      <w:bCs/>
    </w:rPr>
  </w:style>
  <w:style w:type="character" w:customStyle="1" w:styleId="CommentSubjectChar">
    <w:name w:val="Comment Subject Char"/>
    <w:basedOn w:val="CommentTextChar"/>
    <w:link w:val="CommentSubject"/>
    <w:uiPriority w:val="99"/>
    <w:semiHidden/>
    <w:rsid w:val="00D42149"/>
    <w:rPr>
      <w:rFonts w:asciiTheme="minorHAnsi" w:hAnsiTheme="minorHAnsi"/>
      <w:b/>
      <w:bCs/>
      <w:color w:val="00008F" w:themeColor="text2"/>
      <w:lang w:val="en-GB"/>
    </w:rPr>
  </w:style>
  <w:style w:type="table" w:styleId="DarkList">
    <w:name w:val="Dark List"/>
    <w:basedOn w:val="TableNormal"/>
    <w:uiPriority w:val="70"/>
    <w:semiHidden/>
    <w:unhideWhenUsed/>
    <w:rsid w:val="00D4214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42149"/>
    <w:pPr>
      <w:spacing w:line="240" w:lineRule="auto"/>
    </w:pPr>
    <w:rPr>
      <w:color w:val="FFFFFF" w:themeColor="background1"/>
    </w:rPr>
    <w:tblPr>
      <w:tblStyleRowBandSize w:val="1"/>
      <w:tblStyleColBandSize w:val="1"/>
    </w:tblPr>
    <w:tcPr>
      <w:shd w:val="clear" w:color="auto" w:fill="00008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6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06B" w:themeFill="accent1" w:themeFillShade="BF"/>
      </w:tcPr>
    </w:tblStylePr>
    <w:tblStylePr w:type="band1Vert">
      <w:tblPr/>
      <w:tcPr>
        <w:tcBorders>
          <w:top w:val="nil"/>
          <w:left w:val="nil"/>
          <w:bottom w:val="nil"/>
          <w:right w:val="nil"/>
          <w:insideH w:val="nil"/>
          <w:insideV w:val="nil"/>
        </w:tcBorders>
        <w:shd w:val="clear" w:color="auto" w:fill="00006B" w:themeFill="accent1" w:themeFillShade="BF"/>
      </w:tcPr>
    </w:tblStylePr>
    <w:tblStylePr w:type="band1Horz">
      <w:tblPr/>
      <w:tcPr>
        <w:tcBorders>
          <w:top w:val="nil"/>
          <w:left w:val="nil"/>
          <w:bottom w:val="nil"/>
          <w:right w:val="nil"/>
          <w:insideH w:val="nil"/>
          <w:insideV w:val="nil"/>
        </w:tcBorders>
        <w:shd w:val="clear" w:color="auto" w:fill="00006B" w:themeFill="accent1" w:themeFillShade="BF"/>
      </w:tcPr>
    </w:tblStylePr>
  </w:style>
  <w:style w:type="table" w:styleId="DarkList-Accent2">
    <w:name w:val="Dark List Accent 2"/>
    <w:basedOn w:val="TableNormal"/>
    <w:uiPriority w:val="70"/>
    <w:semiHidden/>
    <w:unhideWhenUsed/>
    <w:rsid w:val="00D42149"/>
    <w:pPr>
      <w:spacing w:line="240" w:lineRule="auto"/>
    </w:pPr>
    <w:rPr>
      <w:color w:val="FFFFFF" w:themeColor="background1"/>
    </w:rPr>
    <w:tblPr>
      <w:tblStyleRowBandSize w:val="1"/>
      <w:tblStyleColBandSize w:val="1"/>
    </w:tblPr>
    <w:tcPr>
      <w:shd w:val="clear" w:color="auto" w:fill="B6F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ACD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8D8F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8D8FF" w:themeFill="accent2" w:themeFillShade="BF"/>
      </w:tcPr>
    </w:tblStylePr>
    <w:tblStylePr w:type="band1Vert">
      <w:tblPr/>
      <w:tcPr>
        <w:tcBorders>
          <w:top w:val="nil"/>
          <w:left w:val="nil"/>
          <w:bottom w:val="nil"/>
          <w:right w:val="nil"/>
          <w:insideH w:val="nil"/>
          <w:insideV w:val="nil"/>
        </w:tcBorders>
        <w:shd w:val="clear" w:color="auto" w:fill="48D8FF" w:themeFill="accent2" w:themeFillShade="BF"/>
      </w:tcPr>
    </w:tblStylePr>
    <w:tblStylePr w:type="band1Horz">
      <w:tblPr/>
      <w:tcPr>
        <w:tcBorders>
          <w:top w:val="nil"/>
          <w:left w:val="nil"/>
          <w:bottom w:val="nil"/>
          <w:right w:val="nil"/>
          <w:insideH w:val="nil"/>
          <w:insideV w:val="nil"/>
        </w:tcBorders>
        <w:shd w:val="clear" w:color="auto" w:fill="48D8FF" w:themeFill="accent2" w:themeFillShade="BF"/>
      </w:tcPr>
    </w:tblStylePr>
  </w:style>
  <w:style w:type="table" w:styleId="DarkList-Accent3">
    <w:name w:val="Dark List Accent 3"/>
    <w:basedOn w:val="TableNormal"/>
    <w:uiPriority w:val="70"/>
    <w:semiHidden/>
    <w:unhideWhenUsed/>
    <w:rsid w:val="00D42149"/>
    <w:pPr>
      <w:spacing w:line="240" w:lineRule="auto"/>
    </w:pPr>
    <w:rPr>
      <w:color w:val="FFFFFF" w:themeColor="background1"/>
    </w:rPr>
    <w:tblPr>
      <w:tblStyleRowBandSize w:val="1"/>
      <w:tblStyleColBandSize w:val="1"/>
    </w:tblPr>
    <w:tcPr>
      <w:shd w:val="clear" w:color="auto" w:fill="BBA5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D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A3BF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A3BFF" w:themeFill="accent3" w:themeFillShade="BF"/>
      </w:tcPr>
    </w:tblStylePr>
    <w:tblStylePr w:type="band1Vert">
      <w:tblPr/>
      <w:tcPr>
        <w:tcBorders>
          <w:top w:val="nil"/>
          <w:left w:val="nil"/>
          <w:bottom w:val="nil"/>
          <w:right w:val="nil"/>
          <w:insideH w:val="nil"/>
          <w:insideV w:val="nil"/>
        </w:tcBorders>
        <w:shd w:val="clear" w:color="auto" w:fill="6A3BFF" w:themeFill="accent3" w:themeFillShade="BF"/>
      </w:tcPr>
    </w:tblStylePr>
    <w:tblStylePr w:type="band1Horz">
      <w:tblPr/>
      <w:tcPr>
        <w:tcBorders>
          <w:top w:val="nil"/>
          <w:left w:val="nil"/>
          <w:bottom w:val="nil"/>
          <w:right w:val="nil"/>
          <w:insideH w:val="nil"/>
          <w:insideV w:val="nil"/>
        </w:tcBorders>
        <w:shd w:val="clear" w:color="auto" w:fill="6A3BFF" w:themeFill="accent3" w:themeFillShade="BF"/>
      </w:tcPr>
    </w:tblStylePr>
  </w:style>
  <w:style w:type="table" w:styleId="DarkList-Accent4">
    <w:name w:val="Dark List Accent 4"/>
    <w:basedOn w:val="TableNormal"/>
    <w:uiPriority w:val="70"/>
    <w:semiHidden/>
    <w:unhideWhenUsed/>
    <w:rsid w:val="00D42149"/>
    <w:pPr>
      <w:spacing w:line="240" w:lineRule="auto"/>
    </w:pPr>
    <w:rPr>
      <w:color w:val="FFFFFF" w:themeColor="background1"/>
    </w:rPr>
    <w:tblPr>
      <w:tblStyleRowBandSize w:val="1"/>
      <w:tblStyleColBandSize w:val="1"/>
    </w:tblPr>
    <w:tcPr>
      <w:shd w:val="clear" w:color="auto" w:fill="DAFF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D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8FF4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8FF43" w:themeFill="accent4" w:themeFillShade="BF"/>
      </w:tcPr>
    </w:tblStylePr>
    <w:tblStylePr w:type="band1Vert">
      <w:tblPr/>
      <w:tcPr>
        <w:tcBorders>
          <w:top w:val="nil"/>
          <w:left w:val="nil"/>
          <w:bottom w:val="nil"/>
          <w:right w:val="nil"/>
          <w:insideH w:val="nil"/>
          <w:insideV w:val="nil"/>
        </w:tcBorders>
        <w:shd w:val="clear" w:color="auto" w:fill="A8FF43" w:themeFill="accent4" w:themeFillShade="BF"/>
      </w:tcPr>
    </w:tblStylePr>
    <w:tblStylePr w:type="band1Horz">
      <w:tblPr/>
      <w:tcPr>
        <w:tcBorders>
          <w:top w:val="nil"/>
          <w:left w:val="nil"/>
          <w:bottom w:val="nil"/>
          <w:right w:val="nil"/>
          <w:insideH w:val="nil"/>
          <w:insideV w:val="nil"/>
        </w:tcBorders>
        <w:shd w:val="clear" w:color="auto" w:fill="A8FF43" w:themeFill="accent4" w:themeFillShade="BF"/>
      </w:tcPr>
    </w:tblStylePr>
  </w:style>
  <w:style w:type="table" w:styleId="DarkList-Accent5">
    <w:name w:val="Dark List Accent 5"/>
    <w:basedOn w:val="TableNormal"/>
    <w:uiPriority w:val="70"/>
    <w:semiHidden/>
    <w:unhideWhenUsed/>
    <w:rsid w:val="00D42149"/>
    <w:pPr>
      <w:spacing w:line="240" w:lineRule="auto"/>
    </w:pPr>
    <w:rPr>
      <w:color w:val="FFFFFF" w:themeColor="background1"/>
    </w:rPr>
    <w:tblPr>
      <w:tblStyleRowBandSize w:val="1"/>
      <w:tblStyleColBandSize w:val="1"/>
    </w:tblPr>
    <w:tcPr>
      <w:shd w:val="clear" w:color="auto" w:fill="FFB96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65D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8C1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8C13" w:themeFill="accent5" w:themeFillShade="BF"/>
      </w:tcPr>
    </w:tblStylePr>
    <w:tblStylePr w:type="band1Vert">
      <w:tblPr/>
      <w:tcPr>
        <w:tcBorders>
          <w:top w:val="nil"/>
          <w:left w:val="nil"/>
          <w:bottom w:val="nil"/>
          <w:right w:val="nil"/>
          <w:insideH w:val="nil"/>
          <w:insideV w:val="nil"/>
        </w:tcBorders>
        <w:shd w:val="clear" w:color="auto" w:fill="FF8C13" w:themeFill="accent5" w:themeFillShade="BF"/>
      </w:tcPr>
    </w:tblStylePr>
    <w:tblStylePr w:type="band1Horz">
      <w:tblPr/>
      <w:tcPr>
        <w:tcBorders>
          <w:top w:val="nil"/>
          <w:left w:val="nil"/>
          <w:bottom w:val="nil"/>
          <w:right w:val="nil"/>
          <w:insideH w:val="nil"/>
          <w:insideV w:val="nil"/>
        </w:tcBorders>
        <w:shd w:val="clear" w:color="auto" w:fill="FF8C13" w:themeFill="accent5" w:themeFillShade="BF"/>
      </w:tcPr>
    </w:tblStylePr>
  </w:style>
  <w:style w:type="table" w:styleId="DarkList-Accent6">
    <w:name w:val="Dark List Accent 6"/>
    <w:basedOn w:val="TableNormal"/>
    <w:uiPriority w:val="70"/>
    <w:semiHidden/>
    <w:unhideWhenUsed/>
    <w:rsid w:val="00D42149"/>
    <w:pPr>
      <w:spacing w:line="240" w:lineRule="auto"/>
    </w:pPr>
    <w:rPr>
      <w:color w:val="FFFFFF" w:themeColor="background1"/>
    </w:rPr>
    <w:tblPr>
      <w:tblStyleRowBandSize w:val="1"/>
      <w:tblStyleColBandSize w:val="1"/>
    </w:tblPr>
    <w:tcPr>
      <w:shd w:val="clear" w:color="auto" w:fill="DDD4C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6B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4A08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4A088" w:themeFill="accent6" w:themeFillShade="BF"/>
      </w:tcPr>
    </w:tblStylePr>
    <w:tblStylePr w:type="band1Vert">
      <w:tblPr/>
      <w:tcPr>
        <w:tcBorders>
          <w:top w:val="nil"/>
          <w:left w:val="nil"/>
          <w:bottom w:val="nil"/>
          <w:right w:val="nil"/>
          <w:insideH w:val="nil"/>
          <w:insideV w:val="nil"/>
        </w:tcBorders>
        <w:shd w:val="clear" w:color="auto" w:fill="B4A088" w:themeFill="accent6" w:themeFillShade="BF"/>
      </w:tcPr>
    </w:tblStylePr>
    <w:tblStylePr w:type="band1Horz">
      <w:tblPr/>
      <w:tcPr>
        <w:tcBorders>
          <w:top w:val="nil"/>
          <w:left w:val="nil"/>
          <w:bottom w:val="nil"/>
          <w:right w:val="nil"/>
          <w:insideH w:val="nil"/>
          <w:insideV w:val="nil"/>
        </w:tcBorders>
        <w:shd w:val="clear" w:color="auto" w:fill="B4A088" w:themeFill="accent6" w:themeFillShade="BF"/>
      </w:tcPr>
    </w:tblStylePr>
  </w:style>
  <w:style w:type="paragraph" w:styleId="Date">
    <w:name w:val="Date"/>
    <w:basedOn w:val="Normal"/>
    <w:next w:val="Normal"/>
    <w:link w:val="DateChar"/>
    <w:uiPriority w:val="99"/>
    <w:semiHidden/>
    <w:rsid w:val="00D42149"/>
    <w:rPr>
      <w:lang w:val="en-GB"/>
    </w:rPr>
  </w:style>
  <w:style w:type="character" w:customStyle="1" w:styleId="DateChar">
    <w:name w:val="Date Char"/>
    <w:basedOn w:val="DefaultParagraphFont"/>
    <w:link w:val="Date"/>
    <w:uiPriority w:val="99"/>
    <w:semiHidden/>
    <w:rsid w:val="00D42149"/>
    <w:rPr>
      <w:rFonts w:asciiTheme="minorHAnsi" w:hAnsiTheme="minorHAnsi"/>
      <w:color w:val="00008F" w:themeColor="text2"/>
      <w:lang w:val="en-GB"/>
    </w:rPr>
  </w:style>
  <w:style w:type="paragraph" w:styleId="DocumentMap">
    <w:name w:val="Document Map"/>
    <w:basedOn w:val="Normal"/>
    <w:link w:val="DocumentMapChar"/>
    <w:uiPriority w:val="99"/>
    <w:semiHidden/>
    <w:rsid w:val="00D42149"/>
    <w:pPr>
      <w:spacing w:line="240" w:lineRule="auto"/>
    </w:pPr>
    <w:rPr>
      <w:rFonts w:cs="Arial"/>
      <w:sz w:val="16"/>
      <w:szCs w:val="16"/>
      <w:lang w:val="en-GB"/>
    </w:rPr>
  </w:style>
  <w:style w:type="character" w:customStyle="1" w:styleId="DocumentMapChar">
    <w:name w:val="Document Map Char"/>
    <w:basedOn w:val="DefaultParagraphFont"/>
    <w:link w:val="DocumentMap"/>
    <w:uiPriority w:val="99"/>
    <w:semiHidden/>
    <w:rsid w:val="00D42149"/>
    <w:rPr>
      <w:rFonts w:asciiTheme="minorHAnsi" w:hAnsiTheme="minorHAnsi" w:cs="Arial"/>
      <w:color w:val="00008F" w:themeColor="text2"/>
      <w:sz w:val="16"/>
      <w:szCs w:val="16"/>
      <w:lang w:val="en-GB"/>
    </w:rPr>
  </w:style>
  <w:style w:type="paragraph" w:styleId="E-mailSignature">
    <w:name w:val="E-mail Signature"/>
    <w:basedOn w:val="Normal"/>
    <w:link w:val="E-mailSignatureChar"/>
    <w:uiPriority w:val="99"/>
    <w:semiHidden/>
    <w:rsid w:val="00D42149"/>
    <w:pPr>
      <w:spacing w:line="240" w:lineRule="auto"/>
    </w:pPr>
    <w:rPr>
      <w:lang w:val="en-GB"/>
    </w:rPr>
  </w:style>
  <w:style w:type="character" w:customStyle="1" w:styleId="E-mailSignatureChar">
    <w:name w:val="E-mail Signature Char"/>
    <w:basedOn w:val="DefaultParagraphFont"/>
    <w:link w:val="E-mailSignature"/>
    <w:uiPriority w:val="99"/>
    <w:semiHidden/>
    <w:rsid w:val="00D42149"/>
    <w:rPr>
      <w:rFonts w:asciiTheme="minorHAnsi" w:hAnsiTheme="minorHAnsi"/>
      <w:color w:val="00008F" w:themeColor="text2"/>
      <w:lang w:val="en-GB"/>
    </w:rPr>
  </w:style>
  <w:style w:type="character" w:styleId="Emphasis">
    <w:name w:val="Emphasis"/>
    <w:basedOn w:val="DefaultParagraphFont"/>
    <w:uiPriority w:val="19"/>
    <w:semiHidden/>
    <w:rsid w:val="00D42149"/>
    <w:rPr>
      <w:i/>
      <w:iCs/>
      <w:lang w:val="en-GB"/>
    </w:rPr>
  </w:style>
  <w:style w:type="paragraph" w:styleId="EnvelopeAddress">
    <w:name w:val="envelope address"/>
    <w:basedOn w:val="Normal"/>
    <w:uiPriority w:val="99"/>
    <w:semiHidden/>
    <w:rsid w:val="00D42149"/>
    <w:pPr>
      <w:framePr w:w="7920" w:h="1980" w:hRule="exact" w:hSpace="141" w:wrap="auto" w:hAnchor="page" w:xAlign="center" w:yAlign="bottom"/>
      <w:spacing w:line="240" w:lineRule="auto"/>
      <w:ind w:left="2880"/>
    </w:pPr>
    <w:rPr>
      <w:rFonts w:eastAsiaTheme="majorEastAsia" w:cs="Arial"/>
      <w:sz w:val="24"/>
      <w:szCs w:val="24"/>
      <w:lang w:val="en-GB"/>
    </w:rPr>
  </w:style>
  <w:style w:type="paragraph" w:styleId="EnvelopeReturn">
    <w:name w:val="envelope return"/>
    <w:basedOn w:val="Normal"/>
    <w:uiPriority w:val="99"/>
    <w:semiHidden/>
    <w:rsid w:val="00D42149"/>
    <w:pPr>
      <w:spacing w:line="240" w:lineRule="auto"/>
    </w:pPr>
    <w:rPr>
      <w:rFonts w:eastAsiaTheme="majorEastAsia" w:cs="Arial"/>
      <w:lang w:val="en-GB"/>
    </w:rPr>
  </w:style>
  <w:style w:type="character" w:styleId="FollowedHyperlink">
    <w:name w:val="FollowedHyperlink"/>
    <w:basedOn w:val="DefaultParagraphFont"/>
    <w:uiPriority w:val="21"/>
    <w:semiHidden/>
    <w:rsid w:val="00D42149"/>
    <w:rPr>
      <w:color w:val="92CDFF" w:themeColor="followedHyperlink"/>
      <w:u w:val="single"/>
      <w:lang w:val="en-GB"/>
    </w:rPr>
  </w:style>
  <w:style w:type="character" w:styleId="FootnoteReference">
    <w:name w:val="footnote reference"/>
    <w:basedOn w:val="DefaultParagraphFont"/>
    <w:uiPriority w:val="21"/>
    <w:semiHidden/>
    <w:rsid w:val="00D42149"/>
    <w:rPr>
      <w:vertAlign w:val="superscript"/>
      <w:lang w:val="en-GB"/>
    </w:rPr>
  </w:style>
  <w:style w:type="table" w:styleId="GridTable1Light">
    <w:name w:val="Grid Table 1 Light"/>
    <w:basedOn w:val="TableNormal"/>
    <w:uiPriority w:val="46"/>
    <w:rsid w:val="00D4214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42149"/>
    <w:pPr>
      <w:spacing w:line="240" w:lineRule="auto"/>
    </w:pPr>
    <w:tblPr>
      <w:tblStyleRowBandSize w:val="1"/>
      <w:tblStyleColBandSize w:val="1"/>
      <w:tblBorders>
        <w:top w:val="single" w:sz="4" w:space="0" w:color="6C6CFF" w:themeColor="accent1" w:themeTint="66"/>
        <w:left w:val="single" w:sz="4" w:space="0" w:color="6C6CFF" w:themeColor="accent1" w:themeTint="66"/>
        <w:bottom w:val="single" w:sz="4" w:space="0" w:color="6C6CFF" w:themeColor="accent1" w:themeTint="66"/>
        <w:right w:val="single" w:sz="4" w:space="0" w:color="6C6CFF" w:themeColor="accent1" w:themeTint="66"/>
        <w:insideH w:val="single" w:sz="4" w:space="0" w:color="6C6CFF" w:themeColor="accent1" w:themeTint="66"/>
        <w:insideV w:val="single" w:sz="4" w:space="0" w:color="6C6CFF" w:themeColor="accent1" w:themeTint="66"/>
      </w:tblBorders>
    </w:tblPr>
    <w:tblStylePr w:type="firstRow">
      <w:rPr>
        <w:b/>
        <w:bCs/>
      </w:rPr>
      <w:tblPr/>
      <w:tcPr>
        <w:tcBorders>
          <w:bottom w:val="single" w:sz="12" w:space="0" w:color="2222FF" w:themeColor="accent1" w:themeTint="99"/>
        </w:tcBorders>
      </w:tcPr>
    </w:tblStylePr>
    <w:tblStylePr w:type="lastRow">
      <w:rPr>
        <w:b/>
        <w:bCs/>
      </w:rPr>
      <w:tblPr/>
      <w:tcPr>
        <w:tcBorders>
          <w:top w:val="double" w:sz="2" w:space="0" w:color="222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42149"/>
    <w:pPr>
      <w:spacing w:line="240" w:lineRule="auto"/>
    </w:pPr>
    <w:tblPr>
      <w:tblStyleRowBandSize w:val="1"/>
      <w:tblStyleColBandSize w:val="1"/>
      <w:tblBorders>
        <w:top w:val="single" w:sz="4" w:space="0" w:color="E1F8FF" w:themeColor="accent2" w:themeTint="66"/>
        <w:left w:val="single" w:sz="4" w:space="0" w:color="E1F8FF" w:themeColor="accent2" w:themeTint="66"/>
        <w:bottom w:val="single" w:sz="4" w:space="0" w:color="E1F8FF" w:themeColor="accent2" w:themeTint="66"/>
        <w:right w:val="single" w:sz="4" w:space="0" w:color="E1F8FF" w:themeColor="accent2" w:themeTint="66"/>
        <w:insideH w:val="single" w:sz="4" w:space="0" w:color="E1F8FF" w:themeColor="accent2" w:themeTint="66"/>
        <w:insideV w:val="single" w:sz="4" w:space="0" w:color="E1F8FF" w:themeColor="accent2" w:themeTint="66"/>
      </w:tblBorders>
    </w:tblPr>
    <w:tblStylePr w:type="firstRow">
      <w:rPr>
        <w:b/>
        <w:bCs/>
      </w:rPr>
      <w:tblPr/>
      <w:tcPr>
        <w:tcBorders>
          <w:bottom w:val="single" w:sz="12" w:space="0" w:color="D3F5FF" w:themeColor="accent2" w:themeTint="99"/>
        </w:tcBorders>
      </w:tcPr>
    </w:tblStylePr>
    <w:tblStylePr w:type="lastRow">
      <w:rPr>
        <w:b/>
        <w:bCs/>
      </w:rPr>
      <w:tblPr/>
      <w:tcPr>
        <w:tcBorders>
          <w:top w:val="double" w:sz="2" w:space="0" w:color="D3F5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42149"/>
    <w:pPr>
      <w:spacing w:line="240" w:lineRule="auto"/>
    </w:pPr>
    <w:tblPr>
      <w:tblStyleRowBandSize w:val="1"/>
      <w:tblStyleColBandSize w:val="1"/>
      <w:tblBorders>
        <w:top w:val="single" w:sz="4" w:space="0" w:color="E3DBFF" w:themeColor="accent3" w:themeTint="66"/>
        <w:left w:val="single" w:sz="4" w:space="0" w:color="E3DBFF" w:themeColor="accent3" w:themeTint="66"/>
        <w:bottom w:val="single" w:sz="4" w:space="0" w:color="E3DBFF" w:themeColor="accent3" w:themeTint="66"/>
        <w:right w:val="single" w:sz="4" w:space="0" w:color="E3DBFF" w:themeColor="accent3" w:themeTint="66"/>
        <w:insideH w:val="single" w:sz="4" w:space="0" w:color="E3DBFF" w:themeColor="accent3" w:themeTint="66"/>
        <w:insideV w:val="single" w:sz="4" w:space="0" w:color="E3DBFF" w:themeColor="accent3" w:themeTint="66"/>
      </w:tblBorders>
    </w:tblPr>
    <w:tblStylePr w:type="firstRow">
      <w:rPr>
        <w:b/>
        <w:bCs/>
      </w:rPr>
      <w:tblPr/>
      <w:tcPr>
        <w:tcBorders>
          <w:bottom w:val="single" w:sz="12" w:space="0" w:color="D6C9FF" w:themeColor="accent3" w:themeTint="99"/>
        </w:tcBorders>
      </w:tcPr>
    </w:tblStylePr>
    <w:tblStylePr w:type="lastRow">
      <w:rPr>
        <w:b/>
        <w:bCs/>
      </w:rPr>
      <w:tblPr/>
      <w:tcPr>
        <w:tcBorders>
          <w:top w:val="double" w:sz="2" w:space="0" w:color="D6C9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42149"/>
    <w:pPr>
      <w:spacing w:line="240" w:lineRule="auto"/>
    </w:pPr>
    <w:tblPr>
      <w:tblStyleRowBandSize w:val="1"/>
      <w:tblStyleColBandSize w:val="1"/>
      <w:tblBorders>
        <w:top w:val="single" w:sz="4" w:space="0" w:color="F0FFDF" w:themeColor="accent4" w:themeTint="66"/>
        <w:left w:val="single" w:sz="4" w:space="0" w:color="F0FFDF" w:themeColor="accent4" w:themeTint="66"/>
        <w:bottom w:val="single" w:sz="4" w:space="0" w:color="F0FFDF" w:themeColor="accent4" w:themeTint="66"/>
        <w:right w:val="single" w:sz="4" w:space="0" w:color="F0FFDF" w:themeColor="accent4" w:themeTint="66"/>
        <w:insideH w:val="single" w:sz="4" w:space="0" w:color="F0FFDF" w:themeColor="accent4" w:themeTint="66"/>
        <w:insideV w:val="single" w:sz="4" w:space="0" w:color="F0FFDF" w:themeColor="accent4" w:themeTint="66"/>
      </w:tblBorders>
    </w:tblPr>
    <w:tblStylePr w:type="firstRow">
      <w:rPr>
        <w:b/>
        <w:bCs/>
      </w:rPr>
      <w:tblPr/>
      <w:tcPr>
        <w:tcBorders>
          <w:bottom w:val="single" w:sz="12" w:space="0" w:color="E8FFCF" w:themeColor="accent4" w:themeTint="99"/>
        </w:tcBorders>
      </w:tcPr>
    </w:tblStylePr>
    <w:tblStylePr w:type="lastRow">
      <w:rPr>
        <w:b/>
        <w:bCs/>
      </w:rPr>
      <w:tblPr/>
      <w:tcPr>
        <w:tcBorders>
          <w:top w:val="double" w:sz="2" w:space="0" w:color="E8FFC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42149"/>
    <w:pPr>
      <w:spacing w:line="240" w:lineRule="auto"/>
    </w:pPr>
    <w:tblPr>
      <w:tblStyleRowBandSize w:val="1"/>
      <w:tblStyleColBandSize w:val="1"/>
      <w:tblBorders>
        <w:top w:val="single" w:sz="4" w:space="0" w:color="FFE2C5" w:themeColor="accent5" w:themeTint="66"/>
        <w:left w:val="single" w:sz="4" w:space="0" w:color="FFE2C5" w:themeColor="accent5" w:themeTint="66"/>
        <w:bottom w:val="single" w:sz="4" w:space="0" w:color="FFE2C5" w:themeColor="accent5" w:themeTint="66"/>
        <w:right w:val="single" w:sz="4" w:space="0" w:color="FFE2C5" w:themeColor="accent5" w:themeTint="66"/>
        <w:insideH w:val="single" w:sz="4" w:space="0" w:color="FFE2C5" w:themeColor="accent5" w:themeTint="66"/>
        <w:insideV w:val="single" w:sz="4" w:space="0" w:color="FFE2C5" w:themeColor="accent5" w:themeTint="66"/>
      </w:tblBorders>
    </w:tblPr>
    <w:tblStylePr w:type="firstRow">
      <w:rPr>
        <w:b/>
        <w:bCs/>
      </w:rPr>
      <w:tblPr/>
      <w:tcPr>
        <w:tcBorders>
          <w:bottom w:val="single" w:sz="12" w:space="0" w:color="FFD4A8" w:themeColor="accent5" w:themeTint="99"/>
        </w:tcBorders>
      </w:tcPr>
    </w:tblStylePr>
    <w:tblStylePr w:type="lastRow">
      <w:rPr>
        <w:b/>
        <w:bCs/>
      </w:rPr>
      <w:tblPr/>
      <w:tcPr>
        <w:tcBorders>
          <w:top w:val="double" w:sz="2" w:space="0" w:color="FFD4A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42149"/>
    <w:pPr>
      <w:spacing w:line="240" w:lineRule="auto"/>
    </w:pPr>
    <w:tblPr>
      <w:tblStyleRowBandSize w:val="1"/>
      <w:tblStyleColBandSize w:val="1"/>
      <w:tblBorders>
        <w:top w:val="single" w:sz="4" w:space="0" w:color="F1EDE9" w:themeColor="accent6" w:themeTint="66"/>
        <w:left w:val="single" w:sz="4" w:space="0" w:color="F1EDE9" w:themeColor="accent6" w:themeTint="66"/>
        <w:bottom w:val="single" w:sz="4" w:space="0" w:color="F1EDE9" w:themeColor="accent6" w:themeTint="66"/>
        <w:right w:val="single" w:sz="4" w:space="0" w:color="F1EDE9" w:themeColor="accent6" w:themeTint="66"/>
        <w:insideH w:val="single" w:sz="4" w:space="0" w:color="F1EDE9" w:themeColor="accent6" w:themeTint="66"/>
        <w:insideV w:val="single" w:sz="4" w:space="0" w:color="F1EDE9" w:themeColor="accent6" w:themeTint="66"/>
      </w:tblBorders>
    </w:tblPr>
    <w:tblStylePr w:type="firstRow">
      <w:rPr>
        <w:b/>
        <w:bCs/>
      </w:rPr>
      <w:tblPr/>
      <w:tcPr>
        <w:tcBorders>
          <w:bottom w:val="single" w:sz="12" w:space="0" w:color="EAE5DE" w:themeColor="accent6" w:themeTint="99"/>
        </w:tcBorders>
      </w:tcPr>
    </w:tblStylePr>
    <w:tblStylePr w:type="lastRow">
      <w:rPr>
        <w:b/>
        <w:bCs/>
      </w:rPr>
      <w:tblPr/>
      <w:tcPr>
        <w:tcBorders>
          <w:top w:val="double" w:sz="2" w:space="0" w:color="EAE5DE"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42149"/>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42149"/>
    <w:pPr>
      <w:spacing w:line="240" w:lineRule="auto"/>
    </w:pPr>
    <w:tblPr>
      <w:tblStyleRowBandSize w:val="1"/>
      <w:tblStyleColBandSize w:val="1"/>
      <w:tblBorders>
        <w:top w:val="single" w:sz="2" w:space="0" w:color="2222FF" w:themeColor="accent1" w:themeTint="99"/>
        <w:bottom w:val="single" w:sz="2" w:space="0" w:color="2222FF" w:themeColor="accent1" w:themeTint="99"/>
        <w:insideH w:val="single" w:sz="2" w:space="0" w:color="2222FF" w:themeColor="accent1" w:themeTint="99"/>
        <w:insideV w:val="single" w:sz="2" w:space="0" w:color="2222FF" w:themeColor="accent1" w:themeTint="99"/>
      </w:tblBorders>
    </w:tblPr>
    <w:tblStylePr w:type="firstRow">
      <w:rPr>
        <w:b/>
        <w:bCs/>
      </w:rPr>
      <w:tblPr/>
      <w:tcPr>
        <w:tcBorders>
          <w:top w:val="nil"/>
          <w:bottom w:val="single" w:sz="12" w:space="0" w:color="2222FF" w:themeColor="accent1" w:themeTint="99"/>
          <w:insideH w:val="nil"/>
          <w:insideV w:val="nil"/>
        </w:tcBorders>
        <w:shd w:val="clear" w:color="auto" w:fill="FFFFFF" w:themeFill="background1"/>
      </w:tcPr>
    </w:tblStylePr>
    <w:tblStylePr w:type="lastRow">
      <w:rPr>
        <w:b/>
        <w:bCs/>
      </w:rPr>
      <w:tblPr/>
      <w:tcPr>
        <w:tcBorders>
          <w:top w:val="double" w:sz="2" w:space="0" w:color="222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B5FF" w:themeFill="accent1" w:themeFillTint="33"/>
      </w:tcPr>
    </w:tblStylePr>
    <w:tblStylePr w:type="band1Horz">
      <w:tblPr/>
      <w:tcPr>
        <w:shd w:val="clear" w:color="auto" w:fill="B5B5FF" w:themeFill="accent1" w:themeFillTint="33"/>
      </w:tcPr>
    </w:tblStylePr>
  </w:style>
  <w:style w:type="table" w:styleId="GridTable2-Accent2">
    <w:name w:val="Grid Table 2 Accent 2"/>
    <w:basedOn w:val="TableNormal"/>
    <w:uiPriority w:val="47"/>
    <w:rsid w:val="00D42149"/>
    <w:pPr>
      <w:spacing w:line="240" w:lineRule="auto"/>
    </w:pPr>
    <w:tblPr>
      <w:tblStyleRowBandSize w:val="1"/>
      <w:tblStyleColBandSize w:val="1"/>
      <w:tblBorders>
        <w:top w:val="single" w:sz="2" w:space="0" w:color="D3F5FF" w:themeColor="accent2" w:themeTint="99"/>
        <w:bottom w:val="single" w:sz="2" w:space="0" w:color="D3F5FF" w:themeColor="accent2" w:themeTint="99"/>
        <w:insideH w:val="single" w:sz="2" w:space="0" w:color="D3F5FF" w:themeColor="accent2" w:themeTint="99"/>
        <w:insideV w:val="single" w:sz="2" w:space="0" w:color="D3F5FF" w:themeColor="accent2" w:themeTint="99"/>
      </w:tblBorders>
    </w:tblPr>
    <w:tblStylePr w:type="firstRow">
      <w:rPr>
        <w:b/>
        <w:bCs/>
      </w:rPr>
      <w:tblPr/>
      <w:tcPr>
        <w:tcBorders>
          <w:top w:val="nil"/>
          <w:bottom w:val="single" w:sz="12" w:space="0" w:color="D3F5FF" w:themeColor="accent2" w:themeTint="99"/>
          <w:insideH w:val="nil"/>
          <w:insideV w:val="nil"/>
        </w:tcBorders>
        <w:shd w:val="clear" w:color="auto" w:fill="FFFFFF" w:themeFill="background1"/>
      </w:tcPr>
    </w:tblStylePr>
    <w:tblStylePr w:type="lastRow">
      <w:rPr>
        <w:b/>
        <w:bCs/>
      </w:rPr>
      <w:tblPr/>
      <w:tcPr>
        <w:tcBorders>
          <w:top w:val="double" w:sz="2" w:space="0" w:color="D3F5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BFF" w:themeFill="accent2" w:themeFillTint="33"/>
      </w:tcPr>
    </w:tblStylePr>
    <w:tblStylePr w:type="band1Horz">
      <w:tblPr/>
      <w:tcPr>
        <w:shd w:val="clear" w:color="auto" w:fill="F0FBFF" w:themeFill="accent2" w:themeFillTint="33"/>
      </w:tcPr>
    </w:tblStylePr>
  </w:style>
  <w:style w:type="table" w:styleId="GridTable2-Accent3">
    <w:name w:val="Grid Table 2 Accent 3"/>
    <w:basedOn w:val="TableNormal"/>
    <w:uiPriority w:val="47"/>
    <w:rsid w:val="00D42149"/>
    <w:pPr>
      <w:spacing w:line="240" w:lineRule="auto"/>
    </w:pPr>
    <w:tblPr>
      <w:tblStyleRowBandSize w:val="1"/>
      <w:tblStyleColBandSize w:val="1"/>
      <w:tblBorders>
        <w:top w:val="single" w:sz="2" w:space="0" w:color="D6C9FF" w:themeColor="accent3" w:themeTint="99"/>
        <w:bottom w:val="single" w:sz="2" w:space="0" w:color="D6C9FF" w:themeColor="accent3" w:themeTint="99"/>
        <w:insideH w:val="single" w:sz="2" w:space="0" w:color="D6C9FF" w:themeColor="accent3" w:themeTint="99"/>
        <w:insideV w:val="single" w:sz="2" w:space="0" w:color="D6C9FF" w:themeColor="accent3" w:themeTint="99"/>
      </w:tblBorders>
    </w:tblPr>
    <w:tblStylePr w:type="firstRow">
      <w:rPr>
        <w:b/>
        <w:bCs/>
      </w:rPr>
      <w:tblPr/>
      <w:tcPr>
        <w:tcBorders>
          <w:top w:val="nil"/>
          <w:bottom w:val="single" w:sz="12" w:space="0" w:color="D6C9FF" w:themeColor="accent3" w:themeTint="99"/>
          <w:insideH w:val="nil"/>
          <w:insideV w:val="nil"/>
        </w:tcBorders>
        <w:shd w:val="clear" w:color="auto" w:fill="FFFFFF" w:themeFill="background1"/>
      </w:tcPr>
    </w:tblStylePr>
    <w:tblStylePr w:type="lastRow">
      <w:rPr>
        <w:b/>
        <w:bCs/>
      </w:rPr>
      <w:tblPr/>
      <w:tcPr>
        <w:tcBorders>
          <w:top w:val="double" w:sz="2" w:space="0" w:color="D6C9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EDFF" w:themeFill="accent3" w:themeFillTint="33"/>
      </w:tcPr>
    </w:tblStylePr>
    <w:tblStylePr w:type="band1Horz">
      <w:tblPr/>
      <w:tcPr>
        <w:shd w:val="clear" w:color="auto" w:fill="F1EDFF" w:themeFill="accent3" w:themeFillTint="33"/>
      </w:tcPr>
    </w:tblStylePr>
  </w:style>
  <w:style w:type="table" w:styleId="GridTable2-Accent4">
    <w:name w:val="Grid Table 2 Accent 4"/>
    <w:basedOn w:val="TableNormal"/>
    <w:uiPriority w:val="47"/>
    <w:rsid w:val="00D42149"/>
    <w:pPr>
      <w:spacing w:line="240" w:lineRule="auto"/>
    </w:pPr>
    <w:tblPr>
      <w:tblStyleRowBandSize w:val="1"/>
      <w:tblStyleColBandSize w:val="1"/>
      <w:tblBorders>
        <w:top w:val="single" w:sz="2" w:space="0" w:color="E8FFCF" w:themeColor="accent4" w:themeTint="99"/>
        <w:bottom w:val="single" w:sz="2" w:space="0" w:color="E8FFCF" w:themeColor="accent4" w:themeTint="99"/>
        <w:insideH w:val="single" w:sz="2" w:space="0" w:color="E8FFCF" w:themeColor="accent4" w:themeTint="99"/>
        <w:insideV w:val="single" w:sz="2" w:space="0" w:color="E8FFCF" w:themeColor="accent4" w:themeTint="99"/>
      </w:tblBorders>
    </w:tblPr>
    <w:tblStylePr w:type="firstRow">
      <w:rPr>
        <w:b/>
        <w:bCs/>
      </w:rPr>
      <w:tblPr/>
      <w:tcPr>
        <w:tcBorders>
          <w:top w:val="nil"/>
          <w:bottom w:val="single" w:sz="12" w:space="0" w:color="E8FFCF" w:themeColor="accent4" w:themeTint="99"/>
          <w:insideH w:val="nil"/>
          <w:insideV w:val="nil"/>
        </w:tcBorders>
        <w:shd w:val="clear" w:color="auto" w:fill="FFFFFF" w:themeFill="background1"/>
      </w:tcPr>
    </w:tblStylePr>
    <w:tblStylePr w:type="lastRow">
      <w:rPr>
        <w:b/>
        <w:bCs/>
      </w:rPr>
      <w:tblPr/>
      <w:tcPr>
        <w:tcBorders>
          <w:top w:val="double" w:sz="2" w:space="0" w:color="E8FFC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FFEF" w:themeFill="accent4" w:themeFillTint="33"/>
      </w:tcPr>
    </w:tblStylePr>
    <w:tblStylePr w:type="band1Horz">
      <w:tblPr/>
      <w:tcPr>
        <w:shd w:val="clear" w:color="auto" w:fill="F7FFEF" w:themeFill="accent4" w:themeFillTint="33"/>
      </w:tcPr>
    </w:tblStylePr>
  </w:style>
  <w:style w:type="table" w:styleId="GridTable2-Accent5">
    <w:name w:val="Grid Table 2 Accent 5"/>
    <w:basedOn w:val="TableNormal"/>
    <w:uiPriority w:val="47"/>
    <w:rsid w:val="00D42149"/>
    <w:pPr>
      <w:spacing w:line="240" w:lineRule="auto"/>
    </w:pPr>
    <w:tblPr>
      <w:tblStyleRowBandSize w:val="1"/>
      <w:tblStyleColBandSize w:val="1"/>
      <w:tblBorders>
        <w:top w:val="single" w:sz="2" w:space="0" w:color="FFD4A8" w:themeColor="accent5" w:themeTint="99"/>
        <w:bottom w:val="single" w:sz="2" w:space="0" w:color="FFD4A8" w:themeColor="accent5" w:themeTint="99"/>
        <w:insideH w:val="single" w:sz="2" w:space="0" w:color="FFD4A8" w:themeColor="accent5" w:themeTint="99"/>
        <w:insideV w:val="single" w:sz="2" w:space="0" w:color="FFD4A8" w:themeColor="accent5" w:themeTint="99"/>
      </w:tblBorders>
    </w:tblPr>
    <w:tblStylePr w:type="firstRow">
      <w:rPr>
        <w:b/>
        <w:bCs/>
      </w:rPr>
      <w:tblPr/>
      <w:tcPr>
        <w:tcBorders>
          <w:top w:val="nil"/>
          <w:bottom w:val="single" w:sz="12" w:space="0" w:color="FFD4A8" w:themeColor="accent5" w:themeTint="99"/>
          <w:insideH w:val="nil"/>
          <w:insideV w:val="nil"/>
        </w:tcBorders>
        <w:shd w:val="clear" w:color="auto" w:fill="FFFFFF" w:themeFill="background1"/>
      </w:tcPr>
    </w:tblStylePr>
    <w:tblStylePr w:type="lastRow">
      <w:rPr>
        <w:b/>
        <w:bCs/>
      </w:rPr>
      <w:tblPr/>
      <w:tcPr>
        <w:tcBorders>
          <w:top w:val="double" w:sz="2" w:space="0" w:color="FFD4A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0E2" w:themeFill="accent5" w:themeFillTint="33"/>
      </w:tcPr>
    </w:tblStylePr>
    <w:tblStylePr w:type="band1Horz">
      <w:tblPr/>
      <w:tcPr>
        <w:shd w:val="clear" w:color="auto" w:fill="FFF0E2" w:themeFill="accent5" w:themeFillTint="33"/>
      </w:tcPr>
    </w:tblStylePr>
  </w:style>
  <w:style w:type="table" w:styleId="GridTable2-Accent6">
    <w:name w:val="Grid Table 2 Accent 6"/>
    <w:basedOn w:val="TableNormal"/>
    <w:uiPriority w:val="47"/>
    <w:rsid w:val="00D42149"/>
    <w:pPr>
      <w:spacing w:line="240" w:lineRule="auto"/>
    </w:pPr>
    <w:tblPr>
      <w:tblStyleRowBandSize w:val="1"/>
      <w:tblStyleColBandSize w:val="1"/>
      <w:tblBorders>
        <w:top w:val="single" w:sz="2" w:space="0" w:color="EAE5DE" w:themeColor="accent6" w:themeTint="99"/>
        <w:bottom w:val="single" w:sz="2" w:space="0" w:color="EAE5DE" w:themeColor="accent6" w:themeTint="99"/>
        <w:insideH w:val="single" w:sz="2" w:space="0" w:color="EAE5DE" w:themeColor="accent6" w:themeTint="99"/>
        <w:insideV w:val="single" w:sz="2" w:space="0" w:color="EAE5DE" w:themeColor="accent6" w:themeTint="99"/>
      </w:tblBorders>
    </w:tblPr>
    <w:tblStylePr w:type="firstRow">
      <w:rPr>
        <w:b/>
        <w:bCs/>
      </w:rPr>
      <w:tblPr/>
      <w:tcPr>
        <w:tcBorders>
          <w:top w:val="nil"/>
          <w:bottom w:val="single" w:sz="12" w:space="0" w:color="EAE5DE" w:themeColor="accent6" w:themeTint="99"/>
          <w:insideH w:val="nil"/>
          <w:insideV w:val="nil"/>
        </w:tcBorders>
        <w:shd w:val="clear" w:color="auto" w:fill="FFFFFF" w:themeFill="background1"/>
      </w:tcPr>
    </w:tblStylePr>
    <w:tblStylePr w:type="lastRow">
      <w:rPr>
        <w:b/>
        <w:bCs/>
      </w:rPr>
      <w:tblPr/>
      <w:tcPr>
        <w:tcBorders>
          <w:top w:val="double" w:sz="2" w:space="0" w:color="EAE5D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6F4" w:themeFill="accent6" w:themeFillTint="33"/>
      </w:tcPr>
    </w:tblStylePr>
    <w:tblStylePr w:type="band1Horz">
      <w:tblPr/>
      <w:tcPr>
        <w:shd w:val="clear" w:color="auto" w:fill="F8F6F4" w:themeFill="accent6" w:themeFillTint="33"/>
      </w:tcPr>
    </w:tblStylePr>
  </w:style>
  <w:style w:type="table" w:styleId="GridTable3">
    <w:name w:val="Grid Table 3"/>
    <w:basedOn w:val="TableNormal"/>
    <w:uiPriority w:val="48"/>
    <w:rsid w:val="00D4214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42149"/>
    <w:pPr>
      <w:spacing w:line="240" w:lineRule="auto"/>
    </w:pPr>
    <w:tblPr>
      <w:tblStyleRowBandSize w:val="1"/>
      <w:tblStyleColBandSize w:val="1"/>
      <w:tblBorders>
        <w:top w:val="single" w:sz="4" w:space="0" w:color="2222FF" w:themeColor="accent1" w:themeTint="99"/>
        <w:left w:val="single" w:sz="4" w:space="0" w:color="2222FF" w:themeColor="accent1" w:themeTint="99"/>
        <w:bottom w:val="single" w:sz="4" w:space="0" w:color="2222FF" w:themeColor="accent1" w:themeTint="99"/>
        <w:right w:val="single" w:sz="4" w:space="0" w:color="2222FF" w:themeColor="accent1" w:themeTint="99"/>
        <w:insideH w:val="single" w:sz="4" w:space="0" w:color="2222FF" w:themeColor="accent1" w:themeTint="99"/>
        <w:insideV w:val="single" w:sz="4" w:space="0" w:color="222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B5FF" w:themeFill="accent1" w:themeFillTint="33"/>
      </w:tcPr>
    </w:tblStylePr>
    <w:tblStylePr w:type="band1Horz">
      <w:tblPr/>
      <w:tcPr>
        <w:shd w:val="clear" w:color="auto" w:fill="B5B5FF" w:themeFill="accent1" w:themeFillTint="33"/>
      </w:tcPr>
    </w:tblStylePr>
    <w:tblStylePr w:type="neCell">
      <w:tblPr/>
      <w:tcPr>
        <w:tcBorders>
          <w:bottom w:val="single" w:sz="4" w:space="0" w:color="2222FF" w:themeColor="accent1" w:themeTint="99"/>
        </w:tcBorders>
      </w:tcPr>
    </w:tblStylePr>
    <w:tblStylePr w:type="nwCell">
      <w:tblPr/>
      <w:tcPr>
        <w:tcBorders>
          <w:bottom w:val="single" w:sz="4" w:space="0" w:color="2222FF" w:themeColor="accent1" w:themeTint="99"/>
        </w:tcBorders>
      </w:tcPr>
    </w:tblStylePr>
    <w:tblStylePr w:type="seCell">
      <w:tblPr/>
      <w:tcPr>
        <w:tcBorders>
          <w:top w:val="single" w:sz="4" w:space="0" w:color="2222FF" w:themeColor="accent1" w:themeTint="99"/>
        </w:tcBorders>
      </w:tcPr>
    </w:tblStylePr>
    <w:tblStylePr w:type="swCell">
      <w:tblPr/>
      <w:tcPr>
        <w:tcBorders>
          <w:top w:val="single" w:sz="4" w:space="0" w:color="2222FF" w:themeColor="accent1" w:themeTint="99"/>
        </w:tcBorders>
      </w:tcPr>
    </w:tblStylePr>
  </w:style>
  <w:style w:type="table" w:styleId="GridTable3-Accent2">
    <w:name w:val="Grid Table 3 Accent 2"/>
    <w:basedOn w:val="TableNormal"/>
    <w:uiPriority w:val="48"/>
    <w:rsid w:val="00D42149"/>
    <w:pPr>
      <w:spacing w:line="240" w:lineRule="auto"/>
    </w:pPr>
    <w:tblPr>
      <w:tblStyleRowBandSize w:val="1"/>
      <w:tblStyleColBandSize w:val="1"/>
      <w:tblBorders>
        <w:top w:val="single" w:sz="4" w:space="0" w:color="D3F5FF" w:themeColor="accent2" w:themeTint="99"/>
        <w:left w:val="single" w:sz="4" w:space="0" w:color="D3F5FF" w:themeColor="accent2" w:themeTint="99"/>
        <w:bottom w:val="single" w:sz="4" w:space="0" w:color="D3F5FF" w:themeColor="accent2" w:themeTint="99"/>
        <w:right w:val="single" w:sz="4" w:space="0" w:color="D3F5FF" w:themeColor="accent2" w:themeTint="99"/>
        <w:insideH w:val="single" w:sz="4" w:space="0" w:color="D3F5FF" w:themeColor="accent2" w:themeTint="99"/>
        <w:insideV w:val="single" w:sz="4" w:space="0" w:color="D3F5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BFF" w:themeFill="accent2" w:themeFillTint="33"/>
      </w:tcPr>
    </w:tblStylePr>
    <w:tblStylePr w:type="band1Horz">
      <w:tblPr/>
      <w:tcPr>
        <w:shd w:val="clear" w:color="auto" w:fill="F0FBFF" w:themeFill="accent2" w:themeFillTint="33"/>
      </w:tcPr>
    </w:tblStylePr>
    <w:tblStylePr w:type="neCell">
      <w:tblPr/>
      <w:tcPr>
        <w:tcBorders>
          <w:bottom w:val="single" w:sz="4" w:space="0" w:color="D3F5FF" w:themeColor="accent2" w:themeTint="99"/>
        </w:tcBorders>
      </w:tcPr>
    </w:tblStylePr>
    <w:tblStylePr w:type="nwCell">
      <w:tblPr/>
      <w:tcPr>
        <w:tcBorders>
          <w:bottom w:val="single" w:sz="4" w:space="0" w:color="D3F5FF" w:themeColor="accent2" w:themeTint="99"/>
        </w:tcBorders>
      </w:tcPr>
    </w:tblStylePr>
    <w:tblStylePr w:type="seCell">
      <w:tblPr/>
      <w:tcPr>
        <w:tcBorders>
          <w:top w:val="single" w:sz="4" w:space="0" w:color="D3F5FF" w:themeColor="accent2" w:themeTint="99"/>
        </w:tcBorders>
      </w:tcPr>
    </w:tblStylePr>
    <w:tblStylePr w:type="swCell">
      <w:tblPr/>
      <w:tcPr>
        <w:tcBorders>
          <w:top w:val="single" w:sz="4" w:space="0" w:color="D3F5FF" w:themeColor="accent2" w:themeTint="99"/>
        </w:tcBorders>
      </w:tcPr>
    </w:tblStylePr>
  </w:style>
  <w:style w:type="table" w:styleId="GridTable3-Accent3">
    <w:name w:val="Grid Table 3 Accent 3"/>
    <w:basedOn w:val="TableNormal"/>
    <w:uiPriority w:val="48"/>
    <w:rsid w:val="00D42149"/>
    <w:pPr>
      <w:spacing w:line="240" w:lineRule="auto"/>
    </w:pPr>
    <w:tblPr>
      <w:tblStyleRowBandSize w:val="1"/>
      <w:tblStyleColBandSize w:val="1"/>
      <w:tblBorders>
        <w:top w:val="single" w:sz="4" w:space="0" w:color="D6C9FF" w:themeColor="accent3" w:themeTint="99"/>
        <w:left w:val="single" w:sz="4" w:space="0" w:color="D6C9FF" w:themeColor="accent3" w:themeTint="99"/>
        <w:bottom w:val="single" w:sz="4" w:space="0" w:color="D6C9FF" w:themeColor="accent3" w:themeTint="99"/>
        <w:right w:val="single" w:sz="4" w:space="0" w:color="D6C9FF" w:themeColor="accent3" w:themeTint="99"/>
        <w:insideH w:val="single" w:sz="4" w:space="0" w:color="D6C9FF" w:themeColor="accent3" w:themeTint="99"/>
        <w:insideV w:val="single" w:sz="4" w:space="0" w:color="D6C9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EDFF" w:themeFill="accent3" w:themeFillTint="33"/>
      </w:tcPr>
    </w:tblStylePr>
    <w:tblStylePr w:type="band1Horz">
      <w:tblPr/>
      <w:tcPr>
        <w:shd w:val="clear" w:color="auto" w:fill="F1EDFF" w:themeFill="accent3" w:themeFillTint="33"/>
      </w:tcPr>
    </w:tblStylePr>
    <w:tblStylePr w:type="neCell">
      <w:tblPr/>
      <w:tcPr>
        <w:tcBorders>
          <w:bottom w:val="single" w:sz="4" w:space="0" w:color="D6C9FF" w:themeColor="accent3" w:themeTint="99"/>
        </w:tcBorders>
      </w:tcPr>
    </w:tblStylePr>
    <w:tblStylePr w:type="nwCell">
      <w:tblPr/>
      <w:tcPr>
        <w:tcBorders>
          <w:bottom w:val="single" w:sz="4" w:space="0" w:color="D6C9FF" w:themeColor="accent3" w:themeTint="99"/>
        </w:tcBorders>
      </w:tcPr>
    </w:tblStylePr>
    <w:tblStylePr w:type="seCell">
      <w:tblPr/>
      <w:tcPr>
        <w:tcBorders>
          <w:top w:val="single" w:sz="4" w:space="0" w:color="D6C9FF" w:themeColor="accent3" w:themeTint="99"/>
        </w:tcBorders>
      </w:tcPr>
    </w:tblStylePr>
    <w:tblStylePr w:type="swCell">
      <w:tblPr/>
      <w:tcPr>
        <w:tcBorders>
          <w:top w:val="single" w:sz="4" w:space="0" w:color="D6C9FF" w:themeColor="accent3" w:themeTint="99"/>
        </w:tcBorders>
      </w:tcPr>
    </w:tblStylePr>
  </w:style>
  <w:style w:type="table" w:styleId="GridTable3-Accent4">
    <w:name w:val="Grid Table 3 Accent 4"/>
    <w:basedOn w:val="TableNormal"/>
    <w:uiPriority w:val="48"/>
    <w:rsid w:val="00D42149"/>
    <w:pPr>
      <w:spacing w:line="240" w:lineRule="auto"/>
    </w:pPr>
    <w:tblPr>
      <w:tblStyleRowBandSize w:val="1"/>
      <w:tblStyleColBandSize w:val="1"/>
      <w:tblBorders>
        <w:top w:val="single" w:sz="4" w:space="0" w:color="E8FFCF" w:themeColor="accent4" w:themeTint="99"/>
        <w:left w:val="single" w:sz="4" w:space="0" w:color="E8FFCF" w:themeColor="accent4" w:themeTint="99"/>
        <w:bottom w:val="single" w:sz="4" w:space="0" w:color="E8FFCF" w:themeColor="accent4" w:themeTint="99"/>
        <w:right w:val="single" w:sz="4" w:space="0" w:color="E8FFCF" w:themeColor="accent4" w:themeTint="99"/>
        <w:insideH w:val="single" w:sz="4" w:space="0" w:color="E8FFCF" w:themeColor="accent4" w:themeTint="99"/>
        <w:insideV w:val="single" w:sz="4" w:space="0" w:color="E8FFC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FEF" w:themeFill="accent4" w:themeFillTint="33"/>
      </w:tcPr>
    </w:tblStylePr>
    <w:tblStylePr w:type="band1Horz">
      <w:tblPr/>
      <w:tcPr>
        <w:shd w:val="clear" w:color="auto" w:fill="F7FFEF" w:themeFill="accent4" w:themeFillTint="33"/>
      </w:tcPr>
    </w:tblStylePr>
    <w:tblStylePr w:type="neCell">
      <w:tblPr/>
      <w:tcPr>
        <w:tcBorders>
          <w:bottom w:val="single" w:sz="4" w:space="0" w:color="E8FFCF" w:themeColor="accent4" w:themeTint="99"/>
        </w:tcBorders>
      </w:tcPr>
    </w:tblStylePr>
    <w:tblStylePr w:type="nwCell">
      <w:tblPr/>
      <w:tcPr>
        <w:tcBorders>
          <w:bottom w:val="single" w:sz="4" w:space="0" w:color="E8FFCF" w:themeColor="accent4" w:themeTint="99"/>
        </w:tcBorders>
      </w:tcPr>
    </w:tblStylePr>
    <w:tblStylePr w:type="seCell">
      <w:tblPr/>
      <w:tcPr>
        <w:tcBorders>
          <w:top w:val="single" w:sz="4" w:space="0" w:color="E8FFCF" w:themeColor="accent4" w:themeTint="99"/>
        </w:tcBorders>
      </w:tcPr>
    </w:tblStylePr>
    <w:tblStylePr w:type="swCell">
      <w:tblPr/>
      <w:tcPr>
        <w:tcBorders>
          <w:top w:val="single" w:sz="4" w:space="0" w:color="E8FFCF" w:themeColor="accent4" w:themeTint="99"/>
        </w:tcBorders>
      </w:tcPr>
    </w:tblStylePr>
  </w:style>
  <w:style w:type="table" w:styleId="GridTable3-Accent5">
    <w:name w:val="Grid Table 3 Accent 5"/>
    <w:basedOn w:val="TableNormal"/>
    <w:uiPriority w:val="48"/>
    <w:rsid w:val="00D42149"/>
    <w:pPr>
      <w:spacing w:line="240" w:lineRule="auto"/>
    </w:pPr>
    <w:tblPr>
      <w:tblStyleRowBandSize w:val="1"/>
      <w:tblStyleColBandSize w:val="1"/>
      <w:tblBorders>
        <w:top w:val="single" w:sz="4" w:space="0" w:color="FFD4A8" w:themeColor="accent5" w:themeTint="99"/>
        <w:left w:val="single" w:sz="4" w:space="0" w:color="FFD4A8" w:themeColor="accent5" w:themeTint="99"/>
        <w:bottom w:val="single" w:sz="4" w:space="0" w:color="FFD4A8" w:themeColor="accent5" w:themeTint="99"/>
        <w:right w:val="single" w:sz="4" w:space="0" w:color="FFD4A8" w:themeColor="accent5" w:themeTint="99"/>
        <w:insideH w:val="single" w:sz="4" w:space="0" w:color="FFD4A8" w:themeColor="accent5" w:themeTint="99"/>
        <w:insideV w:val="single" w:sz="4" w:space="0" w:color="FFD4A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0E2" w:themeFill="accent5" w:themeFillTint="33"/>
      </w:tcPr>
    </w:tblStylePr>
    <w:tblStylePr w:type="band1Horz">
      <w:tblPr/>
      <w:tcPr>
        <w:shd w:val="clear" w:color="auto" w:fill="FFF0E2" w:themeFill="accent5" w:themeFillTint="33"/>
      </w:tcPr>
    </w:tblStylePr>
    <w:tblStylePr w:type="neCell">
      <w:tblPr/>
      <w:tcPr>
        <w:tcBorders>
          <w:bottom w:val="single" w:sz="4" w:space="0" w:color="FFD4A8" w:themeColor="accent5" w:themeTint="99"/>
        </w:tcBorders>
      </w:tcPr>
    </w:tblStylePr>
    <w:tblStylePr w:type="nwCell">
      <w:tblPr/>
      <w:tcPr>
        <w:tcBorders>
          <w:bottom w:val="single" w:sz="4" w:space="0" w:color="FFD4A8" w:themeColor="accent5" w:themeTint="99"/>
        </w:tcBorders>
      </w:tcPr>
    </w:tblStylePr>
    <w:tblStylePr w:type="seCell">
      <w:tblPr/>
      <w:tcPr>
        <w:tcBorders>
          <w:top w:val="single" w:sz="4" w:space="0" w:color="FFD4A8" w:themeColor="accent5" w:themeTint="99"/>
        </w:tcBorders>
      </w:tcPr>
    </w:tblStylePr>
    <w:tblStylePr w:type="swCell">
      <w:tblPr/>
      <w:tcPr>
        <w:tcBorders>
          <w:top w:val="single" w:sz="4" w:space="0" w:color="FFD4A8" w:themeColor="accent5" w:themeTint="99"/>
        </w:tcBorders>
      </w:tcPr>
    </w:tblStylePr>
  </w:style>
  <w:style w:type="table" w:styleId="GridTable3-Accent6">
    <w:name w:val="Grid Table 3 Accent 6"/>
    <w:basedOn w:val="TableNormal"/>
    <w:uiPriority w:val="48"/>
    <w:rsid w:val="00D42149"/>
    <w:pPr>
      <w:spacing w:line="240" w:lineRule="auto"/>
    </w:pPr>
    <w:tblPr>
      <w:tblStyleRowBandSize w:val="1"/>
      <w:tblStyleColBandSize w:val="1"/>
      <w:tblBorders>
        <w:top w:val="single" w:sz="4" w:space="0" w:color="EAE5DE" w:themeColor="accent6" w:themeTint="99"/>
        <w:left w:val="single" w:sz="4" w:space="0" w:color="EAE5DE" w:themeColor="accent6" w:themeTint="99"/>
        <w:bottom w:val="single" w:sz="4" w:space="0" w:color="EAE5DE" w:themeColor="accent6" w:themeTint="99"/>
        <w:right w:val="single" w:sz="4" w:space="0" w:color="EAE5DE" w:themeColor="accent6" w:themeTint="99"/>
        <w:insideH w:val="single" w:sz="4" w:space="0" w:color="EAE5DE" w:themeColor="accent6" w:themeTint="99"/>
        <w:insideV w:val="single" w:sz="4" w:space="0" w:color="EAE5D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6F4" w:themeFill="accent6" w:themeFillTint="33"/>
      </w:tcPr>
    </w:tblStylePr>
    <w:tblStylePr w:type="band1Horz">
      <w:tblPr/>
      <w:tcPr>
        <w:shd w:val="clear" w:color="auto" w:fill="F8F6F4" w:themeFill="accent6" w:themeFillTint="33"/>
      </w:tcPr>
    </w:tblStylePr>
    <w:tblStylePr w:type="neCell">
      <w:tblPr/>
      <w:tcPr>
        <w:tcBorders>
          <w:bottom w:val="single" w:sz="4" w:space="0" w:color="EAE5DE" w:themeColor="accent6" w:themeTint="99"/>
        </w:tcBorders>
      </w:tcPr>
    </w:tblStylePr>
    <w:tblStylePr w:type="nwCell">
      <w:tblPr/>
      <w:tcPr>
        <w:tcBorders>
          <w:bottom w:val="single" w:sz="4" w:space="0" w:color="EAE5DE" w:themeColor="accent6" w:themeTint="99"/>
        </w:tcBorders>
      </w:tcPr>
    </w:tblStylePr>
    <w:tblStylePr w:type="seCell">
      <w:tblPr/>
      <w:tcPr>
        <w:tcBorders>
          <w:top w:val="single" w:sz="4" w:space="0" w:color="EAE5DE" w:themeColor="accent6" w:themeTint="99"/>
        </w:tcBorders>
      </w:tcPr>
    </w:tblStylePr>
    <w:tblStylePr w:type="swCell">
      <w:tblPr/>
      <w:tcPr>
        <w:tcBorders>
          <w:top w:val="single" w:sz="4" w:space="0" w:color="EAE5DE" w:themeColor="accent6" w:themeTint="99"/>
        </w:tcBorders>
      </w:tcPr>
    </w:tblStylePr>
  </w:style>
  <w:style w:type="table" w:styleId="GridTable4">
    <w:name w:val="Grid Table 4"/>
    <w:basedOn w:val="TableNormal"/>
    <w:uiPriority w:val="49"/>
    <w:rsid w:val="00D4214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42149"/>
    <w:pPr>
      <w:spacing w:line="240" w:lineRule="auto"/>
    </w:pPr>
    <w:tblPr>
      <w:tblStyleRowBandSize w:val="1"/>
      <w:tblStyleColBandSize w:val="1"/>
      <w:tblBorders>
        <w:top w:val="single" w:sz="4" w:space="0" w:color="2222FF" w:themeColor="accent1" w:themeTint="99"/>
        <w:left w:val="single" w:sz="4" w:space="0" w:color="2222FF" w:themeColor="accent1" w:themeTint="99"/>
        <w:bottom w:val="single" w:sz="4" w:space="0" w:color="2222FF" w:themeColor="accent1" w:themeTint="99"/>
        <w:right w:val="single" w:sz="4" w:space="0" w:color="2222FF" w:themeColor="accent1" w:themeTint="99"/>
        <w:insideH w:val="single" w:sz="4" w:space="0" w:color="2222FF" w:themeColor="accent1" w:themeTint="99"/>
        <w:insideV w:val="single" w:sz="4" w:space="0" w:color="2222FF" w:themeColor="accent1" w:themeTint="99"/>
      </w:tblBorders>
    </w:tblPr>
    <w:tblStylePr w:type="firstRow">
      <w:rPr>
        <w:b/>
        <w:bCs/>
        <w:color w:val="FFFFFF" w:themeColor="background1"/>
      </w:rPr>
      <w:tblPr/>
      <w:tcPr>
        <w:tcBorders>
          <w:top w:val="single" w:sz="4" w:space="0" w:color="00008F" w:themeColor="accent1"/>
          <w:left w:val="single" w:sz="4" w:space="0" w:color="00008F" w:themeColor="accent1"/>
          <w:bottom w:val="single" w:sz="4" w:space="0" w:color="00008F" w:themeColor="accent1"/>
          <w:right w:val="single" w:sz="4" w:space="0" w:color="00008F" w:themeColor="accent1"/>
          <w:insideH w:val="nil"/>
          <w:insideV w:val="nil"/>
        </w:tcBorders>
        <w:shd w:val="clear" w:color="auto" w:fill="00008F" w:themeFill="accent1"/>
      </w:tcPr>
    </w:tblStylePr>
    <w:tblStylePr w:type="lastRow">
      <w:rPr>
        <w:b/>
        <w:bCs/>
      </w:rPr>
      <w:tblPr/>
      <w:tcPr>
        <w:tcBorders>
          <w:top w:val="double" w:sz="4" w:space="0" w:color="00008F" w:themeColor="accent1"/>
        </w:tcBorders>
      </w:tcPr>
    </w:tblStylePr>
    <w:tblStylePr w:type="firstCol">
      <w:rPr>
        <w:b/>
        <w:bCs/>
      </w:rPr>
    </w:tblStylePr>
    <w:tblStylePr w:type="lastCol">
      <w:rPr>
        <w:b/>
        <w:bCs/>
      </w:rPr>
    </w:tblStylePr>
    <w:tblStylePr w:type="band1Vert">
      <w:tblPr/>
      <w:tcPr>
        <w:shd w:val="clear" w:color="auto" w:fill="B5B5FF" w:themeFill="accent1" w:themeFillTint="33"/>
      </w:tcPr>
    </w:tblStylePr>
    <w:tblStylePr w:type="band1Horz">
      <w:tblPr/>
      <w:tcPr>
        <w:shd w:val="clear" w:color="auto" w:fill="B5B5FF" w:themeFill="accent1" w:themeFillTint="33"/>
      </w:tcPr>
    </w:tblStylePr>
  </w:style>
  <w:style w:type="table" w:styleId="GridTable4-Accent2">
    <w:name w:val="Grid Table 4 Accent 2"/>
    <w:basedOn w:val="TableNormal"/>
    <w:uiPriority w:val="49"/>
    <w:rsid w:val="00D42149"/>
    <w:pPr>
      <w:spacing w:line="240" w:lineRule="auto"/>
    </w:pPr>
    <w:tblPr>
      <w:tblStyleRowBandSize w:val="1"/>
      <w:tblStyleColBandSize w:val="1"/>
      <w:tblBorders>
        <w:top w:val="single" w:sz="4" w:space="0" w:color="D3F5FF" w:themeColor="accent2" w:themeTint="99"/>
        <w:left w:val="single" w:sz="4" w:space="0" w:color="D3F5FF" w:themeColor="accent2" w:themeTint="99"/>
        <w:bottom w:val="single" w:sz="4" w:space="0" w:color="D3F5FF" w:themeColor="accent2" w:themeTint="99"/>
        <w:right w:val="single" w:sz="4" w:space="0" w:color="D3F5FF" w:themeColor="accent2" w:themeTint="99"/>
        <w:insideH w:val="single" w:sz="4" w:space="0" w:color="D3F5FF" w:themeColor="accent2" w:themeTint="99"/>
        <w:insideV w:val="single" w:sz="4" w:space="0" w:color="D3F5FF" w:themeColor="accent2" w:themeTint="99"/>
      </w:tblBorders>
    </w:tblPr>
    <w:tblStylePr w:type="firstRow">
      <w:rPr>
        <w:b/>
        <w:bCs/>
        <w:color w:val="FFFFFF" w:themeColor="background1"/>
      </w:rPr>
      <w:tblPr/>
      <w:tcPr>
        <w:tcBorders>
          <w:top w:val="single" w:sz="4" w:space="0" w:color="B6F0FF" w:themeColor="accent2"/>
          <w:left w:val="single" w:sz="4" w:space="0" w:color="B6F0FF" w:themeColor="accent2"/>
          <w:bottom w:val="single" w:sz="4" w:space="0" w:color="B6F0FF" w:themeColor="accent2"/>
          <w:right w:val="single" w:sz="4" w:space="0" w:color="B6F0FF" w:themeColor="accent2"/>
          <w:insideH w:val="nil"/>
          <w:insideV w:val="nil"/>
        </w:tcBorders>
        <w:shd w:val="clear" w:color="auto" w:fill="B6F0FF" w:themeFill="accent2"/>
      </w:tcPr>
    </w:tblStylePr>
    <w:tblStylePr w:type="lastRow">
      <w:rPr>
        <w:b/>
        <w:bCs/>
      </w:rPr>
      <w:tblPr/>
      <w:tcPr>
        <w:tcBorders>
          <w:top w:val="double" w:sz="4" w:space="0" w:color="B6F0FF" w:themeColor="accent2"/>
        </w:tcBorders>
      </w:tcPr>
    </w:tblStylePr>
    <w:tblStylePr w:type="firstCol">
      <w:rPr>
        <w:b/>
        <w:bCs/>
      </w:rPr>
    </w:tblStylePr>
    <w:tblStylePr w:type="lastCol">
      <w:rPr>
        <w:b/>
        <w:bCs/>
      </w:rPr>
    </w:tblStylePr>
    <w:tblStylePr w:type="band1Vert">
      <w:tblPr/>
      <w:tcPr>
        <w:shd w:val="clear" w:color="auto" w:fill="F0FBFF" w:themeFill="accent2" w:themeFillTint="33"/>
      </w:tcPr>
    </w:tblStylePr>
    <w:tblStylePr w:type="band1Horz">
      <w:tblPr/>
      <w:tcPr>
        <w:shd w:val="clear" w:color="auto" w:fill="F0FBFF" w:themeFill="accent2" w:themeFillTint="33"/>
      </w:tcPr>
    </w:tblStylePr>
  </w:style>
  <w:style w:type="table" w:styleId="GridTable4-Accent3">
    <w:name w:val="Grid Table 4 Accent 3"/>
    <w:basedOn w:val="TableNormal"/>
    <w:uiPriority w:val="49"/>
    <w:rsid w:val="00D42149"/>
    <w:pPr>
      <w:spacing w:line="240" w:lineRule="auto"/>
    </w:pPr>
    <w:tblPr>
      <w:tblStyleRowBandSize w:val="1"/>
      <w:tblStyleColBandSize w:val="1"/>
      <w:tblBorders>
        <w:top w:val="single" w:sz="4" w:space="0" w:color="D6C9FF" w:themeColor="accent3" w:themeTint="99"/>
        <w:left w:val="single" w:sz="4" w:space="0" w:color="D6C9FF" w:themeColor="accent3" w:themeTint="99"/>
        <w:bottom w:val="single" w:sz="4" w:space="0" w:color="D6C9FF" w:themeColor="accent3" w:themeTint="99"/>
        <w:right w:val="single" w:sz="4" w:space="0" w:color="D6C9FF" w:themeColor="accent3" w:themeTint="99"/>
        <w:insideH w:val="single" w:sz="4" w:space="0" w:color="D6C9FF" w:themeColor="accent3" w:themeTint="99"/>
        <w:insideV w:val="single" w:sz="4" w:space="0" w:color="D6C9FF" w:themeColor="accent3" w:themeTint="99"/>
      </w:tblBorders>
    </w:tblPr>
    <w:tblStylePr w:type="firstRow">
      <w:rPr>
        <w:b/>
        <w:bCs/>
        <w:color w:val="FFFFFF" w:themeColor="background1"/>
      </w:rPr>
      <w:tblPr/>
      <w:tcPr>
        <w:tcBorders>
          <w:top w:val="single" w:sz="4" w:space="0" w:color="BBA5FF" w:themeColor="accent3"/>
          <w:left w:val="single" w:sz="4" w:space="0" w:color="BBA5FF" w:themeColor="accent3"/>
          <w:bottom w:val="single" w:sz="4" w:space="0" w:color="BBA5FF" w:themeColor="accent3"/>
          <w:right w:val="single" w:sz="4" w:space="0" w:color="BBA5FF" w:themeColor="accent3"/>
          <w:insideH w:val="nil"/>
          <w:insideV w:val="nil"/>
        </w:tcBorders>
        <w:shd w:val="clear" w:color="auto" w:fill="BBA5FF" w:themeFill="accent3"/>
      </w:tcPr>
    </w:tblStylePr>
    <w:tblStylePr w:type="lastRow">
      <w:rPr>
        <w:b/>
        <w:bCs/>
      </w:rPr>
      <w:tblPr/>
      <w:tcPr>
        <w:tcBorders>
          <w:top w:val="double" w:sz="4" w:space="0" w:color="BBA5FF" w:themeColor="accent3"/>
        </w:tcBorders>
      </w:tcPr>
    </w:tblStylePr>
    <w:tblStylePr w:type="firstCol">
      <w:rPr>
        <w:b/>
        <w:bCs/>
      </w:rPr>
    </w:tblStylePr>
    <w:tblStylePr w:type="lastCol">
      <w:rPr>
        <w:b/>
        <w:bCs/>
      </w:rPr>
    </w:tblStylePr>
    <w:tblStylePr w:type="band1Vert">
      <w:tblPr/>
      <w:tcPr>
        <w:shd w:val="clear" w:color="auto" w:fill="F1EDFF" w:themeFill="accent3" w:themeFillTint="33"/>
      </w:tcPr>
    </w:tblStylePr>
    <w:tblStylePr w:type="band1Horz">
      <w:tblPr/>
      <w:tcPr>
        <w:shd w:val="clear" w:color="auto" w:fill="F1EDFF" w:themeFill="accent3" w:themeFillTint="33"/>
      </w:tcPr>
    </w:tblStylePr>
  </w:style>
  <w:style w:type="table" w:styleId="GridTable4-Accent4">
    <w:name w:val="Grid Table 4 Accent 4"/>
    <w:basedOn w:val="TableNormal"/>
    <w:uiPriority w:val="49"/>
    <w:rsid w:val="00D42149"/>
    <w:pPr>
      <w:spacing w:line="240" w:lineRule="auto"/>
    </w:pPr>
    <w:tblPr>
      <w:tblStyleRowBandSize w:val="1"/>
      <w:tblStyleColBandSize w:val="1"/>
      <w:tblBorders>
        <w:top w:val="single" w:sz="4" w:space="0" w:color="E8FFCF" w:themeColor="accent4" w:themeTint="99"/>
        <w:left w:val="single" w:sz="4" w:space="0" w:color="E8FFCF" w:themeColor="accent4" w:themeTint="99"/>
        <w:bottom w:val="single" w:sz="4" w:space="0" w:color="E8FFCF" w:themeColor="accent4" w:themeTint="99"/>
        <w:right w:val="single" w:sz="4" w:space="0" w:color="E8FFCF" w:themeColor="accent4" w:themeTint="99"/>
        <w:insideH w:val="single" w:sz="4" w:space="0" w:color="E8FFCF" w:themeColor="accent4" w:themeTint="99"/>
        <w:insideV w:val="single" w:sz="4" w:space="0" w:color="E8FFCF" w:themeColor="accent4" w:themeTint="99"/>
      </w:tblBorders>
    </w:tblPr>
    <w:tblStylePr w:type="firstRow">
      <w:rPr>
        <w:b/>
        <w:bCs/>
        <w:color w:val="FFFFFF" w:themeColor="background1"/>
      </w:rPr>
      <w:tblPr/>
      <w:tcPr>
        <w:tcBorders>
          <w:top w:val="single" w:sz="4" w:space="0" w:color="DAFFAF" w:themeColor="accent4"/>
          <w:left w:val="single" w:sz="4" w:space="0" w:color="DAFFAF" w:themeColor="accent4"/>
          <w:bottom w:val="single" w:sz="4" w:space="0" w:color="DAFFAF" w:themeColor="accent4"/>
          <w:right w:val="single" w:sz="4" w:space="0" w:color="DAFFAF" w:themeColor="accent4"/>
          <w:insideH w:val="nil"/>
          <w:insideV w:val="nil"/>
        </w:tcBorders>
        <w:shd w:val="clear" w:color="auto" w:fill="DAFFAF" w:themeFill="accent4"/>
      </w:tcPr>
    </w:tblStylePr>
    <w:tblStylePr w:type="lastRow">
      <w:rPr>
        <w:b/>
        <w:bCs/>
      </w:rPr>
      <w:tblPr/>
      <w:tcPr>
        <w:tcBorders>
          <w:top w:val="double" w:sz="4" w:space="0" w:color="DAFFAF" w:themeColor="accent4"/>
        </w:tcBorders>
      </w:tcPr>
    </w:tblStylePr>
    <w:tblStylePr w:type="firstCol">
      <w:rPr>
        <w:b/>
        <w:bCs/>
      </w:rPr>
    </w:tblStylePr>
    <w:tblStylePr w:type="lastCol">
      <w:rPr>
        <w:b/>
        <w:bCs/>
      </w:rPr>
    </w:tblStylePr>
    <w:tblStylePr w:type="band1Vert">
      <w:tblPr/>
      <w:tcPr>
        <w:shd w:val="clear" w:color="auto" w:fill="F7FFEF" w:themeFill="accent4" w:themeFillTint="33"/>
      </w:tcPr>
    </w:tblStylePr>
    <w:tblStylePr w:type="band1Horz">
      <w:tblPr/>
      <w:tcPr>
        <w:shd w:val="clear" w:color="auto" w:fill="F7FFEF" w:themeFill="accent4" w:themeFillTint="33"/>
      </w:tcPr>
    </w:tblStylePr>
  </w:style>
  <w:style w:type="table" w:styleId="GridTable4-Accent5">
    <w:name w:val="Grid Table 4 Accent 5"/>
    <w:basedOn w:val="TableNormal"/>
    <w:uiPriority w:val="49"/>
    <w:rsid w:val="00D42149"/>
    <w:pPr>
      <w:spacing w:line="240" w:lineRule="auto"/>
    </w:pPr>
    <w:tblPr>
      <w:tblStyleRowBandSize w:val="1"/>
      <w:tblStyleColBandSize w:val="1"/>
      <w:tblBorders>
        <w:top w:val="single" w:sz="4" w:space="0" w:color="FFD4A8" w:themeColor="accent5" w:themeTint="99"/>
        <w:left w:val="single" w:sz="4" w:space="0" w:color="FFD4A8" w:themeColor="accent5" w:themeTint="99"/>
        <w:bottom w:val="single" w:sz="4" w:space="0" w:color="FFD4A8" w:themeColor="accent5" w:themeTint="99"/>
        <w:right w:val="single" w:sz="4" w:space="0" w:color="FFD4A8" w:themeColor="accent5" w:themeTint="99"/>
        <w:insideH w:val="single" w:sz="4" w:space="0" w:color="FFD4A8" w:themeColor="accent5" w:themeTint="99"/>
        <w:insideV w:val="single" w:sz="4" w:space="0" w:color="FFD4A8" w:themeColor="accent5" w:themeTint="99"/>
      </w:tblBorders>
    </w:tblPr>
    <w:tblStylePr w:type="firstRow">
      <w:rPr>
        <w:b/>
        <w:bCs/>
        <w:color w:val="FFFFFF" w:themeColor="background1"/>
      </w:rPr>
      <w:tblPr/>
      <w:tcPr>
        <w:tcBorders>
          <w:top w:val="single" w:sz="4" w:space="0" w:color="FFB96F" w:themeColor="accent5"/>
          <w:left w:val="single" w:sz="4" w:space="0" w:color="FFB96F" w:themeColor="accent5"/>
          <w:bottom w:val="single" w:sz="4" w:space="0" w:color="FFB96F" w:themeColor="accent5"/>
          <w:right w:val="single" w:sz="4" w:space="0" w:color="FFB96F" w:themeColor="accent5"/>
          <w:insideH w:val="nil"/>
          <w:insideV w:val="nil"/>
        </w:tcBorders>
        <w:shd w:val="clear" w:color="auto" w:fill="FFB96F" w:themeFill="accent5"/>
      </w:tcPr>
    </w:tblStylePr>
    <w:tblStylePr w:type="lastRow">
      <w:rPr>
        <w:b/>
        <w:bCs/>
      </w:rPr>
      <w:tblPr/>
      <w:tcPr>
        <w:tcBorders>
          <w:top w:val="double" w:sz="4" w:space="0" w:color="FFB96F" w:themeColor="accent5"/>
        </w:tcBorders>
      </w:tcPr>
    </w:tblStylePr>
    <w:tblStylePr w:type="firstCol">
      <w:rPr>
        <w:b/>
        <w:bCs/>
      </w:rPr>
    </w:tblStylePr>
    <w:tblStylePr w:type="lastCol">
      <w:rPr>
        <w:b/>
        <w:bCs/>
      </w:rPr>
    </w:tblStylePr>
    <w:tblStylePr w:type="band1Vert">
      <w:tblPr/>
      <w:tcPr>
        <w:shd w:val="clear" w:color="auto" w:fill="FFF0E2" w:themeFill="accent5" w:themeFillTint="33"/>
      </w:tcPr>
    </w:tblStylePr>
    <w:tblStylePr w:type="band1Horz">
      <w:tblPr/>
      <w:tcPr>
        <w:shd w:val="clear" w:color="auto" w:fill="FFF0E2" w:themeFill="accent5" w:themeFillTint="33"/>
      </w:tcPr>
    </w:tblStylePr>
  </w:style>
  <w:style w:type="table" w:styleId="GridTable4-Accent6">
    <w:name w:val="Grid Table 4 Accent 6"/>
    <w:basedOn w:val="TableNormal"/>
    <w:uiPriority w:val="49"/>
    <w:rsid w:val="00D42149"/>
    <w:pPr>
      <w:spacing w:line="240" w:lineRule="auto"/>
    </w:pPr>
    <w:tblPr>
      <w:tblStyleRowBandSize w:val="1"/>
      <w:tblStyleColBandSize w:val="1"/>
      <w:tblBorders>
        <w:top w:val="single" w:sz="4" w:space="0" w:color="EAE5DE" w:themeColor="accent6" w:themeTint="99"/>
        <w:left w:val="single" w:sz="4" w:space="0" w:color="EAE5DE" w:themeColor="accent6" w:themeTint="99"/>
        <w:bottom w:val="single" w:sz="4" w:space="0" w:color="EAE5DE" w:themeColor="accent6" w:themeTint="99"/>
        <w:right w:val="single" w:sz="4" w:space="0" w:color="EAE5DE" w:themeColor="accent6" w:themeTint="99"/>
        <w:insideH w:val="single" w:sz="4" w:space="0" w:color="EAE5DE" w:themeColor="accent6" w:themeTint="99"/>
        <w:insideV w:val="single" w:sz="4" w:space="0" w:color="EAE5DE" w:themeColor="accent6" w:themeTint="99"/>
      </w:tblBorders>
    </w:tblPr>
    <w:tblStylePr w:type="firstRow">
      <w:rPr>
        <w:b/>
        <w:bCs/>
        <w:color w:val="FFFFFF" w:themeColor="background1"/>
      </w:rPr>
      <w:tblPr/>
      <w:tcPr>
        <w:tcBorders>
          <w:top w:val="single" w:sz="4" w:space="0" w:color="DDD4C9" w:themeColor="accent6"/>
          <w:left w:val="single" w:sz="4" w:space="0" w:color="DDD4C9" w:themeColor="accent6"/>
          <w:bottom w:val="single" w:sz="4" w:space="0" w:color="DDD4C9" w:themeColor="accent6"/>
          <w:right w:val="single" w:sz="4" w:space="0" w:color="DDD4C9" w:themeColor="accent6"/>
          <w:insideH w:val="nil"/>
          <w:insideV w:val="nil"/>
        </w:tcBorders>
        <w:shd w:val="clear" w:color="auto" w:fill="DDD4C9" w:themeFill="accent6"/>
      </w:tcPr>
    </w:tblStylePr>
    <w:tblStylePr w:type="lastRow">
      <w:rPr>
        <w:b/>
        <w:bCs/>
      </w:rPr>
      <w:tblPr/>
      <w:tcPr>
        <w:tcBorders>
          <w:top w:val="double" w:sz="4" w:space="0" w:color="DDD4C9" w:themeColor="accent6"/>
        </w:tcBorders>
      </w:tcPr>
    </w:tblStylePr>
    <w:tblStylePr w:type="firstCol">
      <w:rPr>
        <w:b/>
        <w:bCs/>
      </w:rPr>
    </w:tblStylePr>
    <w:tblStylePr w:type="lastCol">
      <w:rPr>
        <w:b/>
        <w:bCs/>
      </w:rPr>
    </w:tblStylePr>
    <w:tblStylePr w:type="band1Vert">
      <w:tblPr/>
      <w:tcPr>
        <w:shd w:val="clear" w:color="auto" w:fill="F8F6F4" w:themeFill="accent6" w:themeFillTint="33"/>
      </w:tcPr>
    </w:tblStylePr>
    <w:tblStylePr w:type="band1Horz">
      <w:tblPr/>
      <w:tcPr>
        <w:shd w:val="clear" w:color="auto" w:fill="F8F6F4" w:themeFill="accent6" w:themeFillTint="33"/>
      </w:tcPr>
    </w:tblStylePr>
  </w:style>
  <w:style w:type="table" w:styleId="GridTable5Dark">
    <w:name w:val="Grid Table 5 Dark"/>
    <w:basedOn w:val="TableNormal"/>
    <w:uiPriority w:val="50"/>
    <w:rsid w:val="00D4214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4214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B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F" w:themeFill="accent1"/>
      </w:tcPr>
    </w:tblStylePr>
    <w:tblStylePr w:type="band1Vert">
      <w:tblPr/>
      <w:tcPr>
        <w:shd w:val="clear" w:color="auto" w:fill="6C6CFF" w:themeFill="accent1" w:themeFillTint="66"/>
      </w:tcPr>
    </w:tblStylePr>
    <w:tblStylePr w:type="band1Horz">
      <w:tblPr/>
      <w:tcPr>
        <w:shd w:val="clear" w:color="auto" w:fill="6C6CFF" w:themeFill="accent1" w:themeFillTint="66"/>
      </w:tcPr>
    </w:tblStylePr>
  </w:style>
  <w:style w:type="table" w:styleId="GridTable5Dark-Accent2">
    <w:name w:val="Grid Table 5 Dark Accent 2"/>
    <w:basedOn w:val="TableNormal"/>
    <w:uiPriority w:val="50"/>
    <w:rsid w:val="00D4214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B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F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F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F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F0FF" w:themeFill="accent2"/>
      </w:tcPr>
    </w:tblStylePr>
    <w:tblStylePr w:type="band1Vert">
      <w:tblPr/>
      <w:tcPr>
        <w:shd w:val="clear" w:color="auto" w:fill="E1F8FF" w:themeFill="accent2" w:themeFillTint="66"/>
      </w:tcPr>
    </w:tblStylePr>
    <w:tblStylePr w:type="band1Horz">
      <w:tblPr/>
      <w:tcPr>
        <w:shd w:val="clear" w:color="auto" w:fill="E1F8FF" w:themeFill="accent2" w:themeFillTint="66"/>
      </w:tcPr>
    </w:tblStylePr>
  </w:style>
  <w:style w:type="table" w:styleId="GridTable5Dark-Accent3">
    <w:name w:val="Grid Table 5 Dark Accent 3"/>
    <w:basedOn w:val="TableNormal"/>
    <w:uiPriority w:val="50"/>
    <w:rsid w:val="00D4214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ED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BA5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BA5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BA5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BA5FF" w:themeFill="accent3"/>
      </w:tcPr>
    </w:tblStylePr>
    <w:tblStylePr w:type="band1Vert">
      <w:tblPr/>
      <w:tcPr>
        <w:shd w:val="clear" w:color="auto" w:fill="E3DBFF" w:themeFill="accent3" w:themeFillTint="66"/>
      </w:tcPr>
    </w:tblStylePr>
    <w:tblStylePr w:type="band1Horz">
      <w:tblPr/>
      <w:tcPr>
        <w:shd w:val="clear" w:color="auto" w:fill="E3DBFF" w:themeFill="accent3" w:themeFillTint="66"/>
      </w:tcPr>
    </w:tblStylePr>
  </w:style>
  <w:style w:type="table" w:styleId="GridTable5Dark-Accent4">
    <w:name w:val="Grid Table 5 Dark Accent 4"/>
    <w:basedOn w:val="TableNormal"/>
    <w:uiPriority w:val="50"/>
    <w:rsid w:val="00D4214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FFA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FFA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FFA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FFAF" w:themeFill="accent4"/>
      </w:tcPr>
    </w:tblStylePr>
    <w:tblStylePr w:type="band1Vert">
      <w:tblPr/>
      <w:tcPr>
        <w:shd w:val="clear" w:color="auto" w:fill="F0FFDF" w:themeFill="accent4" w:themeFillTint="66"/>
      </w:tcPr>
    </w:tblStylePr>
    <w:tblStylePr w:type="band1Horz">
      <w:tblPr/>
      <w:tcPr>
        <w:shd w:val="clear" w:color="auto" w:fill="F0FFDF" w:themeFill="accent4" w:themeFillTint="66"/>
      </w:tcPr>
    </w:tblStylePr>
  </w:style>
  <w:style w:type="table" w:styleId="GridTable5Dark-Accent5">
    <w:name w:val="Grid Table 5 Dark Accent 5"/>
    <w:basedOn w:val="TableNormal"/>
    <w:uiPriority w:val="50"/>
    <w:rsid w:val="00D4214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0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B96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B96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B96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B96F" w:themeFill="accent5"/>
      </w:tcPr>
    </w:tblStylePr>
    <w:tblStylePr w:type="band1Vert">
      <w:tblPr/>
      <w:tcPr>
        <w:shd w:val="clear" w:color="auto" w:fill="FFE2C5" w:themeFill="accent5" w:themeFillTint="66"/>
      </w:tcPr>
    </w:tblStylePr>
    <w:tblStylePr w:type="band1Horz">
      <w:tblPr/>
      <w:tcPr>
        <w:shd w:val="clear" w:color="auto" w:fill="FFE2C5" w:themeFill="accent5" w:themeFillTint="66"/>
      </w:tcPr>
    </w:tblStylePr>
  </w:style>
  <w:style w:type="table" w:styleId="GridTable5Dark-Accent6">
    <w:name w:val="Grid Table 5 Dark Accent 6"/>
    <w:basedOn w:val="TableNormal"/>
    <w:uiPriority w:val="50"/>
    <w:rsid w:val="00D4214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6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4C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4C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4C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4C9" w:themeFill="accent6"/>
      </w:tcPr>
    </w:tblStylePr>
    <w:tblStylePr w:type="band1Vert">
      <w:tblPr/>
      <w:tcPr>
        <w:shd w:val="clear" w:color="auto" w:fill="F1EDE9" w:themeFill="accent6" w:themeFillTint="66"/>
      </w:tcPr>
    </w:tblStylePr>
    <w:tblStylePr w:type="band1Horz">
      <w:tblPr/>
      <w:tcPr>
        <w:shd w:val="clear" w:color="auto" w:fill="F1EDE9" w:themeFill="accent6" w:themeFillTint="66"/>
      </w:tcPr>
    </w:tblStylePr>
  </w:style>
  <w:style w:type="table" w:styleId="GridTable6Colorful">
    <w:name w:val="Grid Table 6 Colorful"/>
    <w:basedOn w:val="TableNormal"/>
    <w:uiPriority w:val="51"/>
    <w:rsid w:val="00D4214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42149"/>
    <w:pPr>
      <w:spacing w:line="240" w:lineRule="auto"/>
    </w:pPr>
    <w:rPr>
      <w:color w:val="00006B" w:themeColor="accent1" w:themeShade="BF"/>
    </w:rPr>
    <w:tblPr>
      <w:tblStyleRowBandSize w:val="1"/>
      <w:tblStyleColBandSize w:val="1"/>
      <w:tblBorders>
        <w:top w:val="single" w:sz="4" w:space="0" w:color="2222FF" w:themeColor="accent1" w:themeTint="99"/>
        <w:left w:val="single" w:sz="4" w:space="0" w:color="2222FF" w:themeColor="accent1" w:themeTint="99"/>
        <w:bottom w:val="single" w:sz="4" w:space="0" w:color="2222FF" w:themeColor="accent1" w:themeTint="99"/>
        <w:right w:val="single" w:sz="4" w:space="0" w:color="2222FF" w:themeColor="accent1" w:themeTint="99"/>
        <w:insideH w:val="single" w:sz="4" w:space="0" w:color="2222FF" w:themeColor="accent1" w:themeTint="99"/>
        <w:insideV w:val="single" w:sz="4" w:space="0" w:color="2222FF" w:themeColor="accent1" w:themeTint="99"/>
      </w:tblBorders>
    </w:tblPr>
    <w:tblStylePr w:type="firstRow">
      <w:rPr>
        <w:b/>
        <w:bCs/>
      </w:rPr>
      <w:tblPr/>
      <w:tcPr>
        <w:tcBorders>
          <w:bottom w:val="single" w:sz="12" w:space="0" w:color="2222FF" w:themeColor="accent1" w:themeTint="99"/>
        </w:tcBorders>
      </w:tcPr>
    </w:tblStylePr>
    <w:tblStylePr w:type="lastRow">
      <w:rPr>
        <w:b/>
        <w:bCs/>
      </w:rPr>
      <w:tblPr/>
      <w:tcPr>
        <w:tcBorders>
          <w:top w:val="double" w:sz="4" w:space="0" w:color="2222FF" w:themeColor="accent1" w:themeTint="99"/>
        </w:tcBorders>
      </w:tcPr>
    </w:tblStylePr>
    <w:tblStylePr w:type="firstCol">
      <w:rPr>
        <w:b/>
        <w:bCs/>
      </w:rPr>
    </w:tblStylePr>
    <w:tblStylePr w:type="lastCol">
      <w:rPr>
        <w:b/>
        <w:bCs/>
      </w:rPr>
    </w:tblStylePr>
    <w:tblStylePr w:type="band1Vert">
      <w:tblPr/>
      <w:tcPr>
        <w:shd w:val="clear" w:color="auto" w:fill="B5B5FF" w:themeFill="accent1" w:themeFillTint="33"/>
      </w:tcPr>
    </w:tblStylePr>
    <w:tblStylePr w:type="band1Horz">
      <w:tblPr/>
      <w:tcPr>
        <w:shd w:val="clear" w:color="auto" w:fill="B5B5FF" w:themeFill="accent1" w:themeFillTint="33"/>
      </w:tcPr>
    </w:tblStylePr>
  </w:style>
  <w:style w:type="table" w:styleId="GridTable6Colorful-Accent2">
    <w:name w:val="Grid Table 6 Colorful Accent 2"/>
    <w:basedOn w:val="TableNormal"/>
    <w:uiPriority w:val="51"/>
    <w:rsid w:val="00D42149"/>
    <w:pPr>
      <w:spacing w:line="240" w:lineRule="auto"/>
    </w:pPr>
    <w:rPr>
      <w:color w:val="48D8FF" w:themeColor="accent2" w:themeShade="BF"/>
    </w:rPr>
    <w:tblPr>
      <w:tblStyleRowBandSize w:val="1"/>
      <w:tblStyleColBandSize w:val="1"/>
      <w:tblBorders>
        <w:top w:val="single" w:sz="4" w:space="0" w:color="D3F5FF" w:themeColor="accent2" w:themeTint="99"/>
        <w:left w:val="single" w:sz="4" w:space="0" w:color="D3F5FF" w:themeColor="accent2" w:themeTint="99"/>
        <w:bottom w:val="single" w:sz="4" w:space="0" w:color="D3F5FF" w:themeColor="accent2" w:themeTint="99"/>
        <w:right w:val="single" w:sz="4" w:space="0" w:color="D3F5FF" w:themeColor="accent2" w:themeTint="99"/>
        <w:insideH w:val="single" w:sz="4" w:space="0" w:color="D3F5FF" w:themeColor="accent2" w:themeTint="99"/>
        <w:insideV w:val="single" w:sz="4" w:space="0" w:color="D3F5FF" w:themeColor="accent2" w:themeTint="99"/>
      </w:tblBorders>
    </w:tblPr>
    <w:tblStylePr w:type="firstRow">
      <w:rPr>
        <w:b/>
        <w:bCs/>
      </w:rPr>
      <w:tblPr/>
      <w:tcPr>
        <w:tcBorders>
          <w:bottom w:val="single" w:sz="12" w:space="0" w:color="D3F5FF" w:themeColor="accent2" w:themeTint="99"/>
        </w:tcBorders>
      </w:tcPr>
    </w:tblStylePr>
    <w:tblStylePr w:type="lastRow">
      <w:rPr>
        <w:b/>
        <w:bCs/>
      </w:rPr>
      <w:tblPr/>
      <w:tcPr>
        <w:tcBorders>
          <w:top w:val="double" w:sz="4" w:space="0" w:color="D3F5FF" w:themeColor="accent2" w:themeTint="99"/>
        </w:tcBorders>
      </w:tcPr>
    </w:tblStylePr>
    <w:tblStylePr w:type="firstCol">
      <w:rPr>
        <w:b/>
        <w:bCs/>
      </w:rPr>
    </w:tblStylePr>
    <w:tblStylePr w:type="lastCol">
      <w:rPr>
        <w:b/>
        <w:bCs/>
      </w:rPr>
    </w:tblStylePr>
    <w:tblStylePr w:type="band1Vert">
      <w:tblPr/>
      <w:tcPr>
        <w:shd w:val="clear" w:color="auto" w:fill="F0FBFF" w:themeFill="accent2" w:themeFillTint="33"/>
      </w:tcPr>
    </w:tblStylePr>
    <w:tblStylePr w:type="band1Horz">
      <w:tblPr/>
      <w:tcPr>
        <w:shd w:val="clear" w:color="auto" w:fill="F0FBFF" w:themeFill="accent2" w:themeFillTint="33"/>
      </w:tcPr>
    </w:tblStylePr>
  </w:style>
  <w:style w:type="table" w:styleId="GridTable6Colorful-Accent3">
    <w:name w:val="Grid Table 6 Colorful Accent 3"/>
    <w:basedOn w:val="TableNormal"/>
    <w:uiPriority w:val="51"/>
    <w:rsid w:val="00D42149"/>
    <w:pPr>
      <w:spacing w:line="240" w:lineRule="auto"/>
    </w:pPr>
    <w:rPr>
      <w:color w:val="6A3BFF" w:themeColor="accent3" w:themeShade="BF"/>
    </w:rPr>
    <w:tblPr>
      <w:tblStyleRowBandSize w:val="1"/>
      <w:tblStyleColBandSize w:val="1"/>
      <w:tblBorders>
        <w:top w:val="single" w:sz="4" w:space="0" w:color="D6C9FF" w:themeColor="accent3" w:themeTint="99"/>
        <w:left w:val="single" w:sz="4" w:space="0" w:color="D6C9FF" w:themeColor="accent3" w:themeTint="99"/>
        <w:bottom w:val="single" w:sz="4" w:space="0" w:color="D6C9FF" w:themeColor="accent3" w:themeTint="99"/>
        <w:right w:val="single" w:sz="4" w:space="0" w:color="D6C9FF" w:themeColor="accent3" w:themeTint="99"/>
        <w:insideH w:val="single" w:sz="4" w:space="0" w:color="D6C9FF" w:themeColor="accent3" w:themeTint="99"/>
        <w:insideV w:val="single" w:sz="4" w:space="0" w:color="D6C9FF" w:themeColor="accent3" w:themeTint="99"/>
      </w:tblBorders>
    </w:tblPr>
    <w:tblStylePr w:type="firstRow">
      <w:rPr>
        <w:b/>
        <w:bCs/>
      </w:rPr>
      <w:tblPr/>
      <w:tcPr>
        <w:tcBorders>
          <w:bottom w:val="single" w:sz="12" w:space="0" w:color="D6C9FF" w:themeColor="accent3" w:themeTint="99"/>
        </w:tcBorders>
      </w:tcPr>
    </w:tblStylePr>
    <w:tblStylePr w:type="lastRow">
      <w:rPr>
        <w:b/>
        <w:bCs/>
      </w:rPr>
      <w:tblPr/>
      <w:tcPr>
        <w:tcBorders>
          <w:top w:val="double" w:sz="4" w:space="0" w:color="D6C9FF" w:themeColor="accent3" w:themeTint="99"/>
        </w:tcBorders>
      </w:tcPr>
    </w:tblStylePr>
    <w:tblStylePr w:type="firstCol">
      <w:rPr>
        <w:b/>
        <w:bCs/>
      </w:rPr>
    </w:tblStylePr>
    <w:tblStylePr w:type="lastCol">
      <w:rPr>
        <w:b/>
        <w:bCs/>
      </w:rPr>
    </w:tblStylePr>
    <w:tblStylePr w:type="band1Vert">
      <w:tblPr/>
      <w:tcPr>
        <w:shd w:val="clear" w:color="auto" w:fill="F1EDFF" w:themeFill="accent3" w:themeFillTint="33"/>
      </w:tcPr>
    </w:tblStylePr>
    <w:tblStylePr w:type="band1Horz">
      <w:tblPr/>
      <w:tcPr>
        <w:shd w:val="clear" w:color="auto" w:fill="F1EDFF" w:themeFill="accent3" w:themeFillTint="33"/>
      </w:tcPr>
    </w:tblStylePr>
  </w:style>
  <w:style w:type="table" w:styleId="GridTable6Colorful-Accent4">
    <w:name w:val="Grid Table 6 Colorful Accent 4"/>
    <w:basedOn w:val="TableNormal"/>
    <w:uiPriority w:val="51"/>
    <w:rsid w:val="00D42149"/>
    <w:pPr>
      <w:spacing w:line="240" w:lineRule="auto"/>
    </w:pPr>
    <w:rPr>
      <w:color w:val="A8FF43" w:themeColor="accent4" w:themeShade="BF"/>
    </w:rPr>
    <w:tblPr>
      <w:tblStyleRowBandSize w:val="1"/>
      <w:tblStyleColBandSize w:val="1"/>
      <w:tblBorders>
        <w:top w:val="single" w:sz="4" w:space="0" w:color="E8FFCF" w:themeColor="accent4" w:themeTint="99"/>
        <w:left w:val="single" w:sz="4" w:space="0" w:color="E8FFCF" w:themeColor="accent4" w:themeTint="99"/>
        <w:bottom w:val="single" w:sz="4" w:space="0" w:color="E8FFCF" w:themeColor="accent4" w:themeTint="99"/>
        <w:right w:val="single" w:sz="4" w:space="0" w:color="E8FFCF" w:themeColor="accent4" w:themeTint="99"/>
        <w:insideH w:val="single" w:sz="4" w:space="0" w:color="E8FFCF" w:themeColor="accent4" w:themeTint="99"/>
        <w:insideV w:val="single" w:sz="4" w:space="0" w:color="E8FFCF" w:themeColor="accent4" w:themeTint="99"/>
      </w:tblBorders>
    </w:tblPr>
    <w:tblStylePr w:type="firstRow">
      <w:rPr>
        <w:b/>
        <w:bCs/>
      </w:rPr>
      <w:tblPr/>
      <w:tcPr>
        <w:tcBorders>
          <w:bottom w:val="single" w:sz="12" w:space="0" w:color="E8FFCF" w:themeColor="accent4" w:themeTint="99"/>
        </w:tcBorders>
      </w:tcPr>
    </w:tblStylePr>
    <w:tblStylePr w:type="lastRow">
      <w:rPr>
        <w:b/>
        <w:bCs/>
      </w:rPr>
      <w:tblPr/>
      <w:tcPr>
        <w:tcBorders>
          <w:top w:val="double" w:sz="4" w:space="0" w:color="E8FFCF" w:themeColor="accent4" w:themeTint="99"/>
        </w:tcBorders>
      </w:tcPr>
    </w:tblStylePr>
    <w:tblStylePr w:type="firstCol">
      <w:rPr>
        <w:b/>
        <w:bCs/>
      </w:rPr>
    </w:tblStylePr>
    <w:tblStylePr w:type="lastCol">
      <w:rPr>
        <w:b/>
        <w:bCs/>
      </w:rPr>
    </w:tblStylePr>
    <w:tblStylePr w:type="band1Vert">
      <w:tblPr/>
      <w:tcPr>
        <w:shd w:val="clear" w:color="auto" w:fill="F7FFEF" w:themeFill="accent4" w:themeFillTint="33"/>
      </w:tcPr>
    </w:tblStylePr>
    <w:tblStylePr w:type="band1Horz">
      <w:tblPr/>
      <w:tcPr>
        <w:shd w:val="clear" w:color="auto" w:fill="F7FFEF" w:themeFill="accent4" w:themeFillTint="33"/>
      </w:tcPr>
    </w:tblStylePr>
  </w:style>
  <w:style w:type="table" w:styleId="GridTable6Colorful-Accent5">
    <w:name w:val="Grid Table 6 Colorful Accent 5"/>
    <w:basedOn w:val="TableNormal"/>
    <w:uiPriority w:val="51"/>
    <w:rsid w:val="00D42149"/>
    <w:pPr>
      <w:spacing w:line="240" w:lineRule="auto"/>
    </w:pPr>
    <w:rPr>
      <w:color w:val="FF8C13" w:themeColor="accent5" w:themeShade="BF"/>
    </w:rPr>
    <w:tblPr>
      <w:tblStyleRowBandSize w:val="1"/>
      <w:tblStyleColBandSize w:val="1"/>
      <w:tblBorders>
        <w:top w:val="single" w:sz="4" w:space="0" w:color="FFD4A8" w:themeColor="accent5" w:themeTint="99"/>
        <w:left w:val="single" w:sz="4" w:space="0" w:color="FFD4A8" w:themeColor="accent5" w:themeTint="99"/>
        <w:bottom w:val="single" w:sz="4" w:space="0" w:color="FFD4A8" w:themeColor="accent5" w:themeTint="99"/>
        <w:right w:val="single" w:sz="4" w:space="0" w:color="FFD4A8" w:themeColor="accent5" w:themeTint="99"/>
        <w:insideH w:val="single" w:sz="4" w:space="0" w:color="FFD4A8" w:themeColor="accent5" w:themeTint="99"/>
        <w:insideV w:val="single" w:sz="4" w:space="0" w:color="FFD4A8" w:themeColor="accent5" w:themeTint="99"/>
      </w:tblBorders>
    </w:tblPr>
    <w:tblStylePr w:type="firstRow">
      <w:rPr>
        <w:b/>
        <w:bCs/>
      </w:rPr>
      <w:tblPr/>
      <w:tcPr>
        <w:tcBorders>
          <w:bottom w:val="single" w:sz="12" w:space="0" w:color="FFD4A8" w:themeColor="accent5" w:themeTint="99"/>
        </w:tcBorders>
      </w:tcPr>
    </w:tblStylePr>
    <w:tblStylePr w:type="lastRow">
      <w:rPr>
        <w:b/>
        <w:bCs/>
      </w:rPr>
      <w:tblPr/>
      <w:tcPr>
        <w:tcBorders>
          <w:top w:val="double" w:sz="4" w:space="0" w:color="FFD4A8" w:themeColor="accent5" w:themeTint="99"/>
        </w:tcBorders>
      </w:tcPr>
    </w:tblStylePr>
    <w:tblStylePr w:type="firstCol">
      <w:rPr>
        <w:b/>
        <w:bCs/>
      </w:rPr>
    </w:tblStylePr>
    <w:tblStylePr w:type="lastCol">
      <w:rPr>
        <w:b/>
        <w:bCs/>
      </w:rPr>
    </w:tblStylePr>
    <w:tblStylePr w:type="band1Vert">
      <w:tblPr/>
      <w:tcPr>
        <w:shd w:val="clear" w:color="auto" w:fill="FFF0E2" w:themeFill="accent5" w:themeFillTint="33"/>
      </w:tcPr>
    </w:tblStylePr>
    <w:tblStylePr w:type="band1Horz">
      <w:tblPr/>
      <w:tcPr>
        <w:shd w:val="clear" w:color="auto" w:fill="FFF0E2" w:themeFill="accent5" w:themeFillTint="33"/>
      </w:tcPr>
    </w:tblStylePr>
  </w:style>
  <w:style w:type="table" w:styleId="GridTable6Colorful-Accent6">
    <w:name w:val="Grid Table 6 Colorful Accent 6"/>
    <w:basedOn w:val="TableNormal"/>
    <w:uiPriority w:val="51"/>
    <w:rsid w:val="00D42149"/>
    <w:pPr>
      <w:spacing w:line="240" w:lineRule="auto"/>
    </w:pPr>
    <w:rPr>
      <w:color w:val="B4A088" w:themeColor="accent6" w:themeShade="BF"/>
    </w:rPr>
    <w:tblPr>
      <w:tblStyleRowBandSize w:val="1"/>
      <w:tblStyleColBandSize w:val="1"/>
      <w:tblBorders>
        <w:top w:val="single" w:sz="4" w:space="0" w:color="EAE5DE" w:themeColor="accent6" w:themeTint="99"/>
        <w:left w:val="single" w:sz="4" w:space="0" w:color="EAE5DE" w:themeColor="accent6" w:themeTint="99"/>
        <w:bottom w:val="single" w:sz="4" w:space="0" w:color="EAE5DE" w:themeColor="accent6" w:themeTint="99"/>
        <w:right w:val="single" w:sz="4" w:space="0" w:color="EAE5DE" w:themeColor="accent6" w:themeTint="99"/>
        <w:insideH w:val="single" w:sz="4" w:space="0" w:color="EAE5DE" w:themeColor="accent6" w:themeTint="99"/>
        <w:insideV w:val="single" w:sz="4" w:space="0" w:color="EAE5DE" w:themeColor="accent6" w:themeTint="99"/>
      </w:tblBorders>
    </w:tblPr>
    <w:tblStylePr w:type="firstRow">
      <w:rPr>
        <w:b/>
        <w:bCs/>
      </w:rPr>
      <w:tblPr/>
      <w:tcPr>
        <w:tcBorders>
          <w:bottom w:val="single" w:sz="12" w:space="0" w:color="EAE5DE" w:themeColor="accent6" w:themeTint="99"/>
        </w:tcBorders>
      </w:tcPr>
    </w:tblStylePr>
    <w:tblStylePr w:type="lastRow">
      <w:rPr>
        <w:b/>
        <w:bCs/>
      </w:rPr>
      <w:tblPr/>
      <w:tcPr>
        <w:tcBorders>
          <w:top w:val="double" w:sz="4" w:space="0" w:color="EAE5DE" w:themeColor="accent6" w:themeTint="99"/>
        </w:tcBorders>
      </w:tcPr>
    </w:tblStylePr>
    <w:tblStylePr w:type="firstCol">
      <w:rPr>
        <w:b/>
        <w:bCs/>
      </w:rPr>
    </w:tblStylePr>
    <w:tblStylePr w:type="lastCol">
      <w:rPr>
        <w:b/>
        <w:bCs/>
      </w:rPr>
    </w:tblStylePr>
    <w:tblStylePr w:type="band1Vert">
      <w:tblPr/>
      <w:tcPr>
        <w:shd w:val="clear" w:color="auto" w:fill="F8F6F4" w:themeFill="accent6" w:themeFillTint="33"/>
      </w:tcPr>
    </w:tblStylePr>
    <w:tblStylePr w:type="band1Horz">
      <w:tblPr/>
      <w:tcPr>
        <w:shd w:val="clear" w:color="auto" w:fill="F8F6F4" w:themeFill="accent6" w:themeFillTint="33"/>
      </w:tcPr>
    </w:tblStylePr>
  </w:style>
  <w:style w:type="table" w:styleId="GridTable7Colorful">
    <w:name w:val="Grid Table 7 Colorful"/>
    <w:basedOn w:val="TableNormal"/>
    <w:uiPriority w:val="52"/>
    <w:rsid w:val="00D4214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42149"/>
    <w:pPr>
      <w:spacing w:line="240" w:lineRule="auto"/>
    </w:pPr>
    <w:rPr>
      <w:color w:val="00006B" w:themeColor="accent1" w:themeShade="BF"/>
    </w:rPr>
    <w:tblPr>
      <w:tblStyleRowBandSize w:val="1"/>
      <w:tblStyleColBandSize w:val="1"/>
      <w:tblBorders>
        <w:top w:val="single" w:sz="4" w:space="0" w:color="2222FF" w:themeColor="accent1" w:themeTint="99"/>
        <w:left w:val="single" w:sz="4" w:space="0" w:color="2222FF" w:themeColor="accent1" w:themeTint="99"/>
        <w:bottom w:val="single" w:sz="4" w:space="0" w:color="2222FF" w:themeColor="accent1" w:themeTint="99"/>
        <w:right w:val="single" w:sz="4" w:space="0" w:color="2222FF" w:themeColor="accent1" w:themeTint="99"/>
        <w:insideH w:val="single" w:sz="4" w:space="0" w:color="2222FF" w:themeColor="accent1" w:themeTint="99"/>
        <w:insideV w:val="single" w:sz="4" w:space="0" w:color="222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B5FF" w:themeFill="accent1" w:themeFillTint="33"/>
      </w:tcPr>
    </w:tblStylePr>
    <w:tblStylePr w:type="band1Horz">
      <w:tblPr/>
      <w:tcPr>
        <w:shd w:val="clear" w:color="auto" w:fill="B5B5FF" w:themeFill="accent1" w:themeFillTint="33"/>
      </w:tcPr>
    </w:tblStylePr>
    <w:tblStylePr w:type="neCell">
      <w:tblPr/>
      <w:tcPr>
        <w:tcBorders>
          <w:bottom w:val="single" w:sz="4" w:space="0" w:color="2222FF" w:themeColor="accent1" w:themeTint="99"/>
        </w:tcBorders>
      </w:tcPr>
    </w:tblStylePr>
    <w:tblStylePr w:type="nwCell">
      <w:tblPr/>
      <w:tcPr>
        <w:tcBorders>
          <w:bottom w:val="single" w:sz="4" w:space="0" w:color="2222FF" w:themeColor="accent1" w:themeTint="99"/>
        </w:tcBorders>
      </w:tcPr>
    </w:tblStylePr>
    <w:tblStylePr w:type="seCell">
      <w:tblPr/>
      <w:tcPr>
        <w:tcBorders>
          <w:top w:val="single" w:sz="4" w:space="0" w:color="2222FF" w:themeColor="accent1" w:themeTint="99"/>
        </w:tcBorders>
      </w:tcPr>
    </w:tblStylePr>
    <w:tblStylePr w:type="swCell">
      <w:tblPr/>
      <w:tcPr>
        <w:tcBorders>
          <w:top w:val="single" w:sz="4" w:space="0" w:color="2222FF" w:themeColor="accent1" w:themeTint="99"/>
        </w:tcBorders>
      </w:tcPr>
    </w:tblStylePr>
  </w:style>
  <w:style w:type="table" w:styleId="GridTable7Colorful-Accent2">
    <w:name w:val="Grid Table 7 Colorful Accent 2"/>
    <w:basedOn w:val="TableNormal"/>
    <w:uiPriority w:val="52"/>
    <w:rsid w:val="00D42149"/>
    <w:pPr>
      <w:spacing w:line="240" w:lineRule="auto"/>
    </w:pPr>
    <w:rPr>
      <w:color w:val="48D8FF" w:themeColor="accent2" w:themeShade="BF"/>
    </w:rPr>
    <w:tblPr>
      <w:tblStyleRowBandSize w:val="1"/>
      <w:tblStyleColBandSize w:val="1"/>
      <w:tblBorders>
        <w:top w:val="single" w:sz="4" w:space="0" w:color="D3F5FF" w:themeColor="accent2" w:themeTint="99"/>
        <w:left w:val="single" w:sz="4" w:space="0" w:color="D3F5FF" w:themeColor="accent2" w:themeTint="99"/>
        <w:bottom w:val="single" w:sz="4" w:space="0" w:color="D3F5FF" w:themeColor="accent2" w:themeTint="99"/>
        <w:right w:val="single" w:sz="4" w:space="0" w:color="D3F5FF" w:themeColor="accent2" w:themeTint="99"/>
        <w:insideH w:val="single" w:sz="4" w:space="0" w:color="D3F5FF" w:themeColor="accent2" w:themeTint="99"/>
        <w:insideV w:val="single" w:sz="4" w:space="0" w:color="D3F5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BFF" w:themeFill="accent2" w:themeFillTint="33"/>
      </w:tcPr>
    </w:tblStylePr>
    <w:tblStylePr w:type="band1Horz">
      <w:tblPr/>
      <w:tcPr>
        <w:shd w:val="clear" w:color="auto" w:fill="F0FBFF" w:themeFill="accent2" w:themeFillTint="33"/>
      </w:tcPr>
    </w:tblStylePr>
    <w:tblStylePr w:type="neCell">
      <w:tblPr/>
      <w:tcPr>
        <w:tcBorders>
          <w:bottom w:val="single" w:sz="4" w:space="0" w:color="D3F5FF" w:themeColor="accent2" w:themeTint="99"/>
        </w:tcBorders>
      </w:tcPr>
    </w:tblStylePr>
    <w:tblStylePr w:type="nwCell">
      <w:tblPr/>
      <w:tcPr>
        <w:tcBorders>
          <w:bottom w:val="single" w:sz="4" w:space="0" w:color="D3F5FF" w:themeColor="accent2" w:themeTint="99"/>
        </w:tcBorders>
      </w:tcPr>
    </w:tblStylePr>
    <w:tblStylePr w:type="seCell">
      <w:tblPr/>
      <w:tcPr>
        <w:tcBorders>
          <w:top w:val="single" w:sz="4" w:space="0" w:color="D3F5FF" w:themeColor="accent2" w:themeTint="99"/>
        </w:tcBorders>
      </w:tcPr>
    </w:tblStylePr>
    <w:tblStylePr w:type="swCell">
      <w:tblPr/>
      <w:tcPr>
        <w:tcBorders>
          <w:top w:val="single" w:sz="4" w:space="0" w:color="D3F5FF" w:themeColor="accent2" w:themeTint="99"/>
        </w:tcBorders>
      </w:tcPr>
    </w:tblStylePr>
  </w:style>
  <w:style w:type="table" w:styleId="GridTable7Colorful-Accent3">
    <w:name w:val="Grid Table 7 Colorful Accent 3"/>
    <w:basedOn w:val="TableNormal"/>
    <w:uiPriority w:val="52"/>
    <w:rsid w:val="00D42149"/>
    <w:pPr>
      <w:spacing w:line="240" w:lineRule="auto"/>
    </w:pPr>
    <w:rPr>
      <w:color w:val="6A3BFF" w:themeColor="accent3" w:themeShade="BF"/>
    </w:rPr>
    <w:tblPr>
      <w:tblStyleRowBandSize w:val="1"/>
      <w:tblStyleColBandSize w:val="1"/>
      <w:tblBorders>
        <w:top w:val="single" w:sz="4" w:space="0" w:color="D6C9FF" w:themeColor="accent3" w:themeTint="99"/>
        <w:left w:val="single" w:sz="4" w:space="0" w:color="D6C9FF" w:themeColor="accent3" w:themeTint="99"/>
        <w:bottom w:val="single" w:sz="4" w:space="0" w:color="D6C9FF" w:themeColor="accent3" w:themeTint="99"/>
        <w:right w:val="single" w:sz="4" w:space="0" w:color="D6C9FF" w:themeColor="accent3" w:themeTint="99"/>
        <w:insideH w:val="single" w:sz="4" w:space="0" w:color="D6C9FF" w:themeColor="accent3" w:themeTint="99"/>
        <w:insideV w:val="single" w:sz="4" w:space="0" w:color="D6C9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EDFF" w:themeFill="accent3" w:themeFillTint="33"/>
      </w:tcPr>
    </w:tblStylePr>
    <w:tblStylePr w:type="band1Horz">
      <w:tblPr/>
      <w:tcPr>
        <w:shd w:val="clear" w:color="auto" w:fill="F1EDFF" w:themeFill="accent3" w:themeFillTint="33"/>
      </w:tcPr>
    </w:tblStylePr>
    <w:tblStylePr w:type="neCell">
      <w:tblPr/>
      <w:tcPr>
        <w:tcBorders>
          <w:bottom w:val="single" w:sz="4" w:space="0" w:color="D6C9FF" w:themeColor="accent3" w:themeTint="99"/>
        </w:tcBorders>
      </w:tcPr>
    </w:tblStylePr>
    <w:tblStylePr w:type="nwCell">
      <w:tblPr/>
      <w:tcPr>
        <w:tcBorders>
          <w:bottom w:val="single" w:sz="4" w:space="0" w:color="D6C9FF" w:themeColor="accent3" w:themeTint="99"/>
        </w:tcBorders>
      </w:tcPr>
    </w:tblStylePr>
    <w:tblStylePr w:type="seCell">
      <w:tblPr/>
      <w:tcPr>
        <w:tcBorders>
          <w:top w:val="single" w:sz="4" w:space="0" w:color="D6C9FF" w:themeColor="accent3" w:themeTint="99"/>
        </w:tcBorders>
      </w:tcPr>
    </w:tblStylePr>
    <w:tblStylePr w:type="swCell">
      <w:tblPr/>
      <w:tcPr>
        <w:tcBorders>
          <w:top w:val="single" w:sz="4" w:space="0" w:color="D6C9FF" w:themeColor="accent3" w:themeTint="99"/>
        </w:tcBorders>
      </w:tcPr>
    </w:tblStylePr>
  </w:style>
  <w:style w:type="table" w:styleId="GridTable7Colorful-Accent4">
    <w:name w:val="Grid Table 7 Colorful Accent 4"/>
    <w:basedOn w:val="TableNormal"/>
    <w:uiPriority w:val="52"/>
    <w:rsid w:val="00D42149"/>
    <w:pPr>
      <w:spacing w:line="240" w:lineRule="auto"/>
    </w:pPr>
    <w:rPr>
      <w:color w:val="A8FF43" w:themeColor="accent4" w:themeShade="BF"/>
    </w:rPr>
    <w:tblPr>
      <w:tblStyleRowBandSize w:val="1"/>
      <w:tblStyleColBandSize w:val="1"/>
      <w:tblBorders>
        <w:top w:val="single" w:sz="4" w:space="0" w:color="E8FFCF" w:themeColor="accent4" w:themeTint="99"/>
        <w:left w:val="single" w:sz="4" w:space="0" w:color="E8FFCF" w:themeColor="accent4" w:themeTint="99"/>
        <w:bottom w:val="single" w:sz="4" w:space="0" w:color="E8FFCF" w:themeColor="accent4" w:themeTint="99"/>
        <w:right w:val="single" w:sz="4" w:space="0" w:color="E8FFCF" w:themeColor="accent4" w:themeTint="99"/>
        <w:insideH w:val="single" w:sz="4" w:space="0" w:color="E8FFCF" w:themeColor="accent4" w:themeTint="99"/>
        <w:insideV w:val="single" w:sz="4" w:space="0" w:color="E8FFC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FEF" w:themeFill="accent4" w:themeFillTint="33"/>
      </w:tcPr>
    </w:tblStylePr>
    <w:tblStylePr w:type="band1Horz">
      <w:tblPr/>
      <w:tcPr>
        <w:shd w:val="clear" w:color="auto" w:fill="F7FFEF" w:themeFill="accent4" w:themeFillTint="33"/>
      </w:tcPr>
    </w:tblStylePr>
    <w:tblStylePr w:type="neCell">
      <w:tblPr/>
      <w:tcPr>
        <w:tcBorders>
          <w:bottom w:val="single" w:sz="4" w:space="0" w:color="E8FFCF" w:themeColor="accent4" w:themeTint="99"/>
        </w:tcBorders>
      </w:tcPr>
    </w:tblStylePr>
    <w:tblStylePr w:type="nwCell">
      <w:tblPr/>
      <w:tcPr>
        <w:tcBorders>
          <w:bottom w:val="single" w:sz="4" w:space="0" w:color="E8FFCF" w:themeColor="accent4" w:themeTint="99"/>
        </w:tcBorders>
      </w:tcPr>
    </w:tblStylePr>
    <w:tblStylePr w:type="seCell">
      <w:tblPr/>
      <w:tcPr>
        <w:tcBorders>
          <w:top w:val="single" w:sz="4" w:space="0" w:color="E8FFCF" w:themeColor="accent4" w:themeTint="99"/>
        </w:tcBorders>
      </w:tcPr>
    </w:tblStylePr>
    <w:tblStylePr w:type="swCell">
      <w:tblPr/>
      <w:tcPr>
        <w:tcBorders>
          <w:top w:val="single" w:sz="4" w:space="0" w:color="E8FFCF" w:themeColor="accent4" w:themeTint="99"/>
        </w:tcBorders>
      </w:tcPr>
    </w:tblStylePr>
  </w:style>
  <w:style w:type="table" w:styleId="GridTable7Colorful-Accent5">
    <w:name w:val="Grid Table 7 Colorful Accent 5"/>
    <w:basedOn w:val="TableNormal"/>
    <w:uiPriority w:val="52"/>
    <w:rsid w:val="00D42149"/>
    <w:pPr>
      <w:spacing w:line="240" w:lineRule="auto"/>
    </w:pPr>
    <w:rPr>
      <w:color w:val="FF8C13" w:themeColor="accent5" w:themeShade="BF"/>
    </w:rPr>
    <w:tblPr>
      <w:tblStyleRowBandSize w:val="1"/>
      <w:tblStyleColBandSize w:val="1"/>
      <w:tblBorders>
        <w:top w:val="single" w:sz="4" w:space="0" w:color="FFD4A8" w:themeColor="accent5" w:themeTint="99"/>
        <w:left w:val="single" w:sz="4" w:space="0" w:color="FFD4A8" w:themeColor="accent5" w:themeTint="99"/>
        <w:bottom w:val="single" w:sz="4" w:space="0" w:color="FFD4A8" w:themeColor="accent5" w:themeTint="99"/>
        <w:right w:val="single" w:sz="4" w:space="0" w:color="FFD4A8" w:themeColor="accent5" w:themeTint="99"/>
        <w:insideH w:val="single" w:sz="4" w:space="0" w:color="FFD4A8" w:themeColor="accent5" w:themeTint="99"/>
        <w:insideV w:val="single" w:sz="4" w:space="0" w:color="FFD4A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0E2" w:themeFill="accent5" w:themeFillTint="33"/>
      </w:tcPr>
    </w:tblStylePr>
    <w:tblStylePr w:type="band1Horz">
      <w:tblPr/>
      <w:tcPr>
        <w:shd w:val="clear" w:color="auto" w:fill="FFF0E2" w:themeFill="accent5" w:themeFillTint="33"/>
      </w:tcPr>
    </w:tblStylePr>
    <w:tblStylePr w:type="neCell">
      <w:tblPr/>
      <w:tcPr>
        <w:tcBorders>
          <w:bottom w:val="single" w:sz="4" w:space="0" w:color="FFD4A8" w:themeColor="accent5" w:themeTint="99"/>
        </w:tcBorders>
      </w:tcPr>
    </w:tblStylePr>
    <w:tblStylePr w:type="nwCell">
      <w:tblPr/>
      <w:tcPr>
        <w:tcBorders>
          <w:bottom w:val="single" w:sz="4" w:space="0" w:color="FFD4A8" w:themeColor="accent5" w:themeTint="99"/>
        </w:tcBorders>
      </w:tcPr>
    </w:tblStylePr>
    <w:tblStylePr w:type="seCell">
      <w:tblPr/>
      <w:tcPr>
        <w:tcBorders>
          <w:top w:val="single" w:sz="4" w:space="0" w:color="FFD4A8" w:themeColor="accent5" w:themeTint="99"/>
        </w:tcBorders>
      </w:tcPr>
    </w:tblStylePr>
    <w:tblStylePr w:type="swCell">
      <w:tblPr/>
      <w:tcPr>
        <w:tcBorders>
          <w:top w:val="single" w:sz="4" w:space="0" w:color="FFD4A8" w:themeColor="accent5" w:themeTint="99"/>
        </w:tcBorders>
      </w:tcPr>
    </w:tblStylePr>
  </w:style>
  <w:style w:type="table" w:styleId="GridTable7Colorful-Accent6">
    <w:name w:val="Grid Table 7 Colorful Accent 6"/>
    <w:basedOn w:val="TableNormal"/>
    <w:uiPriority w:val="52"/>
    <w:rsid w:val="00D42149"/>
    <w:pPr>
      <w:spacing w:line="240" w:lineRule="auto"/>
    </w:pPr>
    <w:rPr>
      <w:color w:val="B4A088" w:themeColor="accent6" w:themeShade="BF"/>
    </w:rPr>
    <w:tblPr>
      <w:tblStyleRowBandSize w:val="1"/>
      <w:tblStyleColBandSize w:val="1"/>
      <w:tblBorders>
        <w:top w:val="single" w:sz="4" w:space="0" w:color="EAE5DE" w:themeColor="accent6" w:themeTint="99"/>
        <w:left w:val="single" w:sz="4" w:space="0" w:color="EAE5DE" w:themeColor="accent6" w:themeTint="99"/>
        <w:bottom w:val="single" w:sz="4" w:space="0" w:color="EAE5DE" w:themeColor="accent6" w:themeTint="99"/>
        <w:right w:val="single" w:sz="4" w:space="0" w:color="EAE5DE" w:themeColor="accent6" w:themeTint="99"/>
        <w:insideH w:val="single" w:sz="4" w:space="0" w:color="EAE5DE" w:themeColor="accent6" w:themeTint="99"/>
        <w:insideV w:val="single" w:sz="4" w:space="0" w:color="EAE5D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6F4" w:themeFill="accent6" w:themeFillTint="33"/>
      </w:tcPr>
    </w:tblStylePr>
    <w:tblStylePr w:type="band1Horz">
      <w:tblPr/>
      <w:tcPr>
        <w:shd w:val="clear" w:color="auto" w:fill="F8F6F4" w:themeFill="accent6" w:themeFillTint="33"/>
      </w:tcPr>
    </w:tblStylePr>
    <w:tblStylePr w:type="neCell">
      <w:tblPr/>
      <w:tcPr>
        <w:tcBorders>
          <w:bottom w:val="single" w:sz="4" w:space="0" w:color="EAE5DE" w:themeColor="accent6" w:themeTint="99"/>
        </w:tcBorders>
      </w:tcPr>
    </w:tblStylePr>
    <w:tblStylePr w:type="nwCell">
      <w:tblPr/>
      <w:tcPr>
        <w:tcBorders>
          <w:bottom w:val="single" w:sz="4" w:space="0" w:color="EAE5DE" w:themeColor="accent6" w:themeTint="99"/>
        </w:tcBorders>
      </w:tcPr>
    </w:tblStylePr>
    <w:tblStylePr w:type="seCell">
      <w:tblPr/>
      <w:tcPr>
        <w:tcBorders>
          <w:top w:val="single" w:sz="4" w:space="0" w:color="EAE5DE" w:themeColor="accent6" w:themeTint="99"/>
        </w:tcBorders>
      </w:tcPr>
    </w:tblStylePr>
    <w:tblStylePr w:type="swCell">
      <w:tblPr/>
      <w:tcPr>
        <w:tcBorders>
          <w:top w:val="single" w:sz="4" w:space="0" w:color="EAE5DE" w:themeColor="accent6" w:themeTint="99"/>
        </w:tcBorders>
      </w:tcPr>
    </w:tblStylePr>
  </w:style>
  <w:style w:type="character" w:styleId="HTMLAcronym">
    <w:name w:val="HTML Acronym"/>
    <w:basedOn w:val="DefaultParagraphFont"/>
    <w:uiPriority w:val="99"/>
    <w:semiHidden/>
    <w:rsid w:val="00D42149"/>
    <w:rPr>
      <w:lang w:val="en-GB"/>
    </w:rPr>
  </w:style>
  <w:style w:type="paragraph" w:styleId="HTMLAddress">
    <w:name w:val="HTML Address"/>
    <w:basedOn w:val="Normal"/>
    <w:link w:val="HTMLAddressChar"/>
    <w:uiPriority w:val="99"/>
    <w:semiHidden/>
    <w:rsid w:val="00D42149"/>
    <w:pPr>
      <w:spacing w:line="240" w:lineRule="auto"/>
    </w:pPr>
    <w:rPr>
      <w:i/>
      <w:iCs/>
      <w:lang w:val="en-GB"/>
    </w:rPr>
  </w:style>
  <w:style w:type="character" w:customStyle="1" w:styleId="HTMLAddressChar">
    <w:name w:val="HTML Address Char"/>
    <w:basedOn w:val="DefaultParagraphFont"/>
    <w:link w:val="HTMLAddress"/>
    <w:uiPriority w:val="99"/>
    <w:semiHidden/>
    <w:rsid w:val="00D42149"/>
    <w:rPr>
      <w:rFonts w:asciiTheme="minorHAnsi" w:hAnsiTheme="minorHAnsi"/>
      <w:i/>
      <w:iCs/>
      <w:color w:val="00008F" w:themeColor="text2"/>
      <w:lang w:val="en-GB"/>
    </w:rPr>
  </w:style>
  <w:style w:type="character" w:styleId="HTMLCite">
    <w:name w:val="HTML Cite"/>
    <w:basedOn w:val="DefaultParagraphFont"/>
    <w:uiPriority w:val="99"/>
    <w:semiHidden/>
    <w:rsid w:val="00D42149"/>
    <w:rPr>
      <w:i/>
      <w:iCs/>
      <w:lang w:val="en-GB"/>
    </w:rPr>
  </w:style>
  <w:style w:type="character" w:styleId="HTMLCode">
    <w:name w:val="HTML Code"/>
    <w:basedOn w:val="DefaultParagraphFont"/>
    <w:uiPriority w:val="99"/>
    <w:semiHidden/>
    <w:rsid w:val="00D42149"/>
    <w:rPr>
      <w:rFonts w:asciiTheme="minorHAnsi" w:hAnsiTheme="minorHAnsi" w:cs="Apis For Office"/>
      <w:sz w:val="20"/>
      <w:szCs w:val="20"/>
      <w:lang w:val="en-GB"/>
    </w:rPr>
  </w:style>
  <w:style w:type="character" w:styleId="HTMLDefinition">
    <w:name w:val="HTML Definition"/>
    <w:basedOn w:val="DefaultParagraphFont"/>
    <w:uiPriority w:val="99"/>
    <w:semiHidden/>
    <w:rsid w:val="00D42149"/>
    <w:rPr>
      <w:i/>
      <w:iCs/>
      <w:lang w:val="en-GB"/>
    </w:rPr>
  </w:style>
  <w:style w:type="character" w:styleId="HTMLKeyboard">
    <w:name w:val="HTML Keyboard"/>
    <w:basedOn w:val="DefaultParagraphFont"/>
    <w:uiPriority w:val="99"/>
    <w:semiHidden/>
    <w:rsid w:val="00D42149"/>
    <w:rPr>
      <w:rFonts w:ascii="NovoOffice" w:hAnsi="NovoOffice" w:cs="Apis For Office"/>
      <w:sz w:val="20"/>
      <w:szCs w:val="20"/>
      <w:lang w:val="en-GB"/>
    </w:rPr>
  </w:style>
  <w:style w:type="paragraph" w:styleId="HTMLPreformatted">
    <w:name w:val="HTML Preformatted"/>
    <w:basedOn w:val="Normal"/>
    <w:link w:val="HTMLPreformattedChar"/>
    <w:uiPriority w:val="99"/>
    <w:semiHidden/>
    <w:rsid w:val="00D42149"/>
    <w:pPr>
      <w:spacing w:line="240" w:lineRule="auto"/>
    </w:pPr>
    <w:rPr>
      <w:rFonts w:cs="Arial"/>
      <w:lang w:val="en-GB"/>
    </w:rPr>
  </w:style>
  <w:style w:type="character" w:customStyle="1" w:styleId="HTMLPreformattedChar">
    <w:name w:val="HTML Preformatted Char"/>
    <w:basedOn w:val="DefaultParagraphFont"/>
    <w:link w:val="HTMLPreformatted"/>
    <w:uiPriority w:val="99"/>
    <w:semiHidden/>
    <w:rsid w:val="00D42149"/>
    <w:rPr>
      <w:rFonts w:asciiTheme="minorHAnsi" w:hAnsiTheme="minorHAnsi" w:cs="Arial"/>
      <w:color w:val="00008F" w:themeColor="text2"/>
      <w:lang w:val="en-GB"/>
    </w:rPr>
  </w:style>
  <w:style w:type="character" w:styleId="HTMLSample">
    <w:name w:val="HTML Sample"/>
    <w:basedOn w:val="DefaultParagraphFont"/>
    <w:uiPriority w:val="99"/>
    <w:semiHidden/>
    <w:rsid w:val="00D42149"/>
    <w:rPr>
      <w:rFonts w:asciiTheme="minorHAnsi" w:hAnsiTheme="minorHAnsi" w:cs="Apis For Office"/>
      <w:sz w:val="24"/>
      <w:szCs w:val="24"/>
      <w:lang w:val="en-GB"/>
    </w:rPr>
  </w:style>
  <w:style w:type="character" w:styleId="HTMLTypewriter">
    <w:name w:val="HTML Typewriter"/>
    <w:basedOn w:val="DefaultParagraphFont"/>
    <w:uiPriority w:val="99"/>
    <w:semiHidden/>
    <w:rsid w:val="00D42149"/>
    <w:rPr>
      <w:rFonts w:asciiTheme="minorHAnsi" w:hAnsiTheme="minorHAnsi" w:cs="Apis For Office"/>
      <w:sz w:val="20"/>
      <w:szCs w:val="20"/>
      <w:lang w:val="en-GB"/>
    </w:rPr>
  </w:style>
  <w:style w:type="character" w:styleId="HTMLVariable">
    <w:name w:val="HTML Variable"/>
    <w:basedOn w:val="DefaultParagraphFont"/>
    <w:uiPriority w:val="99"/>
    <w:semiHidden/>
    <w:rsid w:val="00D42149"/>
    <w:rPr>
      <w:i/>
      <w:iCs/>
      <w:lang w:val="en-GB"/>
    </w:rPr>
  </w:style>
  <w:style w:type="character" w:styleId="Hyperlink">
    <w:name w:val="Hyperlink"/>
    <w:basedOn w:val="DefaultParagraphFont"/>
    <w:uiPriority w:val="21"/>
    <w:semiHidden/>
    <w:rsid w:val="00D42149"/>
    <w:rPr>
      <w:color w:val="0878CF" w:themeColor="hyperlink"/>
      <w:u w:val="single"/>
      <w:lang w:val="en-GB"/>
    </w:rPr>
  </w:style>
  <w:style w:type="paragraph" w:styleId="Index1">
    <w:name w:val="index 1"/>
    <w:basedOn w:val="Normal"/>
    <w:next w:val="Normal"/>
    <w:autoRedefine/>
    <w:uiPriority w:val="99"/>
    <w:semiHidden/>
    <w:rsid w:val="00D42149"/>
    <w:pPr>
      <w:spacing w:line="240" w:lineRule="auto"/>
      <w:ind w:left="180" w:hanging="180"/>
    </w:pPr>
    <w:rPr>
      <w:lang w:val="en-GB"/>
    </w:rPr>
  </w:style>
  <w:style w:type="paragraph" w:styleId="Index2">
    <w:name w:val="index 2"/>
    <w:basedOn w:val="Normal"/>
    <w:next w:val="Normal"/>
    <w:autoRedefine/>
    <w:uiPriority w:val="99"/>
    <w:semiHidden/>
    <w:rsid w:val="00D42149"/>
    <w:pPr>
      <w:spacing w:line="240" w:lineRule="auto"/>
      <w:ind w:left="360" w:hanging="180"/>
    </w:pPr>
    <w:rPr>
      <w:lang w:val="en-GB"/>
    </w:rPr>
  </w:style>
  <w:style w:type="paragraph" w:styleId="Index3">
    <w:name w:val="index 3"/>
    <w:basedOn w:val="Normal"/>
    <w:next w:val="Normal"/>
    <w:autoRedefine/>
    <w:uiPriority w:val="99"/>
    <w:semiHidden/>
    <w:rsid w:val="00D42149"/>
    <w:pPr>
      <w:spacing w:line="240" w:lineRule="auto"/>
      <w:ind w:left="540" w:hanging="180"/>
    </w:pPr>
    <w:rPr>
      <w:lang w:val="en-GB"/>
    </w:rPr>
  </w:style>
  <w:style w:type="paragraph" w:styleId="Index4">
    <w:name w:val="index 4"/>
    <w:basedOn w:val="Normal"/>
    <w:next w:val="Normal"/>
    <w:autoRedefine/>
    <w:uiPriority w:val="99"/>
    <w:semiHidden/>
    <w:rsid w:val="00D42149"/>
    <w:pPr>
      <w:spacing w:line="240" w:lineRule="auto"/>
      <w:ind w:left="720" w:hanging="180"/>
    </w:pPr>
    <w:rPr>
      <w:lang w:val="en-GB"/>
    </w:rPr>
  </w:style>
  <w:style w:type="paragraph" w:styleId="Index5">
    <w:name w:val="index 5"/>
    <w:basedOn w:val="Normal"/>
    <w:next w:val="Normal"/>
    <w:autoRedefine/>
    <w:uiPriority w:val="99"/>
    <w:semiHidden/>
    <w:rsid w:val="00D42149"/>
    <w:pPr>
      <w:spacing w:line="240" w:lineRule="auto"/>
      <w:ind w:left="900" w:hanging="180"/>
    </w:pPr>
    <w:rPr>
      <w:lang w:val="en-GB"/>
    </w:rPr>
  </w:style>
  <w:style w:type="paragraph" w:styleId="Index6">
    <w:name w:val="index 6"/>
    <w:basedOn w:val="Normal"/>
    <w:next w:val="Normal"/>
    <w:autoRedefine/>
    <w:uiPriority w:val="99"/>
    <w:semiHidden/>
    <w:rsid w:val="00D42149"/>
    <w:pPr>
      <w:spacing w:line="240" w:lineRule="auto"/>
      <w:ind w:left="1080" w:hanging="180"/>
    </w:pPr>
    <w:rPr>
      <w:lang w:val="en-GB"/>
    </w:rPr>
  </w:style>
  <w:style w:type="paragraph" w:styleId="Index7">
    <w:name w:val="index 7"/>
    <w:basedOn w:val="Normal"/>
    <w:next w:val="Normal"/>
    <w:autoRedefine/>
    <w:uiPriority w:val="99"/>
    <w:semiHidden/>
    <w:rsid w:val="00D42149"/>
    <w:pPr>
      <w:spacing w:line="240" w:lineRule="auto"/>
      <w:ind w:left="1260" w:hanging="180"/>
    </w:pPr>
    <w:rPr>
      <w:lang w:val="en-GB"/>
    </w:rPr>
  </w:style>
  <w:style w:type="paragraph" w:styleId="Index8">
    <w:name w:val="index 8"/>
    <w:basedOn w:val="Normal"/>
    <w:next w:val="Normal"/>
    <w:autoRedefine/>
    <w:uiPriority w:val="99"/>
    <w:semiHidden/>
    <w:rsid w:val="00D42149"/>
    <w:pPr>
      <w:spacing w:line="240" w:lineRule="auto"/>
      <w:ind w:left="1440" w:hanging="180"/>
    </w:pPr>
    <w:rPr>
      <w:lang w:val="en-GB"/>
    </w:rPr>
  </w:style>
  <w:style w:type="paragraph" w:styleId="Index9">
    <w:name w:val="index 9"/>
    <w:basedOn w:val="Normal"/>
    <w:next w:val="Normal"/>
    <w:autoRedefine/>
    <w:uiPriority w:val="99"/>
    <w:semiHidden/>
    <w:rsid w:val="00D42149"/>
    <w:pPr>
      <w:spacing w:line="240" w:lineRule="auto"/>
      <w:ind w:left="1620" w:hanging="180"/>
    </w:pPr>
    <w:rPr>
      <w:lang w:val="en-GB"/>
    </w:rPr>
  </w:style>
  <w:style w:type="paragraph" w:styleId="IndexHeading">
    <w:name w:val="index heading"/>
    <w:basedOn w:val="Normal"/>
    <w:next w:val="Index1"/>
    <w:uiPriority w:val="99"/>
    <w:semiHidden/>
    <w:rsid w:val="00D42149"/>
    <w:rPr>
      <w:rFonts w:eastAsiaTheme="majorEastAsia" w:cs="Arial"/>
      <w:b/>
      <w:bCs/>
      <w:lang w:val="en-GB"/>
    </w:rPr>
  </w:style>
  <w:style w:type="table" w:styleId="LightGrid">
    <w:name w:val="Light Grid"/>
    <w:basedOn w:val="TableNormal"/>
    <w:uiPriority w:val="62"/>
    <w:semiHidden/>
    <w:unhideWhenUsed/>
    <w:rsid w:val="00D4214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42149"/>
    <w:pPr>
      <w:spacing w:line="240" w:lineRule="auto"/>
    </w:pPr>
    <w:tblPr>
      <w:tblStyleRowBandSize w:val="1"/>
      <w:tblStyleColBandSize w:val="1"/>
      <w:tblBorders>
        <w:top w:val="single" w:sz="8" w:space="0" w:color="00008F" w:themeColor="accent1"/>
        <w:left w:val="single" w:sz="8" w:space="0" w:color="00008F" w:themeColor="accent1"/>
        <w:bottom w:val="single" w:sz="8" w:space="0" w:color="00008F" w:themeColor="accent1"/>
        <w:right w:val="single" w:sz="8" w:space="0" w:color="00008F" w:themeColor="accent1"/>
        <w:insideH w:val="single" w:sz="8" w:space="0" w:color="00008F" w:themeColor="accent1"/>
        <w:insideV w:val="single" w:sz="8" w:space="0" w:color="00008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F" w:themeColor="accent1"/>
          <w:left w:val="single" w:sz="8" w:space="0" w:color="00008F" w:themeColor="accent1"/>
          <w:bottom w:val="single" w:sz="18" w:space="0" w:color="00008F" w:themeColor="accent1"/>
          <w:right w:val="single" w:sz="8" w:space="0" w:color="00008F" w:themeColor="accent1"/>
          <w:insideH w:val="nil"/>
          <w:insideV w:val="single" w:sz="8" w:space="0" w:color="0000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F" w:themeColor="accent1"/>
          <w:left w:val="single" w:sz="8" w:space="0" w:color="00008F" w:themeColor="accent1"/>
          <w:bottom w:val="single" w:sz="8" w:space="0" w:color="00008F" w:themeColor="accent1"/>
          <w:right w:val="single" w:sz="8" w:space="0" w:color="00008F" w:themeColor="accent1"/>
          <w:insideH w:val="nil"/>
          <w:insideV w:val="single" w:sz="8" w:space="0" w:color="0000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F" w:themeColor="accent1"/>
          <w:left w:val="single" w:sz="8" w:space="0" w:color="00008F" w:themeColor="accent1"/>
          <w:bottom w:val="single" w:sz="8" w:space="0" w:color="00008F" w:themeColor="accent1"/>
          <w:right w:val="single" w:sz="8" w:space="0" w:color="00008F" w:themeColor="accent1"/>
        </w:tcBorders>
      </w:tcPr>
    </w:tblStylePr>
    <w:tblStylePr w:type="band1Vert">
      <w:tblPr/>
      <w:tcPr>
        <w:tcBorders>
          <w:top w:val="single" w:sz="8" w:space="0" w:color="00008F" w:themeColor="accent1"/>
          <w:left w:val="single" w:sz="8" w:space="0" w:color="00008F" w:themeColor="accent1"/>
          <w:bottom w:val="single" w:sz="8" w:space="0" w:color="00008F" w:themeColor="accent1"/>
          <w:right w:val="single" w:sz="8" w:space="0" w:color="00008F" w:themeColor="accent1"/>
        </w:tcBorders>
        <w:shd w:val="clear" w:color="auto" w:fill="A4A4FF" w:themeFill="accent1" w:themeFillTint="3F"/>
      </w:tcPr>
    </w:tblStylePr>
    <w:tblStylePr w:type="band1Horz">
      <w:tblPr/>
      <w:tcPr>
        <w:tcBorders>
          <w:top w:val="single" w:sz="8" w:space="0" w:color="00008F" w:themeColor="accent1"/>
          <w:left w:val="single" w:sz="8" w:space="0" w:color="00008F" w:themeColor="accent1"/>
          <w:bottom w:val="single" w:sz="8" w:space="0" w:color="00008F" w:themeColor="accent1"/>
          <w:right w:val="single" w:sz="8" w:space="0" w:color="00008F" w:themeColor="accent1"/>
          <w:insideV w:val="single" w:sz="8" w:space="0" w:color="00008F" w:themeColor="accent1"/>
        </w:tcBorders>
        <w:shd w:val="clear" w:color="auto" w:fill="A4A4FF" w:themeFill="accent1" w:themeFillTint="3F"/>
      </w:tcPr>
    </w:tblStylePr>
    <w:tblStylePr w:type="band2Horz">
      <w:tblPr/>
      <w:tcPr>
        <w:tcBorders>
          <w:top w:val="single" w:sz="8" w:space="0" w:color="00008F" w:themeColor="accent1"/>
          <w:left w:val="single" w:sz="8" w:space="0" w:color="00008F" w:themeColor="accent1"/>
          <w:bottom w:val="single" w:sz="8" w:space="0" w:color="00008F" w:themeColor="accent1"/>
          <w:right w:val="single" w:sz="8" w:space="0" w:color="00008F" w:themeColor="accent1"/>
          <w:insideV w:val="single" w:sz="8" w:space="0" w:color="00008F" w:themeColor="accent1"/>
        </w:tcBorders>
      </w:tcPr>
    </w:tblStylePr>
  </w:style>
  <w:style w:type="table" w:styleId="LightGrid-Accent2">
    <w:name w:val="Light Grid Accent 2"/>
    <w:basedOn w:val="TableNormal"/>
    <w:uiPriority w:val="62"/>
    <w:semiHidden/>
    <w:unhideWhenUsed/>
    <w:rsid w:val="00D42149"/>
    <w:pPr>
      <w:spacing w:line="240" w:lineRule="auto"/>
    </w:pPr>
    <w:tblPr>
      <w:tblStyleRowBandSize w:val="1"/>
      <w:tblStyleColBandSize w:val="1"/>
      <w:tblBorders>
        <w:top w:val="single" w:sz="8" w:space="0" w:color="B6F0FF" w:themeColor="accent2"/>
        <w:left w:val="single" w:sz="8" w:space="0" w:color="B6F0FF" w:themeColor="accent2"/>
        <w:bottom w:val="single" w:sz="8" w:space="0" w:color="B6F0FF" w:themeColor="accent2"/>
        <w:right w:val="single" w:sz="8" w:space="0" w:color="B6F0FF" w:themeColor="accent2"/>
        <w:insideH w:val="single" w:sz="8" w:space="0" w:color="B6F0FF" w:themeColor="accent2"/>
        <w:insideV w:val="single" w:sz="8" w:space="0" w:color="B6F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F0FF" w:themeColor="accent2"/>
          <w:left w:val="single" w:sz="8" w:space="0" w:color="B6F0FF" w:themeColor="accent2"/>
          <w:bottom w:val="single" w:sz="18" w:space="0" w:color="B6F0FF" w:themeColor="accent2"/>
          <w:right w:val="single" w:sz="8" w:space="0" w:color="B6F0FF" w:themeColor="accent2"/>
          <w:insideH w:val="nil"/>
          <w:insideV w:val="single" w:sz="8" w:space="0" w:color="B6F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F0FF" w:themeColor="accent2"/>
          <w:left w:val="single" w:sz="8" w:space="0" w:color="B6F0FF" w:themeColor="accent2"/>
          <w:bottom w:val="single" w:sz="8" w:space="0" w:color="B6F0FF" w:themeColor="accent2"/>
          <w:right w:val="single" w:sz="8" w:space="0" w:color="B6F0FF" w:themeColor="accent2"/>
          <w:insideH w:val="nil"/>
          <w:insideV w:val="single" w:sz="8" w:space="0" w:color="B6F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F0FF" w:themeColor="accent2"/>
          <w:left w:val="single" w:sz="8" w:space="0" w:color="B6F0FF" w:themeColor="accent2"/>
          <w:bottom w:val="single" w:sz="8" w:space="0" w:color="B6F0FF" w:themeColor="accent2"/>
          <w:right w:val="single" w:sz="8" w:space="0" w:color="B6F0FF" w:themeColor="accent2"/>
        </w:tcBorders>
      </w:tcPr>
    </w:tblStylePr>
    <w:tblStylePr w:type="band1Vert">
      <w:tblPr/>
      <w:tcPr>
        <w:tcBorders>
          <w:top w:val="single" w:sz="8" w:space="0" w:color="B6F0FF" w:themeColor="accent2"/>
          <w:left w:val="single" w:sz="8" w:space="0" w:color="B6F0FF" w:themeColor="accent2"/>
          <w:bottom w:val="single" w:sz="8" w:space="0" w:color="B6F0FF" w:themeColor="accent2"/>
          <w:right w:val="single" w:sz="8" w:space="0" w:color="B6F0FF" w:themeColor="accent2"/>
        </w:tcBorders>
        <w:shd w:val="clear" w:color="auto" w:fill="ECFBFF" w:themeFill="accent2" w:themeFillTint="3F"/>
      </w:tcPr>
    </w:tblStylePr>
    <w:tblStylePr w:type="band1Horz">
      <w:tblPr/>
      <w:tcPr>
        <w:tcBorders>
          <w:top w:val="single" w:sz="8" w:space="0" w:color="B6F0FF" w:themeColor="accent2"/>
          <w:left w:val="single" w:sz="8" w:space="0" w:color="B6F0FF" w:themeColor="accent2"/>
          <w:bottom w:val="single" w:sz="8" w:space="0" w:color="B6F0FF" w:themeColor="accent2"/>
          <w:right w:val="single" w:sz="8" w:space="0" w:color="B6F0FF" w:themeColor="accent2"/>
          <w:insideV w:val="single" w:sz="8" w:space="0" w:color="B6F0FF" w:themeColor="accent2"/>
        </w:tcBorders>
        <w:shd w:val="clear" w:color="auto" w:fill="ECFBFF" w:themeFill="accent2" w:themeFillTint="3F"/>
      </w:tcPr>
    </w:tblStylePr>
    <w:tblStylePr w:type="band2Horz">
      <w:tblPr/>
      <w:tcPr>
        <w:tcBorders>
          <w:top w:val="single" w:sz="8" w:space="0" w:color="B6F0FF" w:themeColor="accent2"/>
          <w:left w:val="single" w:sz="8" w:space="0" w:color="B6F0FF" w:themeColor="accent2"/>
          <w:bottom w:val="single" w:sz="8" w:space="0" w:color="B6F0FF" w:themeColor="accent2"/>
          <w:right w:val="single" w:sz="8" w:space="0" w:color="B6F0FF" w:themeColor="accent2"/>
          <w:insideV w:val="single" w:sz="8" w:space="0" w:color="B6F0FF" w:themeColor="accent2"/>
        </w:tcBorders>
      </w:tcPr>
    </w:tblStylePr>
  </w:style>
  <w:style w:type="table" w:styleId="LightGrid-Accent3">
    <w:name w:val="Light Grid Accent 3"/>
    <w:basedOn w:val="TableNormal"/>
    <w:uiPriority w:val="62"/>
    <w:semiHidden/>
    <w:unhideWhenUsed/>
    <w:rsid w:val="00D42149"/>
    <w:pPr>
      <w:spacing w:line="240" w:lineRule="auto"/>
    </w:pPr>
    <w:tblPr>
      <w:tblStyleRowBandSize w:val="1"/>
      <w:tblStyleColBandSize w:val="1"/>
      <w:tblBorders>
        <w:top w:val="single" w:sz="8" w:space="0" w:color="BBA5FF" w:themeColor="accent3"/>
        <w:left w:val="single" w:sz="8" w:space="0" w:color="BBA5FF" w:themeColor="accent3"/>
        <w:bottom w:val="single" w:sz="8" w:space="0" w:color="BBA5FF" w:themeColor="accent3"/>
        <w:right w:val="single" w:sz="8" w:space="0" w:color="BBA5FF" w:themeColor="accent3"/>
        <w:insideH w:val="single" w:sz="8" w:space="0" w:color="BBA5FF" w:themeColor="accent3"/>
        <w:insideV w:val="single" w:sz="8" w:space="0" w:color="BBA5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A5FF" w:themeColor="accent3"/>
          <w:left w:val="single" w:sz="8" w:space="0" w:color="BBA5FF" w:themeColor="accent3"/>
          <w:bottom w:val="single" w:sz="18" w:space="0" w:color="BBA5FF" w:themeColor="accent3"/>
          <w:right w:val="single" w:sz="8" w:space="0" w:color="BBA5FF" w:themeColor="accent3"/>
          <w:insideH w:val="nil"/>
          <w:insideV w:val="single" w:sz="8" w:space="0" w:color="BBA5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A5FF" w:themeColor="accent3"/>
          <w:left w:val="single" w:sz="8" w:space="0" w:color="BBA5FF" w:themeColor="accent3"/>
          <w:bottom w:val="single" w:sz="8" w:space="0" w:color="BBA5FF" w:themeColor="accent3"/>
          <w:right w:val="single" w:sz="8" w:space="0" w:color="BBA5FF" w:themeColor="accent3"/>
          <w:insideH w:val="nil"/>
          <w:insideV w:val="single" w:sz="8" w:space="0" w:color="BBA5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A5FF" w:themeColor="accent3"/>
          <w:left w:val="single" w:sz="8" w:space="0" w:color="BBA5FF" w:themeColor="accent3"/>
          <w:bottom w:val="single" w:sz="8" w:space="0" w:color="BBA5FF" w:themeColor="accent3"/>
          <w:right w:val="single" w:sz="8" w:space="0" w:color="BBA5FF" w:themeColor="accent3"/>
        </w:tcBorders>
      </w:tcPr>
    </w:tblStylePr>
    <w:tblStylePr w:type="band1Vert">
      <w:tblPr/>
      <w:tcPr>
        <w:tcBorders>
          <w:top w:val="single" w:sz="8" w:space="0" w:color="BBA5FF" w:themeColor="accent3"/>
          <w:left w:val="single" w:sz="8" w:space="0" w:color="BBA5FF" w:themeColor="accent3"/>
          <w:bottom w:val="single" w:sz="8" w:space="0" w:color="BBA5FF" w:themeColor="accent3"/>
          <w:right w:val="single" w:sz="8" w:space="0" w:color="BBA5FF" w:themeColor="accent3"/>
        </w:tcBorders>
        <w:shd w:val="clear" w:color="auto" w:fill="EEE8FF" w:themeFill="accent3" w:themeFillTint="3F"/>
      </w:tcPr>
    </w:tblStylePr>
    <w:tblStylePr w:type="band1Horz">
      <w:tblPr/>
      <w:tcPr>
        <w:tcBorders>
          <w:top w:val="single" w:sz="8" w:space="0" w:color="BBA5FF" w:themeColor="accent3"/>
          <w:left w:val="single" w:sz="8" w:space="0" w:color="BBA5FF" w:themeColor="accent3"/>
          <w:bottom w:val="single" w:sz="8" w:space="0" w:color="BBA5FF" w:themeColor="accent3"/>
          <w:right w:val="single" w:sz="8" w:space="0" w:color="BBA5FF" w:themeColor="accent3"/>
          <w:insideV w:val="single" w:sz="8" w:space="0" w:color="BBA5FF" w:themeColor="accent3"/>
        </w:tcBorders>
        <w:shd w:val="clear" w:color="auto" w:fill="EEE8FF" w:themeFill="accent3" w:themeFillTint="3F"/>
      </w:tcPr>
    </w:tblStylePr>
    <w:tblStylePr w:type="band2Horz">
      <w:tblPr/>
      <w:tcPr>
        <w:tcBorders>
          <w:top w:val="single" w:sz="8" w:space="0" w:color="BBA5FF" w:themeColor="accent3"/>
          <w:left w:val="single" w:sz="8" w:space="0" w:color="BBA5FF" w:themeColor="accent3"/>
          <w:bottom w:val="single" w:sz="8" w:space="0" w:color="BBA5FF" w:themeColor="accent3"/>
          <w:right w:val="single" w:sz="8" w:space="0" w:color="BBA5FF" w:themeColor="accent3"/>
          <w:insideV w:val="single" w:sz="8" w:space="0" w:color="BBA5FF" w:themeColor="accent3"/>
        </w:tcBorders>
      </w:tcPr>
    </w:tblStylePr>
  </w:style>
  <w:style w:type="table" w:styleId="LightGrid-Accent4">
    <w:name w:val="Light Grid Accent 4"/>
    <w:basedOn w:val="TableNormal"/>
    <w:uiPriority w:val="62"/>
    <w:semiHidden/>
    <w:unhideWhenUsed/>
    <w:rsid w:val="00D42149"/>
    <w:pPr>
      <w:spacing w:line="240" w:lineRule="auto"/>
    </w:pPr>
    <w:tblPr>
      <w:tblStyleRowBandSize w:val="1"/>
      <w:tblStyleColBandSize w:val="1"/>
      <w:tblBorders>
        <w:top w:val="single" w:sz="8" w:space="0" w:color="DAFFAF" w:themeColor="accent4"/>
        <w:left w:val="single" w:sz="8" w:space="0" w:color="DAFFAF" w:themeColor="accent4"/>
        <w:bottom w:val="single" w:sz="8" w:space="0" w:color="DAFFAF" w:themeColor="accent4"/>
        <w:right w:val="single" w:sz="8" w:space="0" w:color="DAFFAF" w:themeColor="accent4"/>
        <w:insideH w:val="single" w:sz="8" w:space="0" w:color="DAFFAF" w:themeColor="accent4"/>
        <w:insideV w:val="single" w:sz="8" w:space="0" w:color="DAFF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AFFAF" w:themeColor="accent4"/>
          <w:left w:val="single" w:sz="8" w:space="0" w:color="DAFFAF" w:themeColor="accent4"/>
          <w:bottom w:val="single" w:sz="18" w:space="0" w:color="DAFFAF" w:themeColor="accent4"/>
          <w:right w:val="single" w:sz="8" w:space="0" w:color="DAFFAF" w:themeColor="accent4"/>
          <w:insideH w:val="nil"/>
          <w:insideV w:val="single" w:sz="8" w:space="0" w:color="DAFF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AFFAF" w:themeColor="accent4"/>
          <w:left w:val="single" w:sz="8" w:space="0" w:color="DAFFAF" w:themeColor="accent4"/>
          <w:bottom w:val="single" w:sz="8" w:space="0" w:color="DAFFAF" w:themeColor="accent4"/>
          <w:right w:val="single" w:sz="8" w:space="0" w:color="DAFFAF" w:themeColor="accent4"/>
          <w:insideH w:val="nil"/>
          <w:insideV w:val="single" w:sz="8" w:space="0" w:color="DAFF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AFFAF" w:themeColor="accent4"/>
          <w:left w:val="single" w:sz="8" w:space="0" w:color="DAFFAF" w:themeColor="accent4"/>
          <w:bottom w:val="single" w:sz="8" w:space="0" w:color="DAFFAF" w:themeColor="accent4"/>
          <w:right w:val="single" w:sz="8" w:space="0" w:color="DAFFAF" w:themeColor="accent4"/>
        </w:tcBorders>
      </w:tcPr>
    </w:tblStylePr>
    <w:tblStylePr w:type="band1Vert">
      <w:tblPr/>
      <w:tcPr>
        <w:tcBorders>
          <w:top w:val="single" w:sz="8" w:space="0" w:color="DAFFAF" w:themeColor="accent4"/>
          <w:left w:val="single" w:sz="8" w:space="0" w:color="DAFFAF" w:themeColor="accent4"/>
          <w:bottom w:val="single" w:sz="8" w:space="0" w:color="DAFFAF" w:themeColor="accent4"/>
          <w:right w:val="single" w:sz="8" w:space="0" w:color="DAFFAF" w:themeColor="accent4"/>
        </w:tcBorders>
        <w:shd w:val="clear" w:color="auto" w:fill="F5FFEB" w:themeFill="accent4" w:themeFillTint="3F"/>
      </w:tcPr>
    </w:tblStylePr>
    <w:tblStylePr w:type="band1Horz">
      <w:tblPr/>
      <w:tcPr>
        <w:tcBorders>
          <w:top w:val="single" w:sz="8" w:space="0" w:color="DAFFAF" w:themeColor="accent4"/>
          <w:left w:val="single" w:sz="8" w:space="0" w:color="DAFFAF" w:themeColor="accent4"/>
          <w:bottom w:val="single" w:sz="8" w:space="0" w:color="DAFFAF" w:themeColor="accent4"/>
          <w:right w:val="single" w:sz="8" w:space="0" w:color="DAFFAF" w:themeColor="accent4"/>
          <w:insideV w:val="single" w:sz="8" w:space="0" w:color="DAFFAF" w:themeColor="accent4"/>
        </w:tcBorders>
        <w:shd w:val="clear" w:color="auto" w:fill="F5FFEB" w:themeFill="accent4" w:themeFillTint="3F"/>
      </w:tcPr>
    </w:tblStylePr>
    <w:tblStylePr w:type="band2Horz">
      <w:tblPr/>
      <w:tcPr>
        <w:tcBorders>
          <w:top w:val="single" w:sz="8" w:space="0" w:color="DAFFAF" w:themeColor="accent4"/>
          <w:left w:val="single" w:sz="8" w:space="0" w:color="DAFFAF" w:themeColor="accent4"/>
          <w:bottom w:val="single" w:sz="8" w:space="0" w:color="DAFFAF" w:themeColor="accent4"/>
          <w:right w:val="single" w:sz="8" w:space="0" w:color="DAFFAF" w:themeColor="accent4"/>
          <w:insideV w:val="single" w:sz="8" w:space="0" w:color="DAFFAF" w:themeColor="accent4"/>
        </w:tcBorders>
      </w:tcPr>
    </w:tblStylePr>
  </w:style>
  <w:style w:type="table" w:styleId="LightGrid-Accent5">
    <w:name w:val="Light Grid Accent 5"/>
    <w:basedOn w:val="TableNormal"/>
    <w:uiPriority w:val="62"/>
    <w:semiHidden/>
    <w:unhideWhenUsed/>
    <w:rsid w:val="00D42149"/>
    <w:pPr>
      <w:spacing w:line="240" w:lineRule="auto"/>
    </w:pPr>
    <w:tblPr>
      <w:tblStyleRowBandSize w:val="1"/>
      <w:tblStyleColBandSize w:val="1"/>
      <w:tblBorders>
        <w:top w:val="single" w:sz="8" w:space="0" w:color="FFB96F" w:themeColor="accent5"/>
        <w:left w:val="single" w:sz="8" w:space="0" w:color="FFB96F" w:themeColor="accent5"/>
        <w:bottom w:val="single" w:sz="8" w:space="0" w:color="FFB96F" w:themeColor="accent5"/>
        <w:right w:val="single" w:sz="8" w:space="0" w:color="FFB96F" w:themeColor="accent5"/>
        <w:insideH w:val="single" w:sz="8" w:space="0" w:color="FFB96F" w:themeColor="accent5"/>
        <w:insideV w:val="single" w:sz="8" w:space="0" w:color="FFB96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B96F" w:themeColor="accent5"/>
          <w:left w:val="single" w:sz="8" w:space="0" w:color="FFB96F" w:themeColor="accent5"/>
          <w:bottom w:val="single" w:sz="18" w:space="0" w:color="FFB96F" w:themeColor="accent5"/>
          <w:right w:val="single" w:sz="8" w:space="0" w:color="FFB96F" w:themeColor="accent5"/>
          <w:insideH w:val="nil"/>
          <w:insideV w:val="single" w:sz="8" w:space="0" w:color="FFB96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96F" w:themeColor="accent5"/>
          <w:left w:val="single" w:sz="8" w:space="0" w:color="FFB96F" w:themeColor="accent5"/>
          <w:bottom w:val="single" w:sz="8" w:space="0" w:color="FFB96F" w:themeColor="accent5"/>
          <w:right w:val="single" w:sz="8" w:space="0" w:color="FFB96F" w:themeColor="accent5"/>
          <w:insideH w:val="nil"/>
          <w:insideV w:val="single" w:sz="8" w:space="0" w:color="FFB96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B96F" w:themeColor="accent5"/>
          <w:left w:val="single" w:sz="8" w:space="0" w:color="FFB96F" w:themeColor="accent5"/>
          <w:bottom w:val="single" w:sz="8" w:space="0" w:color="FFB96F" w:themeColor="accent5"/>
          <w:right w:val="single" w:sz="8" w:space="0" w:color="FFB96F" w:themeColor="accent5"/>
        </w:tcBorders>
      </w:tcPr>
    </w:tblStylePr>
    <w:tblStylePr w:type="band1Vert">
      <w:tblPr/>
      <w:tcPr>
        <w:tcBorders>
          <w:top w:val="single" w:sz="8" w:space="0" w:color="FFB96F" w:themeColor="accent5"/>
          <w:left w:val="single" w:sz="8" w:space="0" w:color="FFB96F" w:themeColor="accent5"/>
          <w:bottom w:val="single" w:sz="8" w:space="0" w:color="FFB96F" w:themeColor="accent5"/>
          <w:right w:val="single" w:sz="8" w:space="0" w:color="FFB96F" w:themeColor="accent5"/>
        </w:tcBorders>
        <w:shd w:val="clear" w:color="auto" w:fill="FFEDDB" w:themeFill="accent5" w:themeFillTint="3F"/>
      </w:tcPr>
    </w:tblStylePr>
    <w:tblStylePr w:type="band1Horz">
      <w:tblPr/>
      <w:tcPr>
        <w:tcBorders>
          <w:top w:val="single" w:sz="8" w:space="0" w:color="FFB96F" w:themeColor="accent5"/>
          <w:left w:val="single" w:sz="8" w:space="0" w:color="FFB96F" w:themeColor="accent5"/>
          <w:bottom w:val="single" w:sz="8" w:space="0" w:color="FFB96F" w:themeColor="accent5"/>
          <w:right w:val="single" w:sz="8" w:space="0" w:color="FFB96F" w:themeColor="accent5"/>
          <w:insideV w:val="single" w:sz="8" w:space="0" w:color="FFB96F" w:themeColor="accent5"/>
        </w:tcBorders>
        <w:shd w:val="clear" w:color="auto" w:fill="FFEDDB" w:themeFill="accent5" w:themeFillTint="3F"/>
      </w:tcPr>
    </w:tblStylePr>
    <w:tblStylePr w:type="band2Horz">
      <w:tblPr/>
      <w:tcPr>
        <w:tcBorders>
          <w:top w:val="single" w:sz="8" w:space="0" w:color="FFB96F" w:themeColor="accent5"/>
          <w:left w:val="single" w:sz="8" w:space="0" w:color="FFB96F" w:themeColor="accent5"/>
          <w:bottom w:val="single" w:sz="8" w:space="0" w:color="FFB96F" w:themeColor="accent5"/>
          <w:right w:val="single" w:sz="8" w:space="0" w:color="FFB96F" w:themeColor="accent5"/>
          <w:insideV w:val="single" w:sz="8" w:space="0" w:color="FFB96F" w:themeColor="accent5"/>
        </w:tcBorders>
      </w:tcPr>
    </w:tblStylePr>
  </w:style>
  <w:style w:type="table" w:styleId="LightGrid-Accent6">
    <w:name w:val="Light Grid Accent 6"/>
    <w:basedOn w:val="TableNormal"/>
    <w:uiPriority w:val="62"/>
    <w:semiHidden/>
    <w:unhideWhenUsed/>
    <w:rsid w:val="00D42149"/>
    <w:pPr>
      <w:spacing w:line="240" w:lineRule="auto"/>
    </w:pPr>
    <w:tblPr>
      <w:tblStyleRowBandSize w:val="1"/>
      <w:tblStyleColBandSize w:val="1"/>
      <w:tblBorders>
        <w:top w:val="single" w:sz="8" w:space="0" w:color="DDD4C9" w:themeColor="accent6"/>
        <w:left w:val="single" w:sz="8" w:space="0" w:color="DDD4C9" w:themeColor="accent6"/>
        <w:bottom w:val="single" w:sz="8" w:space="0" w:color="DDD4C9" w:themeColor="accent6"/>
        <w:right w:val="single" w:sz="8" w:space="0" w:color="DDD4C9" w:themeColor="accent6"/>
        <w:insideH w:val="single" w:sz="8" w:space="0" w:color="DDD4C9" w:themeColor="accent6"/>
        <w:insideV w:val="single" w:sz="8" w:space="0" w:color="DDD4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4C9" w:themeColor="accent6"/>
          <w:left w:val="single" w:sz="8" w:space="0" w:color="DDD4C9" w:themeColor="accent6"/>
          <w:bottom w:val="single" w:sz="18" w:space="0" w:color="DDD4C9" w:themeColor="accent6"/>
          <w:right w:val="single" w:sz="8" w:space="0" w:color="DDD4C9" w:themeColor="accent6"/>
          <w:insideH w:val="nil"/>
          <w:insideV w:val="single" w:sz="8" w:space="0" w:color="DDD4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4C9" w:themeColor="accent6"/>
          <w:left w:val="single" w:sz="8" w:space="0" w:color="DDD4C9" w:themeColor="accent6"/>
          <w:bottom w:val="single" w:sz="8" w:space="0" w:color="DDD4C9" w:themeColor="accent6"/>
          <w:right w:val="single" w:sz="8" w:space="0" w:color="DDD4C9" w:themeColor="accent6"/>
          <w:insideH w:val="nil"/>
          <w:insideV w:val="single" w:sz="8" w:space="0" w:color="DDD4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4C9" w:themeColor="accent6"/>
          <w:left w:val="single" w:sz="8" w:space="0" w:color="DDD4C9" w:themeColor="accent6"/>
          <w:bottom w:val="single" w:sz="8" w:space="0" w:color="DDD4C9" w:themeColor="accent6"/>
          <w:right w:val="single" w:sz="8" w:space="0" w:color="DDD4C9" w:themeColor="accent6"/>
        </w:tcBorders>
      </w:tcPr>
    </w:tblStylePr>
    <w:tblStylePr w:type="band1Vert">
      <w:tblPr/>
      <w:tcPr>
        <w:tcBorders>
          <w:top w:val="single" w:sz="8" w:space="0" w:color="DDD4C9" w:themeColor="accent6"/>
          <w:left w:val="single" w:sz="8" w:space="0" w:color="DDD4C9" w:themeColor="accent6"/>
          <w:bottom w:val="single" w:sz="8" w:space="0" w:color="DDD4C9" w:themeColor="accent6"/>
          <w:right w:val="single" w:sz="8" w:space="0" w:color="DDD4C9" w:themeColor="accent6"/>
        </w:tcBorders>
        <w:shd w:val="clear" w:color="auto" w:fill="F6F4F1" w:themeFill="accent6" w:themeFillTint="3F"/>
      </w:tcPr>
    </w:tblStylePr>
    <w:tblStylePr w:type="band1Horz">
      <w:tblPr/>
      <w:tcPr>
        <w:tcBorders>
          <w:top w:val="single" w:sz="8" w:space="0" w:color="DDD4C9" w:themeColor="accent6"/>
          <w:left w:val="single" w:sz="8" w:space="0" w:color="DDD4C9" w:themeColor="accent6"/>
          <w:bottom w:val="single" w:sz="8" w:space="0" w:color="DDD4C9" w:themeColor="accent6"/>
          <w:right w:val="single" w:sz="8" w:space="0" w:color="DDD4C9" w:themeColor="accent6"/>
          <w:insideV w:val="single" w:sz="8" w:space="0" w:color="DDD4C9" w:themeColor="accent6"/>
        </w:tcBorders>
        <w:shd w:val="clear" w:color="auto" w:fill="F6F4F1" w:themeFill="accent6" w:themeFillTint="3F"/>
      </w:tcPr>
    </w:tblStylePr>
    <w:tblStylePr w:type="band2Horz">
      <w:tblPr/>
      <w:tcPr>
        <w:tcBorders>
          <w:top w:val="single" w:sz="8" w:space="0" w:color="DDD4C9" w:themeColor="accent6"/>
          <w:left w:val="single" w:sz="8" w:space="0" w:color="DDD4C9" w:themeColor="accent6"/>
          <w:bottom w:val="single" w:sz="8" w:space="0" w:color="DDD4C9" w:themeColor="accent6"/>
          <w:right w:val="single" w:sz="8" w:space="0" w:color="DDD4C9" w:themeColor="accent6"/>
          <w:insideV w:val="single" w:sz="8" w:space="0" w:color="DDD4C9" w:themeColor="accent6"/>
        </w:tcBorders>
      </w:tcPr>
    </w:tblStylePr>
  </w:style>
  <w:style w:type="table" w:styleId="LightList">
    <w:name w:val="Light List"/>
    <w:basedOn w:val="TableNormal"/>
    <w:uiPriority w:val="61"/>
    <w:semiHidden/>
    <w:unhideWhenUsed/>
    <w:rsid w:val="00D4214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42149"/>
    <w:pPr>
      <w:spacing w:line="240" w:lineRule="auto"/>
    </w:pPr>
    <w:tblPr>
      <w:tblStyleRowBandSize w:val="1"/>
      <w:tblStyleColBandSize w:val="1"/>
      <w:tblBorders>
        <w:top w:val="single" w:sz="8" w:space="0" w:color="00008F" w:themeColor="accent1"/>
        <w:left w:val="single" w:sz="8" w:space="0" w:color="00008F" w:themeColor="accent1"/>
        <w:bottom w:val="single" w:sz="8" w:space="0" w:color="00008F" w:themeColor="accent1"/>
        <w:right w:val="single" w:sz="8" w:space="0" w:color="00008F" w:themeColor="accent1"/>
      </w:tblBorders>
    </w:tblPr>
    <w:tblStylePr w:type="firstRow">
      <w:pPr>
        <w:spacing w:before="0" w:after="0" w:line="240" w:lineRule="auto"/>
      </w:pPr>
      <w:rPr>
        <w:b/>
        <w:bCs/>
        <w:color w:val="FFFFFF" w:themeColor="background1"/>
      </w:rPr>
      <w:tblPr/>
      <w:tcPr>
        <w:shd w:val="clear" w:color="auto" w:fill="00008F" w:themeFill="accent1"/>
      </w:tcPr>
    </w:tblStylePr>
    <w:tblStylePr w:type="lastRow">
      <w:pPr>
        <w:spacing w:before="0" w:after="0" w:line="240" w:lineRule="auto"/>
      </w:pPr>
      <w:rPr>
        <w:b/>
        <w:bCs/>
      </w:rPr>
      <w:tblPr/>
      <w:tcPr>
        <w:tcBorders>
          <w:top w:val="double" w:sz="6" w:space="0" w:color="00008F" w:themeColor="accent1"/>
          <w:left w:val="single" w:sz="8" w:space="0" w:color="00008F" w:themeColor="accent1"/>
          <w:bottom w:val="single" w:sz="8" w:space="0" w:color="00008F" w:themeColor="accent1"/>
          <w:right w:val="single" w:sz="8" w:space="0" w:color="00008F" w:themeColor="accent1"/>
        </w:tcBorders>
      </w:tcPr>
    </w:tblStylePr>
    <w:tblStylePr w:type="firstCol">
      <w:rPr>
        <w:b/>
        <w:bCs/>
      </w:rPr>
    </w:tblStylePr>
    <w:tblStylePr w:type="lastCol">
      <w:rPr>
        <w:b/>
        <w:bCs/>
      </w:rPr>
    </w:tblStylePr>
    <w:tblStylePr w:type="band1Vert">
      <w:tblPr/>
      <w:tcPr>
        <w:tcBorders>
          <w:top w:val="single" w:sz="8" w:space="0" w:color="00008F" w:themeColor="accent1"/>
          <w:left w:val="single" w:sz="8" w:space="0" w:color="00008F" w:themeColor="accent1"/>
          <w:bottom w:val="single" w:sz="8" w:space="0" w:color="00008F" w:themeColor="accent1"/>
          <w:right w:val="single" w:sz="8" w:space="0" w:color="00008F" w:themeColor="accent1"/>
        </w:tcBorders>
      </w:tcPr>
    </w:tblStylePr>
    <w:tblStylePr w:type="band1Horz">
      <w:tblPr/>
      <w:tcPr>
        <w:tcBorders>
          <w:top w:val="single" w:sz="8" w:space="0" w:color="00008F" w:themeColor="accent1"/>
          <w:left w:val="single" w:sz="8" w:space="0" w:color="00008F" w:themeColor="accent1"/>
          <w:bottom w:val="single" w:sz="8" w:space="0" w:color="00008F" w:themeColor="accent1"/>
          <w:right w:val="single" w:sz="8" w:space="0" w:color="00008F" w:themeColor="accent1"/>
        </w:tcBorders>
      </w:tcPr>
    </w:tblStylePr>
  </w:style>
  <w:style w:type="table" w:styleId="LightList-Accent2">
    <w:name w:val="Light List Accent 2"/>
    <w:basedOn w:val="TableNormal"/>
    <w:uiPriority w:val="61"/>
    <w:semiHidden/>
    <w:unhideWhenUsed/>
    <w:rsid w:val="00D42149"/>
    <w:pPr>
      <w:spacing w:line="240" w:lineRule="auto"/>
    </w:pPr>
    <w:tblPr>
      <w:tblStyleRowBandSize w:val="1"/>
      <w:tblStyleColBandSize w:val="1"/>
      <w:tblBorders>
        <w:top w:val="single" w:sz="8" w:space="0" w:color="B6F0FF" w:themeColor="accent2"/>
        <w:left w:val="single" w:sz="8" w:space="0" w:color="B6F0FF" w:themeColor="accent2"/>
        <w:bottom w:val="single" w:sz="8" w:space="0" w:color="B6F0FF" w:themeColor="accent2"/>
        <w:right w:val="single" w:sz="8" w:space="0" w:color="B6F0FF" w:themeColor="accent2"/>
      </w:tblBorders>
    </w:tblPr>
    <w:tblStylePr w:type="firstRow">
      <w:pPr>
        <w:spacing w:before="0" w:after="0" w:line="240" w:lineRule="auto"/>
      </w:pPr>
      <w:rPr>
        <w:b/>
        <w:bCs/>
        <w:color w:val="FFFFFF" w:themeColor="background1"/>
      </w:rPr>
      <w:tblPr/>
      <w:tcPr>
        <w:shd w:val="clear" w:color="auto" w:fill="B6F0FF" w:themeFill="accent2"/>
      </w:tcPr>
    </w:tblStylePr>
    <w:tblStylePr w:type="lastRow">
      <w:pPr>
        <w:spacing w:before="0" w:after="0" w:line="240" w:lineRule="auto"/>
      </w:pPr>
      <w:rPr>
        <w:b/>
        <w:bCs/>
      </w:rPr>
      <w:tblPr/>
      <w:tcPr>
        <w:tcBorders>
          <w:top w:val="double" w:sz="6" w:space="0" w:color="B6F0FF" w:themeColor="accent2"/>
          <w:left w:val="single" w:sz="8" w:space="0" w:color="B6F0FF" w:themeColor="accent2"/>
          <w:bottom w:val="single" w:sz="8" w:space="0" w:color="B6F0FF" w:themeColor="accent2"/>
          <w:right w:val="single" w:sz="8" w:space="0" w:color="B6F0FF" w:themeColor="accent2"/>
        </w:tcBorders>
      </w:tcPr>
    </w:tblStylePr>
    <w:tblStylePr w:type="firstCol">
      <w:rPr>
        <w:b/>
        <w:bCs/>
      </w:rPr>
    </w:tblStylePr>
    <w:tblStylePr w:type="lastCol">
      <w:rPr>
        <w:b/>
        <w:bCs/>
      </w:rPr>
    </w:tblStylePr>
    <w:tblStylePr w:type="band1Vert">
      <w:tblPr/>
      <w:tcPr>
        <w:tcBorders>
          <w:top w:val="single" w:sz="8" w:space="0" w:color="B6F0FF" w:themeColor="accent2"/>
          <w:left w:val="single" w:sz="8" w:space="0" w:color="B6F0FF" w:themeColor="accent2"/>
          <w:bottom w:val="single" w:sz="8" w:space="0" w:color="B6F0FF" w:themeColor="accent2"/>
          <w:right w:val="single" w:sz="8" w:space="0" w:color="B6F0FF" w:themeColor="accent2"/>
        </w:tcBorders>
      </w:tcPr>
    </w:tblStylePr>
    <w:tblStylePr w:type="band1Horz">
      <w:tblPr/>
      <w:tcPr>
        <w:tcBorders>
          <w:top w:val="single" w:sz="8" w:space="0" w:color="B6F0FF" w:themeColor="accent2"/>
          <w:left w:val="single" w:sz="8" w:space="0" w:color="B6F0FF" w:themeColor="accent2"/>
          <w:bottom w:val="single" w:sz="8" w:space="0" w:color="B6F0FF" w:themeColor="accent2"/>
          <w:right w:val="single" w:sz="8" w:space="0" w:color="B6F0FF" w:themeColor="accent2"/>
        </w:tcBorders>
      </w:tcPr>
    </w:tblStylePr>
  </w:style>
  <w:style w:type="table" w:styleId="LightList-Accent3">
    <w:name w:val="Light List Accent 3"/>
    <w:basedOn w:val="TableNormal"/>
    <w:uiPriority w:val="61"/>
    <w:semiHidden/>
    <w:unhideWhenUsed/>
    <w:rsid w:val="00D42149"/>
    <w:pPr>
      <w:spacing w:line="240" w:lineRule="auto"/>
    </w:pPr>
    <w:tblPr>
      <w:tblStyleRowBandSize w:val="1"/>
      <w:tblStyleColBandSize w:val="1"/>
      <w:tblBorders>
        <w:top w:val="single" w:sz="8" w:space="0" w:color="BBA5FF" w:themeColor="accent3"/>
        <w:left w:val="single" w:sz="8" w:space="0" w:color="BBA5FF" w:themeColor="accent3"/>
        <w:bottom w:val="single" w:sz="8" w:space="0" w:color="BBA5FF" w:themeColor="accent3"/>
        <w:right w:val="single" w:sz="8" w:space="0" w:color="BBA5FF" w:themeColor="accent3"/>
      </w:tblBorders>
    </w:tblPr>
    <w:tblStylePr w:type="firstRow">
      <w:pPr>
        <w:spacing w:before="0" w:after="0" w:line="240" w:lineRule="auto"/>
      </w:pPr>
      <w:rPr>
        <w:b/>
        <w:bCs/>
        <w:color w:val="FFFFFF" w:themeColor="background1"/>
      </w:rPr>
      <w:tblPr/>
      <w:tcPr>
        <w:shd w:val="clear" w:color="auto" w:fill="BBA5FF" w:themeFill="accent3"/>
      </w:tcPr>
    </w:tblStylePr>
    <w:tblStylePr w:type="lastRow">
      <w:pPr>
        <w:spacing w:before="0" w:after="0" w:line="240" w:lineRule="auto"/>
      </w:pPr>
      <w:rPr>
        <w:b/>
        <w:bCs/>
      </w:rPr>
      <w:tblPr/>
      <w:tcPr>
        <w:tcBorders>
          <w:top w:val="double" w:sz="6" w:space="0" w:color="BBA5FF" w:themeColor="accent3"/>
          <w:left w:val="single" w:sz="8" w:space="0" w:color="BBA5FF" w:themeColor="accent3"/>
          <w:bottom w:val="single" w:sz="8" w:space="0" w:color="BBA5FF" w:themeColor="accent3"/>
          <w:right w:val="single" w:sz="8" w:space="0" w:color="BBA5FF" w:themeColor="accent3"/>
        </w:tcBorders>
      </w:tcPr>
    </w:tblStylePr>
    <w:tblStylePr w:type="firstCol">
      <w:rPr>
        <w:b/>
        <w:bCs/>
      </w:rPr>
    </w:tblStylePr>
    <w:tblStylePr w:type="lastCol">
      <w:rPr>
        <w:b/>
        <w:bCs/>
      </w:rPr>
    </w:tblStylePr>
    <w:tblStylePr w:type="band1Vert">
      <w:tblPr/>
      <w:tcPr>
        <w:tcBorders>
          <w:top w:val="single" w:sz="8" w:space="0" w:color="BBA5FF" w:themeColor="accent3"/>
          <w:left w:val="single" w:sz="8" w:space="0" w:color="BBA5FF" w:themeColor="accent3"/>
          <w:bottom w:val="single" w:sz="8" w:space="0" w:color="BBA5FF" w:themeColor="accent3"/>
          <w:right w:val="single" w:sz="8" w:space="0" w:color="BBA5FF" w:themeColor="accent3"/>
        </w:tcBorders>
      </w:tcPr>
    </w:tblStylePr>
    <w:tblStylePr w:type="band1Horz">
      <w:tblPr/>
      <w:tcPr>
        <w:tcBorders>
          <w:top w:val="single" w:sz="8" w:space="0" w:color="BBA5FF" w:themeColor="accent3"/>
          <w:left w:val="single" w:sz="8" w:space="0" w:color="BBA5FF" w:themeColor="accent3"/>
          <w:bottom w:val="single" w:sz="8" w:space="0" w:color="BBA5FF" w:themeColor="accent3"/>
          <w:right w:val="single" w:sz="8" w:space="0" w:color="BBA5FF" w:themeColor="accent3"/>
        </w:tcBorders>
      </w:tcPr>
    </w:tblStylePr>
  </w:style>
  <w:style w:type="table" w:styleId="LightList-Accent4">
    <w:name w:val="Light List Accent 4"/>
    <w:basedOn w:val="TableNormal"/>
    <w:uiPriority w:val="61"/>
    <w:semiHidden/>
    <w:unhideWhenUsed/>
    <w:rsid w:val="00D42149"/>
    <w:pPr>
      <w:spacing w:line="240" w:lineRule="auto"/>
    </w:pPr>
    <w:tblPr>
      <w:tblStyleRowBandSize w:val="1"/>
      <w:tblStyleColBandSize w:val="1"/>
      <w:tblBorders>
        <w:top w:val="single" w:sz="8" w:space="0" w:color="DAFFAF" w:themeColor="accent4"/>
        <w:left w:val="single" w:sz="8" w:space="0" w:color="DAFFAF" w:themeColor="accent4"/>
        <w:bottom w:val="single" w:sz="8" w:space="0" w:color="DAFFAF" w:themeColor="accent4"/>
        <w:right w:val="single" w:sz="8" w:space="0" w:color="DAFFAF" w:themeColor="accent4"/>
      </w:tblBorders>
    </w:tblPr>
    <w:tblStylePr w:type="firstRow">
      <w:pPr>
        <w:spacing w:before="0" w:after="0" w:line="240" w:lineRule="auto"/>
      </w:pPr>
      <w:rPr>
        <w:b/>
        <w:bCs/>
        <w:color w:val="FFFFFF" w:themeColor="background1"/>
      </w:rPr>
      <w:tblPr/>
      <w:tcPr>
        <w:shd w:val="clear" w:color="auto" w:fill="DAFFAF" w:themeFill="accent4"/>
      </w:tcPr>
    </w:tblStylePr>
    <w:tblStylePr w:type="lastRow">
      <w:pPr>
        <w:spacing w:before="0" w:after="0" w:line="240" w:lineRule="auto"/>
      </w:pPr>
      <w:rPr>
        <w:b/>
        <w:bCs/>
      </w:rPr>
      <w:tblPr/>
      <w:tcPr>
        <w:tcBorders>
          <w:top w:val="double" w:sz="6" w:space="0" w:color="DAFFAF" w:themeColor="accent4"/>
          <w:left w:val="single" w:sz="8" w:space="0" w:color="DAFFAF" w:themeColor="accent4"/>
          <w:bottom w:val="single" w:sz="8" w:space="0" w:color="DAFFAF" w:themeColor="accent4"/>
          <w:right w:val="single" w:sz="8" w:space="0" w:color="DAFFAF" w:themeColor="accent4"/>
        </w:tcBorders>
      </w:tcPr>
    </w:tblStylePr>
    <w:tblStylePr w:type="firstCol">
      <w:rPr>
        <w:b/>
        <w:bCs/>
      </w:rPr>
    </w:tblStylePr>
    <w:tblStylePr w:type="lastCol">
      <w:rPr>
        <w:b/>
        <w:bCs/>
      </w:rPr>
    </w:tblStylePr>
    <w:tblStylePr w:type="band1Vert">
      <w:tblPr/>
      <w:tcPr>
        <w:tcBorders>
          <w:top w:val="single" w:sz="8" w:space="0" w:color="DAFFAF" w:themeColor="accent4"/>
          <w:left w:val="single" w:sz="8" w:space="0" w:color="DAFFAF" w:themeColor="accent4"/>
          <w:bottom w:val="single" w:sz="8" w:space="0" w:color="DAFFAF" w:themeColor="accent4"/>
          <w:right w:val="single" w:sz="8" w:space="0" w:color="DAFFAF" w:themeColor="accent4"/>
        </w:tcBorders>
      </w:tcPr>
    </w:tblStylePr>
    <w:tblStylePr w:type="band1Horz">
      <w:tblPr/>
      <w:tcPr>
        <w:tcBorders>
          <w:top w:val="single" w:sz="8" w:space="0" w:color="DAFFAF" w:themeColor="accent4"/>
          <w:left w:val="single" w:sz="8" w:space="0" w:color="DAFFAF" w:themeColor="accent4"/>
          <w:bottom w:val="single" w:sz="8" w:space="0" w:color="DAFFAF" w:themeColor="accent4"/>
          <w:right w:val="single" w:sz="8" w:space="0" w:color="DAFFAF" w:themeColor="accent4"/>
        </w:tcBorders>
      </w:tcPr>
    </w:tblStylePr>
  </w:style>
  <w:style w:type="table" w:styleId="LightList-Accent5">
    <w:name w:val="Light List Accent 5"/>
    <w:basedOn w:val="TableNormal"/>
    <w:uiPriority w:val="61"/>
    <w:semiHidden/>
    <w:unhideWhenUsed/>
    <w:rsid w:val="00D42149"/>
    <w:pPr>
      <w:spacing w:line="240" w:lineRule="auto"/>
    </w:pPr>
    <w:tblPr>
      <w:tblStyleRowBandSize w:val="1"/>
      <w:tblStyleColBandSize w:val="1"/>
      <w:tblBorders>
        <w:top w:val="single" w:sz="8" w:space="0" w:color="FFB96F" w:themeColor="accent5"/>
        <w:left w:val="single" w:sz="8" w:space="0" w:color="FFB96F" w:themeColor="accent5"/>
        <w:bottom w:val="single" w:sz="8" w:space="0" w:color="FFB96F" w:themeColor="accent5"/>
        <w:right w:val="single" w:sz="8" w:space="0" w:color="FFB96F" w:themeColor="accent5"/>
      </w:tblBorders>
    </w:tblPr>
    <w:tblStylePr w:type="firstRow">
      <w:pPr>
        <w:spacing w:before="0" w:after="0" w:line="240" w:lineRule="auto"/>
      </w:pPr>
      <w:rPr>
        <w:b/>
        <w:bCs/>
        <w:color w:val="FFFFFF" w:themeColor="background1"/>
      </w:rPr>
      <w:tblPr/>
      <w:tcPr>
        <w:shd w:val="clear" w:color="auto" w:fill="FFB96F" w:themeFill="accent5"/>
      </w:tcPr>
    </w:tblStylePr>
    <w:tblStylePr w:type="lastRow">
      <w:pPr>
        <w:spacing w:before="0" w:after="0" w:line="240" w:lineRule="auto"/>
      </w:pPr>
      <w:rPr>
        <w:b/>
        <w:bCs/>
      </w:rPr>
      <w:tblPr/>
      <w:tcPr>
        <w:tcBorders>
          <w:top w:val="double" w:sz="6" w:space="0" w:color="FFB96F" w:themeColor="accent5"/>
          <w:left w:val="single" w:sz="8" w:space="0" w:color="FFB96F" w:themeColor="accent5"/>
          <w:bottom w:val="single" w:sz="8" w:space="0" w:color="FFB96F" w:themeColor="accent5"/>
          <w:right w:val="single" w:sz="8" w:space="0" w:color="FFB96F" w:themeColor="accent5"/>
        </w:tcBorders>
      </w:tcPr>
    </w:tblStylePr>
    <w:tblStylePr w:type="firstCol">
      <w:rPr>
        <w:b/>
        <w:bCs/>
      </w:rPr>
    </w:tblStylePr>
    <w:tblStylePr w:type="lastCol">
      <w:rPr>
        <w:b/>
        <w:bCs/>
      </w:rPr>
    </w:tblStylePr>
    <w:tblStylePr w:type="band1Vert">
      <w:tblPr/>
      <w:tcPr>
        <w:tcBorders>
          <w:top w:val="single" w:sz="8" w:space="0" w:color="FFB96F" w:themeColor="accent5"/>
          <w:left w:val="single" w:sz="8" w:space="0" w:color="FFB96F" w:themeColor="accent5"/>
          <w:bottom w:val="single" w:sz="8" w:space="0" w:color="FFB96F" w:themeColor="accent5"/>
          <w:right w:val="single" w:sz="8" w:space="0" w:color="FFB96F" w:themeColor="accent5"/>
        </w:tcBorders>
      </w:tcPr>
    </w:tblStylePr>
    <w:tblStylePr w:type="band1Horz">
      <w:tblPr/>
      <w:tcPr>
        <w:tcBorders>
          <w:top w:val="single" w:sz="8" w:space="0" w:color="FFB96F" w:themeColor="accent5"/>
          <w:left w:val="single" w:sz="8" w:space="0" w:color="FFB96F" w:themeColor="accent5"/>
          <w:bottom w:val="single" w:sz="8" w:space="0" w:color="FFB96F" w:themeColor="accent5"/>
          <w:right w:val="single" w:sz="8" w:space="0" w:color="FFB96F" w:themeColor="accent5"/>
        </w:tcBorders>
      </w:tcPr>
    </w:tblStylePr>
  </w:style>
  <w:style w:type="table" w:styleId="LightList-Accent6">
    <w:name w:val="Light List Accent 6"/>
    <w:basedOn w:val="TableNormal"/>
    <w:uiPriority w:val="61"/>
    <w:semiHidden/>
    <w:unhideWhenUsed/>
    <w:rsid w:val="00D42149"/>
    <w:pPr>
      <w:spacing w:line="240" w:lineRule="auto"/>
    </w:pPr>
    <w:tblPr>
      <w:tblStyleRowBandSize w:val="1"/>
      <w:tblStyleColBandSize w:val="1"/>
      <w:tblBorders>
        <w:top w:val="single" w:sz="8" w:space="0" w:color="DDD4C9" w:themeColor="accent6"/>
        <w:left w:val="single" w:sz="8" w:space="0" w:color="DDD4C9" w:themeColor="accent6"/>
        <w:bottom w:val="single" w:sz="8" w:space="0" w:color="DDD4C9" w:themeColor="accent6"/>
        <w:right w:val="single" w:sz="8" w:space="0" w:color="DDD4C9" w:themeColor="accent6"/>
      </w:tblBorders>
    </w:tblPr>
    <w:tblStylePr w:type="firstRow">
      <w:pPr>
        <w:spacing w:before="0" w:after="0" w:line="240" w:lineRule="auto"/>
      </w:pPr>
      <w:rPr>
        <w:b/>
        <w:bCs/>
        <w:color w:val="FFFFFF" w:themeColor="background1"/>
      </w:rPr>
      <w:tblPr/>
      <w:tcPr>
        <w:shd w:val="clear" w:color="auto" w:fill="DDD4C9" w:themeFill="accent6"/>
      </w:tcPr>
    </w:tblStylePr>
    <w:tblStylePr w:type="lastRow">
      <w:pPr>
        <w:spacing w:before="0" w:after="0" w:line="240" w:lineRule="auto"/>
      </w:pPr>
      <w:rPr>
        <w:b/>
        <w:bCs/>
      </w:rPr>
      <w:tblPr/>
      <w:tcPr>
        <w:tcBorders>
          <w:top w:val="double" w:sz="6" w:space="0" w:color="DDD4C9" w:themeColor="accent6"/>
          <w:left w:val="single" w:sz="8" w:space="0" w:color="DDD4C9" w:themeColor="accent6"/>
          <w:bottom w:val="single" w:sz="8" w:space="0" w:color="DDD4C9" w:themeColor="accent6"/>
          <w:right w:val="single" w:sz="8" w:space="0" w:color="DDD4C9" w:themeColor="accent6"/>
        </w:tcBorders>
      </w:tcPr>
    </w:tblStylePr>
    <w:tblStylePr w:type="firstCol">
      <w:rPr>
        <w:b/>
        <w:bCs/>
      </w:rPr>
    </w:tblStylePr>
    <w:tblStylePr w:type="lastCol">
      <w:rPr>
        <w:b/>
        <w:bCs/>
      </w:rPr>
    </w:tblStylePr>
    <w:tblStylePr w:type="band1Vert">
      <w:tblPr/>
      <w:tcPr>
        <w:tcBorders>
          <w:top w:val="single" w:sz="8" w:space="0" w:color="DDD4C9" w:themeColor="accent6"/>
          <w:left w:val="single" w:sz="8" w:space="0" w:color="DDD4C9" w:themeColor="accent6"/>
          <w:bottom w:val="single" w:sz="8" w:space="0" w:color="DDD4C9" w:themeColor="accent6"/>
          <w:right w:val="single" w:sz="8" w:space="0" w:color="DDD4C9" w:themeColor="accent6"/>
        </w:tcBorders>
      </w:tcPr>
    </w:tblStylePr>
    <w:tblStylePr w:type="band1Horz">
      <w:tblPr/>
      <w:tcPr>
        <w:tcBorders>
          <w:top w:val="single" w:sz="8" w:space="0" w:color="DDD4C9" w:themeColor="accent6"/>
          <w:left w:val="single" w:sz="8" w:space="0" w:color="DDD4C9" w:themeColor="accent6"/>
          <w:bottom w:val="single" w:sz="8" w:space="0" w:color="DDD4C9" w:themeColor="accent6"/>
          <w:right w:val="single" w:sz="8" w:space="0" w:color="DDD4C9" w:themeColor="accent6"/>
        </w:tcBorders>
      </w:tcPr>
    </w:tblStylePr>
  </w:style>
  <w:style w:type="table" w:styleId="LightShading">
    <w:name w:val="Light Shading"/>
    <w:basedOn w:val="TableNormal"/>
    <w:uiPriority w:val="60"/>
    <w:semiHidden/>
    <w:unhideWhenUsed/>
    <w:rsid w:val="00D4214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42149"/>
    <w:pPr>
      <w:spacing w:line="240" w:lineRule="auto"/>
    </w:pPr>
    <w:rPr>
      <w:color w:val="00006B" w:themeColor="accent1" w:themeShade="BF"/>
    </w:rPr>
    <w:tblPr>
      <w:tblStyleRowBandSize w:val="1"/>
      <w:tblStyleColBandSize w:val="1"/>
      <w:tblBorders>
        <w:top w:val="single" w:sz="8" w:space="0" w:color="00008F" w:themeColor="accent1"/>
        <w:bottom w:val="single" w:sz="8" w:space="0" w:color="00008F" w:themeColor="accent1"/>
      </w:tblBorders>
    </w:tblPr>
    <w:tblStylePr w:type="firstRow">
      <w:pPr>
        <w:spacing w:before="0" w:after="0" w:line="240" w:lineRule="auto"/>
      </w:pPr>
      <w:rPr>
        <w:b/>
        <w:bCs/>
      </w:rPr>
      <w:tblPr/>
      <w:tcPr>
        <w:tcBorders>
          <w:top w:val="single" w:sz="8" w:space="0" w:color="00008F" w:themeColor="accent1"/>
          <w:left w:val="nil"/>
          <w:bottom w:val="single" w:sz="8" w:space="0" w:color="00008F" w:themeColor="accent1"/>
          <w:right w:val="nil"/>
          <w:insideH w:val="nil"/>
          <w:insideV w:val="nil"/>
        </w:tcBorders>
      </w:tcPr>
    </w:tblStylePr>
    <w:tblStylePr w:type="lastRow">
      <w:pPr>
        <w:spacing w:before="0" w:after="0" w:line="240" w:lineRule="auto"/>
      </w:pPr>
      <w:rPr>
        <w:b/>
        <w:bCs/>
      </w:rPr>
      <w:tblPr/>
      <w:tcPr>
        <w:tcBorders>
          <w:top w:val="single" w:sz="8" w:space="0" w:color="00008F" w:themeColor="accent1"/>
          <w:left w:val="nil"/>
          <w:bottom w:val="single" w:sz="8" w:space="0" w:color="0000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A4FF" w:themeFill="accent1" w:themeFillTint="3F"/>
      </w:tcPr>
    </w:tblStylePr>
    <w:tblStylePr w:type="band1Horz">
      <w:tblPr/>
      <w:tcPr>
        <w:tcBorders>
          <w:left w:val="nil"/>
          <w:right w:val="nil"/>
          <w:insideH w:val="nil"/>
          <w:insideV w:val="nil"/>
        </w:tcBorders>
        <w:shd w:val="clear" w:color="auto" w:fill="A4A4FF" w:themeFill="accent1" w:themeFillTint="3F"/>
      </w:tcPr>
    </w:tblStylePr>
  </w:style>
  <w:style w:type="table" w:styleId="LightShading-Accent2">
    <w:name w:val="Light Shading Accent 2"/>
    <w:basedOn w:val="TableNormal"/>
    <w:uiPriority w:val="60"/>
    <w:semiHidden/>
    <w:unhideWhenUsed/>
    <w:rsid w:val="00D42149"/>
    <w:pPr>
      <w:spacing w:line="240" w:lineRule="auto"/>
    </w:pPr>
    <w:rPr>
      <w:color w:val="48D8FF" w:themeColor="accent2" w:themeShade="BF"/>
    </w:rPr>
    <w:tblPr>
      <w:tblStyleRowBandSize w:val="1"/>
      <w:tblStyleColBandSize w:val="1"/>
      <w:tblBorders>
        <w:top w:val="single" w:sz="8" w:space="0" w:color="B6F0FF" w:themeColor="accent2"/>
        <w:bottom w:val="single" w:sz="8" w:space="0" w:color="B6F0FF" w:themeColor="accent2"/>
      </w:tblBorders>
    </w:tblPr>
    <w:tblStylePr w:type="firstRow">
      <w:pPr>
        <w:spacing w:before="0" w:after="0" w:line="240" w:lineRule="auto"/>
      </w:pPr>
      <w:rPr>
        <w:b/>
        <w:bCs/>
      </w:rPr>
      <w:tblPr/>
      <w:tcPr>
        <w:tcBorders>
          <w:top w:val="single" w:sz="8" w:space="0" w:color="B6F0FF" w:themeColor="accent2"/>
          <w:left w:val="nil"/>
          <w:bottom w:val="single" w:sz="8" w:space="0" w:color="B6F0FF" w:themeColor="accent2"/>
          <w:right w:val="nil"/>
          <w:insideH w:val="nil"/>
          <w:insideV w:val="nil"/>
        </w:tcBorders>
      </w:tcPr>
    </w:tblStylePr>
    <w:tblStylePr w:type="lastRow">
      <w:pPr>
        <w:spacing w:before="0" w:after="0" w:line="240" w:lineRule="auto"/>
      </w:pPr>
      <w:rPr>
        <w:b/>
        <w:bCs/>
      </w:rPr>
      <w:tblPr/>
      <w:tcPr>
        <w:tcBorders>
          <w:top w:val="single" w:sz="8" w:space="0" w:color="B6F0FF" w:themeColor="accent2"/>
          <w:left w:val="nil"/>
          <w:bottom w:val="single" w:sz="8" w:space="0" w:color="B6F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FBFF" w:themeFill="accent2" w:themeFillTint="3F"/>
      </w:tcPr>
    </w:tblStylePr>
    <w:tblStylePr w:type="band1Horz">
      <w:tblPr/>
      <w:tcPr>
        <w:tcBorders>
          <w:left w:val="nil"/>
          <w:right w:val="nil"/>
          <w:insideH w:val="nil"/>
          <w:insideV w:val="nil"/>
        </w:tcBorders>
        <w:shd w:val="clear" w:color="auto" w:fill="ECFBFF" w:themeFill="accent2" w:themeFillTint="3F"/>
      </w:tcPr>
    </w:tblStylePr>
  </w:style>
  <w:style w:type="table" w:styleId="LightShading-Accent3">
    <w:name w:val="Light Shading Accent 3"/>
    <w:basedOn w:val="TableNormal"/>
    <w:uiPriority w:val="60"/>
    <w:semiHidden/>
    <w:unhideWhenUsed/>
    <w:rsid w:val="00D42149"/>
    <w:pPr>
      <w:spacing w:line="240" w:lineRule="auto"/>
    </w:pPr>
    <w:rPr>
      <w:color w:val="6A3BFF" w:themeColor="accent3" w:themeShade="BF"/>
    </w:rPr>
    <w:tblPr>
      <w:tblStyleRowBandSize w:val="1"/>
      <w:tblStyleColBandSize w:val="1"/>
      <w:tblBorders>
        <w:top w:val="single" w:sz="8" w:space="0" w:color="BBA5FF" w:themeColor="accent3"/>
        <w:bottom w:val="single" w:sz="8" w:space="0" w:color="BBA5FF" w:themeColor="accent3"/>
      </w:tblBorders>
    </w:tblPr>
    <w:tblStylePr w:type="firstRow">
      <w:pPr>
        <w:spacing w:before="0" w:after="0" w:line="240" w:lineRule="auto"/>
      </w:pPr>
      <w:rPr>
        <w:b/>
        <w:bCs/>
      </w:rPr>
      <w:tblPr/>
      <w:tcPr>
        <w:tcBorders>
          <w:top w:val="single" w:sz="8" w:space="0" w:color="BBA5FF" w:themeColor="accent3"/>
          <w:left w:val="nil"/>
          <w:bottom w:val="single" w:sz="8" w:space="0" w:color="BBA5FF" w:themeColor="accent3"/>
          <w:right w:val="nil"/>
          <w:insideH w:val="nil"/>
          <w:insideV w:val="nil"/>
        </w:tcBorders>
      </w:tcPr>
    </w:tblStylePr>
    <w:tblStylePr w:type="lastRow">
      <w:pPr>
        <w:spacing w:before="0" w:after="0" w:line="240" w:lineRule="auto"/>
      </w:pPr>
      <w:rPr>
        <w:b/>
        <w:bCs/>
      </w:rPr>
      <w:tblPr/>
      <w:tcPr>
        <w:tcBorders>
          <w:top w:val="single" w:sz="8" w:space="0" w:color="BBA5FF" w:themeColor="accent3"/>
          <w:left w:val="nil"/>
          <w:bottom w:val="single" w:sz="8" w:space="0" w:color="BBA5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8FF" w:themeFill="accent3" w:themeFillTint="3F"/>
      </w:tcPr>
    </w:tblStylePr>
    <w:tblStylePr w:type="band1Horz">
      <w:tblPr/>
      <w:tcPr>
        <w:tcBorders>
          <w:left w:val="nil"/>
          <w:right w:val="nil"/>
          <w:insideH w:val="nil"/>
          <w:insideV w:val="nil"/>
        </w:tcBorders>
        <w:shd w:val="clear" w:color="auto" w:fill="EEE8FF" w:themeFill="accent3" w:themeFillTint="3F"/>
      </w:tcPr>
    </w:tblStylePr>
  </w:style>
  <w:style w:type="table" w:styleId="LightShading-Accent4">
    <w:name w:val="Light Shading Accent 4"/>
    <w:basedOn w:val="TableNormal"/>
    <w:uiPriority w:val="60"/>
    <w:semiHidden/>
    <w:unhideWhenUsed/>
    <w:rsid w:val="00D42149"/>
    <w:pPr>
      <w:spacing w:line="240" w:lineRule="auto"/>
    </w:pPr>
    <w:rPr>
      <w:color w:val="A8FF43" w:themeColor="accent4" w:themeShade="BF"/>
    </w:rPr>
    <w:tblPr>
      <w:tblStyleRowBandSize w:val="1"/>
      <w:tblStyleColBandSize w:val="1"/>
      <w:tblBorders>
        <w:top w:val="single" w:sz="8" w:space="0" w:color="DAFFAF" w:themeColor="accent4"/>
        <w:bottom w:val="single" w:sz="8" w:space="0" w:color="DAFFAF" w:themeColor="accent4"/>
      </w:tblBorders>
    </w:tblPr>
    <w:tblStylePr w:type="firstRow">
      <w:pPr>
        <w:spacing w:before="0" w:after="0" w:line="240" w:lineRule="auto"/>
      </w:pPr>
      <w:rPr>
        <w:b/>
        <w:bCs/>
      </w:rPr>
      <w:tblPr/>
      <w:tcPr>
        <w:tcBorders>
          <w:top w:val="single" w:sz="8" w:space="0" w:color="DAFFAF" w:themeColor="accent4"/>
          <w:left w:val="nil"/>
          <w:bottom w:val="single" w:sz="8" w:space="0" w:color="DAFFAF" w:themeColor="accent4"/>
          <w:right w:val="nil"/>
          <w:insideH w:val="nil"/>
          <w:insideV w:val="nil"/>
        </w:tcBorders>
      </w:tcPr>
    </w:tblStylePr>
    <w:tblStylePr w:type="lastRow">
      <w:pPr>
        <w:spacing w:before="0" w:after="0" w:line="240" w:lineRule="auto"/>
      </w:pPr>
      <w:rPr>
        <w:b/>
        <w:bCs/>
      </w:rPr>
      <w:tblPr/>
      <w:tcPr>
        <w:tcBorders>
          <w:top w:val="single" w:sz="8" w:space="0" w:color="DAFFAF" w:themeColor="accent4"/>
          <w:left w:val="nil"/>
          <w:bottom w:val="single" w:sz="8" w:space="0" w:color="DAFF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FEB" w:themeFill="accent4" w:themeFillTint="3F"/>
      </w:tcPr>
    </w:tblStylePr>
    <w:tblStylePr w:type="band1Horz">
      <w:tblPr/>
      <w:tcPr>
        <w:tcBorders>
          <w:left w:val="nil"/>
          <w:right w:val="nil"/>
          <w:insideH w:val="nil"/>
          <w:insideV w:val="nil"/>
        </w:tcBorders>
        <w:shd w:val="clear" w:color="auto" w:fill="F5FFEB" w:themeFill="accent4" w:themeFillTint="3F"/>
      </w:tcPr>
    </w:tblStylePr>
  </w:style>
  <w:style w:type="table" w:styleId="LightShading-Accent5">
    <w:name w:val="Light Shading Accent 5"/>
    <w:basedOn w:val="TableNormal"/>
    <w:uiPriority w:val="60"/>
    <w:semiHidden/>
    <w:unhideWhenUsed/>
    <w:rsid w:val="00D42149"/>
    <w:pPr>
      <w:spacing w:line="240" w:lineRule="auto"/>
    </w:pPr>
    <w:rPr>
      <w:color w:val="FF8C13" w:themeColor="accent5" w:themeShade="BF"/>
    </w:rPr>
    <w:tblPr>
      <w:tblStyleRowBandSize w:val="1"/>
      <w:tblStyleColBandSize w:val="1"/>
      <w:tblBorders>
        <w:top w:val="single" w:sz="8" w:space="0" w:color="FFB96F" w:themeColor="accent5"/>
        <w:bottom w:val="single" w:sz="8" w:space="0" w:color="FFB96F" w:themeColor="accent5"/>
      </w:tblBorders>
    </w:tblPr>
    <w:tblStylePr w:type="firstRow">
      <w:pPr>
        <w:spacing w:before="0" w:after="0" w:line="240" w:lineRule="auto"/>
      </w:pPr>
      <w:rPr>
        <w:b/>
        <w:bCs/>
      </w:rPr>
      <w:tblPr/>
      <w:tcPr>
        <w:tcBorders>
          <w:top w:val="single" w:sz="8" w:space="0" w:color="FFB96F" w:themeColor="accent5"/>
          <w:left w:val="nil"/>
          <w:bottom w:val="single" w:sz="8" w:space="0" w:color="FFB96F" w:themeColor="accent5"/>
          <w:right w:val="nil"/>
          <w:insideH w:val="nil"/>
          <w:insideV w:val="nil"/>
        </w:tcBorders>
      </w:tcPr>
    </w:tblStylePr>
    <w:tblStylePr w:type="lastRow">
      <w:pPr>
        <w:spacing w:before="0" w:after="0" w:line="240" w:lineRule="auto"/>
      </w:pPr>
      <w:rPr>
        <w:b/>
        <w:bCs/>
      </w:rPr>
      <w:tblPr/>
      <w:tcPr>
        <w:tcBorders>
          <w:top w:val="single" w:sz="8" w:space="0" w:color="FFB96F" w:themeColor="accent5"/>
          <w:left w:val="nil"/>
          <w:bottom w:val="single" w:sz="8" w:space="0" w:color="FFB96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DDB" w:themeFill="accent5" w:themeFillTint="3F"/>
      </w:tcPr>
    </w:tblStylePr>
    <w:tblStylePr w:type="band1Horz">
      <w:tblPr/>
      <w:tcPr>
        <w:tcBorders>
          <w:left w:val="nil"/>
          <w:right w:val="nil"/>
          <w:insideH w:val="nil"/>
          <w:insideV w:val="nil"/>
        </w:tcBorders>
        <w:shd w:val="clear" w:color="auto" w:fill="FFEDDB" w:themeFill="accent5" w:themeFillTint="3F"/>
      </w:tcPr>
    </w:tblStylePr>
  </w:style>
  <w:style w:type="table" w:styleId="LightShading-Accent6">
    <w:name w:val="Light Shading Accent 6"/>
    <w:basedOn w:val="TableNormal"/>
    <w:uiPriority w:val="60"/>
    <w:semiHidden/>
    <w:unhideWhenUsed/>
    <w:rsid w:val="00D42149"/>
    <w:pPr>
      <w:spacing w:line="240" w:lineRule="auto"/>
    </w:pPr>
    <w:rPr>
      <w:color w:val="B4A088" w:themeColor="accent6" w:themeShade="BF"/>
    </w:rPr>
    <w:tblPr>
      <w:tblStyleRowBandSize w:val="1"/>
      <w:tblStyleColBandSize w:val="1"/>
      <w:tblBorders>
        <w:top w:val="single" w:sz="8" w:space="0" w:color="DDD4C9" w:themeColor="accent6"/>
        <w:bottom w:val="single" w:sz="8" w:space="0" w:color="DDD4C9" w:themeColor="accent6"/>
      </w:tblBorders>
    </w:tblPr>
    <w:tblStylePr w:type="firstRow">
      <w:pPr>
        <w:spacing w:before="0" w:after="0" w:line="240" w:lineRule="auto"/>
      </w:pPr>
      <w:rPr>
        <w:b/>
        <w:bCs/>
      </w:rPr>
      <w:tblPr/>
      <w:tcPr>
        <w:tcBorders>
          <w:top w:val="single" w:sz="8" w:space="0" w:color="DDD4C9" w:themeColor="accent6"/>
          <w:left w:val="nil"/>
          <w:bottom w:val="single" w:sz="8" w:space="0" w:color="DDD4C9" w:themeColor="accent6"/>
          <w:right w:val="nil"/>
          <w:insideH w:val="nil"/>
          <w:insideV w:val="nil"/>
        </w:tcBorders>
      </w:tcPr>
    </w:tblStylePr>
    <w:tblStylePr w:type="lastRow">
      <w:pPr>
        <w:spacing w:before="0" w:after="0" w:line="240" w:lineRule="auto"/>
      </w:pPr>
      <w:rPr>
        <w:b/>
        <w:bCs/>
      </w:rPr>
      <w:tblPr/>
      <w:tcPr>
        <w:tcBorders>
          <w:top w:val="single" w:sz="8" w:space="0" w:color="DDD4C9" w:themeColor="accent6"/>
          <w:left w:val="nil"/>
          <w:bottom w:val="single" w:sz="8" w:space="0" w:color="DDD4C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F1" w:themeFill="accent6" w:themeFillTint="3F"/>
      </w:tcPr>
    </w:tblStylePr>
    <w:tblStylePr w:type="band1Horz">
      <w:tblPr/>
      <w:tcPr>
        <w:tcBorders>
          <w:left w:val="nil"/>
          <w:right w:val="nil"/>
          <w:insideH w:val="nil"/>
          <w:insideV w:val="nil"/>
        </w:tcBorders>
        <w:shd w:val="clear" w:color="auto" w:fill="F6F4F1" w:themeFill="accent6" w:themeFillTint="3F"/>
      </w:tcPr>
    </w:tblStylePr>
  </w:style>
  <w:style w:type="character" w:styleId="LineNumber">
    <w:name w:val="line number"/>
    <w:basedOn w:val="DefaultParagraphFont"/>
    <w:uiPriority w:val="99"/>
    <w:semiHidden/>
    <w:rsid w:val="00D42149"/>
    <w:rPr>
      <w:lang w:val="en-GB"/>
    </w:rPr>
  </w:style>
  <w:style w:type="paragraph" w:styleId="List">
    <w:name w:val="List"/>
    <w:basedOn w:val="Normal"/>
    <w:uiPriority w:val="99"/>
    <w:semiHidden/>
    <w:rsid w:val="00D42149"/>
    <w:pPr>
      <w:ind w:left="283" w:hanging="283"/>
      <w:contextualSpacing/>
    </w:pPr>
    <w:rPr>
      <w:lang w:val="en-GB"/>
    </w:rPr>
  </w:style>
  <w:style w:type="paragraph" w:styleId="List2">
    <w:name w:val="List 2"/>
    <w:basedOn w:val="Normal"/>
    <w:uiPriority w:val="99"/>
    <w:semiHidden/>
    <w:rsid w:val="00D42149"/>
    <w:pPr>
      <w:ind w:left="566" w:hanging="283"/>
      <w:contextualSpacing/>
    </w:pPr>
    <w:rPr>
      <w:lang w:val="en-GB"/>
    </w:rPr>
  </w:style>
  <w:style w:type="paragraph" w:styleId="List3">
    <w:name w:val="List 3"/>
    <w:basedOn w:val="Normal"/>
    <w:uiPriority w:val="99"/>
    <w:semiHidden/>
    <w:rsid w:val="00D42149"/>
    <w:pPr>
      <w:ind w:left="849" w:hanging="283"/>
      <w:contextualSpacing/>
    </w:pPr>
    <w:rPr>
      <w:lang w:val="en-GB"/>
    </w:rPr>
  </w:style>
  <w:style w:type="paragraph" w:styleId="List4">
    <w:name w:val="List 4"/>
    <w:basedOn w:val="Normal"/>
    <w:uiPriority w:val="99"/>
    <w:semiHidden/>
    <w:rsid w:val="00D42149"/>
    <w:pPr>
      <w:ind w:left="1132" w:hanging="283"/>
      <w:contextualSpacing/>
    </w:pPr>
    <w:rPr>
      <w:lang w:val="en-GB"/>
    </w:rPr>
  </w:style>
  <w:style w:type="paragraph" w:styleId="List5">
    <w:name w:val="List 5"/>
    <w:basedOn w:val="Normal"/>
    <w:uiPriority w:val="99"/>
    <w:semiHidden/>
    <w:rsid w:val="00D42149"/>
    <w:pPr>
      <w:ind w:left="1415" w:hanging="283"/>
      <w:contextualSpacing/>
    </w:pPr>
    <w:rPr>
      <w:lang w:val="en-GB"/>
    </w:rPr>
  </w:style>
  <w:style w:type="paragraph" w:styleId="ListBullet2">
    <w:name w:val="List Bullet 2"/>
    <w:basedOn w:val="Normal"/>
    <w:uiPriority w:val="99"/>
    <w:semiHidden/>
    <w:rsid w:val="00D42149"/>
    <w:pPr>
      <w:numPr>
        <w:numId w:val="4"/>
      </w:numPr>
      <w:contextualSpacing/>
    </w:pPr>
    <w:rPr>
      <w:lang w:val="en-GB"/>
    </w:rPr>
  </w:style>
  <w:style w:type="paragraph" w:styleId="ListBullet3">
    <w:name w:val="List Bullet 3"/>
    <w:basedOn w:val="Normal"/>
    <w:uiPriority w:val="99"/>
    <w:semiHidden/>
    <w:rsid w:val="00D42149"/>
    <w:pPr>
      <w:numPr>
        <w:numId w:val="5"/>
      </w:numPr>
      <w:contextualSpacing/>
    </w:pPr>
    <w:rPr>
      <w:lang w:val="en-GB"/>
    </w:rPr>
  </w:style>
  <w:style w:type="paragraph" w:styleId="ListBullet4">
    <w:name w:val="List Bullet 4"/>
    <w:basedOn w:val="Normal"/>
    <w:uiPriority w:val="99"/>
    <w:semiHidden/>
    <w:rsid w:val="00D42149"/>
    <w:pPr>
      <w:numPr>
        <w:numId w:val="6"/>
      </w:numPr>
      <w:contextualSpacing/>
    </w:pPr>
    <w:rPr>
      <w:lang w:val="en-GB"/>
    </w:rPr>
  </w:style>
  <w:style w:type="paragraph" w:styleId="ListBullet5">
    <w:name w:val="List Bullet 5"/>
    <w:basedOn w:val="Normal"/>
    <w:uiPriority w:val="99"/>
    <w:semiHidden/>
    <w:rsid w:val="00D42149"/>
    <w:pPr>
      <w:numPr>
        <w:numId w:val="7"/>
      </w:numPr>
      <w:contextualSpacing/>
    </w:pPr>
    <w:rPr>
      <w:lang w:val="en-GB"/>
    </w:rPr>
  </w:style>
  <w:style w:type="paragraph" w:styleId="ListContinue">
    <w:name w:val="List Continue"/>
    <w:basedOn w:val="Normal"/>
    <w:uiPriority w:val="99"/>
    <w:semiHidden/>
    <w:rsid w:val="00D42149"/>
    <w:pPr>
      <w:spacing w:after="120"/>
      <w:ind w:left="283"/>
      <w:contextualSpacing/>
    </w:pPr>
    <w:rPr>
      <w:lang w:val="en-GB"/>
    </w:rPr>
  </w:style>
  <w:style w:type="paragraph" w:styleId="ListContinue2">
    <w:name w:val="List Continue 2"/>
    <w:basedOn w:val="Normal"/>
    <w:uiPriority w:val="99"/>
    <w:semiHidden/>
    <w:rsid w:val="00D42149"/>
    <w:pPr>
      <w:spacing w:after="120"/>
      <w:ind w:left="566"/>
      <w:contextualSpacing/>
    </w:pPr>
    <w:rPr>
      <w:lang w:val="en-GB"/>
    </w:rPr>
  </w:style>
  <w:style w:type="paragraph" w:styleId="ListContinue3">
    <w:name w:val="List Continue 3"/>
    <w:basedOn w:val="Normal"/>
    <w:uiPriority w:val="99"/>
    <w:semiHidden/>
    <w:rsid w:val="00D42149"/>
    <w:pPr>
      <w:spacing w:after="120"/>
      <w:ind w:left="849"/>
      <w:contextualSpacing/>
    </w:pPr>
    <w:rPr>
      <w:lang w:val="en-GB"/>
    </w:rPr>
  </w:style>
  <w:style w:type="paragraph" w:styleId="ListContinue4">
    <w:name w:val="List Continue 4"/>
    <w:basedOn w:val="Normal"/>
    <w:uiPriority w:val="99"/>
    <w:semiHidden/>
    <w:rsid w:val="00D42149"/>
    <w:pPr>
      <w:spacing w:after="120"/>
      <w:ind w:left="1132"/>
      <w:contextualSpacing/>
    </w:pPr>
    <w:rPr>
      <w:lang w:val="en-GB"/>
    </w:rPr>
  </w:style>
  <w:style w:type="paragraph" w:styleId="ListContinue5">
    <w:name w:val="List Continue 5"/>
    <w:basedOn w:val="Normal"/>
    <w:uiPriority w:val="99"/>
    <w:semiHidden/>
    <w:rsid w:val="00D42149"/>
    <w:pPr>
      <w:spacing w:after="120"/>
      <w:ind w:left="1415"/>
      <w:contextualSpacing/>
    </w:pPr>
    <w:rPr>
      <w:lang w:val="en-GB"/>
    </w:rPr>
  </w:style>
  <w:style w:type="paragraph" w:styleId="ListNumber2">
    <w:name w:val="List Number 2"/>
    <w:basedOn w:val="Normal"/>
    <w:uiPriority w:val="99"/>
    <w:semiHidden/>
    <w:rsid w:val="00D42149"/>
    <w:pPr>
      <w:numPr>
        <w:numId w:val="9"/>
      </w:numPr>
      <w:contextualSpacing/>
    </w:pPr>
    <w:rPr>
      <w:lang w:val="en-GB"/>
    </w:rPr>
  </w:style>
  <w:style w:type="paragraph" w:styleId="ListNumber3">
    <w:name w:val="List Number 3"/>
    <w:basedOn w:val="Normal"/>
    <w:uiPriority w:val="99"/>
    <w:semiHidden/>
    <w:rsid w:val="00D42149"/>
    <w:pPr>
      <w:numPr>
        <w:numId w:val="10"/>
      </w:numPr>
      <w:contextualSpacing/>
    </w:pPr>
    <w:rPr>
      <w:lang w:val="en-GB"/>
    </w:rPr>
  </w:style>
  <w:style w:type="paragraph" w:styleId="ListNumber4">
    <w:name w:val="List Number 4"/>
    <w:basedOn w:val="Normal"/>
    <w:uiPriority w:val="99"/>
    <w:semiHidden/>
    <w:rsid w:val="00D42149"/>
    <w:pPr>
      <w:numPr>
        <w:numId w:val="11"/>
      </w:numPr>
      <w:contextualSpacing/>
    </w:pPr>
    <w:rPr>
      <w:lang w:val="en-GB"/>
    </w:rPr>
  </w:style>
  <w:style w:type="paragraph" w:styleId="ListNumber5">
    <w:name w:val="List Number 5"/>
    <w:basedOn w:val="Normal"/>
    <w:uiPriority w:val="99"/>
    <w:semiHidden/>
    <w:rsid w:val="00D42149"/>
    <w:pPr>
      <w:numPr>
        <w:numId w:val="12"/>
      </w:numPr>
      <w:contextualSpacing/>
    </w:pPr>
    <w:rPr>
      <w:lang w:val="en-GB"/>
    </w:rPr>
  </w:style>
  <w:style w:type="paragraph" w:styleId="ListParagraph">
    <w:name w:val="List Paragraph"/>
    <w:basedOn w:val="Normal"/>
    <w:uiPriority w:val="99"/>
    <w:qFormat/>
    <w:rsid w:val="00D42149"/>
    <w:pPr>
      <w:ind w:left="720"/>
      <w:contextualSpacing/>
    </w:pPr>
    <w:rPr>
      <w:lang w:val="en-GB"/>
    </w:rPr>
  </w:style>
  <w:style w:type="table" w:styleId="ListTable1Light">
    <w:name w:val="List Table 1 Light"/>
    <w:basedOn w:val="TableNormal"/>
    <w:uiPriority w:val="46"/>
    <w:rsid w:val="00D42149"/>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42149"/>
    <w:pPr>
      <w:spacing w:line="240" w:lineRule="auto"/>
    </w:pPr>
    <w:tblPr>
      <w:tblStyleRowBandSize w:val="1"/>
      <w:tblStyleColBandSize w:val="1"/>
    </w:tblPr>
    <w:tblStylePr w:type="firstRow">
      <w:rPr>
        <w:b/>
        <w:bCs/>
      </w:rPr>
      <w:tblPr/>
      <w:tcPr>
        <w:tcBorders>
          <w:bottom w:val="single" w:sz="4" w:space="0" w:color="2222FF" w:themeColor="accent1" w:themeTint="99"/>
        </w:tcBorders>
      </w:tcPr>
    </w:tblStylePr>
    <w:tblStylePr w:type="lastRow">
      <w:rPr>
        <w:b/>
        <w:bCs/>
      </w:rPr>
      <w:tblPr/>
      <w:tcPr>
        <w:tcBorders>
          <w:top w:val="single" w:sz="4" w:space="0" w:color="2222FF" w:themeColor="accent1" w:themeTint="99"/>
        </w:tcBorders>
      </w:tcPr>
    </w:tblStylePr>
    <w:tblStylePr w:type="firstCol">
      <w:rPr>
        <w:b/>
        <w:bCs/>
      </w:rPr>
    </w:tblStylePr>
    <w:tblStylePr w:type="lastCol">
      <w:rPr>
        <w:b/>
        <w:bCs/>
      </w:rPr>
    </w:tblStylePr>
    <w:tblStylePr w:type="band1Vert">
      <w:tblPr/>
      <w:tcPr>
        <w:shd w:val="clear" w:color="auto" w:fill="B5B5FF" w:themeFill="accent1" w:themeFillTint="33"/>
      </w:tcPr>
    </w:tblStylePr>
    <w:tblStylePr w:type="band1Horz">
      <w:tblPr/>
      <w:tcPr>
        <w:shd w:val="clear" w:color="auto" w:fill="B5B5FF" w:themeFill="accent1" w:themeFillTint="33"/>
      </w:tcPr>
    </w:tblStylePr>
  </w:style>
  <w:style w:type="table" w:styleId="ListTable1Light-Accent2">
    <w:name w:val="List Table 1 Light Accent 2"/>
    <w:basedOn w:val="TableNormal"/>
    <w:uiPriority w:val="46"/>
    <w:rsid w:val="00D42149"/>
    <w:pPr>
      <w:spacing w:line="240" w:lineRule="auto"/>
    </w:pPr>
    <w:tblPr>
      <w:tblStyleRowBandSize w:val="1"/>
      <w:tblStyleColBandSize w:val="1"/>
    </w:tblPr>
    <w:tblStylePr w:type="firstRow">
      <w:rPr>
        <w:b/>
        <w:bCs/>
      </w:rPr>
      <w:tblPr/>
      <w:tcPr>
        <w:tcBorders>
          <w:bottom w:val="single" w:sz="4" w:space="0" w:color="D3F5FF" w:themeColor="accent2" w:themeTint="99"/>
        </w:tcBorders>
      </w:tcPr>
    </w:tblStylePr>
    <w:tblStylePr w:type="lastRow">
      <w:rPr>
        <w:b/>
        <w:bCs/>
      </w:rPr>
      <w:tblPr/>
      <w:tcPr>
        <w:tcBorders>
          <w:top w:val="single" w:sz="4" w:space="0" w:color="D3F5FF" w:themeColor="accent2" w:themeTint="99"/>
        </w:tcBorders>
      </w:tcPr>
    </w:tblStylePr>
    <w:tblStylePr w:type="firstCol">
      <w:rPr>
        <w:b/>
        <w:bCs/>
      </w:rPr>
    </w:tblStylePr>
    <w:tblStylePr w:type="lastCol">
      <w:rPr>
        <w:b/>
        <w:bCs/>
      </w:rPr>
    </w:tblStylePr>
    <w:tblStylePr w:type="band1Vert">
      <w:tblPr/>
      <w:tcPr>
        <w:shd w:val="clear" w:color="auto" w:fill="F0FBFF" w:themeFill="accent2" w:themeFillTint="33"/>
      </w:tcPr>
    </w:tblStylePr>
    <w:tblStylePr w:type="band1Horz">
      <w:tblPr/>
      <w:tcPr>
        <w:shd w:val="clear" w:color="auto" w:fill="F0FBFF" w:themeFill="accent2" w:themeFillTint="33"/>
      </w:tcPr>
    </w:tblStylePr>
  </w:style>
  <w:style w:type="table" w:styleId="ListTable1Light-Accent3">
    <w:name w:val="List Table 1 Light Accent 3"/>
    <w:basedOn w:val="TableNormal"/>
    <w:uiPriority w:val="46"/>
    <w:rsid w:val="00D42149"/>
    <w:pPr>
      <w:spacing w:line="240" w:lineRule="auto"/>
    </w:pPr>
    <w:tblPr>
      <w:tblStyleRowBandSize w:val="1"/>
      <w:tblStyleColBandSize w:val="1"/>
    </w:tblPr>
    <w:tblStylePr w:type="firstRow">
      <w:rPr>
        <w:b/>
        <w:bCs/>
      </w:rPr>
      <w:tblPr/>
      <w:tcPr>
        <w:tcBorders>
          <w:bottom w:val="single" w:sz="4" w:space="0" w:color="D6C9FF" w:themeColor="accent3" w:themeTint="99"/>
        </w:tcBorders>
      </w:tcPr>
    </w:tblStylePr>
    <w:tblStylePr w:type="lastRow">
      <w:rPr>
        <w:b/>
        <w:bCs/>
      </w:rPr>
      <w:tblPr/>
      <w:tcPr>
        <w:tcBorders>
          <w:top w:val="single" w:sz="4" w:space="0" w:color="D6C9FF" w:themeColor="accent3" w:themeTint="99"/>
        </w:tcBorders>
      </w:tcPr>
    </w:tblStylePr>
    <w:tblStylePr w:type="firstCol">
      <w:rPr>
        <w:b/>
        <w:bCs/>
      </w:rPr>
    </w:tblStylePr>
    <w:tblStylePr w:type="lastCol">
      <w:rPr>
        <w:b/>
        <w:bCs/>
      </w:rPr>
    </w:tblStylePr>
    <w:tblStylePr w:type="band1Vert">
      <w:tblPr/>
      <w:tcPr>
        <w:shd w:val="clear" w:color="auto" w:fill="F1EDFF" w:themeFill="accent3" w:themeFillTint="33"/>
      </w:tcPr>
    </w:tblStylePr>
    <w:tblStylePr w:type="band1Horz">
      <w:tblPr/>
      <w:tcPr>
        <w:shd w:val="clear" w:color="auto" w:fill="F1EDFF" w:themeFill="accent3" w:themeFillTint="33"/>
      </w:tcPr>
    </w:tblStylePr>
  </w:style>
  <w:style w:type="table" w:styleId="ListTable1Light-Accent4">
    <w:name w:val="List Table 1 Light Accent 4"/>
    <w:basedOn w:val="TableNormal"/>
    <w:uiPriority w:val="46"/>
    <w:rsid w:val="00D42149"/>
    <w:pPr>
      <w:spacing w:line="240" w:lineRule="auto"/>
    </w:pPr>
    <w:tblPr>
      <w:tblStyleRowBandSize w:val="1"/>
      <w:tblStyleColBandSize w:val="1"/>
    </w:tblPr>
    <w:tblStylePr w:type="firstRow">
      <w:rPr>
        <w:b/>
        <w:bCs/>
      </w:rPr>
      <w:tblPr/>
      <w:tcPr>
        <w:tcBorders>
          <w:bottom w:val="single" w:sz="4" w:space="0" w:color="E8FFCF" w:themeColor="accent4" w:themeTint="99"/>
        </w:tcBorders>
      </w:tcPr>
    </w:tblStylePr>
    <w:tblStylePr w:type="lastRow">
      <w:rPr>
        <w:b/>
        <w:bCs/>
      </w:rPr>
      <w:tblPr/>
      <w:tcPr>
        <w:tcBorders>
          <w:top w:val="single" w:sz="4" w:space="0" w:color="E8FFCF" w:themeColor="accent4" w:themeTint="99"/>
        </w:tcBorders>
      </w:tcPr>
    </w:tblStylePr>
    <w:tblStylePr w:type="firstCol">
      <w:rPr>
        <w:b/>
        <w:bCs/>
      </w:rPr>
    </w:tblStylePr>
    <w:tblStylePr w:type="lastCol">
      <w:rPr>
        <w:b/>
        <w:bCs/>
      </w:rPr>
    </w:tblStylePr>
    <w:tblStylePr w:type="band1Vert">
      <w:tblPr/>
      <w:tcPr>
        <w:shd w:val="clear" w:color="auto" w:fill="F7FFEF" w:themeFill="accent4" w:themeFillTint="33"/>
      </w:tcPr>
    </w:tblStylePr>
    <w:tblStylePr w:type="band1Horz">
      <w:tblPr/>
      <w:tcPr>
        <w:shd w:val="clear" w:color="auto" w:fill="F7FFEF" w:themeFill="accent4" w:themeFillTint="33"/>
      </w:tcPr>
    </w:tblStylePr>
  </w:style>
  <w:style w:type="table" w:styleId="ListTable1Light-Accent5">
    <w:name w:val="List Table 1 Light Accent 5"/>
    <w:basedOn w:val="TableNormal"/>
    <w:uiPriority w:val="46"/>
    <w:rsid w:val="00D42149"/>
    <w:pPr>
      <w:spacing w:line="240" w:lineRule="auto"/>
    </w:pPr>
    <w:tblPr>
      <w:tblStyleRowBandSize w:val="1"/>
      <w:tblStyleColBandSize w:val="1"/>
    </w:tblPr>
    <w:tblStylePr w:type="firstRow">
      <w:rPr>
        <w:b/>
        <w:bCs/>
      </w:rPr>
      <w:tblPr/>
      <w:tcPr>
        <w:tcBorders>
          <w:bottom w:val="single" w:sz="4" w:space="0" w:color="FFD4A8" w:themeColor="accent5" w:themeTint="99"/>
        </w:tcBorders>
      </w:tcPr>
    </w:tblStylePr>
    <w:tblStylePr w:type="lastRow">
      <w:rPr>
        <w:b/>
        <w:bCs/>
      </w:rPr>
      <w:tblPr/>
      <w:tcPr>
        <w:tcBorders>
          <w:top w:val="single" w:sz="4" w:space="0" w:color="FFD4A8" w:themeColor="accent5" w:themeTint="99"/>
        </w:tcBorders>
      </w:tcPr>
    </w:tblStylePr>
    <w:tblStylePr w:type="firstCol">
      <w:rPr>
        <w:b/>
        <w:bCs/>
      </w:rPr>
    </w:tblStylePr>
    <w:tblStylePr w:type="lastCol">
      <w:rPr>
        <w:b/>
        <w:bCs/>
      </w:rPr>
    </w:tblStylePr>
    <w:tblStylePr w:type="band1Vert">
      <w:tblPr/>
      <w:tcPr>
        <w:shd w:val="clear" w:color="auto" w:fill="FFF0E2" w:themeFill="accent5" w:themeFillTint="33"/>
      </w:tcPr>
    </w:tblStylePr>
    <w:tblStylePr w:type="band1Horz">
      <w:tblPr/>
      <w:tcPr>
        <w:shd w:val="clear" w:color="auto" w:fill="FFF0E2" w:themeFill="accent5" w:themeFillTint="33"/>
      </w:tcPr>
    </w:tblStylePr>
  </w:style>
  <w:style w:type="table" w:styleId="ListTable1Light-Accent6">
    <w:name w:val="List Table 1 Light Accent 6"/>
    <w:basedOn w:val="TableNormal"/>
    <w:uiPriority w:val="46"/>
    <w:rsid w:val="00D42149"/>
    <w:pPr>
      <w:spacing w:line="240" w:lineRule="auto"/>
    </w:pPr>
    <w:tblPr>
      <w:tblStyleRowBandSize w:val="1"/>
      <w:tblStyleColBandSize w:val="1"/>
    </w:tblPr>
    <w:tblStylePr w:type="firstRow">
      <w:rPr>
        <w:b/>
        <w:bCs/>
      </w:rPr>
      <w:tblPr/>
      <w:tcPr>
        <w:tcBorders>
          <w:bottom w:val="single" w:sz="4" w:space="0" w:color="EAE5DE" w:themeColor="accent6" w:themeTint="99"/>
        </w:tcBorders>
      </w:tcPr>
    </w:tblStylePr>
    <w:tblStylePr w:type="lastRow">
      <w:rPr>
        <w:b/>
        <w:bCs/>
      </w:rPr>
      <w:tblPr/>
      <w:tcPr>
        <w:tcBorders>
          <w:top w:val="single" w:sz="4" w:space="0" w:color="EAE5DE" w:themeColor="accent6" w:themeTint="99"/>
        </w:tcBorders>
      </w:tcPr>
    </w:tblStylePr>
    <w:tblStylePr w:type="firstCol">
      <w:rPr>
        <w:b/>
        <w:bCs/>
      </w:rPr>
    </w:tblStylePr>
    <w:tblStylePr w:type="lastCol">
      <w:rPr>
        <w:b/>
        <w:bCs/>
      </w:rPr>
    </w:tblStylePr>
    <w:tblStylePr w:type="band1Vert">
      <w:tblPr/>
      <w:tcPr>
        <w:shd w:val="clear" w:color="auto" w:fill="F8F6F4" w:themeFill="accent6" w:themeFillTint="33"/>
      </w:tcPr>
    </w:tblStylePr>
    <w:tblStylePr w:type="band1Horz">
      <w:tblPr/>
      <w:tcPr>
        <w:shd w:val="clear" w:color="auto" w:fill="F8F6F4" w:themeFill="accent6" w:themeFillTint="33"/>
      </w:tcPr>
    </w:tblStylePr>
  </w:style>
  <w:style w:type="table" w:styleId="ListTable2">
    <w:name w:val="List Table 2"/>
    <w:basedOn w:val="TableNormal"/>
    <w:uiPriority w:val="47"/>
    <w:rsid w:val="00D42149"/>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42149"/>
    <w:pPr>
      <w:spacing w:line="240" w:lineRule="auto"/>
    </w:pPr>
    <w:tblPr>
      <w:tblStyleRowBandSize w:val="1"/>
      <w:tblStyleColBandSize w:val="1"/>
      <w:tblBorders>
        <w:top w:val="single" w:sz="4" w:space="0" w:color="2222FF" w:themeColor="accent1" w:themeTint="99"/>
        <w:bottom w:val="single" w:sz="4" w:space="0" w:color="2222FF" w:themeColor="accent1" w:themeTint="99"/>
        <w:insideH w:val="single" w:sz="4" w:space="0" w:color="222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B5FF" w:themeFill="accent1" w:themeFillTint="33"/>
      </w:tcPr>
    </w:tblStylePr>
    <w:tblStylePr w:type="band1Horz">
      <w:tblPr/>
      <w:tcPr>
        <w:shd w:val="clear" w:color="auto" w:fill="B5B5FF" w:themeFill="accent1" w:themeFillTint="33"/>
      </w:tcPr>
    </w:tblStylePr>
  </w:style>
  <w:style w:type="table" w:styleId="ListTable2-Accent2">
    <w:name w:val="List Table 2 Accent 2"/>
    <w:basedOn w:val="TableNormal"/>
    <w:uiPriority w:val="47"/>
    <w:rsid w:val="00D42149"/>
    <w:pPr>
      <w:spacing w:line="240" w:lineRule="auto"/>
    </w:pPr>
    <w:tblPr>
      <w:tblStyleRowBandSize w:val="1"/>
      <w:tblStyleColBandSize w:val="1"/>
      <w:tblBorders>
        <w:top w:val="single" w:sz="4" w:space="0" w:color="D3F5FF" w:themeColor="accent2" w:themeTint="99"/>
        <w:bottom w:val="single" w:sz="4" w:space="0" w:color="D3F5FF" w:themeColor="accent2" w:themeTint="99"/>
        <w:insideH w:val="single" w:sz="4" w:space="0" w:color="D3F5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BFF" w:themeFill="accent2" w:themeFillTint="33"/>
      </w:tcPr>
    </w:tblStylePr>
    <w:tblStylePr w:type="band1Horz">
      <w:tblPr/>
      <w:tcPr>
        <w:shd w:val="clear" w:color="auto" w:fill="F0FBFF" w:themeFill="accent2" w:themeFillTint="33"/>
      </w:tcPr>
    </w:tblStylePr>
  </w:style>
  <w:style w:type="table" w:styleId="ListTable2-Accent3">
    <w:name w:val="List Table 2 Accent 3"/>
    <w:basedOn w:val="TableNormal"/>
    <w:uiPriority w:val="47"/>
    <w:rsid w:val="00D42149"/>
    <w:pPr>
      <w:spacing w:line="240" w:lineRule="auto"/>
    </w:pPr>
    <w:tblPr>
      <w:tblStyleRowBandSize w:val="1"/>
      <w:tblStyleColBandSize w:val="1"/>
      <w:tblBorders>
        <w:top w:val="single" w:sz="4" w:space="0" w:color="D6C9FF" w:themeColor="accent3" w:themeTint="99"/>
        <w:bottom w:val="single" w:sz="4" w:space="0" w:color="D6C9FF" w:themeColor="accent3" w:themeTint="99"/>
        <w:insideH w:val="single" w:sz="4" w:space="0" w:color="D6C9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DFF" w:themeFill="accent3" w:themeFillTint="33"/>
      </w:tcPr>
    </w:tblStylePr>
    <w:tblStylePr w:type="band1Horz">
      <w:tblPr/>
      <w:tcPr>
        <w:shd w:val="clear" w:color="auto" w:fill="F1EDFF" w:themeFill="accent3" w:themeFillTint="33"/>
      </w:tcPr>
    </w:tblStylePr>
  </w:style>
  <w:style w:type="table" w:styleId="ListTable2-Accent4">
    <w:name w:val="List Table 2 Accent 4"/>
    <w:basedOn w:val="TableNormal"/>
    <w:uiPriority w:val="47"/>
    <w:rsid w:val="00D42149"/>
    <w:pPr>
      <w:spacing w:line="240" w:lineRule="auto"/>
    </w:pPr>
    <w:tblPr>
      <w:tblStyleRowBandSize w:val="1"/>
      <w:tblStyleColBandSize w:val="1"/>
      <w:tblBorders>
        <w:top w:val="single" w:sz="4" w:space="0" w:color="E8FFCF" w:themeColor="accent4" w:themeTint="99"/>
        <w:bottom w:val="single" w:sz="4" w:space="0" w:color="E8FFCF" w:themeColor="accent4" w:themeTint="99"/>
        <w:insideH w:val="single" w:sz="4" w:space="0" w:color="E8FFC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FFEF" w:themeFill="accent4" w:themeFillTint="33"/>
      </w:tcPr>
    </w:tblStylePr>
    <w:tblStylePr w:type="band1Horz">
      <w:tblPr/>
      <w:tcPr>
        <w:shd w:val="clear" w:color="auto" w:fill="F7FFEF" w:themeFill="accent4" w:themeFillTint="33"/>
      </w:tcPr>
    </w:tblStylePr>
  </w:style>
  <w:style w:type="table" w:styleId="ListTable2-Accent5">
    <w:name w:val="List Table 2 Accent 5"/>
    <w:basedOn w:val="TableNormal"/>
    <w:uiPriority w:val="47"/>
    <w:rsid w:val="00D42149"/>
    <w:pPr>
      <w:spacing w:line="240" w:lineRule="auto"/>
    </w:pPr>
    <w:tblPr>
      <w:tblStyleRowBandSize w:val="1"/>
      <w:tblStyleColBandSize w:val="1"/>
      <w:tblBorders>
        <w:top w:val="single" w:sz="4" w:space="0" w:color="FFD4A8" w:themeColor="accent5" w:themeTint="99"/>
        <w:bottom w:val="single" w:sz="4" w:space="0" w:color="FFD4A8" w:themeColor="accent5" w:themeTint="99"/>
        <w:insideH w:val="single" w:sz="4" w:space="0" w:color="FFD4A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0E2" w:themeFill="accent5" w:themeFillTint="33"/>
      </w:tcPr>
    </w:tblStylePr>
    <w:tblStylePr w:type="band1Horz">
      <w:tblPr/>
      <w:tcPr>
        <w:shd w:val="clear" w:color="auto" w:fill="FFF0E2" w:themeFill="accent5" w:themeFillTint="33"/>
      </w:tcPr>
    </w:tblStylePr>
  </w:style>
  <w:style w:type="table" w:styleId="ListTable2-Accent6">
    <w:name w:val="List Table 2 Accent 6"/>
    <w:basedOn w:val="TableNormal"/>
    <w:uiPriority w:val="47"/>
    <w:rsid w:val="00D42149"/>
    <w:pPr>
      <w:spacing w:line="240" w:lineRule="auto"/>
    </w:pPr>
    <w:tblPr>
      <w:tblStyleRowBandSize w:val="1"/>
      <w:tblStyleColBandSize w:val="1"/>
      <w:tblBorders>
        <w:top w:val="single" w:sz="4" w:space="0" w:color="EAE5DE" w:themeColor="accent6" w:themeTint="99"/>
        <w:bottom w:val="single" w:sz="4" w:space="0" w:color="EAE5DE" w:themeColor="accent6" w:themeTint="99"/>
        <w:insideH w:val="single" w:sz="4" w:space="0" w:color="EAE5D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6F4" w:themeFill="accent6" w:themeFillTint="33"/>
      </w:tcPr>
    </w:tblStylePr>
    <w:tblStylePr w:type="band1Horz">
      <w:tblPr/>
      <w:tcPr>
        <w:shd w:val="clear" w:color="auto" w:fill="F8F6F4" w:themeFill="accent6" w:themeFillTint="33"/>
      </w:tcPr>
    </w:tblStylePr>
  </w:style>
  <w:style w:type="table" w:styleId="ListTable3">
    <w:name w:val="List Table 3"/>
    <w:basedOn w:val="TableNormal"/>
    <w:uiPriority w:val="48"/>
    <w:rsid w:val="00D4214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42149"/>
    <w:pPr>
      <w:spacing w:line="240" w:lineRule="auto"/>
    </w:pPr>
    <w:tblPr>
      <w:tblStyleRowBandSize w:val="1"/>
      <w:tblStyleColBandSize w:val="1"/>
      <w:tblBorders>
        <w:top w:val="single" w:sz="4" w:space="0" w:color="00008F" w:themeColor="accent1"/>
        <w:left w:val="single" w:sz="4" w:space="0" w:color="00008F" w:themeColor="accent1"/>
        <w:bottom w:val="single" w:sz="4" w:space="0" w:color="00008F" w:themeColor="accent1"/>
        <w:right w:val="single" w:sz="4" w:space="0" w:color="00008F" w:themeColor="accent1"/>
      </w:tblBorders>
    </w:tblPr>
    <w:tblStylePr w:type="firstRow">
      <w:rPr>
        <w:b/>
        <w:bCs/>
        <w:color w:val="FFFFFF" w:themeColor="background1"/>
      </w:rPr>
      <w:tblPr/>
      <w:tcPr>
        <w:shd w:val="clear" w:color="auto" w:fill="00008F" w:themeFill="accent1"/>
      </w:tcPr>
    </w:tblStylePr>
    <w:tblStylePr w:type="lastRow">
      <w:rPr>
        <w:b/>
        <w:bCs/>
      </w:rPr>
      <w:tblPr/>
      <w:tcPr>
        <w:tcBorders>
          <w:top w:val="double" w:sz="4" w:space="0" w:color="0000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F" w:themeColor="accent1"/>
          <w:right w:val="single" w:sz="4" w:space="0" w:color="00008F" w:themeColor="accent1"/>
        </w:tcBorders>
      </w:tcPr>
    </w:tblStylePr>
    <w:tblStylePr w:type="band1Horz">
      <w:tblPr/>
      <w:tcPr>
        <w:tcBorders>
          <w:top w:val="single" w:sz="4" w:space="0" w:color="00008F" w:themeColor="accent1"/>
          <w:bottom w:val="single" w:sz="4" w:space="0" w:color="0000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F" w:themeColor="accent1"/>
          <w:left w:val="nil"/>
        </w:tcBorders>
      </w:tcPr>
    </w:tblStylePr>
    <w:tblStylePr w:type="swCell">
      <w:tblPr/>
      <w:tcPr>
        <w:tcBorders>
          <w:top w:val="double" w:sz="4" w:space="0" w:color="00008F" w:themeColor="accent1"/>
          <w:right w:val="nil"/>
        </w:tcBorders>
      </w:tcPr>
    </w:tblStylePr>
  </w:style>
  <w:style w:type="table" w:styleId="ListTable3-Accent2">
    <w:name w:val="List Table 3 Accent 2"/>
    <w:basedOn w:val="TableNormal"/>
    <w:uiPriority w:val="48"/>
    <w:rsid w:val="00D42149"/>
    <w:pPr>
      <w:spacing w:line="240" w:lineRule="auto"/>
    </w:pPr>
    <w:tblPr>
      <w:tblStyleRowBandSize w:val="1"/>
      <w:tblStyleColBandSize w:val="1"/>
      <w:tblBorders>
        <w:top w:val="single" w:sz="4" w:space="0" w:color="B6F0FF" w:themeColor="accent2"/>
        <w:left w:val="single" w:sz="4" w:space="0" w:color="B6F0FF" w:themeColor="accent2"/>
        <w:bottom w:val="single" w:sz="4" w:space="0" w:color="B6F0FF" w:themeColor="accent2"/>
        <w:right w:val="single" w:sz="4" w:space="0" w:color="B6F0FF" w:themeColor="accent2"/>
      </w:tblBorders>
    </w:tblPr>
    <w:tblStylePr w:type="firstRow">
      <w:rPr>
        <w:b/>
        <w:bCs/>
        <w:color w:val="FFFFFF" w:themeColor="background1"/>
      </w:rPr>
      <w:tblPr/>
      <w:tcPr>
        <w:shd w:val="clear" w:color="auto" w:fill="B6F0FF" w:themeFill="accent2"/>
      </w:tcPr>
    </w:tblStylePr>
    <w:tblStylePr w:type="lastRow">
      <w:rPr>
        <w:b/>
        <w:bCs/>
      </w:rPr>
      <w:tblPr/>
      <w:tcPr>
        <w:tcBorders>
          <w:top w:val="double" w:sz="4" w:space="0" w:color="B6F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F0FF" w:themeColor="accent2"/>
          <w:right w:val="single" w:sz="4" w:space="0" w:color="B6F0FF" w:themeColor="accent2"/>
        </w:tcBorders>
      </w:tcPr>
    </w:tblStylePr>
    <w:tblStylePr w:type="band1Horz">
      <w:tblPr/>
      <w:tcPr>
        <w:tcBorders>
          <w:top w:val="single" w:sz="4" w:space="0" w:color="B6F0FF" w:themeColor="accent2"/>
          <w:bottom w:val="single" w:sz="4" w:space="0" w:color="B6F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F0FF" w:themeColor="accent2"/>
          <w:left w:val="nil"/>
        </w:tcBorders>
      </w:tcPr>
    </w:tblStylePr>
    <w:tblStylePr w:type="swCell">
      <w:tblPr/>
      <w:tcPr>
        <w:tcBorders>
          <w:top w:val="double" w:sz="4" w:space="0" w:color="B6F0FF" w:themeColor="accent2"/>
          <w:right w:val="nil"/>
        </w:tcBorders>
      </w:tcPr>
    </w:tblStylePr>
  </w:style>
  <w:style w:type="table" w:styleId="ListTable3-Accent3">
    <w:name w:val="List Table 3 Accent 3"/>
    <w:basedOn w:val="TableNormal"/>
    <w:uiPriority w:val="48"/>
    <w:rsid w:val="00D42149"/>
    <w:pPr>
      <w:spacing w:line="240" w:lineRule="auto"/>
    </w:pPr>
    <w:tblPr>
      <w:tblStyleRowBandSize w:val="1"/>
      <w:tblStyleColBandSize w:val="1"/>
      <w:tblBorders>
        <w:top w:val="single" w:sz="4" w:space="0" w:color="BBA5FF" w:themeColor="accent3"/>
        <w:left w:val="single" w:sz="4" w:space="0" w:color="BBA5FF" w:themeColor="accent3"/>
        <w:bottom w:val="single" w:sz="4" w:space="0" w:color="BBA5FF" w:themeColor="accent3"/>
        <w:right w:val="single" w:sz="4" w:space="0" w:color="BBA5FF" w:themeColor="accent3"/>
      </w:tblBorders>
    </w:tblPr>
    <w:tblStylePr w:type="firstRow">
      <w:rPr>
        <w:b/>
        <w:bCs/>
        <w:color w:val="FFFFFF" w:themeColor="background1"/>
      </w:rPr>
      <w:tblPr/>
      <w:tcPr>
        <w:shd w:val="clear" w:color="auto" w:fill="BBA5FF" w:themeFill="accent3"/>
      </w:tcPr>
    </w:tblStylePr>
    <w:tblStylePr w:type="lastRow">
      <w:rPr>
        <w:b/>
        <w:bCs/>
      </w:rPr>
      <w:tblPr/>
      <w:tcPr>
        <w:tcBorders>
          <w:top w:val="double" w:sz="4" w:space="0" w:color="BBA5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BA5FF" w:themeColor="accent3"/>
          <w:right w:val="single" w:sz="4" w:space="0" w:color="BBA5FF" w:themeColor="accent3"/>
        </w:tcBorders>
      </w:tcPr>
    </w:tblStylePr>
    <w:tblStylePr w:type="band1Horz">
      <w:tblPr/>
      <w:tcPr>
        <w:tcBorders>
          <w:top w:val="single" w:sz="4" w:space="0" w:color="BBA5FF" w:themeColor="accent3"/>
          <w:bottom w:val="single" w:sz="4" w:space="0" w:color="BBA5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BA5FF" w:themeColor="accent3"/>
          <w:left w:val="nil"/>
        </w:tcBorders>
      </w:tcPr>
    </w:tblStylePr>
    <w:tblStylePr w:type="swCell">
      <w:tblPr/>
      <w:tcPr>
        <w:tcBorders>
          <w:top w:val="double" w:sz="4" w:space="0" w:color="BBA5FF" w:themeColor="accent3"/>
          <w:right w:val="nil"/>
        </w:tcBorders>
      </w:tcPr>
    </w:tblStylePr>
  </w:style>
  <w:style w:type="table" w:styleId="ListTable3-Accent4">
    <w:name w:val="List Table 3 Accent 4"/>
    <w:basedOn w:val="TableNormal"/>
    <w:uiPriority w:val="48"/>
    <w:rsid w:val="00D42149"/>
    <w:pPr>
      <w:spacing w:line="240" w:lineRule="auto"/>
    </w:pPr>
    <w:tblPr>
      <w:tblStyleRowBandSize w:val="1"/>
      <w:tblStyleColBandSize w:val="1"/>
      <w:tblBorders>
        <w:top w:val="single" w:sz="4" w:space="0" w:color="DAFFAF" w:themeColor="accent4"/>
        <w:left w:val="single" w:sz="4" w:space="0" w:color="DAFFAF" w:themeColor="accent4"/>
        <w:bottom w:val="single" w:sz="4" w:space="0" w:color="DAFFAF" w:themeColor="accent4"/>
        <w:right w:val="single" w:sz="4" w:space="0" w:color="DAFFAF" w:themeColor="accent4"/>
      </w:tblBorders>
    </w:tblPr>
    <w:tblStylePr w:type="firstRow">
      <w:rPr>
        <w:b/>
        <w:bCs/>
        <w:color w:val="FFFFFF" w:themeColor="background1"/>
      </w:rPr>
      <w:tblPr/>
      <w:tcPr>
        <w:shd w:val="clear" w:color="auto" w:fill="DAFFAF" w:themeFill="accent4"/>
      </w:tcPr>
    </w:tblStylePr>
    <w:tblStylePr w:type="lastRow">
      <w:rPr>
        <w:b/>
        <w:bCs/>
      </w:rPr>
      <w:tblPr/>
      <w:tcPr>
        <w:tcBorders>
          <w:top w:val="double" w:sz="4" w:space="0" w:color="DAFFA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FFAF" w:themeColor="accent4"/>
          <w:right w:val="single" w:sz="4" w:space="0" w:color="DAFFAF" w:themeColor="accent4"/>
        </w:tcBorders>
      </w:tcPr>
    </w:tblStylePr>
    <w:tblStylePr w:type="band1Horz">
      <w:tblPr/>
      <w:tcPr>
        <w:tcBorders>
          <w:top w:val="single" w:sz="4" w:space="0" w:color="DAFFAF" w:themeColor="accent4"/>
          <w:bottom w:val="single" w:sz="4" w:space="0" w:color="DAFFA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FFAF" w:themeColor="accent4"/>
          <w:left w:val="nil"/>
        </w:tcBorders>
      </w:tcPr>
    </w:tblStylePr>
    <w:tblStylePr w:type="swCell">
      <w:tblPr/>
      <w:tcPr>
        <w:tcBorders>
          <w:top w:val="double" w:sz="4" w:space="0" w:color="DAFFAF" w:themeColor="accent4"/>
          <w:right w:val="nil"/>
        </w:tcBorders>
      </w:tcPr>
    </w:tblStylePr>
  </w:style>
  <w:style w:type="table" w:styleId="ListTable3-Accent5">
    <w:name w:val="List Table 3 Accent 5"/>
    <w:basedOn w:val="TableNormal"/>
    <w:uiPriority w:val="48"/>
    <w:rsid w:val="00D42149"/>
    <w:pPr>
      <w:spacing w:line="240" w:lineRule="auto"/>
    </w:pPr>
    <w:tblPr>
      <w:tblStyleRowBandSize w:val="1"/>
      <w:tblStyleColBandSize w:val="1"/>
      <w:tblBorders>
        <w:top w:val="single" w:sz="4" w:space="0" w:color="FFB96F" w:themeColor="accent5"/>
        <w:left w:val="single" w:sz="4" w:space="0" w:color="FFB96F" w:themeColor="accent5"/>
        <w:bottom w:val="single" w:sz="4" w:space="0" w:color="FFB96F" w:themeColor="accent5"/>
        <w:right w:val="single" w:sz="4" w:space="0" w:color="FFB96F" w:themeColor="accent5"/>
      </w:tblBorders>
    </w:tblPr>
    <w:tblStylePr w:type="firstRow">
      <w:rPr>
        <w:b/>
        <w:bCs/>
        <w:color w:val="FFFFFF" w:themeColor="background1"/>
      </w:rPr>
      <w:tblPr/>
      <w:tcPr>
        <w:shd w:val="clear" w:color="auto" w:fill="FFB96F" w:themeFill="accent5"/>
      </w:tcPr>
    </w:tblStylePr>
    <w:tblStylePr w:type="lastRow">
      <w:rPr>
        <w:b/>
        <w:bCs/>
      </w:rPr>
      <w:tblPr/>
      <w:tcPr>
        <w:tcBorders>
          <w:top w:val="double" w:sz="4" w:space="0" w:color="FFB96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B96F" w:themeColor="accent5"/>
          <w:right w:val="single" w:sz="4" w:space="0" w:color="FFB96F" w:themeColor="accent5"/>
        </w:tcBorders>
      </w:tcPr>
    </w:tblStylePr>
    <w:tblStylePr w:type="band1Horz">
      <w:tblPr/>
      <w:tcPr>
        <w:tcBorders>
          <w:top w:val="single" w:sz="4" w:space="0" w:color="FFB96F" w:themeColor="accent5"/>
          <w:bottom w:val="single" w:sz="4" w:space="0" w:color="FFB96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B96F" w:themeColor="accent5"/>
          <w:left w:val="nil"/>
        </w:tcBorders>
      </w:tcPr>
    </w:tblStylePr>
    <w:tblStylePr w:type="swCell">
      <w:tblPr/>
      <w:tcPr>
        <w:tcBorders>
          <w:top w:val="double" w:sz="4" w:space="0" w:color="FFB96F" w:themeColor="accent5"/>
          <w:right w:val="nil"/>
        </w:tcBorders>
      </w:tcPr>
    </w:tblStylePr>
  </w:style>
  <w:style w:type="table" w:styleId="ListTable3-Accent6">
    <w:name w:val="List Table 3 Accent 6"/>
    <w:basedOn w:val="TableNormal"/>
    <w:uiPriority w:val="48"/>
    <w:rsid w:val="00D42149"/>
    <w:pPr>
      <w:spacing w:line="240" w:lineRule="auto"/>
    </w:pPr>
    <w:tblPr>
      <w:tblStyleRowBandSize w:val="1"/>
      <w:tblStyleColBandSize w:val="1"/>
      <w:tblBorders>
        <w:top w:val="single" w:sz="4" w:space="0" w:color="DDD4C9" w:themeColor="accent6"/>
        <w:left w:val="single" w:sz="4" w:space="0" w:color="DDD4C9" w:themeColor="accent6"/>
        <w:bottom w:val="single" w:sz="4" w:space="0" w:color="DDD4C9" w:themeColor="accent6"/>
        <w:right w:val="single" w:sz="4" w:space="0" w:color="DDD4C9" w:themeColor="accent6"/>
      </w:tblBorders>
    </w:tblPr>
    <w:tblStylePr w:type="firstRow">
      <w:rPr>
        <w:b/>
        <w:bCs/>
        <w:color w:val="FFFFFF" w:themeColor="background1"/>
      </w:rPr>
      <w:tblPr/>
      <w:tcPr>
        <w:shd w:val="clear" w:color="auto" w:fill="DDD4C9" w:themeFill="accent6"/>
      </w:tcPr>
    </w:tblStylePr>
    <w:tblStylePr w:type="lastRow">
      <w:rPr>
        <w:b/>
        <w:bCs/>
      </w:rPr>
      <w:tblPr/>
      <w:tcPr>
        <w:tcBorders>
          <w:top w:val="double" w:sz="4" w:space="0" w:color="DDD4C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4C9" w:themeColor="accent6"/>
          <w:right w:val="single" w:sz="4" w:space="0" w:color="DDD4C9" w:themeColor="accent6"/>
        </w:tcBorders>
      </w:tcPr>
    </w:tblStylePr>
    <w:tblStylePr w:type="band1Horz">
      <w:tblPr/>
      <w:tcPr>
        <w:tcBorders>
          <w:top w:val="single" w:sz="4" w:space="0" w:color="DDD4C9" w:themeColor="accent6"/>
          <w:bottom w:val="single" w:sz="4" w:space="0" w:color="DDD4C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4C9" w:themeColor="accent6"/>
          <w:left w:val="nil"/>
        </w:tcBorders>
      </w:tcPr>
    </w:tblStylePr>
    <w:tblStylePr w:type="swCell">
      <w:tblPr/>
      <w:tcPr>
        <w:tcBorders>
          <w:top w:val="double" w:sz="4" w:space="0" w:color="DDD4C9" w:themeColor="accent6"/>
          <w:right w:val="nil"/>
        </w:tcBorders>
      </w:tcPr>
    </w:tblStylePr>
  </w:style>
  <w:style w:type="table" w:styleId="ListTable4">
    <w:name w:val="List Table 4"/>
    <w:basedOn w:val="TableNormal"/>
    <w:uiPriority w:val="49"/>
    <w:rsid w:val="00D4214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42149"/>
    <w:pPr>
      <w:spacing w:line="240" w:lineRule="auto"/>
    </w:pPr>
    <w:tblPr>
      <w:tblStyleRowBandSize w:val="1"/>
      <w:tblStyleColBandSize w:val="1"/>
      <w:tblBorders>
        <w:top w:val="single" w:sz="4" w:space="0" w:color="2222FF" w:themeColor="accent1" w:themeTint="99"/>
        <w:left w:val="single" w:sz="4" w:space="0" w:color="2222FF" w:themeColor="accent1" w:themeTint="99"/>
        <w:bottom w:val="single" w:sz="4" w:space="0" w:color="2222FF" w:themeColor="accent1" w:themeTint="99"/>
        <w:right w:val="single" w:sz="4" w:space="0" w:color="2222FF" w:themeColor="accent1" w:themeTint="99"/>
        <w:insideH w:val="single" w:sz="4" w:space="0" w:color="2222FF" w:themeColor="accent1" w:themeTint="99"/>
      </w:tblBorders>
    </w:tblPr>
    <w:tblStylePr w:type="firstRow">
      <w:rPr>
        <w:b/>
        <w:bCs/>
        <w:color w:val="FFFFFF" w:themeColor="background1"/>
      </w:rPr>
      <w:tblPr/>
      <w:tcPr>
        <w:tcBorders>
          <w:top w:val="single" w:sz="4" w:space="0" w:color="00008F" w:themeColor="accent1"/>
          <w:left w:val="single" w:sz="4" w:space="0" w:color="00008F" w:themeColor="accent1"/>
          <w:bottom w:val="single" w:sz="4" w:space="0" w:color="00008F" w:themeColor="accent1"/>
          <w:right w:val="single" w:sz="4" w:space="0" w:color="00008F" w:themeColor="accent1"/>
          <w:insideH w:val="nil"/>
        </w:tcBorders>
        <w:shd w:val="clear" w:color="auto" w:fill="00008F" w:themeFill="accent1"/>
      </w:tcPr>
    </w:tblStylePr>
    <w:tblStylePr w:type="lastRow">
      <w:rPr>
        <w:b/>
        <w:bCs/>
      </w:rPr>
      <w:tblPr/>
      <w:tcPr>
        <w:tcBorders>
          <w:top w:val="double" w:sz="4" w:space="0" w:color="2222FF" w:themeColor="accent1" w:themeTint="99"/>
        </w:tcBorders>
      </w:tcPr>
    </w:tblStylePr>
    <w:tblStylePr w:type="firstCol">
      <w:rPr>
        <w:b/>
        <w:bCs/>
      </w:rPr>
    </w:tblStylePr>
    <w:tblStylePr w:type="lastCol">
      <w:rPr>
        <w:b/>
        <w:bCs/>
      </w:rPr>
    </w:tblStylePr>
    <w:tblStylePr w:type="band1Vert">
      <w:tblPr/>
      <w:tcPr>
        <w:shd w:val="clear" w:color="auto" w:fill="B5B5FF" w:themeFill="accent1" w:themeFillTint="33"/>
      </w:tcPr>
    </w:tblStylePr>
    <w:tblStylePr w:type="band1Horz">
      <w:tblPr/>
      <w:tcPr>
        <w:shd w:val="clear" w:color="auto" w:fill="B5B5FF" w:themeFill="accent1" w:themeFillTint="33"/>
      </w:tcPr>
    </w:tblStylePr>
  </w:style>
  <w:style w:type="table" w:styleId="ListTable4-Accent2">
    <w:name w:val="List Table 4 Accent 2"/>
    <w:basedOn w:val="TableNormal"/>
    <w:uiPriority w:val="49"/>
    <w:rsid w:val="00D42149"/>
    <w:pPr>
      <w:spacing w:line="240" w:lineRule="auto"/>
    </w:pPr>
    <w:tblPr>
      <w:tblStyleRowBandSize w:val="1"/>
      <w:tblStyleColBandSize w:val="1"/>
      <w:tblBorders>
        <w:top w:val="single" w:sz="4" w:space="0" w:color="D3F5FF" w:themeColor="accent2" w:themeTint="99"/>
        <w:left w:val="single" w:sz="4" w:space="0" w:color="D3F5FF" w:themeColor="accent2" w:themeTint="99"/>
        <w:bottom w:val="single" w:sz="4" w:space="0" w:color="D3F5FF" w:themeColor="accent2" w:themeTint="99"/>
        <w:right w:val="single" w:sz="4" w:space="0" w:color="D3F5FF" w:themeColor="accent2" w:themeTint="99"/>
        <w:insideH w:val="single" w:sz="4" w:space="0" w:color="D3F5FF" w:themeColor="accent2" w:themeTint="99"/>
      </w:tblBorders>
    </w:tblPr>
    <w:tblStylePr w:type="firstRow">
      <w:rPr>
        <w:b/>
        <w:bCs/>
        <w:color w:val="FFFFFF" w:themeColor="background1"/>
      </w:rPr>
      <w:tblPr/>
      <w:tcPr>
        <w:tcBorders>
          <w:top w:val="single" w:sz="4" w:space="0" w:color="B6F0FF" w:themeColor="accent2"/>
          <w:left w:val="single" w:sz="4" w:space="0" w:color="B6F0FF" w:themeColor="accent2"/>
          <w:bottom w:val="single" w:sz="4" w:space="0" w:color="B6F0FF" w:themeColor="accent2"/>
          <w:right w:val="single" w:sz="4" w:space="0" w:color="B6F0FF" w:themeColor="accent2"/>
          <w:insideH w:val="nil"/>
        </w:tcBorders>
        <w:shd w:val="clear" w:color="auto" w:fill="B6F0FF" w:themeFill="accent2"/>
      </w:tcPr>
    </w:tblStylePr>
    <w:tblStylePr w:type="lastRow">
      <w:rPr>
        <w:b/>
        <w:bCs/>
      </w:rPr>
      <w:tblPr/>
      <w:tcPr>
        <w:tcBorders>
          <w:top w:val="double" w:sz="4" w:space="0" w:color="D3F5FF" w:themeColor="accent2" w:themeTint="99"/>
        </w:tcBorders>
      </w:tcPr>
    </w:tblStylePr>
    <w:tblStylePr w:type="firstCol">
      <w:rPr>
        <w:b/>
        <w:bCs/>
      </w:rPr>
    </w:tblStylePr>
    <w:tblStylePr w:type="lastCol">
      <w:rPr>
        <w:b/>
        <w:bCs/>
      </w:rPr>
    </w:tblStylePr>
    <w:tblStylePr w:type="band1Vert">
      <w:tblPr/>
      <w:tcPr>
        <w:shd w:val="clear" w:color="auto" w:fill="F0FBFF" w:themeFill="accent2" w:themeFillTint="33"/>
      </w:tcPr>
    </w:tblStylePr>
    <w:tblStylePr w:type="band1Horz">
      <w:tblPr/>
      <w:tcPr>
        <w:shd w:val="clear" w:color="auto" w:fill="F0FBFF" w:themeFill="accent2" w:themeFillTint="33"/>
      </w:tcPr>
    </w:tblStylePr>
  </w:style>
  <w:style w:type="table" w:styleId="ListTable4-Accent3">
    <w:name w:val="List Table 4 Accent 3"/>
    <w:basedOn w:val="TableNormal"/>
    <w:uiPriority w:val="49"/>
    <w:rsid w:val="00D42149"/>
    <w:pPr>
      <w:spacing w:line="240" w:lineRule="auto"/>
    </w:pPr>
    <w:tblPr>
      <w:tblStyleRowBandSize w:val="1"/>
      <w:tblStyleColBandSize w:val="1"/>
      <w:tblBorders>
        <w:top w:val="single" w:sz="4" w:space="0" w:color="D6C9FF" w:themeColor="accent3" w:themeTint="99"/>
        <w:left w:val="single" w:sz="4" w:space="0" w:color="D6C9FF" w:themeColor="accent3" w:themeTint="99"/>
        <w:bottom w:val="single" w:sz="4" w:space="0" w:color="D6C9FF" w:themeColor="accent3" w:themeTint="99"/>
        <w:right w:val="single" w:sz="4" w:space="0" w:color="D6C9FF" w:themeColor="accent3" w:themeTint="99"/>
        <w:insideH w:val="single" w:sz="4" w:space="0" w:color="D6C9FF" w:themeColor="accent3" w:themeTint="99"/>
      </w:tblBorders>
    </w:tblPr>
    <w:tblStylePr w:type="firstRow">
      <w:rPr>
        <w:b/>
        <w:bCs/>
        <w:color w:val="FFFFFF" w:themeColor="background1"/>
      </w:rPr>
      <w:tblPr/>
      <w:tcPr>
        <w:tcBorders>
          <w:top w:val="single" w:sz="4" w:space="0" w:color="BBA5FF" w:themeColor="accent3"/>
          <w:left w:val="single" w:sz="4" w:space="0" w:color="BBA5FF" w:themeColor="accent3"/>
          <w:bottom w:val="single" w:sz="4" w:space="0" w:color="BBA5FF" w:themeColor="accent3"/>
          <w:right w:val="single" w:sz="4" w:space="0" w:color="BBA5FF" w:themeColor="accent3"/>
          <w:insideH w:val="nil"/>
        </w:tcBorders>
        <w:shd w:val="clear" w:color="auto" w:fill="BBA5FF" w:themeFill="accent3"/>
      </w:tcPr>
    </w:tblStylePr>
    <w:tblStylePr w:type="lastRow">
      <w:rPr>
        <w:b/>
        <w:bCs/>
      </w:rPr>
      <w:tblPr/>
      <w:tcPr>
        <w:tcBorders>
          <w:top w:val="double" w:sz="4" w:space="0" w:color="D6C9FF" w:themeColor="accent3" w:themeTint="99"/>
        </w:tcBorders>
      </w:tcPr>
    </w:tblStylePr>
    <w:tblStylePr w:type="firstCol">
      <w:rPr>
        <w:b/>
        <w:bCs/>
      </w:rPr>
    </w:tblStylePr>
    <w:tblStylePr w:type="lastCol">
      <w:rPr>
        <w:b/>
        <w:bCs/>
      </w:rPr>
    </w:tblStylePr>
    <w:tblStylePr w:type="band1Vert">
      <w:tblPr/>
      <w:tcPr>
        <w:shd w:val="clear" w:color="auto" w:fill="F1EDFF" w:themeFill="accent3" w:themeFillTint="33"/>
      </w:tcPr>
    </w:tblStylePr>
    <w:tblStylePr w:type="band1Horz">
      <w:tblPr/>
      <w:tcPr>
        <w:shd w:val="clear" w:color="auto" w:fill="F1EDFF" w:themeFill="accent3" w:themeFillTint="33"/>
      </w:tcPr>
    </w:tblStylePr>
  </w:style>
  <w:style w:type="table" w:styleId="ListTable4-Accent4">
    <w:name w:val="List Table 4 Accent 4"/>
    <w:basedOn w:val="TableNormal"/>
    <w:uiPriority w:val="49"/>
    <w:rsid w:val="00D42149"/>
    <w:pPr>
      <w:spacing w:line="240" w:lineRule="auto"/>
    </w:pPr>
    <w:tblPr>
      <w:tblStyleRowBandSize w:val="1"/>
      <w:tblStyleColBandSize w:val="1"/>
      <w:tblBorders>
        <w:top w:val="single" w:sz="4" w:space="0" w:color="E8FFCF" w:themeColor="accent4" w:themeTint="99"/>
        <w:left w:val="single" w:sz="4" w:space="0" w:color="E8FFCF" w:themeColor="accent4" w:themeTint="99"/>
        <w:bottom w:val="single" w:sz="4" w:space="0" w:color="E8FFCF" w:themeColor="accent4" w:themeTint="99"/>
        <w:right w:val="single" w:sz="4" w:space="0" w:color="E8FFCF" w:themeColor="accent4" w:themeTint="99"/>
        <w:insideH w:val="single" w:sz="4" w:space="0" w:color="E8FFCF" w:themeColor="accent4" w:themeTint="99"/>
      </w:tblBorders>
    </w:tblPr>
    <w:tblStylePr w:type="firstRow">
      <w:rPr>
        <w:b/>
        <w:bCs/>
        <w:color w:val="FFFFFF" w:themeColor="background1"/>
      </w:rPr>
      <w:tblPr/>
      <w:tcPr>
        <w:tcBorders>
          <w:top w:val="single" w:sz="4" w:space="0" w:color="DAFFAF" w:themeColor="accent4"/>
          <w:left w:val="single" w:sz="4" w:space="0" w:color="DAFFAF" w:themeColor="accent4"/>
          <w:bottom w:val="single" w:sz="4" w:space="0" w:color="DAFFAF" w:themeColor="accent4"/>
          <w:right w:val="single" w:sz="4" w:space="0" w:color="DAFFAF" w:themeColor="accent4"/>
          <w:insideH w:val="nil"/>
        </w:tcBorders>
        <w:shd w:val="clear" w:color="auto" w:fill="DAFFAF" w:themeFill="accent4"/>
      </w:tcPr>
    </w:tblStylePr>
    <w:tblStylePr w:type="lastRow">
      <w:rPr>
        <w:b/>
        <w:bCs/>
      </w:rPr>
      <w:tblPr/>
      <w:tcPr>
        <w:tcBorders>
          <w:top w:val="double" w:sz="4" w:space="0" w:color="E8FFCF" w:themeColor="accent4" w:themeTint="99"/>
        </w:tcBorders>
      </w:tcPr>
    </w:tblStylePr>
    <w:tblStylePr w:type="firstCol">
      <w:rPr>
        <w:b/>
        <w:bCs/>
      </w:rPr>
    </w:tblStylePr>
    <w:tblStylePr w:type="lastCol">
      <w:rPr>
        <w:b/>
        <w:bCs/>
      </w:rPr>
    </w:tblStylePr>
    <w:tblStylePr w:type="band1Vert">
      <w:tblPr/>
      <w:tcPr>
        <w:shd w:val="clear" w:color="auto" w:fill="F7FFEF" w:themeFill="accent4" w:themeFillTint="33"/>
      </w:tcPr>
    </w:tblStylePr>
    <w:tblStylePr w:type="band1Horz">
      <w:tblPr/>
      <w:tcPr>
        <w:shd w:val="clear" w:color="auto" w:fill="F7FFEF" w:themeFill="accent4" w:themeFillTint="33"/>
      </w:tcPr>
    </w:tblStylePr>
  </w:style>
  <w:style w:type="table" w:styleId="ListTable4-Accent5">
    <w:name w:val="List Table 4 Accent 5"/>
    <w:basedOn w:val="TableNormal"/>
    <w:uiPriority w:val="49"/>
    <w:rsid w:val="00D42149"/>
    <w:pPr>
      <w:spacing w:line="240" w:lineRule="auto"/>
    </w:pPr>
    <w:tblPr>
      <w:tblStyleRowBandSize w:val="1"/>
      <w:tblStyleColBandSize w:val="1"/>
      <w:tblBorders>
        <w:top w:val="single" w:sz="4" w:space="0" w:color="FFD4A8" w:themeColor="accent5" w:themeTint="99"/>
        <w:left w:val="single" w:sz="4" w:space="0" w:color="FFD4A8" w:themeColor="accent5" w:themeTint="99"/>
        <w:bottom w:val="single" w:sz="4" w:space="0" w:color="FFD4A8" w:themeColor="accent5" w:themeTint="99"/>
        <w:right w:val="single" w:sz="4" w:space="0" w:color="FFD4A8" w:themeColor="accent5" w:themeTint="99"/>
        <w:insideH w:val="single" w:sz="4" w:space="0" w:color="FFD4A8" w:themeColor="accent5" w:themeTint="99"/>
      </w:tblBorders>
    </w:tblPr>
    <w:tblStylePr w:type="firstRow">
      <w:rPr>
        <w:b/>
        <w:bCs/>
        <w:color w:val="FFFFFF" w:themeColor="background1"/>
      </w:rPr>
      <w:tblPr/>
      <w:tcPr>
        <w:tcBorders>
          <w:top w:val="single" w:sz="4" w:space="0" w:color="FFB96F" w:themeColor="accent5"/>
          <w:left w:val="single" w:sz="4" w:space="0" w:color="FFB96F" w:themeColor="accent5"/>
          <w:bottom w:val="single" w:sz="4" w:space="0" w:color="FFB96F" w:themeColor="accent5"/>
          <w:right w:val="single" w:sz="4" w:space="0" w:color="FFB96F" w:themeColor="accent5"/>
          <w:insideH w:val="nil"/>
        </w:tcBorders>
        <w:shd w:val="clear" w:color="auto" w:fill="FFB96F" w:themeFill="accent5"/>
      </w:tcPr>
    </w:tblStylePr>
    <w:tblStylePr w:type="lastRow">
      <w:rPr>
        <w:b/>
        <w:bCs/>
      </w:rPr>
      <w:tblPr/>
      <w:tcPr>
        <w:tcBorders>
          <w:top w:val="double" w:sz="4" w:space="0" w:color="FFD4A8" w:themeColor="accent5" w:themeTint="99"/>
        </w:tcBorders>
      </w:tcPr>
    </w:tblStylePr>
    <w:tblStylePr w:type="firstCol">
      <w:rPr>
        <w:b/>
        <w:bCs/>
      </w:rPr>
    </w:tblStylePr>
    <w:tblStylePr w:type="lastCol">
      <w:rPr>
        <w:b/>
        <w:bCs/>
      </w:rPr>
    </w:tblStylePr>
    <w:tblStylePr w:type="band1Vert">
      <w:tblPr/>
      <w:tcPr>
        <w:shd w:val="clear" w:color="auto" w:fill="FFF0E2" w:themeFill="accent5" w:themeFillTint="33"/>
      </w:tcPr>
    </w:tblStylePr>
    <w:tblStylePr w:type="band1Horz">
      <w:tblPr/>
      <w:tcPr>
        <w:shd w:val="clear" w:color="auto" w:fill="FFF0E2" w:themeFill="accent5" w:themeFillTint="33"/>
      </w:tcPr>
    </w:tblStylePr>
  </w:style>
  <w:style w:type="table" w:styleId="ListTable4-Accent6">
    <w:name w:val="List Table 4 Accent 6"/>
    <w:basedOn w:val="TableNormal"/>
    <w:uiPriority w:val="49"/>
    <w:rsid w:val="00D42149"/>
    <w:pPr>
      <w:spacing w:line="240" w:lineRule="auto"/>
    </w:pPr>
    <w:tblPr>
      <w:tblStyleRowBandSize w:val="1"/>
      <w:tblStyleColBandSize w:val="1"/>
      <w:tblBorders>
        <w:top w:val="single" w:sz="4" w:space="0" w:color="EAE5DE" w:themeColor="accent6" w:themeTint="99"/>
        <w:left w:val="single" w:sz="4" w:space="0" w:color="EAE5DE" w:themeColor="accent6" w:themeTint="99"/>
        <w:bottom w:val="single" w:sz="4" w:space="0" w:color="EAE5DE" w:themeColor="accent6" w:themeTint="99"/>
        <w:right w:val="single" w:sz="4" w:space="0" w:color="EAE5DE" w:themeColor="accent6" w:themeTint="99"/>
        <w:insideH w:val="single" w:sz="4" w:space="0" w:color="EAE5DE" w:themeColor="accent6" w:themeTint="99"/>
      </w:tblBorders>
    </w:tblPr>
    <w:tblStylePr w:type="firstRow">
      <w:rPr>
        <w:b/>
        <w:bCs/>
        <w:color w:val="FFFFFF" w:themeColor="background1"/>
      </w:rPr>
      <w:tblPr/>
      <w:tcPr>
        <w:tcBorders>
          <w:top w:val="single" w:sz="4" w:space="0" w:color="DDD4C9" w:themeColor="accent6"/>
          <w:left w:val="single" w:sz="4" w:space="0" w:color="DDD4C9" w:themeColor="accent6"/>
          <w:bottom w:val="single" w:sz="4" w:space="0" w:color="DDD4C9" w:themeColor="accent6"/>
          <w:right w:val="single" w:sz="4" w:space="0" w:color="DDD4C9" w:themeColor="accent6"/>
          <w:insideH w:val="nil"/>
        </w:tcBorders>
        <w:shd w:val="clear" w:color="auto" w:fill="DDD4C9" w:themeFill="accent6"/>
      </w:tcPr>
    </w:tblStylePr>
    <w:tblStylePr w:type="lastRow">
      <w:rPr>
        <w:b/>
        <w:bCs/>
      </w:rPr>
      <w:tblPr/>
      <w:tcPr>
        <w:tcBorders>
          <w:top w:val="double" w:sz="4" w:space="0" w:color="EAE5DE" w:themeColor="accent6" w:themeTint="99"/>
        </w:tcBorders>
      </w:tcPr>
    </w:tblStylePr>
    <w:tblStylePr w:type="firstCol">
      <w:rPr>
        <w:b/>
        <w:bCs/>
      </w:rPr>
    </w:tblStylePr>
    <w:tblStylePr w:type="lastCol">
      <w:rPr>
        <w:b/>
        <w:bCs/>
      </w:rPr>
    </w:tblStylePr>
    <w:tblStylePr w:type="band1Vert">
      <w:tblPr/>
      <w:tcPr>
        <w:shd w:val="clear" w:color="auto" w:fill="F8F6F4" w:themeFill="accent6" w:themeFillTint="33"/>
      </w:tcPr>
    </w:tblStylePr>
    <w:tblStylePr w:type="band1Horz">
      <w:tblPr/>
      <w:tcPr>
        <w:shd w:val="clear" w:color="auto" w:fill="F8F6F4" w:themeFill="accent6" w:themeFillTint="33"/>
      </w:tcPr>
    </w:tblStylePr>
  </w:style>
  <w:style w:type="table" w:styleId="ListTable5Dark">
    <w:name w:val="List Table 5 Dark"/>
    <w:basedOn w:val="TableNormal"/>
    <w:uiPriority w:val="50"/>
    <w:rsid w:val="00D42149"/>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42149"/>
    <w:pPr>
      <w:spacing w:line="240" w:lineRule="auto"/>
    </w:pPr>
    <w:rPr>
      <w:color w:val="FFFFFF" w:themeColor="background1"/>
    </w:rPr>
    <w:tblPr>
      <w:tblStyleRowBandSize w:val="1"/>
      <w:tblStyleColBandSize w:val="1"/>
      <w:tblBorders>
        <w:top w:val="single" w:sz="24" w:space="0" w:color="00008F" w:themeColor="accent1"/>
        <w:left w:val="single" w:sz="24" w:space="0" w:color="00008F" w:themeColor="accent1"/>
        <w:bottom w:val="single" w:sz="24" w:space="0" w:color="00008F" w:themeColor="accent1"/>
        <w:right w:val="single" w:sz="24" w:space="0" w:color="00008F" w:themeColor="accent1"/>
      </w:tblBorders>
    </w:tblPr>
    <w:tcPr>
      <w:shd w:val="clear" w:color="auto" w:fill="00008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42149"/>
    <w:pPr>
      <w:spacing w:line="240" w:lineRule="auto"/>
    </w:pPr>
    <w:rPr>
      <w:color w:val="FFFFFF" w:themeColor="background1"/>
    </w:rPr>
    <w:tblPr>
      <w:tblStyleRowBandSize w:val="1"/>
      <w:tblStyleColBandSize w:val="1"/>
      <w:tblBorders>
        <w:top w:val="single" w:sz="24" w:space="0" w:color="B6F0FF" w:themeColor="accent2"/>
        <w:left w:val="single" w:sz="24" w:space="0" w:color="B6F0FF" w:themeColor="accent2"/>
        <w:bottom w:val="single" w:sz="24" w:space="0" w:color="B6F0FF" w:themeColor="accent2"/>
        <w:right w:val="single" w:sz="24" w:space="0" w:color="B6F0FF" w:themeColor="accent2"/>
      </w:tblBorders>
    </w:tblPr>
    <w:tcPr>
      <w:shd w:val="clear" w:color="auto" w:fill="B6F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42149"/>
    <w:pPr>
      <w:spacing w:line="240" w:lineRule="auto"/>
    </w:pPr>
    <w:rPr>
      <w:color w:val="FFFFFF" w:themeColor="background1"/>
    </w:rPr>
    <w:tblPr>
      <w:tblStyleRowBandSize w:val="1"/>
      <w:tblStyleColBandSize w:val="1"/>
      <w:tblBorders>
        <w:top w:val="single" w:sz="24" w:space="0" w:color="BBA5FF" w:themeColor="accent3"/>
        <w:left w:val="single" w:sz="24" w:space="0" w:color="BBA5FF" w:themeColor="accent3"/>
        <w:bottom w:val="single" w:sz="24" w:space="0" w:color="BBA5FF" w:themeColor="accent3"/>
        <w:right w:val="single" w:sz="24" w:space="0" w:color="BBA5FF" w:themeColor="accent3"/>
      </w:tblBorders>
    </w:tblPr>
    <w:tcPr>
      <w:shd w:val="clear" w:color="auto" w:fill="BBA5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42149"/>
    <w:pPr>
      <w:spacing w:line="240" w:lineRule="auto"/>
    </w:pPr>
    <w:rPr>
      <w:color w:val="FFFFFF" w:themeColor="background1"/>
    </w:rPr>
    <w:tblPr>
      <w:tblStyleRowBandSize w:val="1"/>
      <w:tblStyleColBandSize w:val="1"/>
      <w:tblBorders>
        <w:top w:val="single" w:sz="24" w:space="0" w:color="DAFFAF" w:themeColor="accent4"/>
        <w:left w:val="single" w:sz="24" w:space="0" w:color="DAFFAF" w:themeColor="accent4"/>
        <w:bottom w:val="single" w:sz="24" w:space="0" w:color="DAFFAF" w:themeColor="accent4"/>
        <w:right w:val="single" w:sz="24" w:space="0" w:color="DAFFAF" w:themeColor="accent4"/>
      </w:tblBorders>
    </w:tblPr>
    <w:tcPr>
      <w:shd w:val="clear" w:color="auto" w:fill="DAFFA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42149"/>
    <w:pPr>
      <w:spacing w:line="240" w:lineRule="auto"/>
    </w:pPr>
    <w:rPr>
      <w:color w:val="FFFFFF" w:themeColor="background1"/>
    </w:rPr>
    <w:tblPr>
      <w:tblStyleRowBandSize w:val="1"/>
      <w:tblStyleColBandSize w:val="1"/>
      <w:tblBorders>
        <w:top w:val="single" w:sz="24" w:space="0" w:color="FFB96F" w:themeColor="accent5"/>
        <w:left w:val="single" w:sz="24" w:space="0" w:color="FFB96F" w:themeColor="accent5"/>
        <w:bottom w:val="single" w:sz="24" w:space="0" w:color="FFB96F" w:themeColor="accent5"/>
        <w:right w:val="single" w:sz="24" w:space="0" w:color="FFB96F" w:themeColor="accent5"/>
      </w:tblBorders>
    </w:tblPr>
    <w:tcPr>
      <w:shd w:val="clear" w:color="auto" w:fill="FFB96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42149"/>
    <w:pPr>
      <w:spacing w:line="240" w:lineRule="auto"/>
    </w:pPr>
    <w:rPr>
      <w:color w:val="FFFFFF" w:themeColor="background1"/>
    </w:rPr>
    <w:tblPr>
      <w:tblStyleRowBandSize w:val="1"/>
      <w:tblStyleColBandSize w:val="1"/>
      <w:tblBorders>
        <w:top w:val="single" w:sz="24" w:space="0" w:color="DDD4C9" w:themeColor="accent6"/>
        <w:left w:val="single" w:sz="24" w:space="0" w:color="DDD4C9" w:themeColor="accent6"/>
        <w:bottom w:val="single" w:sz="24" w:space="0" w:color="DDD4C9" w:themeColor="accent6"/>
        <w:right w:val="single" w:sz="24" w:space="0" w:color="DDD4C9" w:themeColor="accent6"/>
      </w:tblBorders>
    </w:tblPr>
    <w:tcPr>
      <w:shd w:val="clear" w:color="auto" w:fill="DDD4C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42149"/>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42149"/>
    <w:pPr>
      <w:spacing w:line="240" w:lineRule="auto"/>
    </w:pPr>
    <w:rPr>
      <w:color w:val="00006B" w:themeColor="accent1" w:themeShade="BF"/>
    </w:rPr>
    <w:tblPr>
      <w:tblStyleRowBandSize w:val="1"/>
      <w:tblStyleColBandSize w:val="1"/>
      <w:tblBorders>
        <w:top w:val="single" w:sz="4" w:space="0" w:color="00008F" w:themeColor="accent1"/>
        <w:bottom w:val="single" w:sz="4" w:space="0" w:color="00008F" w:themeColor="accent1"/>
      </w:tblBorders>
    </w:tblPr>
    <w:tblStylePr w:type="firstRow">
      <w:rPr>
        <w:b/>
        <w:bCs/>
      </w:rPr>
      <w:tblPr/>
      <w:tcPr>
        <w:tcBorders>
          <w:bottom w:val="single" w:sz="4" w:space="0" w:color="00008F" w:themeColor="accent1"/>
        </w:tcBorders>
      </w:tcPr>
    </w:tblStylePr>
    <w:tblStylePr w:type="lastRow">
      <w:rPr>
        <w:b/>
        <w:bCs/>
      </w:rPr>
      <w:tblPr/>
      <w:tcPr>
        <w:tcBorders>
          <w:top w:val="double" w:sz="4" w:space="0" w:color="00008F" w:themeColor="accent1"/>
        </w:tcBorders>
      </w:tcPr>
    </w:tblStylePr>
    <w:tblStylePr w:type="firstCol">
      <w:rPr>
        <w:b/>
        <w:bCs/>
      </w:rPr>
    </w:tblStylePr>
    <w:tblStylePr w:type="lastCol">
      <w:rPr>
        <w:b/>
        <w:bCs/>
      </w:rPr>
    </w:tblStylePr>
    <w:tblStylePr w:type="band1Vert">
      <w:tblPr/>
      <w:tcPr>
        <w:shd w:val="clear" w:color="auto" w:fill="B5B5FF" w:themeFill="accent1" w:themeFillTint="33"/>
      </w:tcPr>
    </w:tblStylePr>
    <w:tblStylePr w:type="band1Horz">
      <w:tblPr/>
      <w:tcPr>
        <w:shd w:val="clear" w:color="auto" w:fill="B5B5FF" w:themeFill="accent1" w:themeFillTint="33"/>
      </w:tcPr>
    </w:tblStylePr>
  </w:style>
  <w:style w:type="table" w:styleId="ListTable6Colorful-Accent2">
    <w:name w:val="List Table 6 Colorful Accent 2"/>
    <w:basedOn w:val="TableNormal"/>
    <w:uiPriority w:val="51"/>
    <w:rsid w:val="00D42149"/>
    <w:pPr>
      <w:spacing w:line="240" w:lineRule="auto"/>
    </w:pPr>
    <w:rPr>
      <w:color w:val="48D8FF" w:themeColor="accent2" w:themeShade="BF"/>
    </w:rPr>
    <w:tblPr>
      <w:tblStyleRowBandSize w:val="1"/>
      <w:tblStyleColBandSize w:val="1"/>
      <w:tblBorders>
        <w:top w:val="single" w:sz="4" w:space="0" w:color="B6F0FF" w:themeColor="accent2"/>
        <w:bottom w:val="single" w:sz="4" w:space="0" w:color="B6F0FF" w:themeColor="accent2"/>
      </w:tblBorders>
    </w:tblPr>
    <w:tblStylePr w:type="firstRow">
      <w:rPr>
        <w:b/>
        <w:bCs/>
      </w:rPr>
      <w:tblPr/>
      <w:tcPr>
        <w:tcBorders>
          <w:bottom w:val="single" w:sz="4" w:space="0" w:color="B6F0FF" w:themeColor="accent2"/>
        </w:tcBorders>
      </w:tcPr>
    </w:tblStylePr>
    <w:tblStylePr w:type="lastRow">
      <w:rPr>
        <w:b/>
        <w:bCs/>
      </w:rPr>
      <w:tblPr/>
      <w:tcPr>
        <w:tcBorders>
          <w:top w:val="double" w:sz="4" w:space="0" w:color="B6F0FF" w:themeColor="accent2"/>
        </w:tcBorders>
      </w:tcPr>
    </w:tblStylePr>
    <w:tblStylePr w:type="firstCol">
      <w:rPr>
        <w:b/>
        <w:bCs/>
      </w:rPr>
    </w:tblStylePr>
    <w:tblStylePr w:type="lastCol">
      <w:rPr>
        <w:b/>
        <w:bCs/>
      </w:rPr>
    </w:tblStylePr>
    <w:tblStylePr w:type="band1Vert">
      <w:tblPr/>
      <w:tcPr>
        <w:shd w:val="clear" w:color="auto" w:fill="F0FBFF" w:themeFill="accent2" w:themeFillTint="33"/>
      </w:tcPr>
    </w:tblStylePr>
    <w:tblStylePr w:type="band1Horz">
      <w:tblPr/>
      <w:tcPr>
        <w:shd w:val="clear" w:color="auto" w:fill="F0FBFF" w:themeFill="accent2" w:themeFillTint="33"/>
      </w:tcPr>
    </w:tblStylePr>
  </w:style>
  <w:style w:type="table" w:styleId="ListTable6Colorful-Accent3">
    <w:name w:val="List Table 6 Colorful Accent 3"/>
    <w:basedOn w:val="TableNormal"/>
    <w:uiPriority w:val="51"/>
    <w:rsid w:val="00D42149"/>
    <w:pPr>
      <w:spacing w:line="240" w:lineRule="auto"/>
    </w:pPr>
    <w:rPr>
      <w:color w:val="6A3BFF" w:themeColor="accent3" w:themeShade="BF"/>
    </w:rPr>
    <w:tblPr>
      <w:tblStyleRowBandSize w:val="1"/>
      <w:tblStyleColBandSize w:val="1"/>
      <w:tblBorders>
        <w:top w:val="single" w:sz="4" w:space="0" w:color="BBA5FF" w:themeColor="accent3"/>
        <w:bottom w:val="single" w:sz="4" w:space="0" w:color="BBA5FF" w:themeColor="accent3"/>
      </w:tblBorders>
    </w:tblPr>
    <w:tblStylePr w:type="firstRow">
      <w:rPr>
        <w:b/>
        <w:bCs/>
      </w:rPr>
      <w:tblPr/>
      <w:tcPr>
        <w:tcBorders>
          <w:bottom w:val="single" w:sz="4" w:space="0" w:color="BBA5FF" w:themeColor="accent3"/>
        </w:tcBorders>
      </w:tcPr>
    </w:tblStylePr>
    <w:tblStylePr w:type="lastRow">
      <w:rPr>
        <w:b/>
        <w:bCs/>
      </w:rPr>
      <w:tblPr/>
      <w:tcPr>
        <w:tcBorders>
          <w:top w:val="double" w:sz="4" w:space="0" w:color="BBA5FF" w:themeColor="accent3"/>
        </w:tcBorders>
      </w:tcPr>
    </w:tblStylePr>
    <w:tblStylePr w:type="firstCol">
      <w:rPr>
        <w:b/>
        <w:bCs/>
      </w:rPr>
    </w:tblStylePr>
    <w:tblStylePr w:type="lastCol">
      <w:rPr>
        <w:b/>
        <w:bCs/>
      </w:rPr>
    </w:tblStylePr>
    <w:tblStylePr w:type="band1Vert">
      <w:tblPr/>
      <w:tcPr>
        <w:shd w:val="clear" w:color="auto" w:fill="F1EDFF" w:themeFill="accent3" w:themeFillTint="33"/>
      </w:tcPr>
    </w:tblStylePr>
    <w:tblStylePr w:type="band1Horz">
      <w:tblPr/>
      <w:tcPr>
        <w:shd w:val="clear" w:color="auto" w:fill="F1EDFF" w:themeFill="accent3" w:themeFillTint="33"/>
      </w:tcPr>
    </w:tblStylePr>
  </w:style>
  <w:style w:type="table" w:styleId="ListTable6Colorful-Accent4">
    <w:name w:val="List Table 6 Colorful Accent 4"/>
    <w:basedOn w:val="TableNormal"/>
    <w:uiPriority w:val="51"/>
    <w:rsid w:val="00D42149"/>
    <w:pPr>
      <w:spacing w:line="240" w:lineRule="auto"/>
    </w:pPr>
    <w:rPr>
      <w:color w:val="A8FF43" w:themeColor="accent4" w:themeShade="BF"/>
    </w:rPr>
    <w:tblPr>
      <w:tblStyleRowBandSize w:val="1"/>
      <w:tblStyleColBandSize w:val="1"/>
      <w:tblBorders>
        <w:top w:val="single" w:sz="4" w:space="0" w:color="DAFFAF" w:themeColor="accent4"/>
        <w:bottom w:val="single" w:sz="4" w:space="0" w:color="DAFFAF" w:themeColor="accent4"/>
      </w:tblBorders>
    </w:tblPr>
    <w:tblStylePr w:type="firstRow">
      <w:rPr>
        <w:b/>
        <w:bCs/>
      </w:rPr>
      <w:tblPr/>
      <w:tcPr>
        <w:tcBorders>
          <w:bottom w:val="single" w:sz="4" w:space="0" w:color="DAFFAF" w:themeColor="accent4"/>
        </w:tcBorders>
      </w:tcPr>
    </w:tblStylePr>
    <w:tblStylePr w:type="lastRow">
      <w:rPr>
        <w:b/>
        <w:bCs/>
      </w:rPr>
      <w:tblPr/>
      <w:tcPr>
        <w:tcBorders>
          <w:top w:val="double" w:sz="4" w:space="0" w:color="DAFFAF" w:themeColor="accent4"/>
        </w:tcBorders>
      </w:tcPr>
    </w:tblStylePr>
    <w:tblStylePr w:type="firstCol">
      <w:rPr>
        <w:b/>
        <w:bCs/>
      </w:rPr>
    </w:tblStylePr>
    <w:tblStylePr w:type="lastCol">
      <w:rPr>
        <w:b/>
        <w:bCs/>
      </w:rPr>
    </w:tblStylePr>
    <w:tblStylePr w:type="band1Vert">
      <w:tblPr/>
      <w:tcPr>
        <w:shd w:val="clear" w:color="auto" w:fill="F7FFEF" w:themeFill="accent4" w:themeFillTint="33"/>
      </w:tcPr>
    </w:tblStylePr>
    <w:tblStylePr w:type="band1Horz">
      <w:tblPr/>
      <w:tcPr>
        <w:shd w:val="clear" w:color="auto" w:fill="F7FFEF" w:themeFill="accent4" w:themeFillTint="33"/>
      </w:tcPr>
    </w:tblStylePr>
  </w:style>
  <w:style w:type="table" w:styleId="ListTable6Colorful-Accent5">
    <w:name w:val="List Table 6 Colorful Accent 5"/>
    <w:basedOn w:val="TableNormal"/>
    <w:uiPriority w:val="51"/>
    <w:rsid w:val="00D42149"/>
    <w:pPr>
      <w:spacing w:line="240" w:lineRule="auto"/>
    </w:pPr>
    <w:rPr>
      <w:color w:val="FF8C13" w:themeColor="accent5" w:themeShade="BF"/>
    </w:rPr>
    <w:tblPr>
      <w:tblStyleRowBandSize w:val="1"/>
      <w:tblStyleColBandSize w:val="1"/>
      <w:tblBorders>
        <w:top w:val="single" w:sz="4" w:space="0" w:color="FFB96F" w:themeColor="accent5"/>
        <w:bottom w:val="single" w:sz="4" w:space="0" w:color="FFB96F" w:themeColor="accent5"/>
      </w:tblBorders>
    </w:tblPr>
    <w:tblStylePr w:type="firstRow">
      <w:rPr>
        <w:b/>
        <w:bCs/>
      </w:rPr>
      <w:tblPr/>
      <w:tcPr>
        <w:tcBorders>
          <w:bottom w:val="single" w:sz="4" w:space="0" w:color="FFB96F" w:themeColor="accent5"/>
        </w:tcBorders>
      </w:tcPr>
    </w:tblStylePr>
    <w:tblStylePr w:type="lastRow">
      <w:rPr>
        <w:b/>
        <w:bCs/>
      </w:rPr>
      <w:tblPr/>
      <w:tcPr>
        <w:tcBorders>
          <w:top w:val="double" w:sz="4" w:space="0" w:color="FFB96F" w:themeColor="accent5"/>
        </w:tcBorders>
      </w:tcPr>
    </w:tblStylePr>
    <w:tblStylePr w:type="firstCol">
      <w:rPr>
        <w:b/>
        <w:bCs/>
      </w:rPr>
    </w:tblStylePr>
    <w:tblStylePr w:type="lastCol">
      <w:rPr>
        <w:b/>
        <w:bCs/>
      </w:rPr>
    </w:tblStylePr>
    <w:tblStylePr w:type="band1Vert">
      <w:tblPr/>
      <w:tcPr>
        <w:shd w:val="clear" w:color="auto" w:fill="FFF0E2" w:themeFill="accent5" w:themeFillTint="33"/>
      </w:tcPr>
    </w:tblStylePr>
    <w:tblStylePr w:type="band1Horz">
      <w:tblPr/>
      <w:tcPr>
        <w:shd w:val="clear" w:color="auto" w:fill="FFF0E2" w:themeFill="accent5" w:themeFillTint="33"/>
      </w:tcPr>
    </w:tblStylePr>
  </w:style>
  <w:style w:type="table" w:styleId="ListTable6Colorful-Accent6">
    <w:name w:val="List Table 6 Colorful Accent 6"/>
    <w:basedOn w:val="TableNormal"/>
    <w:uiPriority w:val="51"/>
    <w:rsid w:val="00D42149"/>
    <w:pPr>
      <w:spacing w:line="240" w:lineRule="auto"/>
    </w:pPr>
    <w:rPr>
      <w:color w:val="B4A088" w:themeColor="accent6" w:themeShade="BF"/>
    </w:rPr>
    <w:tblPr>
      <w:tblStyleRowBandSize w:val="1"/>
      <w:tblStyleColBandSize w:val="1"/>
      <w:tblBorders>
        <w:top w:val="single" w:sz="4" w:space="0" w:color="DDD4C9" w:themeColor="accent6"/>
        <w:bottom w:val="single" w:sz="4" w:space="0" w:color="DDD4C9" w:themeColor="accent6"/>
      </w:tblBorders>
    </w:tblPr>
    <w:tblStylePr w:type="firstRow">
      <w:rPr>
        <w:b/>
        <w:bCs/>
      </w:rPr>
      <w:tblPr/>
      <w:tcPr>
        <w:tcBorders>
          <w:bottom w:val="single" w:sz="4" w:space="0" w:color="DDD4C9" w:themeColor="accent6"/>
        </w:tcBorders>
      </w:tcPr>
    </w:tblStylePr>
    <w:tblStylePr w:type="lastRow">
      <w:rPr>
        <w:b/>
        <w:bCs/>
      </w:rPr>
      <w:tblPr/>
      <w:tcPr>
        <w:tcBorders>
          <w:top w:val="double" w:sz="4" w:space="0" w:color="DDD4C9" w:themeColor="accent6"/>
        </w:tcBorders>
      </w:tcPr>
    </w:tblStylePr>
    <w:tblStylePr w:type="firstCol">
      <w:rPr>
        <w:b/>
        <w:bCs/>
      </w:rPr>
    </w:tblStylePr>
    <w:tblStylePr w:type="lastCol">
      <w:rPr>
        <w:b/>
        <w:bCs/>
      </w:rPr>
    </w:tblStylePr>
    <w:tblStylePr w:type="band1Vert">
      <w:tblPr/>
      <w:tcPr>
        <w:shd w:val="clear" w:color="auto" w:fill="F8F6F4" w:themeFill="accent6" w:themeFillTint="33"/>
      </w:tcPr>
    </w:tblStylePr>
    <w:tblStylePr w:type="band1Horz">
      <w:tblPr/>
      <w:tcPr>
        <w:shd w:val="clear" w:color="auto" w:fill="F8F6F4" w:themeFill="accent6" w:themeFillTint="33"/>
      </w:tcPr>
    </w:tblStylePr>
  </w:style>
  <w:style w:type="table" w:styleId="ListTable7Colorful">
    <w:name w:val="List Table 7 Colorful"/>
    <w:basedOn w:val="TableNormal"/>
    <w:uiPriority w:val="52"/>
    <w:rsid w:val="00D4214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42149"/>
    <w:pPr>
      <w:spacing w:line="240" w:lineRule="auto"/>
    </w:pPr>
    <w:rPr>
      <w:color w:val="00006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F" w:themeColor="accent1"/>
        </w:tcBorders>
        <w:shd w:val="clear" w:color="auto" w:fill="FFFFFF" w:themeFill="background1"/>
      </w:tcPr>
    </w:tblStylePr>
    <w:tblStylePr w:type="band1Vert">
      <w:tblPr/>
      <w:tcPr>
        <w:shd w:val="clear" w:color="auto" w:fill="B5B5FF" w:themeFill="accent1" w:themeFillTint="33"/>
      </w:tcPr>
    </w:tblStylePr>
    <w:tblStylePr w:type="band1Horz">
      <w:tblPr/>
      <w:tcPr>
        <w:shd w:val="clear" w:color="auto" w:fill="B5B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42149"/>
    <w:pPr>
      <w:spacing w:line="240" w:lineRule="auto"/>
    </w:pPr>
    <w:rPr>
      <w:color w:val="48D8F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F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F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F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F0FF" w:themeColor="accent2"/>
        </w:tcBorders>
        <w:shd w:val="clear" w:color="auto" w:fill="FFFFFF" w:themeFill="background1"/>
      </w:tcPr>
    </w:tblStylePr>
    <w:tblStylePr w:type="band1Vert">
      <w:tblPr/>
      <w:tcPr>
        <w:shd w:val="clear" w:color="auto" w:fill="F0FBFF" w:themeFill="accent2" w:themeFillTint="33"/>
      </w:tcPr>
    </w:tblStylePr>
    <w:tblStylePr w:type="band1Horz">
      <w:tblPr/>
      <w:tcPr>
        <w:shd w:val="clear" w:color="auto" w:fill="F0FB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42149"/>
    <w:pPr>
      <w:spacing w:line="240" w:lineRule="auto"/>
    </w:pPr>
    <w:rPr>
      <w:color w:val="6A3BF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BA5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BA5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BA5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BA5FF" w:themeColor="accent3"/>
        </w:tcBorders>
        <w:shd w:val="clear" w:color="auto" w:fill="FFFFFF" w:themeFill="background1"/>
      </w:tcPr>
    </w:tblStylePr>
    <w:tblStylePr w:type="band1Vert">
      <w:tblPr/>
      <w:tcPr>
        <w:shd w:val="clear" w:color="auto" w:fill="F1EDFF" w:themeFill="accent3" w:themeFillTint="33"/>
      </w:tcPr>
    </w:tblStylePr>
    <w:tblStylePr w:type="band1Horz">
      <w:tblPr/>
      <w:tcPr>
        <w:shd w:val="clear" w:color="auto" w:fill="F1ED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42149"/>
    <w:pPr>
      <w:spacing w:line="240" w:lineRule="auto"/>
    </w:pPr>
    <w:rPr>
      <w:color w:val="A8FF4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AFFA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AFFA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AFFA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AFFAF" w:themeColor="accent4"/>
        </w:tcBorders>
        <w:shd w:val="clear" w:color="auto" w:fill="FFFFFF" w:themeFill="background1"/>
      </w:tcPr>
    </w:tblStylePr>
    <w:tblStylePr w:type="band1Vert">
      <w:tblPr/>
      <w:tcPr>
        <w:shd w:val="clear" w:color="auto" w:fill="F7FFEF" w:themeFill="accent4" w:themeFillTint="33"/>
      </w:tcPr>
    </w:tblStylePr>
    <w:tblStylePr w:type="band1Horz">
      <w:tblPr/>
      <w:tcPr>
        <w:shd w:val="clear" w:color="auto" w:fill="F7FFE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42149"/>
    <w:pPr>
      <w:spacing w:line="240" w:lineRule="auto"/>
    </w:pPr>
    <w:rPr>
      <w:color w:val="FF8C1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B96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B96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B96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B96F" w:themeColor="accent5"/>
        </w:tcBorders>
        <w:shd w:val="clear" w:color="auto" w:fill="FFFFFF" w:themeFill="background1"/>
      </w:tcPr>
    </w:tblStylePr>
    <w:tblStylePr w:type="band1Vert">
      <w:tblPr/>
      <w:tcPr>
        <w:shd w:val="clear" w:color="auto" w:fill="FFF0E2" w:themeFill="accent5" w:themeFillTint="33"/>
      </w:tcPr>
    </w:tblStylePr>
    <w:tblStylePr w:type="band1Horz">
      <w:tblPr/>
      <w:tcPr>
        <w:shd w:val="clear" w:color="auto" w:fill="FFF0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42149"/>
    <w:pPr>
      <w:spacing w:line="240" w:lineRule="auto"/>
    </w:pPr>
    <w:rPr>
      <w:color w:val="B4A08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4C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4C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4C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4C9" w:themeColor="accent6"/>
        </w:tcBorders>
        <w:shd w:val="clear" w:color="auto" w:fill="FFFFFF" w:themeFill="background1"/>
      </w:tcPr>
    </w:tblStylePr>
    <w:tblStylePr w:type="band1Vert">
      <w:tblPr/>
      <w:tcPr>
        <w:shd w:val="clear" w:color="auto" w:fill="F8F6F4" w:themeFill="accent6" w:themeFillTint="33"/>
      </w:tcPr>
    </w:tblStylePr>
    <w:tblStylePr w:type="band1Horz">
      <w:tblPr/>
      <w:tcPr>
        <w:shd w:val="clear" w:color="auto" w:fill="F8F6F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D42149"/>
    <w:pPr>
      <w:tabs>
        <w:tab w:val="left" w:pos="480"/>
        <w:tab w:val="left" w:pos="960"/>
        <w:tab w:val="left" w:pos="1440"/>
        <w:tab w:val="left" w:pos="1920"/>
        <w:tab w:val="left" w:pos="2400"/>
        <w:tab w:val="left" w:pos="2880"/>
        <w:tab w:val="left" w:pos="3360"/>
        <w:tab w:val="left" w:pos="3840"/>
        <w:tab w:val="left" w:pos="4320"/>
      </w:tabs>
    </w:pPr>
    <w:rPr>
      <w:rFonts w:cs="Arial"/>
      <w:lang w:val="en-GB"/>
    </w:rPr>
  </w:style>
  <w:style w:type="character" w:customStyle="1" w:styleId="MacroTextChar">
    <w:name w:val="Macro Text Char"/>
    <w:basedOn w:val="DefaultParagraphFont"/>
    <w:link w:val="MacroText"/>
    <w:uiPriority w:val="99"/>
    <w:semiHidden/>
    <w:rsid w:val="00D42149"/>
    <w:rPr>
      <w:rFonts w:asciiTheme="minorHAnsi" w:hAnsiTheme="minorHAnsi" w:cs="Arial"/>
      <w:color w:val="00008F" w:themeColor="text2"/>
      <w:lang w:val="en-GB"/>
    </w:rPr>
  </w:style>
  <w:style w:type="table" w:styleId="MediumGrid1">
    <w:name w:val="Medium Grid 1"/>
    <w:basedOn w:val="TableNormal"/>
    <w:uiPriority w:val="67"/>
    <w:semiHidden/>
    <w:unhideWhenUsed/>
    <w:rsid w:val="00D4214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42149"/>
    <w:pPr>
      <w:spacing w:line="240" w:lineRule="auto"/>
    </w:pPr>
    <w:tblPr>
      <w:tblStyleRowBandSize w:val="1"/>
      <w:tblStyleColBandSize w:val="1"/>
      <w:tblBorders>
        <w:top w:val="single" w:sz="8" w:space="0" w:color="0000EB" w:themeColor="accent1" w:themeTint="BF"/>
        <w:left w:val="single" w:sz="8" w:space="0" w:color="0000EB" w:themeColor="accent1" w:themeTint="BF"/>
        <w:bottom w:val="single" w:sz="8" w:space="0" w:color="0000EB" w:themeColor="accent1" w:themeTint="BF"/>
        <w:right w:val="single" w:sz="8" w:space="0" w:color="0000EB" w:themeColor="accent1" w:themeTint="BF"/>
        <w:insideH w:val="single" w:sz="8" w:space="0" w:color="0000EB" w:themeColor="accent1" w:themeTint="BF"/>
        <w:insideV w:val="single" w:sz="8" w:space="0" w:color="0000EB" w:themeColor="accent1" w:themeTint="BF"/>
      </w:tblBorders>
    </w:tblPr>
    <w:tcPr>
      <w:shd w:val="clear" w:color="auto" w:fill="A4A4FF" w:themeFill="accent1" w:themeFillTint="3F"/>
    </w:tcPr>
    <w:tblStylePr w:type="firstRow">
      <w:rPr>
        <w:b/>
        <w:bCs/>
      </w:rPr>
    </w:tblStylePr>
    <w:tblStylePr w:type="lastRow">
      <w:rPr>
        <w:b/>
        <w:bCs/>
      </w:rPr>
      <w:tblPr/>
      <w:tcPr>
        <w:tcBorders>
          <w:top w:val="single" w:sz="18" w:space="0" w:color="0000EB" w:themeColor="accent1" w:themeTint="BF"/>
        </w:tcBorders>
      </w:tcPr>
    </w:tblStylePr>
    <w:tblStylePr w:type="firstCol">
      <w:rPr>
        <w:b/>
        <w:bCs/>
      </w:rPr>
    </w:tblStylePr>
    <w:tblStylePr w:type="lastCol">
      <w:rPr>
        <w:b/>
        <w:bCs/>
      </w:rPr>
    </w:tblStylePr>
    <w:tblStylePr w:type="band1Vert">
      <w:tblPr/>
      <w:tcPr>
        <w:shd w:val="clear" w:color="auto" w:fill="4848FF" w:themeFill="accent1" w:themeFillTint="7F"/>
      </w:tcPr>
    </w:tblStylePr>
    <w:tblStylePr w:type="band1Horz">
      <w:tblPr/>
      <w:tcPr>
        <w:shd w:val="clear" w:color="auto" w:fill="4848FF" w:themeFill="accent1" w:themeFillTint="7F"/>
      </w:tcPr>
    </w:tblStylePr>
  </w:style>
  <w:style w:type="table" w:styleId="MediumGrid1-Accent2">
    <w:name w:val="Medium Grid 1 Accent 2"/>
    <w:basedOn w:val="TableNormal"/>
    <w:uiPriority w:val="67"/>
    <w:semiHidden/>
    <w:unhideWhenUsed/>
    <w:rsid w:val="00D42149"/>
    <w:pPr>
      <w:spacing w:line="240" w:lineRule="auto"/>
    </w:pPr>
    <w:tblPr>
      <w:tblStyleRowBandSize w:val="1"/>
      <w:tblStyleColBandSize w:val="1"/>
      <w:tblBorders>
        <w:top w:val="single" w:sz="8" w:space="0" w:color="C8F3FF" w:themeColor="accent2" w:themeTint="BF"/>
        <w:left w:val="single" w:sz="8" w:space="0" w:color="C8F3FF" w:themeColor="accent2" w:themeTint="BF"/>
        <w:bottom w:val="single" w:sz="8" w:space="0" w:color="C8F3FF" w:themeColor="accent2" w:themeTint="BF"/>
        <w:right w:val="single" w:sz="8" w:space="0" w:color="C8F3FF" w:themeColor="accent2" w:themeTint="BF"/>
        <w:insideH w:val="single" w:sz="8" w:space="0" w:color="C8F3FF" w:themeColor="accent2" w:themeTint="BF"/>
        <w:insideV w:val="single" w:sz="8" w:space="0" w:color="C8F3FF" w:themeColor="accent2" w:themeTint="BF"/>
      </w:tblBorders>
    </w:tblPr>
    <w:tcPr>
      <w:shd w:val="clear" w:color="auto" w:fill="ECFBFF" w:themeFill="accent2" w:themeFillTint="3F"/>
    </w:tcPr>
    <w:tblStylePr w:type="firstRow">
      <w:rPr>
        <w:b/>
        <w:bCs/>
      </w:rPr>
    </w:tblStylePr>
    <w:tblStylePr w:type="lastRow">
      <w:rPr>
        <w:b/>
        <w:bCs/>
      </w:rPr>
      <w:tblPr/>
      <w:tcPr>
        <w:tcBorders>
          <w:top w:val="single" w:sz="18" w:space="0" w:color="C8F3FF" w:themeColor="accent2" w:themeTint="BF"/>
        </w:tcBorders>
      </w:tcPr>
    </w:tblStylePr>
    <w:tblStylePr w:type="firstCol">
      <w:rPr>
        <w:b/>
        <w:bCs/>
      </w:rPr>
    </w:tblStylePr>
    <w:tblStylePr w:type="lastCol">
      <w:rPr>
        <w:b/>
        <w:bCs/>
      </w:rPr>
    </w:tblStylePr>
    <w:tblStylePr w:type="band1Vert">
      <w:tblPr/>
      <w:tcPr>
        <w:shd w:val="clear" w:color="auto" w:fill="DAF7FF" w:themeFill="accent2" w:themeFillTint="7F"/>
      </w:tcPr>
    </w:tblStylePr>
    <w:tblStylePr w:type="band1Horz">
      <w:tblPr/>
      <w:tcPr>
        <w:shd w:val="clear" w:color="auto" w:fill="DAF7FF" w:themeFill="accent2" w:themeFillTint="7F"/>
      </w:tcPr>
    </w:tblStylePr>
  </w:style>
  <w:style w:type="table" w:styleId="MediumGrid1-Accent3">
    <w:name w:val="Medium Grid 1 Accent 3"/>
    <w:basedOn w:val="TableNormal"/>
    <w:uiPriority w:val="67"/>
    <w:semiHidden/>
    <w:unhideWhenUsed/>
    <w:rsid w:val="00D42149"/>
    <w:pPr>
      <w:spacing w:line="240" w:lineRule="auto"/>
    </w:pPr>
    <w:tblPr>
      <w:tblStyleRowBandSize w:val="1"/>
      <w:tblStyleColBandSize w:val="1"/>
      <w:tblBorders>
        <w:top w:val="single" w:sz="8" w:space="0" w:color="CBBBFF" w:themeColor="accent3" w:themeTint="BF"/>
        <w:left w:val="single" w:sz="8" w:space="0" w:color="CBBBFF" w:themeColor="accent3" w:themeTint="BF"/>
        <w:bottom w:val="single" w:sz="8" w:space="0" w:color="CBBBFF" w:themeColor="accent3" w:themeTint="BF"/>
        <w:right w:val="single" w:sz="8" w:space="0" w:color="CBBBFF" w:themeColor="accent3" w:themeTint="BF"/>
        <w:insideH w:val="single" w:sz="8" w:space="0" w:color="CBBBFF" w:themeColor="accent3" w:themeTint="BF"/>
        <w:insideV w:val="single" w:sz="8" w:space="0" w:color="CBBBFF" w:themeColor="accent3" w:themeTint="BF"/>
      </w:tblBorders>
    </w:tblPr>
    <w:tcPr>
      <w:shd w:val="clear" w:color="auto" w:fill="EEE8FF" w:themeFill="accent3" w:themeFillTint="3F"/>
    </w:tcPr>
    <w:tblStylePr w:type="firstRow">
      <w:rPr>
        <w:b/>
        <w:bCs/>
      </w:rPr>
    </w:tblStylePr>
    <w:tblStylePr w:type="lastRow">
      <w:rPr>
        <w:b/>
        <w:bCs/>
      </w:rPr>
      <w:tblPr/>
      <w:tcPr>
        <w:tcBorders>
          <w:top w:val="single" w:sz="18" w:space="0" w:color="CBBBFF" w:themeColor="accent3" w:themeTint="BF"/>
        </w:tcBorders>
      </w:tcPr>
    </w:tblStylePr>
    <w:tblStylePr w:type="firstCol">
      <w:rPr>
        <w:b/>
        <w:bCs/>
      </w:rPr>
    </w:tblStylePr>
    <w:tblStylePr w:type="lastCol">
      <w:rPr>
        <w:b/>
        <w:bCs/>
      </w:rPr>
    </w:tblStylePr>
    <w:tblStylePr w:type="band1Vert">
      <w:tblPr/>
      <w:tcPr>
        <w:shd w:val="clear" w:color="auto" w:fill="DCD2FF" w:themeFill="accent3" w:themeFillTint="7F"/>
      </w:tcPr>
    </w:tblStylePr>
    <w:tblStylePr w:type="band1Horz">
      <w:tblPr/>
      <w:tcPr>
        <w:shd w:val="clear" w:color="auto" w:fill="DCD2FF" w:themeFill="accent3" w:themeFillTint="7F"/>
      </w:tcPr>
    </w:tblStylePr>
  </w:style>
  <w:style w:type="table" w:styleId="MediumGrid1-Accent4">
    <w:name w:val="Medium Grid 1 Accent 4"/>
    <w:basedOn w:val="TableNormal"/>
    <w:uiPriority w:val="67"/>
    <w:semiHidden/>
    <w:unhideWhenUsed/>
    <w:rsid w:val="00D42149"/>
    <w:pPr>
      <w:spacing w:line="240" w:lineRule="auto"/>
    </w:pPr>
    <w:tblPr>
      <w:tblStyleRowBandSize w:val="1"/>
      <w:tblStyleColBandSize w:val="1"/>
      <w:tblBorders>
        <w:top w:val="single" w:sz="8" w:space="0" w:color="E3FFC3" w:themeColor="accent4" w:themeTint="BF"/>
        <w:left w:val="single" w:sz="8" w:space="0" w:color="E3FFC3" w:themeColor="accent4" w:themeTint="BF"/>
        <w:bottom w:val="single" w:sz="8" w:space="0" w:color="E3FFC3" w:themeColor="accent4" w:themeTint="BF"/>
        <w:right w:val="single" w:sz="8" w:space="0" w:color="E3FFC3" w:themeColor="accent4" w:themeTint="BF"/>
        <w:insideH w:val="single" w:sz="8" w:space="0" w:color="E3FFC3" w:themeColor="accent4" w:themeTint="BF"/>
        <w:insideV w:val="single" w:sz="8" w:space="0" w:color="E3FFC3" w:themeColor="accent4" w:themeTint="BF"/>
      </w:tblBorders>
    </w:tblPr>
    <w:tcPr>
      <w:shd w:val="clear" w:color="auto" w:fill="F5FFEB" w:themeFill="accent4" w:themeFillTint="3F"/>
    </w:tcPr>
    <w:tblStylePr w:type="firstRow">
      <w:rPr>
        <w:b/>
        <w:bCs/>
      </w:rPr>
    </w:tblStylePr>
    <w:tblStylePr w:type="lastRow">
      <w:rPr>
        <w:b/>
        <w:bCs/>
      </w:rPr>
      <w:tblPr/>
      <w:tcPr>
        <w:tcBorders>
          <w:top w:val="single" w:sz="18" w:space="0" w:color="E3FFC3" w:themeColor="accent4" w:themeTint="BF"/>
        </w:tcBorders>
      </w:tcPr>
    </w:tblStylePr>
    <w:tblStylePr w:type="firstCol">
      <w:rPr>
        <w:b/>
        <w:bCs/>
      </w:rPr>
    </w:tblStylePr>
    <w:tblStylePr w:type="lastCol">
      <w:rPr>
        <w:b/>
        <w:bCs/>
      </w:rPr>
    </w:tblStylePr>
    <w:tblStylePr w:type="band1Vert">
      <w:tblPr/>
      <w:tcPr>
        <w:shd w:val="clear" w:color="auto" w:fill="ECFFD7" w:themeFill="accent4" w:themeFillTint="7F"/>
      </w:tcPr>
    </w:tblStylePr>
    <w:tblStylePr w:type="band1Horz">
      <w:tblPr/>
      <w:tcPr>
        <w:shd w:val="clear" w:color="auto" w:fill="ECFFD7" w:themeFill="accent4" w:themeFillTint="7F"/>
      </w:tcPr>
    </w:tblStylePr>
  </w:style>
  <w:style w:type="table" w:styleId="MediumGrid1-Accent5">
    <w:name w:val="Medium Grid 1 Accent 5"/>
    <w:basedOn w:val="TableNormal"/>
    <w:uiPriority w:val="67"/>
    <w:semiHidden/>
    <w:unhideWhenUsed/>
    <w:rsid w:val="00D42149"/>
    <w:pPr>
      <w:spacing w:line="240" w:lineRule="auto"/>
    </w:pPr>
    <w:tblPr>
      <w:tblStyleRowBandSize w:val="1"/>
      <w:tblStyleColBandSize w:val="1"/>
      <w:tblBorders>
        <w:top w:val="single" w:sz="8" w:space="0" w:color="FFCA93" w:themeColor="accent5" w:themeTint="BF"/>
        <w:left w:val="single" w:sz="8" w:space="0" w:color="FFCA93" w:themeColor="accent5" w:themeTint="BF"/>
        <w:bottom w:val="single" w:sz="8" w:space="0" w:color="FFCA93" w:themeColor="accent5" w:themeTint="BF"/>
        <w:right w:val="single" w:sz="8" w:space="0" w:color="FFCA93" w:themeColor="accent5" w:themeTint="BF"/>
        <w:insideH w:val="single" w:sz="8" w:space="0" w:color="FFCA93" w:themeColor="accent5" w:themeTint="BF"/>
        <w:insideV w:val="single" w:sz="8" w:space="0" w:color="FFCA93" w:themeColor="accent5" w:themeTint="BF"/>
      </w:tblBorders>
    </w:tblPr>
    <w:tcPr>
      <w:shd w:val="clear" w:color="auto" w:fill="FFEDDB" w:themeFill="accent5" w:themeFillTint="3F"/>
    </w:tcPr>
    <w:tblStylePr w:type="firstRow">
      <w:rPr>
        <w:b/>
        <w:bCs/>
      </w:rPr>
    </w:tblStylePr>
    <w:tblStylePr w:type="lastRow">
      <w:rPr>
        <w:b/>
        <w:bCs/>
      </w:rPr>
      <w:tblPr/>
      <w:tcPr>
        <w:tcBorders>
          <w:top w:val="single" w:sz="18" w:space="0" w:color="FFCA93" w:themeColor="accent5" w:themeTint="BF"/>
        </w:tcBorders>
      </w:tcPr>
    </w:tblStylePr>
    <w:tblStylePr w:type="firstCol">
      <w:rPr>
        <w:b/>
        <w:bCs/>
      </w:rPr>
    </w:tblStylePr>
    <w:tblStylePr w:type="lastCol">
      <w:rPr>
        <w:b/>
        <w:bCs/>
      </w:rPr>
    </w:tblStylePr>
    <w:tblStylePr w:type="band1Vert">
      <w:tblPr/>
      <w:tcPr>
        <w:shd w:val="clear" w:color="auto" w:fill="FFDBB7" w:themeFill="accent5" w:themeFillTint="7F"/>
      </w:tcPr>
    </w:tblStylePr>
    <w:tblStylePr w:type="band1Horz">
      <w:tblPr/>
      <w:tcPr>
        <w:shd w:val="clear" w:color="auto" w:fill="FFDBB7" w:themeFill="accent5" w:themeFillTint="7F"/>
      </w:tcPr>
    </w:tblStylePr>
  </w:style>
  <w:style w:type="table" w:styleId="MediumGrid1-Accent6">
    <w:name w:val="Medium Grid 1 Accent 6"/>
    <w:basedOn w:val="TableNormal"/>
    <w:uiPriority w:val="67"/>
    <w:semiHidden/>
    <w:unhideWhenUsed/>
    <w:rsid w:val="00D42149"/>
    <w:pPr>
      <w:spacing w:line="240" w:lineRule="auto"/>
    </w:pPr>
    <w:tblPr>
      <w:tblStyleRowBandSize w:val="1"/>
      <w:tblStyleColBandSize w:val="1"/>
      <w:tblBorders>
        <w:top w:val="single" w:sz="8" w:space="0" w:color="E5DED6" w:themeColor="accent6" w:themeTint="BF"/>
        <w:left w:val="single" w:sz="8" w:space="0" w:color="E5DED6" w:themeColor="accent6" w:themeTint="BF"/>
        <w:bottom w:val="single" w:sz="8" w:space="0" w:color="E5DED6" w:themeColor="accent6" w:themeTint="BF"/>
        <w:right w:val="single" w:sz="8" w:space="0" w:color="E5DED6" w:themeColor="accent6" w:themeTint="BF"/>
        <w:insideH w:val="single" w:sz="8" w:space="0" w:color="E5DED6" w:themeColor="accent6" w:themeTint="BF"/>
        <w:insideV w:val="single" w:sz="8" w:space="0" w:color="E5DED6" w:themeColor="accent6" w:themeTint="BF"/>
      </w:tblBorders>
    </w:tblPr>
    <w:tcPr>
      <w:shd w:val="clear" w:color="auto" w:fill="F6F4F1" w:themeFill="accent6" w:themeFillTint="3F"/>
    </w:tcPr>
    <w:tblStylePr w:type="firstRow">
      <w:rPr>
        <w:b/>
        <w:bCs/>
      </w:rPr>
    </w:tblStylePr>
    <w:tblStylePr w:type="lastRow">
      <w:rPr>
        <w:b/>
        <w:bCs/>
      </w:rPr>
      <w:tblPr/>
      <w:tcPr>
        <w:tcBorders>
          <w:top w:val="single" w:sz="18" w:space="0" w:color="E5DED6" w:themeColor="accent6" w:themeTint="BF"/>
        </w:tcBorders>
      </w:tcPr>
    </w:tblStylePr>
    <w:tblStylePr w:type="firstCol">
      <w:rPr>
        <w:b/>
        <w:bCs/>
      </w:rPr>
    </w:tblStylePr>
    <w:tblStylePr w:type="lastCol">
      <w:rPr>
        <w:b/>
        <w:bCs/>
      </w:rPr>
    </w:tblStylePr>
    <w:tblStylePr w:type="band1Vert">
      <w:tblPr/>
      <w:tcPr>
        <w:shd w:val="clear" w:color="auto" w:fill="EEE9E4" w:themeFill="accent6" w:themeFillTint="7F"/>
      </w:tcPr>
    </w:tblStylePr>
    <w:tblStylePr w:type="band1Horz">
      <w:tblPr/>
      <w:tcPr>
        <w:shd w:val="clear" w:color="auto" w:fill="EEE9E4" w:themeFill="accent6" w:themeFillTint="7F"/>
      </w:tcPr>
    </w:tblStylePr>
  </w:style>
  <w:style w:type="table" w:styleId="MediumGrid2">
    <w:name w:val="Medium Grid 2"/>
    <w:basedOn w:val="TableNormal"/>
    <w:uiPriority w:val="68"/>
    <w:semiHidden/>
    <w:unhideWhenUsed/>
    <w:rsid w:val="00D42149"/>
    <w:pPr>
      <w:spacing w:line="240" w:lineRule="auto"/>
    </w:pPr>
    <w:rPr>
      <w:rFonts w:eastAsiaTheme="majorEastAsia"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42149"/>
    <w:pPr>
      <w:spacing w:line="240" w:lineRule="auto"/>
    </w:pPr>
    <w:rPr>
      <w:rFonts w:eastAsiaTheme="majorEastAsia" w:cs="Arial"/>
    </w:rPr>
    <w:tblPr>
      <w:tblStyleRowBandSize w:val="1"/>
      <w:tblStyleColBandSize w:val="1"/>
      <w:tblBorders>
        <w:top w:val="single" w:sz="8" w:space="0" w:color="00008F" w:themeColor="accent1"/>
        <w:left w:val="single" w:sz="8" w:space="0" w:color="00008F" w:themeColor="accent1"/>
        <w:bottom w:val="single" w:sz="8" w:space="0" w:color="00008F" w:themeColor="accent1"/>
        <w:right w:val="single" w:sz="8" w:space="0" w:color="00008F" w:themeColor="accent1"/>
        <w:insideH w:val="single" w:sz="8" w:space="0" w:color="00008F" w:themeColor="accent1"/>
        <w:insideV w:val="single" w:sz="8" w:space="0" w:color="00008F" w:themeColor="accent1"/>
      </w:tblBorders>
    </w:tblPr>
    <w:tcPr>
      <w:shd w:val="clear" w:color="auto" w:fill="A4A4FF" w:themeFill="accent1" w:themeFillTint="3F"/>
    </w:tcPr>
    <w:tblStylePr w:type="firstRow">
      <w:rPr>
        <w:b/>
        <w:bCs/>
        <w:color w:val="000000" w:themeColor="text1"/>
      </w:rPr>
      <w:tblPr/>
      <w:tcPr>
        <w:shd w:val="clear" w:color="auto" w:fill="DBDB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B5FF" w:themeFill="accent1" w:themeFillTint="33"/>
      </w:tcPr>
    </w:tblStylePr>
    <w:tblStylePr w:type="band1Vert">
      <w:tblPr/>
      <w:tcPr>
        <w:shd w:val="clear" w:color="auto" w:fill="4848FF" w:themeFill="accent1" w:themeFillTint="7F"/>
      </w:tcPr>
    </w:tblStylePr>
    <w:tblStylePr w:type="band1Horz">
      <w:tblPr/>
      <w:tcPr>
        <w:tcBorders>
          <w:insideH w:val="single" w:sz="6" w:space="0" w:color="00008F" w:themeColor="accent1"/>
          <w:insideV w:val="single" w:sz="6" w:space="0" w:color="00008F" w:themeColor="accent1"/>
        </w:tcBorders>
        <w:shd w:val="clear" w:color="auto" w:fill="4848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42149"/>
    <w:pPr>
      <w:spacing w:line="240" w:lineRule="auto"/>
    </w:pPr>
    <w:rPr>
      <w:rFonts w:eastAsiaTheme="majorEastAsia" w:cs="Arial"/>
    </w:rPr>
    <w:tblPr>
      <w:tblStyleRowBandSize w:val="1"/>
      <w:tblStyleColBandSize w:val="1"/>
      <w:tblBorders>
        <w:top w:val="single" w:sz="8" w:space="0" w:color="B6F0FF" w:themeColor="accent2"/>
        <w:left w:val="single" w:sz="8" w:space="0" w:color="B6F0FF" w:themeColor="accent2"/>
        <w:bottom w:val="single" w:sz="8" w:space="0" w:color="B6F0FF" w:themeColor="accent2"/>
        <w:right w:val="single" w:sz="8" w:space="0" w:color="B6F0FF" w:themeColor="accent2"/>
        <w:insideH w:val="single" w:sz="8" w:space="0" w:color="B6F0FF" w:themeColor="accent2"/>
        <w:insideV w:val="single" w:sz="8" w:space="0" w:color="B6F0FF" w:themeColor="accent2"/>
      </w:tblBorders>
    </w:tblPr>
    <w:tcPr>
      <w:shd w:val="clear" w:color="auto" w:fill="ECFBFF" w:themeFill="accent2" w:themeFillTint="3F"/>
    </w:tcPr>
    <w:tblStylePr w:type="firstRow">
      <w:rPr>
        <w:b/>
        <w:bCs/>
        <w:color w:val="000000" w:themeColor="text1"/>
      </w:rPr>
      <w:tblPr/>
      <w:tcPr>
        <w:shd w:val="clear" w:color="auto" w:fill="F7FD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FBFF" w:themeFill="accent2" w:themeFillTint="33"/>
      </w:tcPr>
    </w:tblStylePr>
    <w:tblStylePr w:type="band1Vert">
      <w:tblPr/>
      <w:tcPr>
        <w:shd w:val="clear" w:color="auto" w:fill="DAF7FF" w:themeFill="accent2" w:themeFillTint="7F"/>
      </w:tcPr>
    </w:tblStylePr>
    <w:tblStylePr w:type="band1Horz">
      <w:tblPr/>
      <w:tcPr>
        <w:tcBorders>
          <w:insideH w:val="single" w:sz="6" w:space="0" w:color="B6F0FF" w:themeColor="accent2"/>
          <w:insideV w:val="single" w:sz="6" w:space="0" w:color="B6F0FF" w:themeColor="accent2"/>
        </w:tcBorders>
        <w:shd w:val="clear" w:color="auto" w:fill="DAF7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42149"/>
    <w:pPr>
      <w:spacing w:line="240" w:lineRule="auto"/>
    </w:pPr>
    <w:rPr>
      <w:rFonts w:eastAsiaTheme="majorEastAsia" w:cs="Arial"/>
    </w:rPr>
    <w:tblPr>
      <w:tblStyleRowBandSize w:val="1"/>
      <w:tblStyleColBandSize w:val="1"/>
      <w:tblBorders>
        <w:top w:val="single" w:sz="8" w:space="0" w:color="BBA5FF" w:themeColor="accent3"/>
        <w:left w:val="single" w:sz="8" w:space="0" w:color="BBA5FF" w:themeColor="accent3"/>
        <w:bottom w:val="single" w:sz="8" w:space="0" w:color="BBA5FF" w:themeColor="accent3"/>
        <w:right w:val="single" w:sz="8" w:space="0" w:color="BBA5FF" w:themeColor="accent3"/>
        <w:insideH w:val="single" w:sz="8" w:space="0" w:color="BBA5FF" w:themeColor="accent3"/>
        <w:insideV w:val="single" w:sz="8" w:space="0" w:color="BBA5FF" w:themeColor="accent3"/>
      </w:tblBorders>
    </w:tblPr>
    <w:tcPr>
      <w:shd w:val="clear" w:color="auto" w:fill="EEE8FF" w:themeFill="accent3" w:themeFillTint="3F"/>
    </w:tcPr>
    <w:tblStylePr w:type="firstRow">
      <w:rPr>
        <w:b/>
        <w:bCs/>
        <w:color w:val="000000" w:themeColor="text1"/>
      </w:rPr>
      <w:tblPr/>
      <w:tcPr>
        <w:shd w:val="clear" w:color="auto" w:fill="F8F6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EDFF" w:themeFill="accent3" w:themeFillTint="33"/>
      </w:tcPr>
    </w:tblStylePr>
    <w:tblStylePr w:type="band1Vert">
      <w:tblPr/>
      <w:tcPr>
        <w:shd w:val="clear" w:color="auto" w:fill="DCD2FF" w:themeFill="accent3" w:themeFillTint="7F"/>
      </w:tcPr>
    </w:tblStylePr>
    <w:tblStylePr w:type="band1Horz">
      <w:tblPr/>
      <w:tcPr>
        <w:tcBorders>
          <w:insideH w:val="single" w:sz="6" w:space="0" w:color="BBA5FF" w:themeColor="accent3"/>
          <w:insideV w:val="single" w:sz="6" w:space="0" w:color="BBA5FF" w:themeColor="accent3"/>
        </w:tcBorders>
        <w:shd w:val="clear" w:color="auto" w:fill="DCD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42149"/>
    <w:pPr>
      <w:spacing w:line="240" w:lineRule="auto"/>
    </w:pPr>
    <w:rPr>
      <w:rFonts w:eastAsiaTheme="majorEastAsia" w:cs="Arial"/>
    </w:rPr>
    <w:tblPr>
      <w:tblStyleRowBandSize w:val="1"/>
      <w:tblStyleColBandSize w:val="1"/>
      <w:tblBorders>
        <w:top w:val="single" w:sz="8" w:space="0" w:color="DAFFAF" w:themeColor="accent4"/>
        <w:left w:val="single" w:sz="8" w:space="0" w:color="DAFFAF" w:themeColor="accent4"/>
        <w:bottom w:val="single" w:sz="8" w:space="0" w:color="DAFFAF" w:themeColor="accent4"/>
        <w:right w:val="single" w:sz="8" w:space="0" w:color="DAFFAF" w:themeColor="accent4"/>
        <w:insideH w:val="single" w:sz="8" w:space="0" w:color="DAFFAF" w:themeColor="accent4"/>
        <w:insideV w:val="single" w:sz="8" w:space="0" w:color="DAFFAF" w:themeColor="accent4"/>
      </w:tblBorders>
    </w:tblPr>
    <w:tcPr>
      <w:shd w:val="clear" w:color="auto" w:fill="F5FFEB" w:themeFill="accent4" w:themeFillTint="3F"/>
    </w:tcPr>
    <w:tblStylePr w:type="firstRow">
      <w:rPr>
        <w:b/>
        <w:bCs/>
        <w:color w:val="000000" w:themeColor="text1"/>
      </w:rPr>
      <w:tblPr/>
      <w:tcPr>
        <w:shd w:val="clear" w:color="auto" w:fill="FBFF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FEF" w:themeFill="accent4" w:themeFillTint="33"/>
      </w:tcPr>
    </w:tblStylePr>
    <w:tblStylePr w:type="band1Vert">
      <w:tblPr/>
      <w:tcPr>
        <w:shd w:val="clear" w:color="auto" w:fill="ECFFD7" w:themeFill="accent4" w:themeFillTint="7F"/>
      </w:tcPr>
    </w:tblStylePr>
    <w:tblStylePr w:type="band1Horz">
      <w:tblPr/>
      <w:tcPr>
        <w:tcBorders>
          <w:insideH w:val="single" w:sz="6" w:space="0" w:color="DAFFAF" w:themeColor="accent4"/>
          <w:insideV w:val="single" w:sz="6" w:space="0" w:color="DAFFAF" w:themeColor="accent4"/>
        </w:tcBorders>
        <w:shd w:val="clear" w:color="auto" w:fill="ECFFD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42149"/>
    <w:pPr>
      <w:spacing w:line="240" w:lineRule="auto"/>
    </w:pPr>
    <w:rPr>
      <w:rFonts w:eastAsiaTheme="majorEastAsia" w:cs="Arial"/>
    </w:rPr>
    <w:tblPr>
      <w:tblStyleRowBandSize w:val="1"/>
      <w:tblStyleColBandSize w:val="1"/>
      <w:tblBorders>
        <w:top w:val="single" w:sz="8" w:space="0" w:color="FFB96F" w:themeColor="accent5"/>
        <w:left w:val="single" w:sz="8" w:space="0" w:color="FFB96F" w:themeColor="accent5"/>
        <w:bottom w:val="single" w:sz="8" w:space="0" w:color="FFB96F" w:themeColor="accent5"/>
        <w:right w:val="single" w:sz="8" w:space="0" w:color="FFB96F" w:themeColor="accent5"/>
        <w:insideH w:val="single" w:sz="8" w:space="0" w:color="FFB96F" w:themeColor="accent5"/>
        <w:insideV w:val="single" w:sz="8" w:space="0" w:color="FFB96F" w:themeColor="accent5"/>
      </w:tblBorders>
    </w:tblPr>
    <w:tcPr>
      <w:shd w:val="clear" w:color="auto" w:fill="FFEDDB" w:themeFill="accent5" w:themeFillTint="3F"/>
    </w:tcPr>
    <w:tblStylePr w:type="firstRow">
      <w:rPr>
        <w:b/>
        <w:bCs/>
        <w:color w:val="000000" w:themeColor="text1"/>
      </w:rPr>
      <w:tblPr/>
      <w:tcPr>
        <w:shd w:val="clear" w:color="auto" w:fill="FFF8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0E2" w:themeFill="accent5" w:themeFillTint="33"/>
      </w:tcPr>
    </w:tblStylePr>
    <w:tblStylePr w:type="band1Vert">
      <w:tblPr/>
      <w:tcPr>
        <w:shd w:val="clear" w:color="auto" w:fill="FFDBB7" w:themeFill="accent5" w:themeFillTint="7F"/>
      </w:tcPr>
    </w:tblStylePr>
    <w:tblStylePr w:type="band1Horz">
      <w:tblPr/>
      <w:tcPr>
        <w:tcBorders>
          <w:insideH w:val="single" w:sz="6" w:space="0" w:color="FFB96F" w:themeColor="accent5"/>
          <w:insideV w:val="single" w:sz="6" w:space="0" w:color="FFB96F" w:themeColor="accent5"/>
        </w:tcBorders>
        <w:shd w:val="clear" w:color="auto" w:fill="FFDBB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42149"/>
    <w:pPr>
      <w:spacing w:line="240" w:lineRule="auto"/>
    </w:pPr>
    <w:rPr>
      <w:rFonts w:eastAsiaTheme="majorEastAsia" w:cs="Arial"/>
    </w:rPr>
    <w:tblPr>
      <w:tblStyleRowBandSize w:val="1"/>
      <w:tblStyleColBandSize w:val="1"/>
      <w:tblBorders>
        <w:top w:val="single" w:sz="8" w:space="0" w:color="DDD4C9" w:themeColor="accent6"/>
        <w:left w:val="single" w:sz="8" w:space="0" w:color="DDD4C9" w:themeColor="accent6"/>
        <w:bottom w:val="single" w:sz="8" w:space="0" w:color="DDD4C9" w:themeColor="accent6"/>
        <w:right w:val="single" w:sz="8" w:space="0" w:color="DDD4C9" w:themeColor="accent6"/>
        <w:insideH w:val="single" w:sz="8" w:space="0" w:color="DDD4C9" w:themeColor="accent6"/>
        <w:insideV w:val="single" w:sz="8" w:space="0" w:color="DDD4C9" w:themeColor="accent6"/>
      </w:tblBorders>
    </w:tblPr>
    <w:tcPr>
      <w:shd w:val="clear" w:color="auto" w:fill="F6F4F1" w:themeFill="accent6" w:themeFillTint="3F"/>
    </w:tcPr>
    <w:tblStylePr w:type="firstRow">
      <w:rPr>
        <w:b/>
        <w:bCs/>
        <w:color w:val="000000" w:themeColor="text1"/>
      </w:rPr>
      <w:tblPr/>
      <w:tcPr>
        <w:shd w:val="clear" w:color="auto" w:fill="FBFA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6F4" w:themeFill="accent6" w:themeFillTint="33"/>
      </w:tcPr>
    </w:tblStylePr>
    <w:tblStylePr w:type="band1Vert">
      <w:tblPr/>
      <w:tcPr>
        <w:shd w:val="clear" w:color="auto" w:fill="EEE9E4" w:themeFill="accent6" w:themeFillTint="7F"/>
      </w:tcPr>
    </w:tblStylePr>
    <w:tblStylePr w:type="band1Horz">
      <w:tblPr/>
      <w:tcPr>
        <w:tcBorders>
          <w:insideH w:val="single" w:sz="6" w:space="0" w:color="DDD4C9" w:themeColor="accent6"/>
          <w:insideV w:val="single" w:sz="6" w:space="0" w:color="DDD4C9" w:themeColor="accent6"/>
        </w:tcBorders>
        <w:shd w:val="clear" w:color="auto" w:fill="EEE9E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4214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4214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A4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848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848FF" w:themeFill="accent1" w:themeFillTint="7F"/>
      </w:tcPr>
    </w:tblStylePr>
  </w:style>
  <w:style w:type="table" w:styleId="MediumGrid3-Accent2">
    <w:name w:val="Medium Grid 3 Accent 2"/>
    <w:basedOn w:val="TableNormal"/>
    <w:uiPriority w:val="69"/>
    <w:semiHidden/>
    <w:unhideWhenUsed/>
    <w:rsid w:val="00D4214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F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F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F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F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F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F7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F7FF" w:themeFill="accent2" w:themeFillTint="7F"/>
      </w:tcPr>
    </w:tblStylePr>
  </w:style>
  <w:style w:type="table" w:styleId="MediumGrid3-Accent3">
    <w:name w:val="Medium Grid 3 Accent 3"/>
    <w:basedOn w:val="TableNormal"/>
    <w:uiPriority w:val="69"/>
    <w:semiHidden/>
    <w:unhideWhenUsed/>
    <w:rsid w:val="00D4214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E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A5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A5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A5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A5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D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D2FF" w:themeFill="accent3" w:themeFillTint="7F"/>
      </w:tcPr>
    </w:tblStylePr>
  </w:style>
  <w:style w:type="table" w:styleId="MediumGrid3-Accent4">
    <w:name w:val="Medium Grid 3 Accent 4"/>
    <w:basedOn w:val="TableNormal"/>
    <w:uiPriority w:val="69"/>
    <w:semiHidden/>
    <w:unhideWhenUsed/>
    <w:rsid w:val="00D4214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F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AFF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AFF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AFF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AFF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FF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FFD7" w:themeFill="accent4" w:themeFillTint="7F"/>
      </w:tcPr>
    </w:tblStylePr>
  </w:style>
  <w:style w:type="table" w:styleId="MediumGrid3-Accent5">
    <w:name w:val="Medium Grid 3 Accent 5"/>
    <w:basedOn w:val="TableNormal"/>
    <w:uiPriority w:val="69"/>
    <w:semiHidden/>
    <w:unhideWhenUsed/>
    <w:rsid w:val="00D4214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D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B96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B96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B96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B96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BB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BB7" w:themeFill="accent5" w:themeFillTint="7F"/>
      </w:tcPr>
    </w:tblStylePr>
  </w:style>
  <w:style w:type="table" w:styleId="MediumGrid3-Accent6">
    <w:name w:val="Medium Grid 3 Accent 6"/>
    <w:basedOn w:val="TableNormal"/>
    <w:uiPriority w:val="69"/>
    <w:semiHidden/>
    <w:unhideWhenUsed/>
    <w:rsid w:val="00D4214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4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4C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4C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4C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4C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9E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9E4" w:themeFill="accent6" w:themeFillTint="7F"/>
      </w:tcPr>
    </w:tblStylePr>
  </w:style>
  <w:style w:type="table" w:styleId="MediumList1">
    <w:name w:val="Medium List 1"/>
    <w:basedOn w:val="TableNormal"/>
    <w:uiPriority w:val="65"/>
    <w:semiHidden/>
    <w:unhideWhenUsed/>
    <w:rsid w:val="00D42149"/>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8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42149"/>
    <w:pPr>
      <w:spacing w:line="240" w:lineRule="auto"/>
    </w:pPr>
    <w:tblPr>
      <w:tblStyleRowBandSize w:val="1"/>
      <w:tblStyleColBandSize w:val="1"/>
      <w:tblBorders>
        <w:top w:val="single" w:sz="8" w:space="0" w:color="00008F" w:themeColor="accent1"/>
        <w:bottom w:val="single" w:sz="8" w:space="0" w:color="00008F" w:themeColor="accent1"/>
      </w:tblBorders>
    </w:tblPr>
    <w:tblStylePr w:type="firstRow">
      <w:rPr>
        <w:rFonts w:asciiTheme="majorHAnsi" w:eastAsiaTheme="majorEastAsia" w:hAnsiTheme="majorHAnsi" w:cstheme="majorBidi"/>
      </w:rPr>
      <w:tblPr/>
      <w:tcPr>
        <w:tcBorders>
          <w:top w:val="nil"/>
          <w:bottom w:val="single" w:sz="8" w:space="0" w:color="00008F" w:themeColor="accent1"/>
        </w:tcBorders>
      </w:tcPr>
    </w:tblStylePr>
    <w:tblStylePr w:type="lastRow">
      <w:rPr>
        <w:b/>
        <w:bCs/>
        <w:color w:val="00008F" w:themeColor="text2"/>
      </w:rPr>
      <w:tblPr/>
      <w:tcPr>
        <w:tcBorders>
          <w:top w:val="single" w:sz="8" w:space="0" w:color="00008F" w:themeColor="accent1"/>
          <w:bottom w:val="single" w:sz="8" w:space="0" w:color="00008F" w:themeColor="accent1"/>
        </w:tcBorders>
      </w:tcPr>
    </w:tblStylePr>
    <w:tblStylePr w:type="firstCol">
      <w:rPr>
        <w:b/>
        <w:bCs/>
      </w:rPr>
    </w:tblStylePr>
    <w:tblStylePr w:type="lastCol">
      <w:rPr>
        <w:b/>
        <w:bCs/>
      </w:rPr>
      <w:tblPr/>
      <w:tcPr>
        <w:tcBorders>
          <w:top w:val="single" w:sz="8" w:space="0" w:color="00008F" w:themeColor="accent1"/>
          <w:bottom w:val="single" w:sz="8" w:space="0" w:color="00008F" w:themeColor="accent1"/>
        </w:tcBorders>
      </w:tcPr>
    </w:tblStylePr>
    <w:tblStylePr w:type="band1Vert">
      <w:tblPr/>
      <w:tcPr>
        <w:shd w:val="clear" w:color="auto" w:fill="A4A4FF" w:themeFill="accent1" w:themeFillTint="3F"/>
      </w:tcPr>
    </w:tblStylePr>
    <w:tblStylePr w:type="band1Horz">
      <w:tblPr/>
      <w:tcPr>
        <w:shd w:val="clear" w:color="auto" w:fill="A4A4FF" w:themeFill="accent1" w:themeFillTint="3F"/>
      </w:tcPr>
    </w:tblStylePr>
  </w:style>
  <w:style w:type="table" w:styleId="MediumList1-Accent2">
    <w:name w:val="Medium List 1 Accent 2"/>
    <w:basedOn w:val="TableNormal"/>
    <w:uiPriority w:val="65"/>
    <w:semiHidden/>
    <w:unhideWhenUsed/>
    <w:rsid w:val="00D42149"/>
    <w:pPr>
      <w:spacing w:line="240" w:lineRule="auto"/>
    </w:pPr>
    <w:tblPr>
      <w:tblStyleRowBandSize w:val="1"/>
      <w:tblStyleColBandSize w:val="1"/>
      <w:tblBorders>
        <w:top w:val="single" w:sz="8" w:space="0" w:color="B6F0FF" w:themeColor="accent2"/>
        <w:bottom w:val="single" w:sz="8" w:space="0" w:color="B6F0FF" w:themeColor="accent2"/>
      </w:tblBorders>
    </w:tblPr>
    <w:tblStylePr w:type="firstRow">
      <w:rPr>
        <w:rFonts w:asciiTheme="majorHAnsi" w:eastAsiaTheme="majorEastAsia" w:hAnsiTheme="majorHAnsi" w:cstheme="majorBidi"/>
      </w:rPr>
      <w:tblPr/>
      <w:tcPr>
        <w:tcBorders>
          <w:top w:val="nil"/>
          <w:bottom w:val="single" w:sz="8" w:space="0" w:color="B6F0FF" w:themeColor="accent2"/>
        </w:tcBorders>
      </w:tcPr>
    </w:tblStylePr>
    <w:tblStylePr w:type="lastRow">
      <w:rPr>
        <w:b/>
        <w:bCs/>
        <w:color w:val="00008F" w:themeColor="text2"/>
      </w:rPr>
      <w:tblPr/>
      <w:tcPr>
        <w:tcBorders>
          <w:top w:val="single" w:sz="8" w:space="0" w:color="B6F0FF" w:themeColor="accent2"/>
          <w:bottom w:val="single" w:sz="8" w:space="0" w:color="B6F0FF" w:themeColor="accent2"/>
        </w:tcBorders>
      </w:tcPr>
    </w:tblStylePr>
    <w:tblStylePr w:type="firstCol">
      <w:rPr>
        <w:b/>
        <w:bCs/>
      </w:rPr>
    </w:tblStylePr>
    <w:tblStylePr w:type="lastCol">
      <w:rPr>
        <w:b/>
        <w:bCs/>
      </w:rPr>
      <w:tblPr/>
      <w:tcPr>
        <w:tcBorders>
          <w:top w:val="single" w:sz="8" w:space="0" w:color="B6F0FF" w:themeColor="accent2"/>
          <w:bottom w:val="single" w:sz="8" w:space="0" w:color="B6F0FF" w:themeColor="accent2"/>
        </w:tcBorders>
      </w:tcPr>
    </w:tblStylePr>
    <w:tblStylePr w:type="band1Vert">
      <w:tblPr/>
      <w:tcPr>
        <w:shd w:val="clear" w:color="auto" w:fill="ECFBFF" w:themeFill="accent2" w:themeFillTint="3F"/>
      </w:tcPr>
    </w:tblStylePr>
    <w:tblStylePr w:type="band1Horz">
      <w:tblPr/>
      <w:tcPr>
        <w:shd w:val="clear" w:color="auto" w:fill="ECFBFF" w:themeFill="accent2" w:themeFillTint="3F"/>
      </w:tcPr>
    </w:tblStylePr>
  </w:style>
  <w:style w:type="table" w:styleId="MediumList1-Accent3">
    <w:name w:val="Medium List 1 Accent 3"/>
    <w:basedOn w:val="TableNormal"/>
    <w:uiPriority w:val="65"/>
    <w:semiHidden/>
    <w:unhideWhenUsed/>
    <w:rsid w:val="00D42149"/>
    <w:pPr>
      <w:spacing w:line="240" w:lineRule="auto"/>
    </w:pPr>
    <w:tblPr>
      <w:tblStyleRowBandSize w:val="1"/>
      <w:tblStyleColBandSize w:val="1"/>
      <w:tblBorders>
        <w:top w:val="single" w:sz="8" w:space="0" w:color="BBA5FF" w:themeColor="accent3"/>
        <w:bottom w:val="single" w:sz="8" w:space="0" w:color="BBA5FF" w:themeColor="accent3"/>
      </w:tblBorders>
    </w:tblPr>
    <w:tblStylePr w:type="firstRow">
      <w:rPr>
        <w:rFonts w:asciiTheme="majorHAnsi" w:eastAsiaTheme="majorEastAsia" w:hAnsiTheme="majorHAnsi" w:cstheme="majorBidi"/>
      </w:rPr>
      <w:tblPr/>
      <w:tcPr>
        <w:tcBorders>
          <w:top w:val="nil"/>
          <w:bottom w:val="single" w:sz="8" w:space="0" w:color="BBA5FF" w:themeColor="accent3"/>
        </w:tcBorders>
      </w:tcPr>
    </w:tblStylePr>
    <w:tblStylePr w:type="lastRow">
      <w:rPr>
        <w:b/>
        <w:bCs/>
        <w:color w:val="00008F" w:themeColor="text2"/>
      </w:rPr>
      <w:tblPr/>
      <w:tcPr>
        <w:tcBorders>
          <w:top w:val="single" w:sz="8" w:space="0" w:color="BBA5FF" w:themeColor="accent3"/>
          <w:bottom w:val="single" w:sz="8" w:space="0" w:color="BBA5FF" w:themeColor="accent3"/>
        </w:tcBorders>
      </w:tcPr>
    </w:tblStylePr>
    <w:tblStylePr w:type="firstCol">
      <w:rPr>
        <w:b/>
        <w:bCs/>
      </w:rPr>
    </w:tblStylePr>
    <w:tblStylePr w:type="lastCol">
      <w:rPr>
        <w:b/>
        <w:bCs/>
      </w:rPr>
      <w:tblPr/>
      <w:tcPr>
        <w:tcBorders>
          <w:top w:val="single" w:sz="8" w:space="0" w:color="BBA5FF" w:themeColor="accent3"/>
          <w:bottom w:val="single" w:sz="8" w:space="0" w:color="BBA5FF" w:themeColor="accent3"/>
        </w:tcBorders>
      </w:tcPr>
    </w:tblStylePr>
    <w:tblStylePr w:type="band1Vert">
      <w:tblPr/>
      <w:tcPr>
        <w:shd w:val="clear" w:color="auto" w:fill="EEE8FF" w:themeFill="accent3" w:themeFillTint="3F"/>
      </w:tcPr>
    </w:tblStylePr>
    <w:tblStylePr w:type="band1Horz">
      <w:tblPr/>
      <w:tcPr>
        <w:shd w:val="clear" w:color="auto" w:fill="EEE8FF" w:themeFill="accent3" w:themeFillTint="3F"/>
      </w:tcPr>
    </w:tblStylePr>
  </w:style>
  <w:style w:type="table" w:styleId="MediumList1-Accent4">
    <w:name w:val="Medium List 1 Accent 4"/>
    <w:basedOn w:val="TableNormal"/>
    <w:uiPriority w:val="65"/>
    <w:semiHidden/>
    <w:unhideWhenUsed/>
    <w:rsid w:val="00D42149"/>
    <w:pPr>
      <w:spacing w:line="240" w:lineRule="auto"/>
    </w:pPr>
    <w:tblPr>
      <w:tblStyleRowBandSize w:val="1"/>
      <w:tblStyleColBandSize w:val="1"/>
      <w:tblBorders>
        <w:top w:val="single" w:sz="8" w:space="0" w:color="DAFFAF" w:themeColor="accent4"/>
        <w:bottom w:val="single" w:sz="8" w:space="0" w:color="DAFFAF" w:themeColor="accent4"/>
      </w:tblBorders>
    </w:tblPr>
    <w:tblStylePr w:type="firstRow">
      <w:rPr>
        <w:rFonts w:asciiTheme="majorHAnsi" w:eastAsiaTheme="majorEastAsia" w:hAnsiTheme="majorHAnsi" w:cstheme="majorBidi"/>
      </w:rPr>
      <w:tblPr/>
      <w:tcPr>
        <w:tcBorders>
          <w:top w:val="nil"/>
          <w:bottom w:val="single" w:sz="8" w:space="0" w:color="DAFFAF" w:themeColor="accent4"/>
        </w:tcBorders>
      </w:tcPr>
    </w:tblStylePr>
    <w:tblStylePr w:type="lastRow">
      <w:rPr>
        <w:b/>
        <w:bCs/>
        <w:color w:val="00008F" w:themeColor="text2"/>
      </w:rPr>
      <w:tblPr/>
      <w:tcPr>
        <w:tcBorders>
          <w:top w:val="single" w:sz="8" w:space="0" w:color="DAFFAF" w:themeColor="accent4"/>
          <w:bottom w:val="single" w:sz="8" w:space="0" w:color="DAFFAF" w:themeColor="accent4"/>
        </w:tcBorders>
      </w:tcPr>
    </w:tblStylePr>
    <w:tblStylePr w:type="firstCol">
      <w:rPr>
        <w:b/>
        <w:bCs/>
      </w:rPr>
    </w:tblStylePr>
    <w:tblStylePr w:type="lastCol">
      <w:rPr>
        <w:b/>
        <w:bCs/>
      </w:rPr>
      <w:tblPr/>
      <w:tcPr>
        <w:tcBorders>
          <w:top w:val="single" w:sz="8" w:space="0" w:color="DAFFAF" w:themeColor="accent4"/>
          <w:bottom w:val="single" w:sz="8" w:space="0" w:color="DAFFAF" w:themeColor="accent4"/>
        </w:tcBorders>
      </w:tcPr>
    </w:tblStylePr>
    <w:tblStylePr w:type="band1Vert">
      <w:tblPr/>
      <w:tcPr>
        <w:shd w:val="clear" w:color="auto" w:fill="F5FFEB" w:themeFill="accent4" w:themeFillTint="3F"/>
      </w:tcPr>
    </w:tblStylePr>
    <w:tblStylePr w:type="band1Horz">
      <w:tblPr/>
      <w:tcPr>
        <w:shd w:val="clear" w:color="auto" w:fill="F5FFEB" w:themeFill="accent4" w:themeFillTint="3F"/>
      </w:tcPr>
    </w:tblStylePr>
  </w:style>
  <w:style w:type="table" w:styleId="MediumList1-Accent5">
    <w:name w:val="Medium List 1 Accent 5"/>
    <w:basedOn w:val="TableNormal"/>
    <w:uiPriority w:val="65"/>
    <w:semiHidden/>
    <w:unhideWhenUsed/>
    <w:rsid w:val="00D42149"/>
    <w:pPr>
      <w:spacing w:line="240" w:lineRule="auto"/>
    </w:pPr>
    <w:tblPr>
      <w:tblStyleRowBandSize w:val="1"/>
      <w:tblStyleColBandSize w:val="1"/>
      <w:tblBorders>
        <w:top w:val="single" w:sz="8" w:space="0" w:color="FFB96F" w:themeColor="accent5"/>
        <w:bottom w:val="single" w:sz="8" w:space="0" w:color="FFB96F" w:themeColor="accent5"/>
      </w:tblBorders>
    </w:tblPr>
    <w:tblStylePr w:type="firstRow">
      <w:rPr>
        <w:rFonts w:asciiTheme="majorHAnsi" w:eastAsiaTheme="majorEastAsia" w:hAnsiTheme="majorHAnsi" w:cstheme="majorBidi"/>
      </w:rPr>
      <w:tblPr/>
      <w:tcPr>
        <w:tcBorders>
          <w:top w:val="nil"/>
          <w:bottom w:val="single" w:sz="8" w:space="0" w:color="FFB96F" w:themeColor="accent5"/>
        </w:tcBorders>
      </w:tcPr>
    </w:tblStylePr>
    <w:tblStylePr w:type="lastRow">
      <w:rPr>
        <w:b/>
        <w:bCs/>
        <w:color w:val="00008F" w:themeColor="text2"/>
      </w:rPr>
      <w:tblPr/>
      <w:tcPr>
        <w:tcBorders>
          <w:top w:val="single" w:sz="8" w:space="0" w:color="FFB96F" w:themeColor="accent5"/>
          <w:bottom w:val="single" w:sz="8" w:space="0" w:color="FFB96F" w:themeColor="accent5"/>
        </w:tcBorders>
      </w:tcPr>
    </w:tblStylePr>
    <w:tblStylePr w:type="firstCol">
      <w:rPr>
        <w:b/>
        <w:bCs/>
      </w:rPr>
    </w:tblStylePr>
    <w:tblStylePr w:type="lastCol">
      <w:rPr>
        <w:b/>
        <w:bCs/>
      </w:rPr>
      <w:tblPr/>
      <w:tcPr>
        <w:tcBorders>
          <w:top w:val="single" w:sz="8" w:space="0" w:color="FFB96F" w:themeColor="accent5"/>
          <w:bottom w:val="single" w:sz="8" w:space="0" w:color="FFB96F" w:themeColor="accent5"/>
        </w:tcBorders>
      </w:tcPr>
    </w:tblStylePr>
    <w:tblStylePr w:type="band1Vert">
      <w:tblPr/>
      <w:tcPr>
        <w:shd w:val="clear" w:color="auto" w:fill="FFEDDB" w:themeFill="accent5" w:themeFillTint="3F"/>
      </w:tcPr>
    </w:tblStylePr>
    <w:tblStylePr w:type="band1Horz">
      <w:tblPr/>
      <w:tcPr>
        <w:shd w:val="clear" w:color="auto" w:fill="FFEDDB" w:themeFill="accent5" w:themeFillTint="3F"/>
      </w:tcPr>
    </w:tblStylePr>
  </w:style>
  <w:style w:type="table" w:styleId="MediumList1-Accent6">
    <w:name w:val="Medium List 1 Accent 6"/>
    <w:basedOn w:val="TableNormal"/>
    <w:uiPriority w:val="65"/>
    <w:semiHidden/>
    <w:unhideWhenUsed/>
    <w:rsid w:val="00D42149"/>
    <w:pPr>
      <w:spacing w:line="240" w:lineRule="auto"/>
    </w:pPr>
    <w:tblPr>
      <w:tblStyleRowBandSize w:val="1"/>
      <w:tblStyleColBandSize w:val="1"/>
      <w:tblBorders>
        <w:top w:val="single" w:sz="8" w:space="0" w:color="DDD4C9" w:themeColor="accent6"/>
        <w:bottom w:val="single" w:sz="8" w:space="0" w:color="DDD4C9" w:themeColor="accent6"/>
      </w:tblBorders>
    </w:tblPr>
    <w:tblStylePr w:type="firstRow">
      <w:rPr>
        <w:rFonts w:asciiTheme="majorHAnsi" w:eastAsiaTheme="majorEastAsia" w:hAnsiTheme="majorHAnsi" w:cstheme="majorBidi"/>
      </w:rPr>
      <w:tblPr/>
      <w:tcPr>
        <w:tcBorders>
          <w:top w:val="nil"/>
          <w:bottom w:val="single" w:sz="8" w:space="0" w:color="DDD4C9" w:themeColor="accent6"/>
        </w:tcBorders>
      </w:tcPr>
    </w:tblStylePr>
    <w:tblStylePr w:type="lastRow">
      <w:rPr>
        <w:b/>
        <w:bCs/>
        <w:color w:val="00008F" w:themeColor="text2"/>
      </w:rPr>
      <w:tblPr/>
      <w:tcPr>
        <w:tcBorders>
          <w:top w:val="single" w:sz="8" w:space="0" w:color="DDD4C9" w:themeColor="accent6"/>
          <w:bottom w:val="single" w:sz="8" w:space="0" w:color="DDD4C9" w:themeColor="accent6"/>
        </w:tcBorders>
      </w:tcPr>
    </w:tblStylePr>
    <w:tblStylePr w:type="firstCol">
      <w:rPr>
        <w:b/>
        <w:bCs/>
      </w:rPr>
    </w:tblStylePr>
    <w:tblStylePr w:type="lastCol">
      <w:rPr>
        <w:b/>
        <w:bCs/>
      </w:rPr>
      <w:tblPr/>
      <w:tcPr>
        <w:tcBorders>
          <w:top w:val="single" w:sz="8" w:space="0" w:color="DDD4C9" w:themeColor="accent6"/>
          <w:bottom w:val="single" w:sz="8" w:space="0" w:color="DDD4C9" w:themeColor="accent6"/>
        </w:tcBorders>
      </w:tcPr>
    </w:tblStylePr>
    <w:tblStylePr w:type="band1Vert">
      <w:tblPr/>
      <w:tcPr>
        <w:shd w:val="clear" w:color="auto" w:fill="F6F4F1" w:themeFill="accent6" w:themeFillTint="3F"/>
      </w:tcPr>
    </w:tblStylePr>
    <w:tblStylePr w:type="band1Horz">
      <w:tblPr/>
      <w:tcPr>
        <w:shd w:val="clear" w:color="auto" w:fill="F6F4F1" w:themeFill="accent6" w:themeFillTint="3F"/>
      </w:tcPr>
    </w:tblStylePr>
  </w:style>
  <w:style w:type="table" w:styleId="MediumList2">
    <w:name w:val="Medium List 2"/>
    <w:basedOn w:val="TableNormal"/>
    <w:uiPriority w:val="66"/>
    <w:semiHidden/>
    <w:unhideWhenUsed/>
    <w:rsid w:val="00D42149"/>
    <w:pPr>
      <w:spacing w:line="240" w:lineRule="auto"/>
    </w:pPr>
    <w:rPr>
      <w:rFonts w:eastAsiaTheme="majorEastAsia"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42149"/>
    <w:pPr>
      <w:spacing w:line="240" w:lineRule="auto"/>
    </w:pPr>
    <w:rPr>
      <w:rFonts w:eastAsiaTheme="majorEastAsia" w:cs="Arial"/>
    </w:rPr>
    <w:tblPr>
      <w:tblStyleRowBandSize w:val="1"/>
      <w:tblStyleColBandSize w:val="1"/>
      <w:tblBorders>
        <w:top w:val="single" w:sz="8" w:space="0" w:color="00008F" w:themeColor="accent1"/>
        <w:left w:val="single" w:sz="8" w:space="0" w:color="00008F" w:themeColor="accent1"/>
        <w:bottom w:val="single" w:sz="8" w:space="0" w:color="00008F" w:themeColor="accent1"/>
        <w:right w:val="single" w:sz="8" w:space="0" w:color="00008F" w:themeColor="accent1"/>
      </w:tblBorders>
    </w:tblPr>
    <w:tblStylePr w:type="firstRow">
      <w:rPr>
        <w:sz w:val="24"/>
        <w:szCs w:val="24"/>
      </w:rPr>
      <w:tblPr/>
      <w:tcPr>
        <w:tcBorders>
          <w:top w:val="nil"/>
          <w:left w:val="nil"/>
          <w:bottom w:val="single" w:sz="24" w:space="0" w:color="00008F" w:themeColor="accent1"/>
          <w:right w:val="nil"/>
          <w:insideH w:val="nil"/>
          <w:insideV w:val="nil"/>
        </w:tcBorders>
        <w:shd w:val="clear" w:color="auto" w:fill="FFFFFF" w:themeFill="background1"/>
      </w:tcPr>
    </w:tblStylePr>
    <w:tblStylePr w:type="lastRow">
      <w:tblPr/>
      <w:tcPr>
        <w:tcBorders>
          <w:top w:val="single" w:sz="8" w:space="0" w:color="0000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F" w:themeColor="accent1"/>
          <w:insideH w:val="nil"/>
          <w:insideV w:val="nil"/>
        </w:tcBorders>
        <w:shd w:val="clear" w:color="auto" w:fill="FFFFFF" w:themeFill="background1"/>
      </w:tcPr>
    </w:tblStylePr>
    <w:tblStylePr w:type="lastCol">
      <w:tblPr/>
      <w:tcPr>
        <w:tcBorders>
          <w:top w:val="nil"/>
          <w:left w:val="single" w:sz="8" w:space="0" w:color="0000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A4FF" w:themeFill="accent1" w:themeFillTint="3F"/>
      </w:tcPr>
    </w:tblStylePr>
    <w:tblStylePr w:type="band1Horz">
      <w:tblPr/>
      <w:tcPr>
        <w:tcBorders>
          <w:top w:val="nil"/>
          <w:bottom w:val="nil"/>
          <w:insideH w:val="nil"/>
          <w:insideV w:val="nil"/>
        </w:tcBorders>
        <w:shd w:val="clear" w:color="auto" w:fill="A4A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42149"/>
    <w:pPr>
      <w:spacing w:line="240" w:lineRule="auto"/>
    </w:pPr>
    <w:rPr>
      <w:rFonts w:eastAsiaTheme="majorEastAsia" w:cs="Arial"/>
    </w:rPr>
    <w:tblPr>
      <w:tblStyleRowBandSize w:val="1"/>
      <w:tblStyleColBandSize w:val="1"/>
      <w:tblBorders>
        <w:top w:val="single" w:sz="8" w:space="0" w:color="B6F0FF" w:themeColor="accent2"/>
        <w:left w:val="single" w:sz="8" w:space="0" w:color="B6F0FF" w:themeColor="accent2"/>
        <w:bottom w:val="single" w:sz="8" w:space="0" w:color="B6F0FF" w:themeColor="accent2"/>
        <w:right w:val="single" w:sz="8" w:space="0" w:color="B6F0FF" w:themeColor="accent2"/>
      </w:tblBorders>
    </w:tblPr>
    <w:tblStylePr w:type="firstRow">
      <w:rPr>
        <w:sz w:val="24"/>
        <w:szCs w:val="24"/>
      </w:rPr>
      <w:tblPr/>
      <w:tcPr>
        <w:tcBorders>
          <w:top w:val="nil"/>
          <w:left w:val="nil"/>
          <w:bottom w:val="single" w:sz="24" w:space="0" w:color="B6F0FF" w:themeColor="accent2"/>
          <w:right w:val="nil"/>
          <w:insideH w:val="nil"/>
          <w:insideV w:val="nil"/>
        </w:tcBorders>
        <w:shd w:val="clear" w:color="auto" w:fill="FFFFFF" w:themeFill="background1"/>
      </w:tcPr>
    </w:tblStylePr>
    <w:tblStylePr w:type="lastRow">
      <w:tblPr/>
      <w:tcPr>
        <w:tcBorders>
          <w:top w:val="single" w:sz="8" w:space="0" w:color="B6F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F0FF" w:themeColor="accent2"/>
          <w:insideH w:val="nil"/>
          <w:insideV w:val="nil"/>
        </w:tcBorders>
        <w:shd w:val="clear" w:color="auto" w:fill="FFFFFF" w:themeFill="background1"/>
      </w:tcPr>
    </w:tblStylePr>
    <w:tblStylePr w:type="lastCol">
      <w:tblPr/>
      <w:tcPr>
        <w:tcBorders>
          <w:top w:val="nil"/>
          <w:left w:val="single" w:sz="8" w:space="0" w:color="B6F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FBFF" w:themeFill="accent2" w:themeFillTint="3F"/>
      </w:tcPr>
    </w:tblStylePr>
    <w:tblStylePr w:type="band1Horz">
      <w:tblPr/>
      <w:tcPr>
        <w:tcBorders>
          <w:top w:val="nil"/>
          <w:bottom w:val="nil"/>
          <w:insideH w:val="nil"/>
          <w:insideV w:val="nil"/>
        </w:tcBorders>
        <w:shd w:val="clear" w:color="auto" w:fill="ECF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42149"/>
    <w:pPr>
      <w:spacing w:line="240" w:lineRule="auto"/>
    </w:pPr>
    <w:rPr>
      <w:rFonts w:eastAsiaTheme="majorEastAsia" w:cs="Arial"/>
    </w:rPr>
    <w:tblPr>
      <w:tblStyleRowBandSize w:val="1"/>
      <w:tblStyleColBandSize w:val="1"/>
      <w:tblBorders>
        <w:top w:val="single" w:sz="8" w:space="0" w:color="BBA5FF" w:themeColor="accent3"/>
        <w:left w:val="single" w:sz="8" w:space="0" w:color="BBA5FF" w:themeColor="accent3"/>
        <w:bottom w:val="single" w:sz="8" w:space="0" w:color="BBA5FF" w:themeColor="accent3"/>
        <w:right w:val="single" w:sz="8" w:space="0" w:color="BBA5FF" w:themeColor="accent3"/>
      </w:tblBorders>
    </w:tblPr>
    <w:tblStylePr w:type="firstRow">
      <w:rPr>
        <w:sz w:val="24"/>
        <w:szCs w:val="24"/>
      </w:rPr>
      <w:tblPr/>
      <w:tcPr>
        <w:tcBorders>
          <w:top w:val="nil"/>
          <w:left w:val="nil"/>
          <w:bottom w:val="single" w:sz="24" w:space="0" w:color="BBA5FF" w:themeColor="accent3"/>
          <w:right w:val="nil"/>
          <w:insideH w:val="nil"/>
          <w:insideV w:val="nil"/>
        </w:tcBorders>
        <w:shd w:val="clear" w:color="auto" w:fill="FFFFFF" w:themeFill="background1"/>
      </w:tcPr>
    </w:tblStylePr>
    <w:tblStylePr w:type="lastRow">
      <w:tblPr/>
      <w:tcPr>
        <w:tcBorders>
          <w:top w:val="single" w:sz="8" w:space="0" w:color="BBA5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A5FF" w:themeColor="accent3"/>
          <w:insideH w:val="nil"/>
          <w:insideV w:val="nil"/>
        </w:tcBorders>
        <w:shd w:val="clear" w:color="auto" w:fill="FFFFFF" w:themeFill="background1"/>
      </w:tcPr>
    </w:tblStylePr>
    <w:tblStylePr w:type="lastCol">
      <w:tblPr/>
      <w:tcPr>
        <w:tcBorders>
          <w:top w:val="nil"/>
          <w:left w:val="single" w:sz="8" w:space="0" w:color="BBA5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E8FF" w:themeFill="accent3" w:themeFillTint="3F"/>
      </w:tcPr>
    </w:tblStylePr>
    <w:tblStylePr w:type="band1Horz">
      <w:tblPr/>
      <w:tcPr>
        <w:tcBorders>
          <w:top w:val="nil"/>
          <w:bottom w:val="nil"/>
          <w:insideH w:val="nil"/>
          <w:insideV w:val="nil"/>
        </w:tcBorders>
        <w:shd w:val="clear" w:color="auto" w:fill="EEE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42149"/>
    <w:pPr>
      <w:spacing w:line="240" w:lineRule="auto"/>
    </w:pPr>
    <w:rPr>
      <w:rFonts w:eastAsiaTheme="majorEastAsia" w:cs="Arial"/>
    </w:rPr>
    <w:tblPr>
      <w:tblStyleRowBandSize w:val="1"/>
      <w:tblStyleColBandSize w:val="1"/>
      <w:tblBorders>
        <w:top w:val="single" w:sz="8" w:space="0" w:color="DAFFAF" w:themeColor="accent4"/>
        <w:left w:val="single" w:sz="8" w:space="0" w:color="DAFFAF" w:themeColor="accent4"/>
        <w:bottom w:val="single" w:sz="8" w:space="0" w:color="DAFFAF" w:themeColor="accent4"/>
        <w:right w:val="single" w:sz="8" w:space="0" w:color="DAFFAF" w:themeColor="accent4"/>
      </w:tblBorders>
    </w:tblPr>
    <w:tblStylePr w:type="firstRow">
      <w:rPr>
        <w:sz w:val="24"/>
        <w:szCs w:val="24"/>
      </w:rPr>
      <w:tblPr/>
      <w:tcPr>
        <w:tcBorders>
          <w:top w:val="nil"/>
          <w:left w:val="nil"/>
          <w:bottom w:val="single" w:sz="24" w:space="0" w:color="DAFFAF" w:themeColor="accent4"/>
          <w:right w:val="nil"/>
          <w:insideH w:val="nil"/>
          <w:insideV w:val="nil"/>
        </w:tcBorders>
        <w:shd w:val="clear" w:color="auto" w:fill="FFFFFF" w:themeFill="background1"/>
      </w:tcPr>
    </w:tblStylePr>
    <w:tblStylePr w:type="lastRow">
      <w:tblPr/>
      <w:tcPr>
        <w:tcBorders>
          <w:top w:val="single" w:sz="8" w:space="0" w:color="DAFF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AFFAF" w:themeColor="accent4"/>
          <w:insideH w:val="nil"/>
          <w:insideV w:val="nil"/>
        </w:tcBorders>
        <w:shd w:val="clear" w:color="auto" w:fill="FFFFFF" w:themeFill="background1"/>
      </w:tcPr>
    </w:tblStylePr>
    <w:tblStylePr w:type="lastCol">
      <w:tblPr/>
      <w:tcPr>
        <w:tcBorders>
          <w:top w:val="nil"/>
          <w:left w:val="single" w:sz="8" w:space="0" w:color="DAFF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FEB" w:themeFill="accent4" w:themeFillTint="3F"/>
      </w:tcPr>
    </w:tblStylePr>
    <w:tblStylePr w:type="band1Horz">
      <w:tblPr/>
      <w:tcPr>
        <w:tcBorders>
          <w:top w:val="nil"/>
          <w:bottom w:val="nil"/>
          <w:insideH w:val="nil"/>
          <w:insideV w:val="nil"/>
        </w:tcBorders>
        <w:shd w:val="clear" w:color="auto" w:fill="F5FF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42149"/>
    <w:pPr>
      <w:spacing w:line="240" w:lineRule="auto"/>
    </w:pPr>
    <w:rPr>
      <w:rFonts w:eastAsiaTheme="majorEastAsia" w:cs="Arial"/>
    </w:rPr>
    <w:tblPr>
      <w:tblStyleRowBandSize w:val="1"/>
      <w:tblStyleColBandSize w:val="1"/>
      <w:tblBorders>
        <w:top w:val="single" w:sz="8" w:space="0" w:color="FFB96F" w:themeColor="accent5"/>
        <w:left w:val="single" w:sz="8" w:space="0" w:color="FFB96F" w:themeColor="accent5"/>
        <w:bottom w:val="single" w:sz="8" w:space="0" w:color="FFB96F" w:themeColor="accent5"/>
        <w:right w:val="single" w:sz="8" w:space="0" w:color="FFB96F" w:themeColor="accent5"/>
      </w:tblBorders>
    </w:tblPr>
    <w:tblStylePr w:type="firstRow">
      <w:rPr>
        <w:sz w:val="24"/>
        <w:szCs w:val="24"/>
      </w:rPr>
      <w:tblPr/>
      <w:tcPr>
        <w:tcBorders>
          <w:top w:val="nil"/>
          <w:left w:val="nil"/>
          <w:bottom w:val="single" w:sz="24" w:space="0" w:color="FFB96F" w:themeColor="accent5"/>
          <w:right w:val="nil"/>
          <w:insideH w:val="nil"/>
          <w:insideV w:val="nil"/>
        </w:tcBorders>
        <w:shd w:val="clear" w:color="auto" w:fill="FFFFFF" w:themeFill="background1"/>
      </w:tcPr>
    </w:tblStylePr>
    <w:tblStylePr w:type="lastRow">
      <w:tblPr/>
      <w:tcPr>
        <w:tcBorders>
          <w:top w:val="single" w:sz="8" w:space="0" w:color="FFB96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96F" w:themeColor="accent5"/>
          <w:insideH w:val="nil"/>
          <w:insideV w:val="nil"/>
        </w:tcBorders>
        <w:shd w:val="clear" w:color="auto" w:fill="FFFFFF" w:themeFill="background1"/>
      </w:tcPr>
    </w:tblStylePr>
    <w:tblStylePr w:type="lastCol">
      <w:tblPr/>
      <w:tcPr>
        <w:tcBorders>
          <w:top w:val="nil"/>
          <w:left w:val="single" w:sz="8" w:space="0" w:color="FFB96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DDB" w:themeFill="accent5" w:themeFillTint="3F"/>
      </w:tcPr>
    </w:tblStylePr>
    <w:tblStylePr w:type="band1Horz">
      <w:tblPr/>
      <w:tcPr>
        <w:tcBorders>
          <w:top w:val="nil"/>
          <w:bottom w:val="nil"/>
          <w:insideH w:val="nil"/>
          <w:insideV w:val="nil"/>
        </w:tcBorders>
        <w:shd w:val="clear" w:color="auto" w:fill="FFEDD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42149"/>
    <w:pPr>
      <w:spacing w:line="240" w:lineRule="auto"/>
    </w:pPr>
    <w:rPr>
      <w:rFonts w:eastAsiaTheme="majorEastAsia" w:cs="Arial"/>
    </w:rPr>
    <w:tblPr>
      <w:tblStyleRowBandSize w:val="1"/>
      <w:tblStyleColBandSize w:val="1"/>
      <w:tblBorders>
        <w:top w:val="single" w:sz="8" w:space="0" w:color="DDD4C9" w:themeColor="accent6"/>
        <w:left w:val="single" w:sz="8" w:space="0" w:color="DDD4C9" w:themeColor="accent6"/>
        <w:bottom w:val="single" w:sz="8" w:space="0" w:color="DDD4C9" w:themeColor="accent6"/>
        <w:right w:val="single" w:sz="8" w:space="0" w:color="DDD4C9" w:themeColor="accent6"/>
      </w:tblBorders>
    </w:tblPr>
    <w:tblStylePr w:type="firstRow">
      <w:rPr>
        <w:sz w:val="24"/>
        <w:szCs w:val="24"/>
      </w:rPr>
      <w:tblPr/>
      <w:tcPr>
        <w:tcBorders>
          <w:top w:val="nil"/>
          <w:left w:val="nil"/>
          <w:bottom w:val="single" w:sz="24" w:space="0" w:color="DDD4C9" w:themeColor="accent6"/>
          <w:right w:val="nil"/>
          <w:insideH w:val="nil"/>
          <w:insideV w:val="nil"/>
        </w:tcBorders>
        <w:shd w:val="clear" w:color="auto" w:fill="FFFFFF" w:themeFill="background1"/>
      </w:tcPr>
    </w:tblStylePr>
    <w:tblStylePr w:type="lastRow">
      <w:tblPr/>
      <w:tcPr>
        <w:tcBorders>
          <w:top w:val="single" w:sz="8" w:space="0" w:color="DDD4C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4C9" w:themeColor="accent6"/>
          <w:insideH w:val="nil"/>
          <w:insideV w:val="nil"/>
        </w:tcBorders>
        <w:shd w:val="clear" w:color="auto" w:fill="FFFFFF" w:themeFill="background1"/>
      </w:tcPr>
    </w:tblStylePr>
    <w:tblStylePr w:type="lastCol">
      <w:tblPr/>
      <w:tcPr>
        <w:tcBorders>
          <w:top w:val="nil"/>
          <w:left w:val="single" w:sz="8" w:space="0" w:color="DDD4C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4F1" w:themeFill="accent6" w:themeFillTint="3F"/>
      </w:tcPr>
    </w:tblStylePr>
    <w:tblStylePr w:type="band1Horz">
      <w:tblPr/>
      <w:tcPr>
        <w:tcBorders>
          <w:top w:val="nil"/>
          <w:bottom w:val="nil"/>
          <w:insideH w:val="nil"/>
          <w:insideV w:val="nil"/>
        </w:tcBorders>
        <w:shd w:val="clear" w:color="auto" w:fill="F6F4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4214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42149"/>
    <w:pPr>
      <w:spacing w:line="240" w:lineRule="auto"/>
    </w:pPr>
    <w:tblPr>
      <w:tblStyleRowBandSize w:val="1"/>
      <w:tblStyleColBandSize w:val="1"/>
      <w:tblBorders>
        <w:top w:val="single" w:sz="8" w:space="0" w:color="0000EB" w:themeColor="accent1" w:themeTint="BF"/>
        <w:left w:val="single" w:sz="8" w:space="0" w:color="0000EB" w:themeColor="accent1" w:themeTint="BF"/>
        <w:bottom w:val="single" w:sz="8" w:space="0" w:color="0000EB" w:themeColor="accent1" w:themeTint="BF"/>
        <w:right w:val="single" w:sz="8" w:space="0" w:color="0000EB" w:themeColor="accent1" w:themeTint="BF"/>
        <w:insideH w:val="single" w:sz="8" w:space="0" w:color="0000EB" w:themeColor="accent1" w:themeTint="BF"/>
      </w:tblBorders>
    </w:tblPr>
    <w:tblStylePr w:type="firstRow">
      <w:pPr>
        <w:spacing w:before="0" w:after="0" w:line="240" w:lineRule="auto"/>
      </w:pPr>
      <w:rPr>
        <w:b/>
        <w:bCs/>
        <w:color w:val="FFFFFF" w:themeColor="background1"/>
      </w:rPr>
      <w:tblPr/>
      <w:tcPr>
        <w:tcBorders>
          <w:top w:val="single" w:sz="8" w:space="0" w:color="0000EB" w:themeColor="accent1" w:themeTint="BF"/>
          <w:left w:val="single" w:sz="8" w:space="0" w:color="0000EB" w:themeColor="accent1" w:themeTint="BF"/>
          <w:bottom w:val="single" w:sz="8" w:space="0" w:color="0000EB" w:themeColor="accent1" w:themeTint="BF"/>
          <w:right w:val="single" w:sz="8" w:space="0" w:color="0000EB" w:themeColor="accent1" w:themeTint="BF"/>
          <w:insideH w:val="nil"/>
          <w:insideV w:val="nil"/>
        </w:tcBorders>
        <w:shd w:val="clear" w:color="auto" w:fill="00008F" w:themeFill="accent1"/>
      </w:tcPr>
    </w:tblStylePr>
    <w:tblStylePr w:type="lastRow">
      <w:pPr>
        <w:spacing w:before="0" w:after="0" w:line="240" w:lineRule="auto"/>
      </w:pPr>
      <w:rPr>
        <w:b/>
        <w:bCs/>
      </w:rPr>
      <w:tblPr/>
      <w:tcPr>
        <w:tcBorders>
          <w:top w:val="double" w:sz="6" w:space="0" w:color="0000EB" w:themeColor="accent1" w:themeTint="BF"/>
          <w:left w:val="single" w:sz="8" w:space="0" w:color="0000EB" w:themeColor="accent1" w:themeTint="BF"/>
          <w:bottom w:val="single" w:sz="8" w:space="0" w:color="0000EB" w:themeColor="accent1" w:themeTint="BF"/>
          <w:right w:val="single" w:sz="8" w:space="0" w:color="0000EB" w:themeColor="accent1" w:themeTint="BF"/>
          <w:insideH w:val="nil"/>
          <w:insideV w:val="nil"/>
        </w:tcBorders>
      </w:tcPr>
    </w:tblStylePr>
    <w:tblStylePr w:type="firstCol">
      <w:rPr>
        <w:b/>
        <w:bCs/>
      </w:rPr>
    </w:tblStylePr>
    <w:tblStylePr w:type="lastCol">
      <w:rPr>
        <w:b/>
        <w:bCs/>
      </w:rPr>
    </w:tblStylePr>
    <w:tblStylePr w:type="band1Vert">
      <w:tblPr/>
      <w:tcPr>
        <w:shd w:val="clear" w:color="auto" w:fill="A4A4FF" w:themeFill="accent1" w:themeFillTint="3F"/>
      </w:tcPr>
    </w:tblStylePr>
    <w:tblStylePr w:type="band1Horz">
      <w:tblPr/>
      <w:tcPr>
        <w:tcBorders>
          <w:insideH w:val="nil"/>
          <w:insideV w:val="nil"/>
        </w:tcBorders>
        <w:shd w:val="clear" w:color="auto" w:fill="A4A4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42149"/>
    <w:pPr>
      <w:spacing w:line="240" w:lineRule="auto"/>
    </w:pPr>
    <w:tblPr>
      <w:tblStyleRowBandSize w:val="1"/>
      <w:tblStyleColBandSize w:val="1"/>
      <w:tblBorders>
        <w:top w:val="single" w:sz="8" w:space="0" w:color="C8F3FF" w:themeColor="accent2" w:themeTint="BF"/>
        <w:left w:val="single" w:sz="8" w:space="0" w:color="C8F3FF" w:themeColor="accent2" w:themeTint="BF"/>
        <w:bottom w:val="single" w:sz="8" w:space="0" w:color="C8F3FF" w:themeColor="accent2" w:themeTint="BF"/>
        <w:right w:val="single" w:sz="8" w:space="0" w:color="C8F3FF" w:themeColor="accent2" w:themeTint="BF"/>
        <w:insideH w:val="single" w:sz="8" w:space="0" w:color="C8F3FF" w:themeColor="accent2" w:themeTint="BF"/>
      </w:tblBorders>
    </w:tblPr>
    <w:tblStylePr w:type="firstRow">
      <w:pPr>
        <w:spacing w:before="0" w:after="0" w:line="240" w:lineRule="auto"/>
      </w:pPr>
      <w:rPr>
        <w:b/>
        <w:bCs/>
        <w:color w:val="FFFFFF" w:themeColor="background1"/>
      </w:rPr>
      <w:tblPr/>
      <w:tcPr>
        <w:tcBorders>
          <w:top w:val="single" w:sz="8" w:space="0" w:color="C8F3FF" w:themeColor="accent2" w:themeTint="BF"/>
          <w:left w:val="single" w:sz="8" w:space="0" w:color="C8F3FF" w:themeColor="accent2" w:themeTint="BF"/>
          <w:bottom w:val="single" w:sz="8" w:space="0" w:color="C8F3FF" w:themeColor="accent2" w:themeTint="BF"/>
          <w:right w:val="single" w:sz="8" w:space="0" w:color="C8F3FF" w:themeColor="accent2" w:themeTint="BF"/>
          <w:insideH w:val="nil"/>
          <w:insideV w:val="nil"/>
        </w:tcBorders>
        <w:shd w:val="clear" w:color="auto" w:fill="B6F0FF" w:themeFill="accent2"/>
      </w:tcPr>
    </w:tblStylePr>
    <w:tblStylePr w:type="lastRow">
      <w:pPr>
        <w:spacing w:before="0" w:after="0" w:line="240" w:lineRule="auto"/>
      </w:pPr>
      <w:rPr>
        <w:b/>
        <w:bCs/>
      </w:rPr>
      <w:tblPr/>
      <w:tcPr>
        <w:tcBorders>
          <w:top w:val="double" w:sz="6" w:space="0" w:color="C8F3FF" w:themeColor="accent2" w:themeTint="BF"/>
          <w:left w:val="single" w:sz="8" w:space="0" w:color="C8F3FF" w:themeColor="accent2" w:themeTint="BF"/>
          <w:bottom w:val="single" w:sz="8" w:space="0" w:color="C8F3FF" w:themeColor="accent2" w:themeTint="BF"/>
          <w:right w:val="single" w:sz="8" w:space="0" w:color="C8F3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ECFBFF" w:themeFill="accent2" w:themeFillTint="3F"/>
      </w:tcPr>
    </w:tblStylePr>
    <w:tblStylePr w:type="band1Horz">
      <w:tblPr/>
      <w:tcPr>
        <w:tcBorders>
          <w:insideH w:val="nil"/>
          <w:insideV w:val="nil"/>
        </w:tcBorders>
        <w:shd w:val="clear" w:color="auto" w:fill="ECFB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42149"/>
    <w:pPr>
      <w:spacing w:line="240" w:lineRule="auto"/>
    </w:pPr>
    <w:tblPr>
      <w:tblStyleRowBandSize w:val="1"/>
      <w:tblStyleColBandSize w:val="1"/>
      <w:tblBorders>
        <w:top w:val="single" w:sz="8" w:space="0" w:color="CBBBFF" w:themeColor="accent3" w:themeTint="BF"/>
        <w:left w:val="single" w:sz="8" w:space="0" w:color="CBBBFF" w:themeColor="accent3" w:themeTint="BF"/>
        <w:bottom w:val="single" w:sz="8" w:space="0" w:color="CBBBFF" w:themeColor="accent3" w:themeTint="BF"/>
        <w:right w:val="single" w:sz="8" w:space="0" w:color="CBBBFF" w:themeColor="accent3" w:themeTint="BF"/>
        <w:insideH w:val="single" w:sz="8" w:space="0" w:color="CBBBFF" w:themeColor="accent3" w:themeTint="BF"/>
      </w:tblBorders>
    </w:tblPr>
    <w:tblStylePr w:type="firstRow">
      <w:pPr>
        <w:spacing w:before="0" w:after="0" w:line="240" w:lineRule="auto"/>
      </w:pPr>
      <w:rPr>
        <w:b/>
        <w:bCs/>
        <w:color w:val="FFFFFF" w:themeColor="background1"/>
      </w:rPr>
      <w:tblPr/>
      <w:tcPr>
        <w:tcBorders>
          <w:top w:val="single" w:sz="8" w:space="0" w:color="CBBBFF" w:themeColor="accent3" w:themeTint="BF"/>
          <w:left w:val="single" w:sz="8" w:space="0" w:color="CBBBFF" w:themeColor="accent3" w:themeTint="BF"/>
          <w:bottom w:val="single" w:sz="8" w:space="0" w:color="CBBBFF" w:themeColor="accent3" w:themeTint="BF"/>
          <w:right w:val="single" w:sz="8" w:space="0" w:color="CBBBFF" w:themeColor="accent3" w:themeTint="BF"/>
          <w:insideH w:val="nil"/>
          <w:insideV w:val="nil"/>
        </w:tcBorders>
        <w:shd w:val="clear" w:color="auto" w:fill="BBA5FF" w:themeFill="accent3"/>
      </w:tcPr>
    </w:tblStylePr>
    <w:tblStylePr w:type="lastRow">
      <w:pPr>
        <w:spacing w:before="0" w:after="0" w:line="240" w:lineRule="auto"/>
      </w:pPr>
      <w:rPr>
        <w:b/>
        <w:bCs/>
      </w:rPr>
      <w:tblPr/>
      <w:tcPr>
        <w:tcBorders>
          <w:top w:val="double" w:sz="6" w:space="0" w:color="CBBBFF" w:themeColor="accent3" w:themeTint="BF"/>
          <w:left w:val="single" w:sz="8" w:space="0" w:color="CBBBFF" w:themeColor="accent3" w:themeTint="BF"/>
          <w:bottom w:val="single" w:sz="8" w:space="0" w:color="CBBBFF" w:themeColor="accent3" w:themeTint="BF"/>
          <w:right w:val="single" w:sz="8" w:space="0" w:color="CBBB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EEE8FF" w:themeFill="accent3" w:themeFillTint="3F"/>
      </w:tcPr>
    </w:tblStylePr>
    <w:tblStylePr w:type="band1Horz">
      <w:tblPr/>
      <w:tcPr>
        <w:tcBorders>
          <w:insideH w:val="nil"/>
          <w:insideV w:val="nil"/>
        </w:tcBorders>
        <w:shd w:val="clear" w:color="auto" w:fill="EEE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42149"/>
    <w:pPr>
      <w:spacing w:line="240" w:lineRule="auto"/>
    </w:pPr>
    <w:tblPr>
      <w:tblStyleRowBandSize w:val="1"/>
      <w:tblStyleColBandSize w:val="1"/>
      <w:tblBorders>
        <w:top w:val="single" w:sz="8" w:space="0" w:color="E3FFC3" w:themeColor="accent4" w:themeTint="BF"/>
        <w:left w:val="single" w:sz="8" w:space="0" w:color="E3FFC3" w:themeColor="accent4" w:themeTint="BF"/>
        <w:bottom w:val="single" w:sz="8" w:space="0" w:color="E3FFC3" w:themeColor="accent4" w:themeTint="BF"/>
        <w:right w:val="single" w:sz="8" w:space="0" w:color="E3FFC3" w:themeColor="accent4" w:themeTint="BF"/>
        <w:insideH w:val="single" w:sz="8" w:space="0" w:color="E3FFC3" w:themeColor="accent4" w:themeTint="BF"/>
      </w:tblBorders>
    </w:tblPr>
    <w:tblStylePr w:type="firstRow">
      <w:pPr>
        <w:spacing w:before="0" w:after="0" w:line="240" w:lineRule="auto"/>
      </w:pPr>
      <w:rPr>
        <w:b/>
        <w:bCs/>
        <w:color w:val="FFFFFF" w:themeColor="background1"/>
      </w:rPr>
      <w:tblPr/>
      <w:tcPr>
        <w:tcBorders>
          <w:top w:val="single" w:sz="8" w:space="0" w:color="E3FFC3" w:themeColor="accent4" w:themeTint="BF"/>
          <w:left w:val="single" w:sz="8" w:space="0" w:color="E3FFC3" w:themeColor="accent4" w:themeTint="BF"/>
          <w:bottom w:val="single" w:sz="8" w:space="0" w:color="E3FFC3" w:themeColor="accent4" w:themeTint="BF"/>
          <w:right w:val="single" w:sz="8" w:space="0" w:color="E3FFC3" w:themeColor="accent4" w:themeTint="BF"/>
          <w:insideH w:val="nil"/>
          <w:insideV w:val="nil"/>
        </w:tcBorders>
        <w:shd w:val="clear" w:color="auto" w:fill="DAFFAF" w:themeFill="accent4"/>
      </w:tcPr>
    </w:tblStylePr>
    <w:tblStylePr w:type="lastRow">
      <w:pPr>
        <w:spacing w:before="0" w:after="0" w:line="240" w:lineRule="auto"/>
      </w:pPr>
      <w:rPr>
        <w:b/>
        <w:bCs/>
      </w:rPr>
      <w:tblPr/>
      <w:tcPr>
        <w:tcBorders>
          <w:top w:val="double" w:sz="6" w:space="0" w:color="E3FFC3" w:themeColor="accent4" w:themeTint="BF"/>
          <w:left w:val="single" w:sz="8" w:space="0" w:color="E3FFC3" w:themeColor="accent4" w:themeTint="BF"/>
          <w:bottom w:val="single" w:sz="8" w:space="0" w:color="E3FFC3" w:themeColor="accent4" w:themeTint="BF"/>
          <w:right w:val="single" w:sz="8" w:space="0" w:color="E3FF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FFEB" w:themeFill="accent4" w:themeFillTint="3F"/>
      </w:tcPr>
    </w:tblStylePr>
    <w:tblStylePr w:type="band1Horz">
      <w:tblPr/>
      <w:tcPr>
        <w:tcBorders>
          <w:insideH w:val="nil"/>
          <w:insideV w:val="nil"/>
        </w:tcBorders>
        <w:shd w:val="clear" w:color="auto" w:fill="F5FFE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42149"/>
    <w:pPr>
      <w:spacing w:line="240" w:lineRule="auto"/>
    </w:pPr>
    <w:tblPr>
      <w:tblStyleRowBandSize w:val="1"/>
      <w:tblStyleColBandSize w:val="1"/>
      <w:tblBorders>
        <w:top w:val="single" w:sz="8" w:space="0" w:color="FFCA93" w:themeColor="accent5" w:themeTint="BF"/>
        <w:left w:val="single" w:sz="8" w:space="0" w:color="FFCA93" w:themeColor="accent5" w:themeTint="BF"/>
        <w:bottom w:val="single" w:sz="8" w:space="0" w:color="FFCA93" w:themeColor="accent5" w:themeTint="BF"/>
        <w:right w:val="single" w:sz="8" w:space="0" w:color="FFCA93" w:themeColor="accent5" w:themeTint="BF"/>
        <w:insideH w:val="single" w:sz="8" w:space="0" w:color="FFCA93" w:themeColor="accent5" w:themeTint="BF"/>
      </w:tblBorders>
    </w:tblPr>
    <w:tblStylePr w:type="firstRow">
      <w:pPr>
        <w:spacing w:before="0" w:after="0" w:line="240" w:lineRule="auto"/>
      </w:pPr>
      <w:rPr>
        <w:b/>
        <w:bCs/>
        <w:color w:val="FFFFFF" w:themeColor="background1"/>
      </w:rPr>
      <w:tblPr/>
      <w:tcPr>
        <w:tcBorders>
          <w:top w:val="single" w:sz="8" w:space="0" w:color="FFCA93" w:themeColor="accent5" w:themeTint="BF"/>
          <w:left w:val="single" w:sz="8" w:space="0" w:color="FFCA93" w:themeColor="accent5" w:themeTint="BF"/>
          <w:bottom w:val="single" w:sz="8" w:space="0" w:color="FFCA93" w:themeColor="accent5" w:themeTint="BF"/>
          <w:right w:val="single" w:sz="8" w:space="0" w:color="FFCA93" w:themeColor="accent5" w:themeTint="BF"/>
          <w:insideH w:val="nil"/>
          <w:insideV w:val="nil"/>
        </w:tcBorders>
        <w:shd w:val="clear" w:color="auto" w:fill="FFB96F" w:themeFill="accent5"/>
      </w:tcPr>
    </w:tblStylePr>
    <w:tblStylePr w:type="lastRow">
      <w:pPr>
        <w:spacing w:before="0" w:after="0" w:line="240" w:lineRule="auto"/>
      </w:pPr>
      <w:rPr>
        <w:b/>
        <w:bCs/>
      </w:rPr>
      <w:tblPr/>
      <w:tcPr>
        <w:tcBorders>
          <w:top w:val="double" w:sz="6" w:space="0" w:color="FFCA93" w:themeColor="accent5" w:themeTint="BF"/>
          <w:left w:val="single" w:sz="8" w:space="0" w:color="FFCA93" w:themeColor="accent5" w:themeTint="BF"/>
          <w:bottom w:val="single" w:sz="8" w:space="0" w:color="FFCA93" w:themeColor="accent5" w:themeTint="BF"/>
          <w:right w:val="single" w:sz="8" w:space="0" w:color="FFCA9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DDB" w:themeFill="accent5" w:themeFillTint="3F"/>
      </w:tcPr>
    </w:tblStylePr>
    <w:tblStylePr w:type="band1Horz">
      <w:tblPr/>
      <w:tcPr>
        <w:tcBorders>
          <w:insideH w:val="nil"/>
          <w:insideV w:val="nil"/>
        </w:tcBorders>
        <w:shd w:val="clear" w:color="auto" w:fill="FFEDD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42149"/>
    <w:pPr>
      <w:spacing w:line="240" w:lineRule="auto"/>
    </w:pPr>
    <w:tblPr>
      <w:tblStyleRowBandSize w:val="1"/>
      <w:tblStyleColBandSize w:val="1"/>
      <w:tblBorders>
        <w:top w:val="single" w:sz="8" w:space="0" w:color="E5DED6" w:themeColor="accent6" w:themeTint="BF"/>
        <w:left w:val="single" w:sz="8" w:space="0" w:color="E5DED6" w:themeColor="accent6" w:themeTint="BF"/>
        <w:bottom w:val="single" w:sz="8" w:space="0" w:color="E5DED6" w:themeColor="accent6" w:themeTint="BF"/>
        <w:right w:val="single" w:sz="8" w:space="0" w:color="E5DED6" w:themeColor="accent6" w:themeTint="BF"/>
        <w:insideH w:val="single" w:sz="8" w:space="0" w:color="E5DED6" w:themeColor="accent6" w:themeTint="BF"/>
      </w:tblBorders>
    </w:tblPr>
    <w:tblStylePr w:type="firstRow">
      <w:pPr>
        <w:spacing w:before="0" w:after="0" w:line="240" w:lineRule="auto"/>
      </w:pPr>
      <w:rPr>
        <w:b/>
        <w:bCs/>
        <w:color w:val="FFFFFF" w:themeColor="background1"/>
      </w:rPr>
      <w:tblPr/>
      <w:tcPr>
        <w:tcBorders>
          <w:top w:val="single" w:sz="8" w:space="0" w:color="E5DED6" w:themeColor="accent6" w:themeTint="BF"/>
          <w:left w:val="single" w:sz="8" w:space="0" w:color="E5DED6" w:themeColor="accent6" w:themeTint="BF"/>
          <w:bottom w:val="single" w:sz="8" w:space="0" w:color="E5DED6" w:themeColor="accent6" w:themeTint="BF"/>
          <w:right w:val="single" w:sz="8" w:space="0" w:color="E5DED6" w:themeColor="accent6" w:themeTint="BF"/>
          <w:insideH w:val="nil"/>
          <w:insideV w:val="nil"/>
        </w:tcBorders>
        <w:shd w:val="clear" w:color="auto" w:fill="DDD4C9" w:themeFill="accent6"/>
      </w:tcPr>
    </w:tblStylePr>
    <w:tblStylePr w:type="lastRow">
      <w:pPr>
        <w:spacing w:before="0" w:after="0" w:line="240" w:lineRule="auto"/>
      </w:pPr>
      <w:rPr>
        <w:b/>
        <w:bCs/>
      </w:rPr>
      <w:tblPr/>
      <w:tcPr>
        <w:tcBorders>
          <w:top w:val="double" w:sz="6" w:space="0" w:color="E5DED6" w:themeColor="accent6" w:themeTint="BF"/>
          <w:left w:val="single" w:sz="8" w:space="0" w:color="E5DED6" w:themeColor="accent6" w:themeTint="BF"/>
          <w:bottom w:val="single" w:sz="8" w:space="0" w:color="E5DED6" w:themeColor="accent6" w:themeTint="BF"/>
          <w:right w:val="single" w:sz="8" w:space="0" w:color="E5DE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F4F1" w:themeFill="accent6" w:themeFillTint="3F"/>
      </w:tcPr>
    </w:tblStylePr>
    <w:tblStylePr w:type="band1Horz">
      <w:tblPr/>
      <w:tcPr>
        <w:tcBorders>
          <w:insideH w:val="nil"/>
          <w:insideV w:val="nil"/>
        </w:tcBorders>
        <w:shd w:val="clear" w:color="auto" w:fill="F6F4F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4214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4214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F" w:themeFill="accent1"/>
      </w:tcPr>
    </w:tblStylePr>
    <w:tblStylePr w:type="lastCol">
      <w:rPr>
        <w:b/>
        <w:bCs/>
        <w:color w:val="FFFFFF" w:themeColor="background1"/>
      </w:rPr>
      <w:tblPr/>
      <w:tcPr>
        <w:tcBorders>
          <w:left w:val="nil"/>
          <w:right w:val="nil"/>
          <w:insideH w:val="nil"/>
          <w:insideV w:val="nil"/>
        </w:tcBorders>
        <w:shd w:val="clear" w:color="auto" w:fill="0000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4214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F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F0FF" w:themeFill="accent2"/>
      </w:tcPr>
    </w:tblStylePr>
    <w:tblStylePr w:type="lastCol">
      <w:rPr>
        <w:b/>
        <w:bCs/>
        <w:color w:val="FFFFFF" w:themeColor="background1"/>
      </w:rPr>
      <w:tblPr/>
      <w:tcPr>
        <w:tcBorders>
          <w:left w:val="nil"/>
          <w:right w:val="nil"/>
          <w:insideH w:val="nil"/>
          <w:insideV w:val="nil"/>
        </w:tcBorders>
        <w:shd w:val="clear" w:color="auto" w:fill="B6F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4214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A5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A5FF" w:themeFill="accent3"/>
      </w:tcPr>
    </w:tblStylePr>
    <w:tblStylePr w:type="lastCol">
      <w:rPr>
        <w:b/>
        <w:bCs/>
        <w:color w:val="FFFFFF" w:themeColor="background1"/>
      </w:rPr>
      <w:tblPr/>
      <w:tcPr>
        <w:tcBorders>
          <w:left w:val="nil"/>
          <w:right w:val="nil"/>
          <w:insideH w:val="nil"/>
          <w:insideV w:val="nil"/>
        </w:tcBorders>
        <w:shd w:val="clear" w:color="auto" w:fill="BBA5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4214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AFF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AFFAF" w:themeFill="accent4"/>
      </w:tcPr>
    </w:tblStylePr>
    <w:tblStylePr w:type="lastCol">
      <w:rPr>
        <w:b/>
        <w:bCs/>
        <w:color w:val="FFFFFF" w:themeColor="background1"/>
      </w:rPr>
      <w:tblPr/>
      <w:tcPr>
        <w:tcBorders>
          <w:left w:val="nil"/>
          <w:right w:val="nil"/>
          <w:insideH w:val="nil"/>
          <w:insideV w:val="nil"/>
        </w:tcBorders>
        <w:shd w:val="clear" w:color="auto" w:fill="DAFF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4214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B96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B96F" w:themeFill="accent5"/>
      </w:tcPr>
    </w:tblStylePr>
    <w:tblStylePr w:type="lastCol">
      <w:rPr>
        <w:b/>
        <w:bCs/>
        <w:color w:val="FFFFFF" w:themeColor="background1"/>
      </w:rPr>
      <w:tblPr/>
      <w:tcPr>
        <w:tcBorders>
          <w:left w:val="nil"/>
          <w:right w:val="nil"/>
          <w:insideH w:val="nil"/>
          <w:insideV w:val="nil"/>
        </w:tcBorders>
        <w:shd w:val="clear" w:color="auto" w:fill="FFB96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4214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4C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D4C9" w:themeFill="accent6"/>
      </w:tcPr>
    </w:tblStylePr>
    <w:tblStylePr w:type="lastCol">
      <w:rPr>
        <w:b/>
        <w:bCs/>
        <w:color w:val="FFFFFF" w:themeColor="background1"/>
      </w:rPr>
      <w:tblPr/>
      <w:tcPr>
        <w:tcBorders>
          <w:left w:val="nil"/>
          <w:right w:val="nil"/>
          <w:insideH w:val="nil"/>
          <w:insideV w:val="nil"/>
        </w:tcBorders>
        <w:shd w:val="clear" w:color="auto" w:fill="DDD4C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214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Arial"/>
      <w:sz w:val="24"/>
      <w:szCs w:val="24"/>
      <w:lang w:val="en-GB"/>
    </w:rPr>
  </w:style>
  <w:style w:type="character" w:customStyle="1" w:styleId="MessageHeaderChar">
    <w:name w:val="Message Header Char"/>
    <w:basedOn w:val="DefaultParagraphFont"/>
    <w:link w:val="MessageHeader"/>
    <w:uiPriority w:val="99"/>
    <w:semiHidden/>
    <w:rsid w:val="00D42149"/>
    <w:rPr>
      <w:rFonts w:asciiTheme="minorHAnsi" w:eastAsiaTheme="majorEastAsia" w:hAnsiTheme="minorHAnsi" w:cs="Arial"/>
      <w:color w:val="00008F" w:themeColor="text2"/>
      <w:sz w:val="24"/>
      <w:szCs w:val="24"/>
      <w:shd w:val="pct20" w:color="auto" w:fill="auto"/>
      <w:lang w:val="en-GB"/>
    </w:rPr>
  </w:style>
  <w:style w:type="paragraph" w:styleId="NormalWeb">
    <w:name w:val="Normal (Web)"/>
    <w:basedOn w:val="Normal"/>
    <w:uiPriority w:val="99"/>
    <w:semiHidden/>
    <w:rsid w:val="00D42149"/>
    <w:rPr>
      <w:rFonts w:cs="Arial"/>
      <w:sz w:val="24"/>
      <w:szCs w:val="24"/>
      <w:lang w:val="en-GB"/>
    </w:rPr>
  </w:style>
  <w:style w:type="paragraph" w:styleId="NoteHeading">
    <w:name w:val="Note Heading"/>
    <w:basedOn w:val="Normal"/>
    <w:next w:val="Normal"/>
    <w:link w:val="NoteHeadingChar"/>
    <w:uiPriority w:val="99"/>
    <w:semiHidden/>
    <w:rsid w:val="00D42149"/>
    <w:pPr>
      <w:spacing w:line="240" w:lineRule="auto"/>
    </w:pPr>
    <w:rPr>
      <w:lang w:val="en-GB"/>
    </w:rPr>
  </w:style>
  <w:style w:type="character" w:customStyle="1" w:styleId="NoteHeadingChar">
    <w:name w:val="Note Heading Char"/>
    <w:basedOn w:val="DefaultParagraphFont"/>
    <w:link w:val="NoteHeading"/>
    <w:uiPriority w:val="99"/>
    <w:semiHidden/>
    <w:rsid w:val="00D42149"/>
    <w:rPr>
      <w:rFonts w:asciiTheme="minorHAnsi" w:hAnsiTheme="minorHAnsi"/>
      <w:color w:val="00008F" w:themeColor="text2"/>
      <w:lang w:val="en-GB"/>
    </w:rPr>
  </w:style>
  <w:style w:type="table" w:styleId="PlainTable1">
    <w:name w:val="Plain Table 1"/>
    <w:basedOn w:val="TableNormal"/>
    <w:uiPriority w:val="41"/>
    <w:rsid w:val="00D4214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4214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42149"/>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4214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4214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D42149"/>
    <w:pPr>
      <w:spacing w:line="240" w:lineRule="auto"/>
    </w:pPr>
    <w:rPr>
      <w:rFonts w:cs="Arial"/>
      <w:sz w:val="21"/>
      <w:szCs w:val="21"/>
      <w:lang w:val="en-GB"/>
    </w:rPr>
  </w:style>
  <w:style w:type="character" w:customStyle="1" w:styleId="PlainTextChar">
    <w:name w:val="Plain Text Char"/>
    <w:basedOn w:val="DefaultParagraphFont"/>
    <w:link w:val="PlainText"/>
    <w:uiPriority w:val="99"/>
    <w:semiHidden/>
    <w:rsid w:val="00D42149"/>
    <w:rPr>
      <w:rFonts w:asciiTheme="minorHAnsi" w:hAnsiTheme="minorHAnsi" w:cs="Arial"/>
      <w:color w:val="00008F" w:themeColor="text2"/>
      <w:sz w:val="21"/>
      <w:szCs w:val="21"/>
      <w:lang w:val="en-GB"/>
    </w:rPr>
  </w:style>
  <w:style w:type="paragraph" w:styleId="Salutation">
    <w:name w:val="Salutation"/>
    <w:basedOn w:val="Normal"/>
    <w:next w:val="Normal"/>
    <w:link w:val="SalutationChar"/>
    <w:uiPriority w:val="99"/>
    <w:semiHidden/>
    <w:rsid w:val="00D42149"/>
    <w:rPr>
      <w:lang w:val="en-GB"/>
    </w:rPr>
  </w:style>
  <w:style w:type="character" w:customStyle="1" w:styleId="SalutationChar">
    <w:name w:val="Salutation Char"/>
    <w:basedOn w:val="DefaultParagraphFont"/>
    <w:link w:val="Salutation"/>
    <w:uiPriority w:val="99"/>
    <w:semiHidden/>
    <w:rsid w:val="00D42149"/>
    <w:rPr>
      <w:rFonts w:asciiTheme="minorHAnsi" w:hAnsiTheme="minorHAnsi"/>
      <w:color w:val="00008F" w:themeColor="text2"/>
      <w:lang w:val="en-GB"/>
    </w:rPr>
  </w:style>
  <w:style w:type="table" w:styleId="Table3Deffects1">
    <w:name w:val="Table 3D effects 1"/>
    <w:basedOn w:val="TableNormal"/>
    <w:uiPriority w:val="99"/>
    <w:semiHidden/>
    <w:unhideWhenUsed/>
    <w:rsid w:val="00D421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421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421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421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421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421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421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421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421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421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421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421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421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421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421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421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421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421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421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421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421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421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421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421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421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4214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421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421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421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421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421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421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421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421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421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421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421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421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421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421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42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421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421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421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ecipientaddress">
    <w:name w:val="Recipient address"/>
    <w:basedOn w:val="Normal"/>
    <w:uiPriority w:val="6"/>
    <w:semiHidden/>
    <w:rsid w:val="00D42149"/>
    <w:rPr>
      <w:lang w:val="en-GB"/>
    </w:rPr>
  </w:style>
  <w:style w:type="paragraph" w:customStyle="1" w:styleId="DocInfo">
    <w:name w:val="Doc Info"/>
    <w:basedOn w:val="Normal"/>
    <w:uiPriority w:val="6"/>
    <w:rsid w:val="00D42149"/>
    <w:pPr>
      <w:spacing w:after="180"/>
      <w:contextualSpacing/>
    </w:pPr>
    <w:rPr>
      <w:sz w:val="18"/>
      <w:lang w:val="en-GB"/>
    </w:rPr>
  </w:style>
  <w:style w:type="paragraph" w:customStyle="1" w:styleId="DocInfo-Heading">
    <w:name w:val="Doc Info - Heading"/>
    <w:basedOn w:val="DocInfo"/>
    <w:uiPriority w:val="6"/>
    <w:rsid w:val="00D42149"/>
    <w:pPr>
      <w:keepNext/>
      <w:keepLines/>
    </w:pPr>
    <w:rPr>
      <w:b/>
    </w:rPr>
  </w:style>
  <w:style w:type="table" w:customStyle="1" w:styleId="NovoNordisktable">
    <w:name w:val="Novo Nordisk table"/>
    <w:basedOn w:val="TableNormal"/>
    <w:uiPriority w:val="99"/>
    <w:rsid w:val="00D42149"/>
    <w:pPr>
      <w:spacing w:before="40" w:after="40" w:line="240" w:lineRule="atLeast"/>
      <w:ind w:left="113" w:right="113"/>
    </w:pPr>
    <w:rPr>
      <w:sz w:val="18"/>
      <w:szCs w:val="18"/>
    </w:rPr>
    <w:tblPr>
      <w:tblStyleRowBandSize w:val="1"/>
      <w:tblBorders>
        <w:bottom w:val="single" w:sz="4" w:space="0" w:color="auto"/>
      </w:tblBorders>
      <w:tblCellMar>
        <w:left w:w="0" w:type="dxa"/>
        <w:right w:w="0" w:type="dxa"/>
      </w:tblCellMar>
    </w:tblPr>
    <w:tblStylePr w:type="firstRow">
      <w:tblPr/>
      <w:tcPr>
        <w:tcBorders>
          <w:top w:val="nil"/>
          <w:left w:val="nil"/>
          <w:bottom w:val="single" w:sz="4" w:space="0" w:color="00008F" w:themeColor="accent1"/>
          <w:right w:val="nil"/>
          <w:insideH w:val="nil"/>
          <w:insideV w:val="nil"/>
        </w:tcBorders>
      </w:tcPr>
    </w:tblStylePr>
    <w:tblStylePr w:type="lastRow">
      <w:tblPr/>
      <w:tcPr>
        <w:tcBorders>
          <w:top w:val="single" w:sz="4" w:space="0" w:color="auto"/>
          <w:bottom w:val="single" w:sz="4" w:space="0" w:color="auto"/>
        </w:tcBorders>
      </w:tcPr>
    </w:tblStylePr>
    <w:tblStylePr w:type="firstCol">
      <w:tblPr/>
      <w:tcPr>
        <w:tcBorders>
          <w:left w:val="nil"/>
          <w:right w:val="single" w:sz="4" w:space="0" w:color="000000" w:themeColor="text1"/>
        </w:tcBorders>
      </w:tcPr>
    </w:tblStylePr>
    <w:tblStylePr w:type="band1Horz">
      <w:tblPr/>
      <w:tcPr>
        <w:tcBorders>
          <w:bottom w:val="single" w:sz="4" w:space="0" w:color="BBA5FF" w:themeColor="accent3"/>
          <w:insideH w:val="nil"/>
        </w:tcBorders>
      </w:tcPr>
    </w:tblStylePr>
    <w:tblStylePr w:type="band2Horz">
      <w:tblPr/>
      <w:tcPr>
        <w:tcBorders>
          <w:top w:val="nil"/>
          <w:bottom w:val="single" w:sz="4" w:space="0" w:color="BBA5FF" w:themeColor="accent3"/>
        </w:tcBorders>
      </w:tcPr>
    </w:tblStylePr>
  </w:style>
  <w:style w:type="paragraph" w:customStyle="1" w:styleId="Table-Heading">
    <w:name w:val="Table - Heading"/>
    <w:basedOn w:val="Table"/>
    <w:uiPriority w:val="4"/>
    <w:rsid w:val="00D42149"/>
    <w:rPr>
      <w:b/>
    </w:rPr>
  </w:style>
  <w:style w:type="character" w:styleId="Hashtag">
    <w:name w:val="Hashtag"/>
    <w:basedOn w:val="DefaultParagraphFont"/>
    <w:uiPriority w:val="99"/>
    <w:semiHidden/>
    <w:rsid w:val="00D42149"/>
    <w:rPr>
      <w:color w:val="2B579A"/>
      <w:shd w:val="clear" w:color="auto" w:fill="E1DFDD"/>
      <w:lang w:val="en-GB"/>
    </w:rPr>
  </w:style>
  <w:style w:type="character" w:styleId="Mention">
    <w:name w:val="Mention"/>
    <w:basedOn w:val="DefaultParagraphFont"/>
    <w:uiPriority w:val="99"/>
    <w:semiHidden/>
    <w:rsid w:val="00D42149"/>
    <w:rPr>
      <w:color w:val="2B579A"/>
      <w:shd w:val="clear" w:color="auto" w:fill="E1DFDD"/>
      <w:lang w:val="en-GB"/>
    </w:rPr>
  </w:style>
  <w:style w:type="character" w:styleId="SmartHyperlink">
    <w:name w:val="Smart Hyperlink"/>
    <w:basedOn w:val="DefaultParagraphFont"/>
    <w:uiPriority w:val="99"/>
    <w:semiHidden/>
    <w:rsid w:val="00D42149"/>
    <w:rPr>
      <w:u w:val="dotted"/>
      <w:lang w:val="en-GB"/>
    </w:rPr>
  </w:style>
  <w:style w:type="character" w:styleId="SmartLink">
    <w:name w:val="Smart Link"/>
    <w:basedOn w:val="DefaultParagraphFont"/>
    <w:uiPriority w:val="99"/>
    <w:semiHidden/>
    <w:unhideWhenUsed/>
    <w:rsid w:val="00D42149"/>
    <w:rPr>
      <w:color w:val="0000FF"/>
      <w:u w:val="single"/>
      <w:shd w:val="clear" w:color="auto" w:fill="F3F2F1"/>
      <w:lang w:val="en-GB"/>
    </w:rPr>
  </w:style>
  <w:style w:type="character" w:styleId="UnresolvedMention">
    <w:name w:val="Unresolved Mention"/>
    <w:basedOn w:val="DefaultParagraphFont"/>
    <w:uiPriority w:val="99"/>
    <w:semiHidden/>
    <w:unhideWhenUsed/>
    <w:rsid w:val="000E178D"/>
    <w:rPr>
      <w:color w:val="605E5C"/>
      <w:shd w:val="clear" w:color="auto" w:fill="E1DFDD"/>
      <w:lang w:val="en-GB"/>
    </w:rPr>
  </w:style>
  <w:style w:type="numbering" w:styleId="111111">
    <w:name w:val="Outline List 2"/>
    <w:basedOn w:val="NoList"/>
    <w:uiPriority w:val="99"/>
    <w:semiHidden/>
    <w:unhideWhenUsed/>
    <w:rsid w:val="00D42149"/>
    <w:pPr>
      <w:numPr>
        <w:numId w:val="1"/>
      </w:numPr>
    </w:pPr>
  </w:style>
  <w:style w:type="numbering" w:styleId="1ai">
    <w:name w:val="Outline List 1"/>
    <w:basedOn w:val="NoList"/>
    <w:uiPriority w:val="99"/>
    <w:semiHidden/>
    <w:unhideWhenUsed/>
    <w:rsid w:val="00D42149"/>
    <w:pPr>
      <w:numPr>
        <w:numId w:val="2"/>
      </w:numPr>
    </w:pPr>
  </w:style>
  <w:style w:type="character" w:customStyle="1" w:styleId="SmartLink1">
    <w:name w:val="SmartLink1"/>
    <w:basedOn w:val="DefaultParagraphFont"/>
    <w:uiPriority w:val="99"/>
    <w:semiHidden/>
    <w:unhideWhenUsed/>
    <w:rsid w:val="00622F70"/>
    <w:rPr>
      <w:color w:val="0000FF"/>
      <w:u w:val="single"/>
      <w:shd w:val="clear" w:color="auto" w:fill="F3F2F1"/>
      <w:lang w:val="en-GB"/>
    </w:rPr>
  </w:style>
  <w:style w:type="table" w:customStyle="1" w:styleId="TableGrid30">
    <w:name w:val="Table Grid3"/>
    <w:basedOn w:val="TableNormal"/>
    <w:next w:val="TableGrid"/>
    <w:uiPriority w:val="39"/>
    <w:rsid w:val="00622F70"/>
    <w:pPr>
      <w:spacing w:line="240" w:lineRule="auto"/>
    </w:pPr>
    <w:rPr>
      <w:rFonts w:ascii="Aptos" w:eastAsia="DengXian" w:hAnsi="Aptos"/>
      <w:color w:val="auto"/>
      <w:kern w:val="2"/>
      <w:sz w:val="24"/>
      <w:szCs w:val="24"/>
      <w:lang w:val="en-US" w:eastAsia="zh-CN" w:bidi="he-I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2F70"/>
    <w:pPr>
      <w:spacing w:line="240" w:lineRule="auto"/>
    </w:pPr>
    <w:rPr>
      <w:rFonts w:ascii="Apis For Office" w:hAnsi="Apis For Office"/>
      <w:color w:val="000000" w:themeColor="text1"/>
      <w:lang w:val="en-GB"/>
    </w:rPr>
  </w:style>
  <w:style w:type="paragraph" w:customStyle="1" w:styleId="pf0">
    <w:name w:val="pf0"/>
    <w:basedOn w:val="Normal"/>
    <w:rsid w:val="00622F70"/>
    <w:pPr>
      <w:spacing w:before="100" w:beforeAutospacing="1" w:after="100" w:afterAutospacing="1" w:line="240" w:lineRule="auto"/>
    </w:pPr>
    <w:rPr>
      <w:rFonts w:ascii="Times New Roman" w:eastAsia="Times New Roman" w:hAnsi="Times New Roman" w:cs="Times New Roman"/>
      <w:color w:val="auto"/>
      <w:sz w:val="24"/>
      <w:szCs w:val="24"/>
      <w:lang w:eastAsia="zh-TW" w:bidi="he-IL"/>
    </w:rPr>
  </w:style>
  <w:style w:type="character" w:customStyle="1" w:styleId="cf01">
    <w:name w:val="cf01"/>
    <w:basedOn w:val="DefaultParagraphFont"/>
    <w:rsid w:val="00622F70"/>
    <w:rPr>
      <w:rFonts w:ascii="Segoe UI" w:hAnsi="Segoe UI" w:cs="Segoe UI" w:hint="default"/>
      <w:sz w:val="18"/>
      <w:szCs w:val="18"/>
    </w:rPr>
  </w:style>
  <w:style w:type="character" w:customStyle="1" w:styleId="cf11">
    <w:name w:val="cf11"/>
    <w:basedOn w:val="DefaultParagraphFont"/>
    <w:rsid w:val="00622F7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5065">
      <w:bodyDiv w:val="1"/>
      <w:marLeft w:val="0"/>
      <w:marRight w:val="0"/>
      <w:marTop w:val="0"/>
      <w:marBottom w:val="0"/>
      <w:divBdr>
        <w:top w:val="none" w:sz="0" w:space="0" w:color="auto"/>
        <w:left w:val="none" w:sz="0" w:space="0" w:color="auto"/>
        <w:bottom w:val="none" w:sz="0" w:space="0" w:color="auto"/>
        <w:right w:val="none" w:sz="0" w:space="0" w:color="auto"/>
      </w:divBdr>
    </w:div>
    <w:div w:id="974481160">
      <w:bodyDiv w:val="1"/>
      <w:marLeft w:val="0"/>
      <w:marRight w:val="0"/>
      <w:marTop w:val="0"/>
      <w:marBottom w:val="0"/>
      <w:divBdr>
        <w:top w:val="none" w:sz="0" w:space="0" w:color="auto"/>
        <w:left w:val="none" w:sz="0" w:space="0" w:color="auto"/>
        <w:bottom w:val="none" w:sz="0" w:space="0" w:color="auto"/>
        <w:right w:val="none" w:sz="0" w:space="0" w:color="auto"/>
      </w:divBdr>
    </w:div>
    <w:div w:id="1127510328">
      <w:bodyDiv w:val="1"/>
      <w:marLeft w:val="0"/>
      <w:marRight w:val="0"/>
      <w:marTop w:val="0"/>
      <w:marBottom w:val="0"/>
      <w:divBdr>
        <w:top w:val="none" w:sz="0" w:space="0" w:color="auto"/>
        <w:left w:val="none" w:sz="0" w:space="0" w:color="auto"/>
        <w:bottom w:val="none" w:sz="0" w:space="0" w:color="auto"/>
        <w:right w:val="none" w:sz="0" w:space="0" w:color="auto"/>
      </w:divBdr>
    </w:div>
    <w:div w:id="1339843919">
      <w:bodyDiv w:val="1"/>
      <w:marLeft w:val="0"/>
      <w:marRight w:val="0"/>
      <w:marTop w:val="0"/>
      <w:marBottom w:val="0"/>
      <w:divBdr>
        <w:top w:val="none" w:sz="0" w:space="0" w:color="auto"/>
        <w:left w:val="none" w:sz="0" w:space="0" w:color="auto"/>
        <w:bottom w:val="none" w:sz="0" w:space="0" w:color="auto"/>
        <w:right w:val="none" w:sz="0" w:space="0" w:color="auto"/>
      </w:divBdr>
    </w:div>
    <w:div w:id="1370181389">
      <w:bodyDiv w:val="1"/>
      <w:marLeft w:val="0"/>
      <w:marRight w:val="0"/>
      <w:marTop w:val="0"/>
      <w:marBottom w:val="0"/>
      <w:divBdr>
        <w:top w:val="none" w:sz="0" w:space="0" w:color="auto"/>
        <w:left w:val="none" w:sz="0" w:space="0" w:color="auto"/>
        <w:bottom w:val="none" w:sz="0" w:space="0" w:color="auto"/>
        <w:right w:val="none" w:sz="0" w:space="0" w:color="auto"/>
      </w:divBdr>
      <w:divsChild>
        <w:div w:id="1034888025">
          <w:marLeft w:val="0"/>
          <w:marRight w:val="0"/>
          <w:marTop w:val="0"/>
          <w:marBottom w:val="0"/>
          <w:divBdr>
            <w:top w:val="none" w:sz="0" w:space="0" w:color="auto"/>
            <w:left w:val="none" w:sz="0" w:space="0" w:color="auto"/>
            <w:bottom w:val="none" w:sz="0" w:space="0" w:color="auto"/>
            <w:right w:val="none" w:sz="0" w:space="0" w:color="auto"/>
          </w:divBdr>
          <w:divsChild>
            <w:div w:id="464273307">
              <w:marLeft w:val="0"/>
              <w:marRight w:val="0"/>
              <w:marTop w:val="0"/>
              <w:marBottom w:val="0"/>
              <w:divBdr>
                <w:top w:val="none" w:sz="0" w:space="0" w:color="auto"/>
                <w:left w:val="none" w:sz="0" w:space="0" w:color="auto"/>
                <w:bottom w:val="none" w:sz="0" w:space="0" w:color="auto"/>
                <w:right w:val="none" w:sz="0" w:space="0" w:color="auto"/>
              </w:divBdr>
            </w:div>
          </w:divsChild>
        </w:div>
        <w:div w:id="1795364691">
          <w:marLeft w:val="0"/>
          <w:marRight w:val="0"/>
          <w:marTop w:val="0"/>
          <w:marBottom w:val="0"/>
          <w:divBdr>
            <w:top w:val="none" w:sz="0" w:space="0" w:color="auto"/>
            <w:left w:val="none" w:sz="0" w:space="0" w:color="auto"/>
            <w:bottom w:val="none" w:sz="0" w:space="0" w:color="auto"/>
            <w:right w:val="none" w:sz="0" w:space="0" w:color="auto"/>
          </w:divBdr>
          <w:divsChild>
            <w:div w:id="3615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OAV\AppData\Local\Temp\Templafy\WordVsto\sn2n4gtk.dotx" TargetMode="External"/></Relationships>
</file>

<file path=word/theme/theme1.xml><?xml version="1.0" encoding="utf-8"?>
<a:theme xmlns:a="http://schemas.openxmlformats.org/drawingml/2006/main" name="Office Theme">
  <a:themeElements>
    <a:clrScheme name="Novo">
      <a:dk1>
        <a:srgbClr val="000000"/>
      </a:dk1>
      <a:lt1>
        <a:srgbClr val="FFFFFF"/>
      </a:lt1>
      <a:dk2>
        <a:srgbClr val="00008F"/>
      </a:dk2>
      <a:lt2>
        <a:srgbClr val="DDD4C9"/>
      </a:lt2>
      <a:accent1>
        <a:srgbClr val="00008F"/>
      </a:accent1>
      <a:accent2>
        <a:srgbClr val="B6F0FF"/>
      </a:accent2>
      <a:accent3>
        <a:srgbClr val="BBA5FF"/>
      </a:accent3>
      <a:accent4>
        <a:srgbClr val="DAFFAF"/>
      </a:accent4>
      <a:accent5>
        <a:srgbClr val="FFB96F"/>
      </a:accent5>
      <a:accent6>
        <a:srgbClr val="DDD4C9"/>
      </a:accent6>
      <a:hlink>
        <a:srgbClr val="0878CF"/>
      </a:hlink>
      <a:folHlink>
        <a:srgbClr val="92CDFF"/>
      </a:folHlink>
    </a:clrScheme>
    <a:fontScheme name="Novo Nordisk Apis">
      <a:majorFont>
        <a:latin typeface="Apis For Office"/>
        <a:ea typeface=""/>
        <a:cs typeface=""/>
      </a:majorFont>
      <a:minorFont>
        <a:latin typeface="Apis For Offi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Lasting Blue">
      <a:srgbClr val="00008F"/>
    </a:custClr>
    <a:custClr name="Nordic Blue">
      <a:srgbClr val="92CDFF"/>
    </a:custClr>
    <a:custClr name="Ice Blue">
      <a:srgbClr val="B6F0FF"/>
    </a:custClr>
    <a:custClr name="Coral">
      <a:srgbClr val="FFB96F"/>
    </a:custClr>
    <a:custClr name="Lavender">
      <a:srgbClr val="BBA5FF"/>
    </a:custClr>
    <a:custClr name="Lime">
      <a:srgbClr val="DAFFAF"/>
    </a:custClr>
    <a:custClr name="Petal">
      <a:srgbClr val="F8D3CD"/>
    </a:custClr>
    <a:custClr name="Cream">
      <a:srgbClr val="FEF0DA"/>
    </a:custClr>
    <a:custClr name="Warm Grey">
      <a:srgbClr val="DDD4C9"/>
    </a:custClr>
    <a:custClr name="Positive">
      <a:srgbClr val="02BF62"/>
    </a:custClr>
    <a:custClr name="Now Turquoise">
      <a:srgbClr val="00FFFF"/>
    </a:custClr>
    <a:custClr name="Nordic Blue 50%">
      <a:srgbClr val="C9E6FF"/>
    </a:custClr>
    <a:custClr name="Ice Blue 50%">
      <a:srgbClr val="DBF8FF"/>
    </a:custClr>
    <a:custClr name="Coral 50% ">
      <a:srgbClr val="FFDCB7"/>
    </a:custClr>
    <a:custClr name="Lavender 50%">
      <a:srgbClr val="DDD2FF"/>
    </a:custClr>
    <a:custClr name="Lime 50%">
      <a:srgbClr val="EDFFD7"/>
    </a:custClr>
    <a:custClr name="Petal 50%">
      <a:srgbClr val="FCE9E6"/>
    </a:custClr>
    <a:custClr name="Cream 50%">
      <a:srgbClr val="FFF8ED"/>
    </a:custClr>
    <a:custClr name="Warm Grey 50%">
      <a:srgbClr val="EEEAE4"/>
    </a:custClr>
    <a:custClr name="Neutral">
      <a:srgbClr val="FF7B37"/>
    </a:custClr>
    <a:custClr name="Now Turquoise 50%">
      <a:srgbClr val="80FFFF"/>
    </a:custClr>
    <a:custClr name="Nordic Blue 25%">
      <a:srgbClr val="E4F3FF"/>
    </a:custClr>
    <a:custClr name="Ice Blue 25%">
      <a:srgbClr val="EDFBFF"/>
    </a:custClr>
    <a:custClr name="Coral 25%">
      <a:srgbClr val="FFEEDB"/>
    </a:custClr>
    <a:custClr name="Lavendar 25%">
      <a:srgbClr val="EEE9FF"/>
    </a:custClr>
    <a:custClr name="Lime 25%">
      <a:srgbClr val="F6FFEB"/>
    </a:custClr>
    <a:custClr name="Petal 25%">
      <a:srgbClr val="FDF4F3"/>
    </a:custClr>
    <a:custClr name="Cream 25%">
      <a:srgbClr val="FFFBF6"/>
    </a:custClr>
    <a:custClr name="Warm Grey 25%">
      <a:srgbClr val="F6F4F2"/>
    </a:custClr>
    <a:custClr name="Negative">
      <a:srgbClr val="F11C41"/>
    </a:custClr>
    <a:custClr name="Now Turquoise 25%">
      <a:srgbClr val="B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Now Turquoise 10%">
      <a:srgbClr val="E6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language":"{{DocumentLanguage}}","disableUpdates":false,"type":"proofingLanguage"},{"propertyName":"Landscapeenabled","propertyValue":"true","disableUpdates":false,"type":"customDocumentProperty"},{"image":"{{UserProfile.Company.LogoDocuments.Logo.Image}}","shapeName":"LogoHide","width":"{{UserProfile.Company.LogoDocuments.LogoWidth}}","height":"","namedSections":"{{NamedSections.First}}","namedPages":"{{NamedPages.First}}","numberedSections":[],"leftOffset":"{{UserProfile.Company.LogoDocuments.LogoLeftOffset}}","horizontalRelativePosition":"","horizontalAlignment":"","topOffset":"{{UserProfile.Company.LogoDocuments.LogoTopOffset}}","verticalRelativePosition":"{{VerticalRelativePosition.Page}}","verticalAlignment":"","imageTextWrapping":"{{ImageTextWrapping.InFrontOfText}}","rotation":"","color":"","disableUpdates":false,"type":"imageHeader"}],"templateName":"New document (logo only)","templateDescription":"","enableDocumentContentUpdater":true,"version":"2.0"}]]></TemplafyTemplate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27A4C-3231-4547-BDAC-BDB8691632B9}">
  <ds:schemaRefs/>
</ds:datastoreItem>
</file>

<file path=customXml/itemProps2.xml><?xml version="1.0" encoding="utf-8"?>
<ds:datastoreItem xmlns:ds="http://schemas.openxmlformats.org/officeDocument/2006/customXml" ds:itemID="{DD60DA65-BE90-48BB-9B47-836B2BB8882C}">
  <ds:schemaRefs/>
</ds:datastoreItem>
</file>

<file path=customXml/itemProps3.xml><?xml version="1.0" encoding="utf-8"?>
<ds:datastoreItem xmlns:ds="http://schemas.openxmlformats.org/officeDocument/2006/customXml" ds:itemID="{25A784B8-D449-4457-ACA3-CFEB1D1B18D4}">
  <ds:schemaRefs>
    <ds:schemaRef ds:uri="http://schemas.openxmlformats.org/officeDocument/2006/bibliography"/>
  </ds:schemaRefs>
</ds:datastoreItem>
</file>

<file path=docMetadata/LabelInfo.xml><?xml version="1.0" encoding="utf-8"?>
<clbl:labelList xmlns:clbl="http://schemas.microsoft.com/office/2020/mipLabelMetadata">
  <clbl:label id="{9c8d6c60-2a84-4253-a4b6-837b9e8be5d4}" enabled="1" method="Privileged" siteId="{0e87a77d-bfe4-40a3-b5f5-32ea634a8950}" contentBits="0" removed="0"/>
  <clbl:label id="{f743b317-4758-44cb-8b65-8b43e4619766}" enabled="1" method="Privilege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sn2n4gtk</Template>
  <TotalTime>2197</TotalTime>
  <Pages>30</Pages>
  <Words>4951</Words>
  <Characters>30104</Characters>
  <Application>Microsoft Office Word</Application>
  <DocSecurity>0</DocSecurity>
  <Lines>716</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AOAV (Alona Aharonovich)</dc:creator>
  <cp:lastModifiedBy>AOAV (Alona Aharonovich)</cp:lastModifiedBy>
  <cp:revision>80</cp:revision>
  <dcterms:created xsi:type="dcterms:W3CDTF">2026-09-29T08:58:00Z</dcterms:created>
  <dcterms:modified xsi:type="dcterms:W3CDTF">2026-10-01T08:47:00Z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emplafyTenantId">
    <vt:lpwstr>novonordisk</vt:lpwstr>
  </property>
  <property fmtid="{D5CDD505-2E9C-101B-9397-08002B2CF9AE}" pid="4" name="TemplafyTemplateId">
    <vt:lpwstr>1546920695349641256</vt:lpwstr>
  </property>
  <property fmtid="{D5CDD505-2E9C-101B-9397-08002B2CF9AE}" pid="5" name="TemplafyUserProfileId">
    <vt:lpwstr>1014110267129200679</vt:lpwstr>
  </property>
  <property fmtid="{D5CDD505-2E9C-101B-9397-08002B2CF9AE}" pid="6" name="TemplafyLanguageCode">
    <vt:lpwstr>en-GB</vt:lpwstr>
  </property>
  <property fmtid="{D5CDD505-2E9C-101B-9397-08002B2CF9AE}" pid="7" name="Landscapeenabled">
    <vt:lpwstr>true</vt:lpwstr>
  </property>
  <property fmtid="{D5CDD505-2E9C-101B-9397-08002B2CF9AE}" pid="8" name="TemplafyFromBlank">
    <vt:bool>true</vt:bool>
  </property>
</Properties>
</file>