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40E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240" w:afterAutospacing="0" w:line="480" w:lineRule="auto"/>
        <w:ind w:left="0" w:right="0"/>
        <w:jc w:val="left"/>
        <w:textAlignment w:val="auto"/>
        <w:rPr>
          <w:b/>
          <w:bCs/>
          <w:i/>
          <w:iCs/>
          <w:sz w:val="20"/>
          <w:szCs w:val="20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i/>
          <w:iCs/>
          <w:kern w:val="0"/>
          <w:sz w:val="20"/>
          <w:szCs w:val="20"/>
          <w:lang w:val="en-US" w:eastAsia="zh-CN" w:bidi="ar"/>
        </w:rPr>
        <w:t>Comparative Clinical and Biomechanical Assessment of Patient-Specific 3D-Printed Monoblock Versus Commercial Modular Acetabular Prostheses in Hip Arthroplasty for Reconstruction of Severe Acetabular Bone Defects</w:t>
      </w:r>
    </w:p>
    <w:p w14:paraId="092FB318">
      <w:pPr>
        <w:pStyle w:val="10"/>
        <w:spacing w:line="360" w:lineRule="auto"/>
        <w:jc w:val="both"/>
        <w:rPr>
          <w:rFonts w:eastAsia="等线"/>
          <w:kern w:val="24"/>
          <w:sz w:val="18"/>
          <w:szCs w:val="18"/>
        </w:rPr>
      </w:pPr>
      <w:r>
        <w:rPr>
          <w:rFonts w:hint="eastAsia" w:eastAsia="等线"/>
          <w:kern w:val="24"/>
          <w:sz w:val="18"/>
          <w:szCs w:val="18"/>
        </w:rPr>
        <w:br w:type="page"/>
      </w:r>
    </w:p>
    <w:p w14:paraId="3D058681">
      <w:pPr>
        <w:snapToGrid w:val="0"/>
        <w:jc w:val="left"/>
        <w:rPr>
          <w:rFonts w:ascii="Times New Roman" w:hAnsi="Times New Roman" w:eastAsia="等线" w:cs="Times New Roman"/>
          <w:b/>
          <w:color w:val="000000"/>
          <w:kern w:val="24"/>
          <w:sz w:val="18"/>
          <w:szCs w:val="18"/>
        </w:rPr>
      </w:pP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1547"/>
        <w:gridCol w:w="1216"/>
        <w:gridCol w:w="1483"/>
        <w:gridCol w:w="1216"/>
        <w:gridCol w:w="736"/>
        <w:gridCol w:w="747"/>
      </w:tblGrid>
      <w:tr w14:paraId="4F363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25E7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等线" w:cs="Times New Roman"/>
                <w:b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/>
                <w:kern w:val="24"/>
                <w:sz w:val="20"/>
                <w:szCs w:val="20"/>
              </w:rPr>
              <w:t>Table S1</w:t>
            </w: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24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kern w:val="24"/>
                <w:sz w:val="20"/>
                <w:szCs w:val="20"/>
              </w:rPr>
              <w:t>Intra- and inter-observer reliability of radiographic measurements</w:t>
            </w:r>
          </w:p>
        </w:tc>
      </w:tr>
      <w:tr w14:paraId="19335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2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EA8CF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Parameter</w:t>
            </w:r>
          </w:p>
        </w:tc>
        <w:tc>
          <w:tcPr>
            <w:tcW w:w="90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D3B92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 xml:space="preserve">Mean Intra-observer ICC </w:t>
            </w:r>
          </w:p>
        </w:tc>
        <w:tc>
          <w:tcPr>
            <w:tcW w:w="71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1658A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95% CI</w:t>
            </w:r>
          </w:p>
        </w:tc>
        <w:tc>
          <w:tcPr>
            <w:tcW w:w="87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F7C12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Inter-observer ICC</w:t>
            </w:r>
          </w:p>
        </w:tc>
        <w:tc>
          <w:tcPr>
            <w:tcW w:w="71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5DB94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95% CI</w:t>
            </w:r>
          </w:p>
        </w:tc>
        <w:tc>
          <w:tcPr>
            <w:tcW w:w="43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3CE4F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SEM (mm)</w:t>
            </w:r>
          </w:p>
        </w:tc>
        <w:tc>
          <w:tcPr>
            <w:tcW w:w="43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CD6D8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SDD (mm)</w:t>
            </w:r>
          </w:p>
        </w:tc>
      </w:tr>
      <w:tr w14:paraId="76AE7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16FCD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 xml:space="preserve">Pre-operative </w:t>
            </w:r>
          </w:p>
          <w:p w14:paraId="1926BA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LLD</w:t>
            </w:r>
          </w:p>
        </w:tc>
        <w:tc>
          <w:tcPr>
            <w:tcW w:w="908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DC557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0.95</w:t>
            </w:r>
          </w:p>
        </w:tc>
        <w:tc>
          <w:tcPr>
            <w:tcW w:w="71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6B18F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0.897–0.973</w:t>
            </w:r>
          </w:p>
        </w:tc>
        <w:tc>
          <w:tcPr>
            <w:tcW w:w="870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4E9DC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0.89</w:t>
            </w:r>
          </w:p>
        </w:tc>
        <w:tc>
          <w:tcPr>
            <w:tcW w:w="71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AC45B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0.795–0.943</w:t>
            </w:r>
          </w:p>
        </w:tc>
        <w:tc>
          <w:tcPr>
            <w:tcW w:w="432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9F158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4.7</w:t>
            </w:r>
          </w:p>
        </w:tc>
        <w:tc>
          <w:tcPr>
            <w:tcW w:w="435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ADCE0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13.1</w:t>
            </w:r>
          </w:p>
        </w:tc>
      </w:tr>
      <w:tr w14:paraId="3DA20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D43BB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Post-operative LLD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A8FF0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0.94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F09D6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0.874–0.967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7847B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0.85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083E0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0.715–0.921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E45B5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1.0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350CB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2.9</w:t>
            </w:r>
          </w:p>
        </w:tc>
      </w:tr>
      <w:tr w14:paraId="02207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0F7C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 xml:space="preserve">Pre-operative </w:t>
            </w:r>
          </w:p>
          <w:p w14:paraId="491521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COR horizontal deviation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AC0B3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0.94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DA710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0.874–0.967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21A3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E7F52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0.777–0.937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97F9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2.0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23C65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5.5</w:t>
            </w:r>
          </w:p>
        </w:tc>
      </w:tr>
      <w:tr w14:paraId="0C52F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186BC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Post-operative COR horizontal deviation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901FF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CB239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0.958–0.989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C65B7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0.80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54B16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0.649–0.893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CA004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1DFA8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1.3</w:t>
            </w:r>
          </w:p>
        </w:tc>
      </w:tr>
      <w:tr w14:paraId="7C8C3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72EDA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 xml:space="preserve">Pre-operative </w:t>
            </w:r>
          </w:p>
          <w:p w14:paraId="0B735F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COR vertical deviation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424D7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0.95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45ABD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0.893–0.972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82E59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0.89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51EDD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0.794–0.943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3570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2.9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20DB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8.0</w:t>
            </w:r>
          </w:p>
        </w:tc>
      </w:tr>
      <w:tr w14:paraId="76398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B6DCF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Post-operative COR vertical deviation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EAFB1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52DE2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0.960–0.990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C5D9E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0.89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E9A43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0.791–0.942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F2313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FAFCC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1.2</w:t>
            </w:r>
          </w:p>
        </w:tc>
      </w:tr>
      <w:tr w14:paraId="61B2E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893B4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Pre-operative FOD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57EF1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0.94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F825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0.874–0.967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7C9D9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5ACCF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0.777–0.937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18FAF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2.2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4853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6.1</w:t>
            </w:r>
          </w:p>
        </w:tc>
      </w:tr>
      <w:tr w14:paraId="752AC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85E80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Post-operative FOD</w:t>
            </w:r>
          </w:p>
        </w:tc>
        <w:tc>
          <w:tcPr>
            <w:tcW w:w="908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C72B6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0.98</w:t>
            </w:r>
          </w:p>
        </w:tc>
        <w:tc>
          <w:tcPr>
            <w:tcW w:w="713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7CDA7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0.954–0.988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9CD8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0.81</w:t>
            </w:r>
          </w:p>
        </w:tc>
        <w:tc>
          <w:tcPr>
            <w:tcW w:w="713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18D0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0.662–0.898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E0382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0.7</w:t>
            </w:r>
          </w:p>
        </w:tc>
        <w:tc>
          <w:tcPr>
            <w:tcW w:w="435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7AAF9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1.8</w:t>
            </w:r>
          </w:p>
        </w:tc>
      </w:tr>
      <w:tr w14:paraId="053A3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411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ICC, intraclass correlation coefficient; CI, confidence interval; SEM, standard error of measurement; SDD, smallest detectable difference; LLD, limb length discrepancy; COR, center of rotation; FOD, femoral offset distance. Intra-observer ICC was calculated using a two-way random-effects model with absolute agreement (ICC(A,1)). SEM = pooled SD × √(1− mean intra-observer ICC); SDD = 1.96 × √2 × SEM</w:t>
            </w:r>
          </w:p>
        </w:tc>
      </w:tr>
    </w:tbl>
    <w:p w14:paraId="0D3D7C67">
      <w:r>
        <w:br w:type="page"/>
      </w:r>
    </w:p>
    <w:p w14:paraId="624C04E0"/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1548"/>
        <w:gridCol w:w="1645"/>
        <w:gridCol w:w="1645"/>
        <w:gridCol w:w="1307"/>
      </w:tblGrid>
      <w:tr w14:paraId="5A6D2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AB15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Style w:val="8"/>
                <w:rFonts w:hint="eastAsia" w:ascii="Times New Roman" w:hAnsi="Times New Roman" w:eastAsia="宋体" w:cs="Times New Roman"/>
                <w:b w:val="0"/>
                <w:spacing w:val="6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Table S2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sz w:val="20"/>
                <w:szCs w:val="20"/>
                <w:shd w:val="clear" w:color="auto" w:fill="FFFFFF"/>
              </w:rPr>
              <w:t xml:space="preserve">General 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sz w:val="20"/>
                <w:szCs w:val="20"/>
                <w:shd w:val="clear" w:color="auto" w:fill="FFFFFF"/>
              </w:rPr>
              <w:t>data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sz w:val="20"/>
                <w:szCs w:val="20"/>
                <w:shd w:val="clear" w:color="auto" w:fill="FFFFFF"/>
              </w:rPr>
              <w:t xml:space="preserve"> of the cadaveric specimens</w:t>
            </w:r>
          </w:p>
        </w:tc>
      </w:tr>
      <w:tr w14:paraId="2B6F3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</w:tcPr>
          <w:p w14:paraId="295E8E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Specimen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No. and Site</w:t>
            </w:r>
          </w:p>
        </w:tc>
        <w:tc>
          <w:tcPr>
            <w:tcW w:w="90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B8B90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Gender</w:t>
            </w:r>
          </w:p>
        </w:tc>
        <w:tc>
          <w:tcPr>
            <w:tcW w:w="96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43E8C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 xml:space="preserve">Age </w:t>
            </w:r>
          </w:p>
          <w:p w14:paraId="0E9BDD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(years)</w:t>
            </w:r>
          </w:p>
        </w:tc>
        <w:tc>
          <w:tcPr>
            <w:tcW w:w="96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C7CDD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BMI</w:t>
            </w:r>
          </w:p>
          <w:p w14:paraId="2D3ACE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(</w:t>
            </w:r>
            <w:r>
              <w:rPr>
                <w:rStyle w:val="8"/>
                <w:rFonts w:hint="eastAsia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  <w:lang w:val="en-US" w:eastAsia="zh-CN"/>
              </w:rPr>
              <w:t>k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g/m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7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44144D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BMD</w:t>
            </w:r>
          </w:p>
          <w:p w14:paraId="59F873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(g/cm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)</w:t>
            </w:r>
          </w:p>
        </w:tc>
      </w:tr>
      <w:tr w14:paraId="36E9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63B3A7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 Right</w:t>
            </w:r>
          </w:p>
        </w:tc>
        <w:tc>
          <w:tcPr>
            <w:tcW w:w="90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7E20FE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Male</w:t>
            </w:r>
          </w:p>
        </w:tc>
        <w:tc>
          <w:tcPr>
            <w:tcW w:w="96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52D530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96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57B043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18.17</w:t>
            </w:r>
          </w:p>
        </w:tc>
        <w:tc>
          <w:tcPr>
            <w:tcW w:w="7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202141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1.192</w:t>
            </w:r>
          </w:p>
        </w:tc>
      </w:tr>
      <w:tr w14:paraId="5B64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995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 Left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FA1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5B2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1EC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479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1.136</w:t>
            </w:r>
          </w:p>
        </w:tc>
      </w:tr>
      <w:tr w14:paraId="6EDFC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080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Segoe UI" w:cs="Times New Roman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2 Right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D1D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Male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775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48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065A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23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.83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8A6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1.158</w:t>
            </w:r>
          </w:p>
        </w:tc>
      </w:tr>
      <w:tr w14:paraId="05100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BA3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Segoe UI" w:cs="Times New Roman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2 Left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D14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CB0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B83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D7D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1.181</w:t>
            </w:r>
          </w:p>
        </w:tc>
      </w:tr>
      <w:tr w14:paraId="63E4A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F6F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Segoe UI" w:cs="Times New Roman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3 Right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F9A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Female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57A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886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20.76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A97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1.005</w:t>
            </w:r>
          </w:p>
        </w:tc>
      </w:tr>
      <w:tr w14:paraId="0D1D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A6E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Segoe UI" w:cs="Times New Roman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3 Left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723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437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42B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91B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1.012</w:t>
            </w:r>
          </w:p>
        </w:tc>
      </w:tr>
      <w:tr w14:paraId="24C2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3A7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Segoe UI" w:cs="Times New Roman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4 Right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F00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Female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C40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59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379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22.06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42D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0.814</w:t>
            </w:r>
          </w:p>
        </w:tc>
      </w:tr>
      <w:tr w14:paraId="2C8D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B22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Segoe UI" w:cs="Times New Roman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4 Left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572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4F0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5FDD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E4C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0.821</w:t>
            </w:r>
          </w:p>
        </w:tc>
      </w:tr>
      <w:tr w14:paraId="5F4E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3D2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Segoe UI" w:cs="Times New Roman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5 Right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CAF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Female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3F5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120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23.03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AD88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1.022</w:t>
            </w:r>
          </w:p>
        </w:tc>
      </w:tr>
      <w:tr w14:paraId="2EFC4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6A2EA3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Segoe UI" w:cs="Times New Roman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5 Left</w:t>
            </w:r>
          </w:p>
        </w:tc>
        <w:tc>
          <w:tcPr>
            <w:tcW w:w="90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1A3B0E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669B81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76D645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Segoe UI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1531B5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pacing w:val="6"/>
                <w:sz w:val="20"/>
                <w:szCs w:val="20"/>
                <w:shd w:val="clear" w:color="auto" w:fill="FFFFFF"/>
              </w:rPr>
              <w:t>1.031</w:t>
            </w:r>
          </w:p>
        </w:tc>
      </w:tr>
      <w:tr w14:paraId="569FA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558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textAlignment w:val="center"/>
              <w:rPr>
                <w:rStyle w:val="8"/>
                <w:rFonts w:hint="default" w:ascii="Times New Roman" w:hAnsi="Times New Roman" w:eastAsia="宋体" w:cs="Times New Roman"/>
                <w:b w:val="0"/>
                <w:spacing w:val="6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  <w:lang w:bidi="ar"/>
              </w:rPr>
              <w:t>BMI, body mass index; BMD, bone mineral density</w:t>
            </w:r>
          </w:p>
        </w:tc>
      </w:tr>
    </w:tbl>
    <w:p w14:paraId="25E6DD27">
      <w:r>
        <w:br w:type="page"/>
      </w:r>
    </w:p>
    <w:p w14:paraId="4BDC4244"/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3075"/>
        <w:gridCol w:w="3676"/>
      </w:tblGrid>
      <w:tr w14:paraId="5E22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auto"/>
          </w:tcPr>
          <w:p w14:paraId="51E876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/>
                <w:kern w:val="24"/>
                <w:sz w:val="20"/>
                <w:szCs w:val="20"/>
              </w:rPr>
              <w:t>Table S3</w:t>
            </w: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24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kern w:val="24"/>
                <w:sz w:val="20"/>
                <w:szCs w:val="20"/>
              </w:rPr>
              <w:t>Specifications of the stereo-3D-DIC optical measurement system</w:t>
            </w:r>
          </w:p>
        </w:tc>
      </w:tr>
      <w:tr w14:paraId="01BE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</w:tcPr>
          <w:p w14:paraId="680DD7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Parameter</w:t>
            </w:r>
          </w:p>
        </w:tc>
        <w:tc>
          <w:tcPr>
            <w:tcW w:w="1804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</w:tcPr>
          <w:p w14:paraId="761D8C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Specification</w:t>
            </w:r>
          </w:p>
        </w:tc>
        <w:tc>
          <w:tcPr>
            <w:tcW w:w="2156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</w:tcPr>
          <w:p w14:paraId="66B325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Reference / Note</w:t>
            </w:r>
          </w:p>
        </w:tc>
      </w:tr>
      <w:tr w14:paraId="08D43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</w:tcPr>
          <w:p w14:paraId="169FBA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SYSTEM</w:t>
            </w:r>
          </w:p>
        </w:tc>
      </w:tr>
      <w:tr w14:paraId="227F7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5023C0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Developer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0694E8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Southeast University, China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19BB39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Camera motion OL&amp;E, 2021</w:t>
            </w:r>
          </w:p>
          <w:p w14:paraId="3EA387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DOI:10.1016/j.optlaseng.2021.106809</w:t>
            </w:r>
          </w:p>
        </w:tc>
      </w:tr>
      <w:tr w14:paraId="4E22C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104AD2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Measurement principle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2187B3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Three-dimensional digital image correlation (3D-DIC)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6DEB4E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Sutton et al., 1986</w:t>
            </w:r>
          </w:p>
          <w:p w14:paraId="77280C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DOI:10.1016/0262-8856(86)90057-5;</w:t>
            </w:r>
          </w:p>
          <w:p w14:paraId="568123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Chao et al., 1993</w:t>
            </w:r>
          </w:p>
          <w:p w14:paraId="33292F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DOI:10.1007/BF0232248</w:t>
            </w:r>
          </w:p>
        </w:tc>
      </w:tr>
      <w:tr w14:paraId="64552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273C90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Error compensation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597E76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Speckle-based camera motion correction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6393F2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Camera motion OL&amp;E, 2021</w:t>
            </w:r>
          </w:p>
          <w:p w14:paraId="3DDD0D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DOI:10.1016/j.optlaseng.2021.106809</w:t>
            </w:r>
          </w:p>
        </w:tc>
      </w:tr>
      <w:tr w14:paraId="5B44D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auto"/>
          </w:tcPr>
          <w:p w14:paraId="318520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HARDWARE</w:t>
            </w:r>
          </w:p>
        </w:tc>
      </w:tr>
      <w:tr w14:paraId="33A7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7C0E37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Camera model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487141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EoSens84CXP high-speed camera (×2)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3BD9F5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Mikrotron GmbH, Germany</w:t>
            </w:r>
          </w:p>
        </w:tc>
      </w:tr>
      <w:tr w14:paraId="786C1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362796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Lens model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27D565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Schneider JADE 2.825C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40AE43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Schneider Kreuznach, Germany</w:t>
            </w:r>
          </w:p>
        </w:tc>
      </w:tr>
      <w:tr w14:paraId="118B3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66E3F7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Focal length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529BB8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25 mm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3B0D8A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—</w:t>
            </w:r>
          </w:p>
        </w:tc>
      </w:tr>
      <w:tr w14:paraId="5964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25165C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Image sensor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65E9D6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4/3" CMOS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56D8E2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—</w:t>
            </w:r>
          </w:p>
        </w:tc>
      </w:tr>
      <w:tr w14:paraId="7747F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0A02EC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Sensor resolution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2D3CB7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2336×1728 pixels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0D6503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—</w:t>
            </w:r>
          </w:p>
        </w:tc>
      </w:tr>
      <w:tr w14:paraId="32281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2000AF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Full-frame frame rate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5551C8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563 fps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3D8BAA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—</w:t>
            </w:r>
          </w:p>
        </w:tc>
      </w:tr>
      <w:tr w14:paraId="697EC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476890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Speckle pattern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118643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Random black-and-white spray-painted pattern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66CD35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—</w:t>
            </w:r>
          </w:p>
        </w:tc>
      </w:tr>
      <w:tr w14:paraId="1D9D8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auto"/>
          </w:tcPr>
          <w:p w14:paraId="3F1B83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METROLOGICAL VALIDATION</w:t>
            </w:r>
          </w:p>
        </w:tc>
      </w:tr>
      <w:tr w14:paraId="3EE6A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3FBB53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Calibration institution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107ACA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Jiangsu Provincial Institute of Metrology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51B243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Certificate No. L2023-3179122*</w:t>
            </w:r>
          </w:p>
        </w:tc>
      </w:tr>
      <w:tr w14:paraId="07EAC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tl2br w:val="nil"/>
              <w:tr2bl w:val="nil"/>
            </w:tcBorders>
            <w:shd w:val="clear" w:color="auto" w:fill="auto"/>
          </w:tcPr>
          <w:p w14:paraId="30B25B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Expanded uncertainty</w:t>
            </w:r>
          </w:p>
        </w:tc>
        <w:tc>
          <w:tcPr>
            <w:tcW w:w="1804" w:type="pct"/>
            <w:tcBorders>
              <w:tl2br w:val="nil"/>
              <w:tr2bl w:val="nil"/>
            </w:tcBorders>
            <w:shd w:val="clear" w:color="auto" w:fill="auto"/>
          </w:tcPr>
          <w:p w14:paraId="457EE7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 xml:space="preserve">U = 3.3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μm</w:t>
            </w:r>
          </w:p>
        </w:tc>
        <w:tc>
          <w:tcPr>
            <w:tcW w:w="2156" w:type="pct"/>
            <w:tcBorders>
              <w:tl2br w:val="nil"/>
              <w:tr2bl w:val="nil"/>
            </w:tcBorders>
            <w:shd w:val="clear" w:color="auto" w:fill="auto"/>
          </w:tcPr>
          <w:p w14:paraId="3088B7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Coverage factor k = 2 (95% confidence)</w:t>
            </w:r>
          </w:p>
        </w:tc>
      </w:tr>
      <w:tr w14:paraId="19EF3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</w:tcPr>
          <w:p w14:paraId="55233D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Reported precision</w:t>
            </w:r>
          </w:p>
        </w:tc>
        <w:tc>
          <w:tcPr>
            <w:tcW w:w="1804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</w:tcPr>
          <w:p w14:paraId="43EAA9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 μm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 xml:space="preserve"> (rounded)</w:t>
            </w:r>
          </w:p>
        </w:tc>
        <w:tc>
          <w:tcPr>
            <w:tcW w:w="2156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</w:tcPr>
          <w:p w14:paraId="1C76F0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Consistent with uncertainty budget</w:t>
            </w:r>
          </w:p>
        </w:tc>
      </w:tr>
      <w:tr w14:paraId="54A9D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auto"/>
          </w:tcPr>
          <w:p w14:paraId="09500E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*Calibration certificate available upon request.</w:t>
            </w:r>
          </w:p>
          <w:p w14:paraId="5F477D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4"/>
                <w:sz w:val="20"/>
                <w:szCs w:val="20"/>
              </w:rPr>
              <w:t>All DIC-derived displacement values (micromotion and migration) were rounded to the nearest integer micron to ensure that reported precision reflects the instrument's metrological capability rather than software output resolution</w:t>
            </w:r>
          </w:p>
        </w:tc>
      </w:tr>
    </w:tbl>
    <w:p w14:paraId="2FF9D391"/>
    <w:p w14:paraId="27D3CC3B">
      <w:r>
        <w:br w:type="page"/>
      </w:r>
    </w:p>
    <w:p w14:paraId="169708D7"/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1756"/>
        <w:gridCol w:w="2499"/>
        <w:gridCol w:w="2003"/>
      </w:tblGrid>
      <w:tr w14:paraId="58F9D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D49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Table S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Material properties defined in the finite element (FE) models</w:t>
            </w:r>
          </w:p>
        </w:tc>
      </w:tr>
      <w:tr w14:paraId="47114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</w:tcPr>
          <w:p w14:paraId="03397D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Components</w:t>
            </w:r>
          </w:p>
        </w:tc>
        <w:tc>
          <w:tcPr>
            <w:tcW w:w="103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4F8969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Materials</w:t>
            </w:r>
          </w:p>
        </w:tc>
        <w:tc>
          <w:tcPr>
            <w:tcW w:w="146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65A0AA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Elastic Modulus (MPa)</w:t>
            </w:r>
          </w:p>
        </w:tc>
        <w:tc>
          <w:tcPr>
            <w:tcW w:w="117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5FC5EC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Poisson’s ratio (v)</w:t>
            </w:r>
          </w:p>
        </w:tc>
      </w:tr>
      <w:tr w14:paraId="5CDE7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7D9B51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Cortical bone</w:t>
            </w:r>
          </w:p>
        </w:tc>
        <w:tc>
          <w:tcPr>
            <w:tcW w:w="103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4A92FD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Cortical bone</w:t>
            </w:r>
          </w:p>
        </w:tc>
        <w:tc>
          <w:tcPr>
            <w:tcW w:w="146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0407D1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17,300</w:t>
            </w:r>
          </w:p>
        </w:tc>
        <w:tc>
          <w:tcPr>
            <w:tcW w:w="117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3B08D4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0.265</w:t>
            </w:r>
          </w:p>
        </w:tc>
      </w:tr>
      <w:tr w14:paraId="454E6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915B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Cancellous bone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784F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Cancellous bone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F05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400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D4C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0.2</w:t>
            </w:r>
          </w:p>
        </w:tc>
      </w:tr>
      <w:tr w14:paraId="099F1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E962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Screws</w:t>
            </w:r>
          </w:p>
        </w:tc>
        <w:tc>
          <w:tcPr>
            <w:tcW w:w="103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458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Titanium alloy</w:t>
            </w:r>
          </w:p>
          <w:p w14:paraId="6BA9F2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098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110,600</w:t>
            </w:r>
          </w:p>
        </w:tc>
        <w:tc>
          <w:tcPr>
            <w:tcW w:w="11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6AF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0.326</w:t>
            </w:r>
          </w:p>
        </w:tc>
      </w:tr>
      <w:tr w14:paraId="411B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15F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Acetabular cup</w:t>
            </w:r>
          </w:p>
        </w:tc>
        <w:tc>
          <w:tcPr>
            <w:tcW w:w="103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9256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6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26C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7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B46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BE4C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F32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Metal augment</w:t>
            </w:r>
          </w:p>
        </w:tc>
        <w:tc>
          <w:tcPr>
            <w:tcW w:w="103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EE15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6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844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7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2CB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BAE5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D7A7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</w:t>
            </w: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eastAsia="en-US" w:bidi="ar"/>
              </w:rPr>
              <w:t>onoblock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eastAsia="en-US" w:bidi="ar"/>
              </w:rPr>
              <w:t>prosthesis</w:t>
            </w:r>
          </w:p>
        </w:tc>
        <w:tc>
          <w:tcPr>
            <w:tcW w:w="103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119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6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E5C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7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A7D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46A6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663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Ceramic femoral head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829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Ceramic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2EC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350,000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CD8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0.22</w:t>
            </w:r>
          </w:p>
        </w:tc>
      </w:tr>
      <w:tr w14:paraId="114B6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212B07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Liner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0AC4BC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Polyethylene</w:t>
            </w:r>
          </w:p>
        </w:tc>
        <w:tc>
          <w:tcPr>
            <w:tcW w:w="146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387FF0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800</w:t>
            </w:r>
          </w:p>
        </w:tc>
        <w:tc>
          <w:tcPr>
            <w:tcW w:w="117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1F300C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lang w:bidi="ar"/>
              </w:rPr>
              <w:t>0.45</w:t>
            </w:r>
          </w:p>
        </w:tc>
      </w:tr>
    </w:tbl>
    <w:p w14:paraId="415B786B"/>
    <w:p w14:paraId="0A82B6C1">
      <w:r>
        <w:br w:type="page"/>
      </w:r>
    </w:p>
    <w:p w14:paraId="2519F917"/>
    <w:tbl>
      <w:tblPr>
        <w:tblStyle w:val="5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129"/>
        <w:gridCol w:w="2129"/>
        <w:gridCol w:w="2136"/>
      </w:tblGrid>
      <w:tr w14:paraId="2EAFBC8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c>
          <w:tcPr>
            <w:tcW w:w="5000" w:type="pct"/>
            <w:gridSpan w:val="4"/>
            <w:tcBorders>
              <w:top w:val="nil"/>
              <w:bottom w:val="nil"/>
            </w:tcBorders>
            <w:shd w:val="clear" w:color="auto" w:fill="auto"/>
          </w:tcPr>
          <w:p w14:paraId="747E7587">
            <w:pPr>
              <w:keepNext w:val="0"/>
              <w:keepLines w:val="0"/>
              <w:suppressLineNumbers w:val="0"/>
              <w:spacing w:before="120" w:beforeAutospacing="0" w:after="80" w:afterAutospacing="0"/>
              <w:ind w:left="0" w:right="0"/>
              <w:rPr>
                <w:rFonts w:hint="default" w:ascii="Times New Roman" w:hAnsi="Times New Roman" w:eastAsia="Times New Roman"/>
                <w:b/>
                <w:i w:val="0"/>
                <w:sz w:val="20"/>
                <w:szCs w:val="20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</w:rPr>
              <w:t>Table S5</w:t>
            </w:r>
            <w:r>
              <w:rPr>
                <w:rFonts w:hint="eastAsia" w:ascii="Times New Roman" w:hAnsi="Times New Roman"/>
                <w:b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 w:val="20"/>
                <w:szCs w:val="20"/>
              </w:rPr>
              <w:t>Permanent migration at the bone–prosthesis interface after cyclic loading and results of the linear mixed-effects model</w:t>
            </w:r>
          </w:p>
        </w:tc>
      </w:tr>
      <w:tr w14:paraId="5177F71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auto"/>
          </w:tcPr>
          <w:p w14:paraId="1C709E2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Cycles</w:t>
            </w:r>
          </w:p>
        </w:tc>
        <w:tc>
          <w:tcPr>
            <w:tcW w:w="1249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6870ED6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3D-printed cup–bone</w:t>
            </w:r>
          </w:p>
        </w:tc>
        <w:tc>
          <w:tcPr>
            <w:tcW w:w="1249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44DBA2EA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Modular cup–bone</w:t>
            </w:r>
          </w:p>
        </w:tc>
        <w:tc>
          <w:tcPr>
            <w:tcW w:w="1250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0AB6DE4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Modular augment–bone</w:t>
            </w:r>
          </w:p>
        </w:tc>
      </w:tr>
      <w:tr w14:paraId="1EC600F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tcBorders>
              <w:top w:val="single" w:color="000000" w:sz="4" w:space="0"/>
              <w:bottom w:val="nil"/>
            </w:tcBorders>
            <w:shd w:val="clear" w:color="auto" w:fill="auto"/>
          </w:tcPr>
          <w:p w14:paraId="26C4DD8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249" w:type="pct"/>
            <w:tcBorders>
              <w:top w:val="single" w:color="000000" w:sz="4" w:space="0"/>
              <w:bottom w:val="nil"/>
            </w:tcBorders>
            <w:shd w:val="clear" w:color="auto" w:fill="auto"/>
          </w:tcPr>
          <w:p w14:paraId="4670B99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249" w:type="pct"/>
            <w:tcBorders>
              <w:top w:val="single" w:color="000000" w:sz="4" w:space="0"/>
              <w:bottom w:val="nil"/>
            </w:tcBorders>
            <w:shd w:val="clear" w:color="auto" w:fill="auto"/>
          </w:tcPr>
          <w:p w14:paraId="3696B24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color="000000" w:sz="4" w:space="0"/>
              <w:bottom w:val="nil"/>
            </w:tcBorders>
            <w:shd w:val="clear" w:color="auto" w:fill="auto"/>
          </w:tcPr>
          <w:p w14:paraId="4A0F7948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</w:pPr>
          </w:p>
        </w:tc>
      </w:tr>
      <w:tr w14:paraId="7DBAD68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tcBorders>
              <w:top w:val="nil"/>
            </w:tcBorders>
            <w:shd w:val="clear" w:color="auto" w:fill="auto"/>
          </w:tcPr>
          <w:p w14:paraId="7795909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49" w:type="pct"/>
            <w:tcBorders>
              <w:top w:val="nil"/>
            </w:tcBorders>
            <w:shd w:val="clear" w:color="auto" w:fill="auto"/>
          </w:tcPr>
          <w:p w14:paraId="6920759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34 (31–36)</w:t>
            </w:r>
          </w:p>
        </w:tc>
        <w:tc>
          <w:tcPr>
            <w:tcW w:w="1249" w:type="pct"/>
            <w:tcBorders>
              <w:top w:val="nil"/>
            </w:tcBorders>
            <w:shd w:val="clear" w:color="auto" w:fill="auto"/>
          </w:tcPr>
          <w:p w14:paraId="70441A6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48 (48–55)</w:t>
            </w:r>
          </w:p>
        </w:tc>
        <w:tc>
          <w:tcPr>
            <w:tcW w:w="1250" w:type="pct"/>
            <w:tcBorders>
              <w:top w:val="nil"/>
            </w:tcBorders>
            <w:shd w:val="clear" w:color="auto" w:fill="auto"/>
          </w:tcPr>
          <w:p w14:paraId="2A81348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38 (35–41)</w:t>
            </w:r>
          </w:p>
        </w:tc>
      </w:tr>
      <w:tr w14:paraId="3075156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shd w:val="clear" w:color="auto" w:fill="auto"/>
          </w:tcPr>
          <w:p w14:paraId="039E053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49" w:type="pct"/>
            <w:shd w:val="clear" w:color="auto" w:fill="auto"/>
          </w:tcPr>
          <w:p w14:paraId="471B6D5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35 (33–39)</w:t>
            </w:r>
          </w:p>
        </w:tc>
        <w:tc>
          <w:tcPr>
            <w:tcW w:w="1249" w:type="pct"/>
            <w:shd w:val="clear" w:color="auto" w:fill="auto"/>
          </w:tcPr>
          <w:p w14:paraId="3A28268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107 (104–111)</w:t>
            </w:r>
          </w:p>
        </w:tc>
        <w:tc>
          <w:tcPr>
            <w:tcW w:w="1250" w:type="pct"/>
            <w:shd w:val="clear" w:color="auto" w:fill="auto"/>
          </w:tcPr>
          <w:p w14:paraId="141C9A7D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57 (51–61)</w:t>
            </w:r>
          </w:p>
        </w:tc>
      </w:tr>
      <w:tr w14:paraId="37E2EF8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shd w:val="clear" w:color="auto" w:fill="auto"/>
          </w:tcPr>
          <w:p w14:paraId="004890A2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49" w:type="pct"/>
            <w:shd w:val="clear" w:color="auto" w:fill="auto"/>
          </w:tcPr>
          <w:p w14:paraId="37395B6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34 (32–39)</w:t>
            </w:r>
          </w:p>
        </w:tc>
        <w:tc>
          <w:tcPr>
            <w:tcW w:w="1249" w:type="pct"/>
            <w:shd w:val="clear" w:color="auto" w:fill="auto"/>
          </w:tcPr>
          <w:p w14:paraId="599B3EE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140 (136–144)</w:t>
            </w:r>
          </w:p>
        </w:tc>
        <w:tc>
          <w:tcPr>
            <w:tcW w:w="1250" w:type="pct"/>
            <w:shd w:val="clear" w:color="auto" w:fill="auto"/>
          </w:tcPr>
          <w:p w14:paraId="3A09F67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81 (76–86)</w:t>
            </w:r>
          </w:p>
        </w:tc>
      </w:tr>
      <w:tr w14:paraId="4E20794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tcBorders>
              <w:bottom w:val="single" w:color="auto" w:sz="4" w:space="0"/>
            </w:tcBorders>
            <w:shd w:val="clear" w:color="auto" w:fill="auto"/>
          </w:tcPr>
          <w:p w14:paraId="14666762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49" w:type="pct"/>
            <w:tcBorders>
              <w:bottom w:val="single" w:color="auto" w:sz="4" w:space="0"/>
            </w:tcBorders>
            <w:shd w:val="clear" w:color="auto" w:fill="auto"/>
          </w:tcPr>
          <w:p w14:paraId="57E66092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86 (82–94)</w:t>
            </w:r>
          </w:p>
        </w:tc>
        <w:tc>
          <w:tcPr>
            <w:tcW w:w="1249" w:type="pct"/>
            <w:tcBorders>
              <w:bottom w:val="single" w:color="auto" w:sz="4" w:space="0"/>
            </w:tcBorders>
            <w:shd w:val="clear" w:color="auto" w:fill="auto"/>
          </w:tcPr>
          <w:p w14:paraId="6AFB4DE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181 (178–186)</w:t>
            </w:r>
          </w:p>
        </w:tc>
        <w:tc>
          <w:tcPr>
            <w:tcW w:w="1250" w:type="pct"/>
            <w:tcBorders>
              <w:bottom w:val="single" w:color="auto" w:sz="4" w:space="0"/>
            </w:tcBorders>
            <w:shd w:val="clear" w:color="auto" w:fill="auto"/>
          </w:tcPr>
          <w:p w14:paraId="67E83EC1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135 (125–140)</w:t>
            </w:r>
          </w:p>
        </w:tc>
      </w:tr>
      <w:tr w14:paraId="4A8CF6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</w:tcBorders>
            <w:shd w:val="clear" w:color="auto" w:fill="auto"/>
          </w:tcPr>
          <w:p w14:paraId="27E8C894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Linear mixed-effects model (3D-printed vs modular cup–bone; specimen as random intercept)</w:t>
            </w:r>
          </w:p>
        </w:tc>
      </w:tr>
      <w:tr w14:paraId="436EBCA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shd w:val="clear" w:color="auto" w:fill="auto"/>
          </w:tcPr>
          <w:p w14:paraId="6AE1B462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LMM effect</w:t>
            </w:r>
          </w:p>
        </w:tc>
        <w:tc>
          <w:tcPr>
            <w:tcW w:w="1249" w:type="pct"/>
            <w:shd w:val="clear" w:color="auto" w:fill="auto"/>
          </w:tcPr>
          <w:p w14:paraId="30C3EE3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β (3D − modular)</w:t>
            </w:r>
          </w:p>
        </w:tc>
        <w:tc>
          <w:tcPr>
            <w:tcW w:w="1249" w:type="pct"/>
            <w:shd w:val="clear" w:color="auto" w:fill="auto"/>
          </w:tcPr>
          <w:p w14:paraId="1F202AD1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250" w:type="pct"/>
            <w:shd w:val="clear" w:color="auto" w:fill="auto"/>
          </w:tcPr>
          <w:p w14:paraId="5CEFF28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 xml:space="preserve"> value</w:t>
            </w:r>
          </w:p>
        </w:tc>
      </w:tr>
      <w:tr w14:paraId="6094DB8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shd w:val="clear" w:color="auto" w:fill="auto"/>
          </w:tcPr>
          <w:p w14:paraId="7A9220F1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Group effect</w:t>
            </w:r>
          </w:p>
        </w:tc>
        <w:tc>
          <w:tcPr>
            <w:tcW w:w="1249" w:type="pct"/>
            <w:shd w:val="clear" w:color="auto" w:fill="auto"/>
          </w:tcPr>
          <w:p w14:paraId="72DB28F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−71.95</w:t>
            </w:r>
          </w:p>
        </w:tc>
        <w:tc>
          <w:tcPr>
            <w:tcW w:w="1249" w:type="pct"/>
            <w:shd w:val="clear" w:color="auto" w:fill="auto"/>
          </w:tcPr>
          <w:p w14:paraId="2C3102F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−78.88 to −65.02</w:t>
            </w:r>
          </w:p>
        </w:tc>
        <w:tc>
          <w:tcPr>
            <w:tcW w:w="1250" w:type="pct"/>
            <w:shd w:val="clear" w:color="auto" w:fill="auto"/>
          </w:tcPr>
          <w:p w14:paraId="00B6428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</w:tr>
      <w:tr w14:paraId="4E00C68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shd w:val="clear" w:color="auto" w:fill="auto"/>
          </w:tcPr>
          <w:p w14:paraId="39B19D12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Cycle effect</w:t>
            </w:r>
          </w:p>
        </w:tc>
        <w:tc>
          <w:tcPr>
            <w:tcW w:w="1249" w:type="pct"/>
            <w:shd w:val="clear" w:color="auto" w:fill="auto"/>
          </w:tcPr>
          <w:p w14:paraId="41D311B4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8.07</w:t>
            </w:r>
          </w:p>
        </w:tc>
        <w:tc>
          <w:tcPr>
            <w:tcW w:w="1249" w:type="pct"/>
            <w:shd w:val="clear" w:color="auto" w:fill="auto"/>
          </w:tcPr>
          <w:p w14:paraId="1130F7A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5.88 to 10.26</w:t>
            </w:r>
          </w:p>
        </w:tc>
        <w:tc>
          <w:tcPr>
            <w:tcW w:w="1250" w:type="pct"/>
            <w:shd w:val="clear" w:color="auto" w:fill="auto"/>
          </w:tcPr>
          <w:p w14:paraId="34762B5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</w:tr>
      <w:tr w14:paraId="3C1724E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shd w:val="clear" w:color="auto" w:fill="auto"/>
          </w:tcPr>
          <w:p w14:paraId="095067F8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Group × cycle interaction</w:t>
            </w:r>
          </w:p>
        </w:tc>
        <w:tc>
          <w:tcPr>
            <w:tcW w:w="1249" w:type="pct"/>
            <w:shd w:val="clear" w:color="auto" w:fill="auto"/>
          </w:tcPr>
          <w:p w14:paraId="7A13E92A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−13.21</w:t>
            </w:r>
          </w:p>
        </w:tc>
        <w:tc>
          <w:tcPr>
            <w:tcW w:w="1249" w:type="pct"/>
            <w:shd w:val="clear" w:color="auto" w:fill="auto"/>
          </w:tcPr>
          <w:p w14:paraId="6EF398FF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−16.31 to −10.11</w:t>
            </w:r>
          </w:p>
        </w:tc>
        <w:tc>
          <w:tcPr>
            <w:tcW w:w="1250" w:type="pct"/>
            <w:shd w:val="clear" w:color="auto" w:fill="auto"/>
          </w:tcPr>
          <w:p w14:paraId="5ADE273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</w:tr>
      <w:tr w14:paraId="7CD7DA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shd w:val="clear" w:color="auto" w:fill="auto"/>
          </w:tcPr>
          <w:p w14:paraId="012B77DF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EMM difference at 800 cycles (μm)</w:t>
            </w:r>
          </w:p>
        </w:tc>
        <w:tc>
          <w:tcPr>
            <w:tcW w:w="1249" w:type="pct"/>
            <w:shd w:val="clear" w:color="auto" w:fill="auto"/>
          </w:tcPr>
          <w:p w14:paraId="556250D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−111.6</w:t>
            </w:r>
          </w:p>
        </w:tc>
        <w:tc>
          <w:tcPr>
            <w:tcW w:w="1249" w:type="pct"/>
            <w:shd w:val="clear" w:color="auto" w:fill="auto"/>
          </w:tcPr>
          <w:p w14:paraId="2312905A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50" w:type="pct"/>
            <w:shd w:val="clear" w:color="auto" w:fill="auto"/>
          </w:tcPr>
          <w:p w14:paraId="7E42597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d = 10.0</w:t>
            </w:r>
          </w:p>
        </w:tc>
      </w:tr>
      <w:tr w14:paraId="252C41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tcBorders>
              <w:bottom w:val="single" w:color="000000" w:sz="12" w:space="0"/>
            </w:tcBorders>
            <w:shd w:val="clear" w:color="auto" w:fill="auto"/>
          </w:tcPr>
          <w:p w14:paraId="1FC556B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Wilcoxon signed-rank, 800 cycles</w:t>
            </w:r>
          </w:p>
        </w:tc>
        <w:tc>
          <w:tcPr>
            <w:tcW w:w="1249" w:type="pct"/>
            <w:tcBorders>
              <w:bottom w:val="single" w:color="000000" w:sz="12" w:space="0"/>
            </w:tcBorders>
            <w:shd w:val="clear" w:color="auto" w:fill="auto"/>
          </w:tcPr>
          <w:p w14:paraId="21D3843A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49" w:type="pct"/>
            <w:tcBorders>
              <w:bottom w:val="single" w:color="000000" w:sz="12" w:space="0"/>
            </w:tcBorders>
            <w:shd w:val="clear" w:color="auto" w:fill="auto"/>
          </w:tcPr>
          <w:p w14:paraId="4A6E6B6A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50" w:type="pct"/>
            <w:tcBorders>
              <w:bottom w:val="single" w:color="000000" w:sz="12" w:space="0"/>
            </w:tcBorders>
            <w:shd w:val="clear" w:color="auto" w:fill="auto"/>
          </w:tcPr>
          <w:p w14:paraId="253E3422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 xml:space="preserve"> = 0.0625</w:t>
            </w:r>
          </w:p>
        </w:tc>
      </w:tr>
      <w:tr w14:paraId="0808F74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nil"/>
            </w:tcBorders>
            <w:shd w:val="clear" w:color="auto" w:fill="auto"/>
          </w:tcPr>
          <w:p w14:paraId="1C1A4F09">
            <w:pPr>
              <w:keepNext w:val="0"/>
              <w:keepLines w:val="0"/>
              <w:suppressLineNumbers w:val="0"/>
              <w:spacing w:before="60" w:beforeAutospacing="0" w:after="0" w:afterAutospacing="0"/>
              <w:ind w:left="0" w:right="0"/>
              <w:jc w:val="both"/>
              <w:rPr>
                <w:rFonts w:hint="default" w:ascii="Times New Roman" w:hAnsi="Times New Roman" w:eastAsia="Times New Roman"/>
                <w:b w:val="0"/>
                <w:i/>
                <w:iCs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 xml:space="preserve">Values are median (interquartile range) of five paired cadaveric specimens. Between-group comparisons were performed using linear mixed-effects models with specimen as a random intercept 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  <w:t>(</w:t>
            </w:r>
            <w:r>
              <w:rPr>
                <w:rFonts w:hint="default" w:ascii="Times New Roman" w:hAnsi="Times New Roman"/>
                <w:sz w:val="20"/>
                <w:szCs w:val="20"/>
              </w:rPr>
              <w:t xml:space="preserve"> group × cycle); β denotes the estimated difference (3D-printed minus modular cup–bone). EMM, estimated marginal mean; d, standardized effect size (EMM difference divided by the residual standard deviation). The modular augment–bone interface is reported descriptively. —, not applicable</w:t>
            </w:r>
          </w:p>
        </w:tc>
      </w:tr>
    </w:tbl>
    <w:p w14:paraId="67B6A1E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553C042"/>
    <w:tbl>
      <w:tblPr>
        <w:tblStyle w:val="5"/>
        <w:tblW w:w="5000" w:type="pct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129"/>
        <w:gridCol w:w="2129"/>
        <w:gridCol w:w="2136"/>
      </w:tblGrid>
      <w:tr w14:paraId="514148F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bottom w:val="nil"/>
            </w:tcBorders>
            <w:shd w:val="clear" w:color="auto" w:fill="auto"/>
          </w:tcPr>
          <w:p w14:paraId="4D63A93F">
            <w:pPr>
              <w:keepNext w:val="0"/>
              <w:keepLines w:val="0"/>
              <w:suppressLineNumbers w:val="0"/>
              <w:spacing w:before="120" w:beforeAutospacing="0" w:after="80" w:afterAutospacing="0"/>
              <w:ind w:left="0" w:right="0"/>
              <w:rPr>
                <w:rFonts w:hint="default" w:ascii="Times New Roman" w:hAnsi="Times New Roman" w:eastAsia="Times New Roman"/>
                <w:b/>
                <w:i w:val="0"/>
                <w:sz w:val="20"/>
                <w:szCs w:val="20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</w:rPr>
              <w:t>Table S</w:t>
            </w:r>
            <w:r>
              <w:rPr>
                <w:rFonts w:hint="eastAsia" w:ascii="Times New Roman" w:hAnsi="Times New Roman"/>
                <w:b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/>
                <w:sz w:val="20"/>
                <w:szCs w:val="20"/>
              </w:rPr>
              <w:t>Maximal inducible micromotion at the bone–prosthesis interface during cyclic loading and results of the linear mixed-effects model</w:t>
            </w:r>
          </w:p>
        </w:tc>
      </w:tr>
      <w:tr w14:paraId="0C427A9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auto"/>
          </w:tcPr>
          <w:p w14:paraId="37BDD4A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Cycles</w:t>
            </w:r>
          </w:p>
        </w:tc>
        <w:tc>
          <w:tcPr>
            <w:tcW w:w="1249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4AD010D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3D-printed cup–bone</w:t>
            </w:r>
          </w:p>
        </w:tc>
        <w:tc>
          <w:tcPr>
            <w:tcW w:w="1249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26393CF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Modular cup–bone</w:t>
            </w:r>
          </w:p>
        </w:tc>
        <w:tc>
          <w:tcPr>
            <w:tcW w:w="1250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72DCE964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Modular augment–bone</w:t>
            </w:r>
          </w:p>
        </w:tc>
      </w:tr>
      <w:tr w14:paraId="204330A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tcBorders>
              <w:top w:val="single" w:color="000000" w:sz="4" w:space="0"/>
            </w:tcBorders>
            <w:shd w:val="clear" w:color="auto" w:fill="auto"/>
          </w:tcPr>
          <w:p w14:paraId="2CDFAC9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49" w:type="pct"/>
            <w:tcBorders>
              <w:top w:val="single" w:color="000000" w:sz="4" w:space="0"/>
            </w:tcBorders>
            <w:shd w:val="clear" w:color="auto" w:fill="auto"/>
          </w:tcPr>
          <w:p w14:paraId="08275F7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89 (88–90)</w:t>
            </w:r>
          </w:p>
        </w:tc>
        <w:tc>
          <w:tcPr>
            <w:tcW w:w="1249" w:type="pct"/>
            <w:tcBorders>
              <w:top w:val="single" w:color="000000" w:sz="4" w:space="0"/>
            </w:tcBorders>
            <w:shd w:val="clear" w:color="auto" w:fill="auto"/>
          </w:tcPr>
          <w:p w14:paraId="6B3D4C81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226 (192–253)</w:t>
            </w:r>
          </w:p>
        </w:tc>
        <w:tc>
          <w:tcPr>
            <w:tcW w:w="1250" w:type="pct"/>
            <w:tcBorders>
              <w:top w:val="single" w:color="000000" w:sz="4" w:space="0"/>
            </w:tcBorders>
            <w:shd w:val="clear" w:color="auto" w:fill="auto"/>
          </w:tcPr>
          <w:p w14:paraId="6F2B9BC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110 (106–129)</w:t>
            </w:r>
          </w:p>
        </w:tc>
      </w:tr>
      <w:tr w14:paraId="5CBB12F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711ED46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9" w:type="pct"/>
            <w:shd w:val="clear" w:color="auto" w:fill="auto"/>
          </w:tcPr>
          <w:p w14:paraId="55D43C71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93 (90–96)</w:t>
            </w:r>
          </w:p>
        </w:tc>
        <w:tc>
          <w:tcPr>
            <w:tcW w:w="1249" w:type="pct"/>
            <w:shd w:val="clear" w:color="auto" w:fill="auto"/>
          </w:tcPr>
          <w:p w14:paraId="5DCCB7D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187 (166–213)</w:t>
            </w:r>
          </w:p>
        </w:tc>
        <w:tc>
          <w:tcPr>
            <w:tcW w:w="1250" w:type="pct"/>
            <w:shd w:val="clear" w:color="auto" w:fill="auto"/>
          </w:tcPr>
          <w:p w14:paraId="6080F5D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110 (102–128)</w:t>
            </w:r>
          </w:p>
        </w:tc>
      </w:tr>
      <w:tr w14:paraId="01AEF46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043E370A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49" w:type="pct"/>
            <w:shd w:val="clear" w:color="auto" w:fill="auto"/>
          </w:tcPr>
          <w:p w14:paraId="651553B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90 (87–94)</w:t>
            </w:r>
          </w:p>
        </w:tc>
        <w:tc>
          <w:tcPr>
            <w:tcW w:w="1249" w:type="pct"/>
            <w:shd w:val="clear" w:color="auto" w:fill="auto"/>
          </w:tcPr>
          <w:p w14:paraId="3938A58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234 (197–273)</w:t>
            </w:r>
          </w:p>
        </w:tc>
        <w:tc>
          <w:tcPr>
            <w:tcW w:w="1250" w:type="pct"/>
            <w:shd w:val="clear" w:color="auto" w:fill="auto"/>
          </w:tcPr>
          <w:p w14:paraId="5485261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122 (120–142)</w:t>
            </w:r>
          </w:p>
        </w:tc>
      </w:tr>
      <w:tr w14:paraId="20486D0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2F64C3D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49" w:type="pct"/>
            <w:shd w:val="clear" w:color="auto" w:fill="auto"/>
          </w:tcPr>
          <w:p w14:paraId="31CC4A6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90 (88–93)</w:t>
            </w:r>
          </w:p>
        </w:tc>
        <w:tc>
          <w:tcPr>
            <w:tcW w:w="1249" w:type="pct"/>
            <w:shd w:val="clear" w:color="auto" w:fill="auto"/>
          </w:tcPr>
          <w:p w14:paraId="6B87422F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199 (138–244)</w:t>
            </w:r>
          </w:p>
        </w:tc>
        <w:tc>
          <w:tcPr>
            <w:tcW w:w="1250" w:type="pct"/>
            <w:shd w:val="clear" w:color="auto" w:fill="auto"/>
          </w:tcPr>
          <w:p w14:paraId="37AE3E8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144 (131–165)</w:t>
            </w:r>
          </w:p>
        </w:tc>
      </w:tr>
      <w:tr w14:paraId="1C0E2B0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515004B8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49" w:type="pct"/>
            <w:shd w:val="clear" w:color="auto" w:fill="auto"/>
          </w:tcPr>
          <w:p w14:paraId="00178CA1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79 (78–85)</w:t>
            </w:r>
          </w:p>
        </w:tc>
        <w:tc>
          <w:tcPr>
            <w:tcW w:w="1249" w:type="pct"/>
            <w:shd w:val="clear" w:color="auto" w:fill="auto"/>
          </w:tcPr>
          <w:p w14:paraId="6A05F03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207 (175–262)</w:t>
            </w:r>
          </w:p>
        </w:tc>
        <w:tc>
          <w:tcPr>
            <w:tcW w:w="1250" w:type="pct"/>
            <w:shd w:val="clear" w:color="auto" w:fill="auto"/>
          </w:tcPr>
          <w:p w14:paraId="4116F45D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106 (97–122)</w:t>
            </w:r>
          </w:p>
        </w:tc>
      </w:tr>
      <w:tr w14:paraId="4831B39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7252120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49" w:type="pct"/>
            <w:shd w:val="clear" w:color="auto" w:fill="auto"/>
          </w:tcPr>
          <w:p w14:paraId="2E20ED9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86 (84–90)</w:t>
            </w:r>
          </w:p>
        </w:tc>
        <w:tc>
          <w:tcPr>
            <w:tcW w:w="1249" w:type="pct"/>
            <w:shd w:val="clear" w:color="auto" w:fill="auto"/>
          </w:tcPr>
          <w:p w14:paraId="677D1C0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179 (166–207)</w:t>
            </w:r>
          </w:p>
        </w:tc>
        <w:tc>
          <w:tcPr>
            <w:tcW w:w="1250" w:type="pct"/>
            <w:shd w:val="clear" w:color="auto" w:fill="auto"/>
          </w:tcPr>
          <w:p w14:paraId="60DB927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95 (88–111)</w:t>
            </w:r>
          </w:p>
        </w:tc>
      </w:tr>
      <w:tr w14:paraId="704CC71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6374C9B8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49" w:type="pct"/>
            <w:shd w:val="clear" w:color="auto" w:fill="auto"/>
          </w:tcPr>
          <w:p w14:paraId="004613F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84 (83–85)</w:t>
            </w:r>
          </w:p>
        </w:tc>
        <w:tc>
          <w:tcPr>
            <w:tcW w:w="1249" w:type="pct"/>
            <w:shd w:val="clear" w:color="auto" w:fill="auto"/>
          </w:tcPr>
          <w:p w14:paraId="36BAF6B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236 (199–278)</w:t>
            </w:r>
          </w:p>
        </w:tc>
        <w:tc>
          <w:tcPr>
            <w:tcW w:w="1250" w:type="pct"/>
            <w:shd w:val="clear" w:color="auto" w:fill="auto"/>
          </w:tcPr>
          <w:p w14:paraId="70D8BDBD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119 (114–140)</w:t>
            </w:r>
          </w:p>
        </w:tc>
      </w:tr>
      <w:tr w14:paraId="21CDE49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027393A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49" w:type="pct"/>
            <w:shd w:val="clear" w:color="auto" w:fill="auto"/>
          </w:tcPr>
          <w:p w14:paraId="5580389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87 (87–93)</w:t>
            </w:r>
          </w:p>
        </w:tc>
        <w:tc>
          <w:tcPr>
            <w:tcW w:w="1249" w:type="pct"/>
            <w:shd w:val="clear" w:color="auto" w:fill="auto"/>
          </w:tcPr>
          <w:p w14:paraId="79846CC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207 (140–255)</w:t>
            </w:r>
          </w:p>
        </w:tc>
        <w:tc>
          <w:tcPr>
            <w:tcW w:w="1250" w:type="pct"/>
            <w:shd w:val="clear" w:color="auto" w:fill="auto"/>
          </w:tcPr>
          <w:p w14:paraId="02C63C4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118 (114–140)</w:t>
            </w:r>
          </w:p>
        </w:tc>
      </w:tr>
      <w:tr w14:paraId="45C0ACC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08009ECF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249" w:type="pct"/>
            <w:shd w:val="clear" w:color="auto" w:fill="auto"/>
          </w:tcPr>
          <w:p w14:paraId="5C35B3D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81 (78–82)</w:t>
            </w:r>
          </w:p>
        </w:tc>
        <w:tc>
          <w:tcPr>
            <w:tcW w:w="1249" w:type="pct"/>
            <w:shd w:val="clear" w:color="auto" w:fill="auto"/>
          </w:tcPr>
          <w:p w14:paraId="70D8526E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178 (151–273)</w:t>
            </w:r>
          </w:p>
        </w:tc>
        <w:tc>
          <w:tcPr>
            <w:tcW w:w="1250" w:type="pct"/>
            <w:shd w:val="clear" w:color="auto" w:fill="auto"/>
          </w:tcPr>
          <w:p w14:paraId="7E1EB2E8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104 (101–120)</w:t>
            </w:r>
          </w:p>
        </w:tc>
      </w:tr>
      <w:tr w14:paraId="722DC0B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69BBC0F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49" w:type="pct"/>
            <w:shd w:val="clear" w:color="auto" w:fill="auto"/>
          </w:tcPr>
          <w:p w14:paraId="3D89919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93 (88–95)</w:t>
            </w:r>
          </w:p>
        </w:tc>
        <w:tc>
          <w:tcPr>
            <w:tcW w:w="1249" w:type="pct"/>
            <w:shd w:val="clear" w:color="auto" w:fill="auto"/>
          </w:tcPr>
          <w:p w14:paraId="4B2379E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165 (149–175)</w:t>
            </w:r>
          </w:p>
        </w:tc>
        <w:tc>
          <w:tcPr>
            <w:tcW w:w="1250" w:type="pct"/>
            <w:shd w:val="clear" w:color="auto" w:fill="auto"/>
          </w:tcPr>
          <w:p w14:paraId="1D18357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99 (93–118)</w:t>
            </w:r>
          </w:p>
        </w:tc>
      </w:tr>
      <w:tr w14:paraId="15DCADE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44BABDBF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249" w:type="pct"/>
            <w:shd w:val="clear" w:color="auto" w:fill="auto"/>
          </w:tcPr>
          <w:p w14:paraId="1EF8501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95 (91–100)</w:t>
            </w:r>
          </w:p>
        </w:tc>
        <w:tc>
          <w:tcPr>
            <w:tcW w:w="1249" w:type="pct"/>
            <w:shd w:val="clear" w:color="auto" w:fill="auto"/>
          </w:tcPr>
          <w:p w14:paraId="52572C88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182 (154–240)</w:t>
            </w:r>
          </w:p>
        </w:tc>
        <w:tc>
          <w:tcPr>
            <w:tcW w:w="1250" w:type="pct"/>
            <w:shd w:val="clear" w:color="auto" w:fill="auto"/>
          </w:tcPr>
          <w:p w14:paraId="0F2E22B4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119 (111–139)</w:t>
            </w:r>
          </w:p>
        </w:tc>
      </w:tr>
      <w:tr w14:paraId="1AA0D72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65B34D2F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49" w:type="pct"/>
            <w:shd w:val="clear" w:color="auto" w:fill="auto"/>
          </w:tcPr>
          <w:p w14:paraId="6BE3BD3E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95 (87–98)</w:t>
            </w:r>
          </w:p>
        </w:tc>
        <w:tc>
          <w:tcPr>
            <w:tcW w:w="1249" w:type="pct"/>
            <w:shd w:val="clear" w:color="auto" w:fill="auto"/>
          </w:tcPr>
          <w:p w14:paraId="543D9CC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189 (173–206)</w:t>
            </w:r>
          </w:p>
        </w:tc>
        <w:tc>
          <w:tcPr>
            <w:tcW w:w="1250" w:type="pct"/>
            <w:shd w:val="clear" w:color="auto" w:fill="auto"/>
          </w:tcPr>
          <w:p w14:paraId="56D9741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175 (164–200)</w:t>
            </w:r>
          </w:p>
        </w:tc>
      </w:tr>
      <w:tr w14:paraId="38357A9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236135B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249" w:type="pct"/>
            <w:shd w:val="clear" w:color="auto" w:fill="auto"/>
          </w:tcPr>
          <w:p w14:paraId="7266F5C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111 (107–112)</w:t>
            </w:r>
          </w:p>
        </w:tc>
        <w:tc>
          <w:tcPr>
            <w:tcW w:w="1249" w:type="pct"/>
            <w:shd w:val="clear" w:color="auto" w:fill="auto"/>
          </w:tcPr>
          <w:p w14:paraId="7FD8301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187 (158–246)</w:t>
            </w:r>
          </w:p>
        </w:tc>
        <w:tc>
          <w:tcPr>
            <w:tcW w:w="1250" w:type="pct"/>
            <w:shd w:val="clear" w:color="auto" w:fill="auto"/>
          </w:tcPr>
          <w:p w14:paraId="3D58D35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167 (163–188)</w:t>
            </w:r>
          </w:p>
        </w:tc>
      </w:tr>
      <w:tr w14:paraId="2F38D39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1113EDAD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49" w:type="pct"/>
            <w:shd w:val="clear" w:color="auto" w:fill="auto"/>
          </w:tcPr>
          <w:p w14:paraId="02213B0B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116 (113–121)</w:t>
            </w:r>
          </w:p>
        </w:tc>
        <w:tc>
          <w:tcPr>
            <w:tcW w:w="1249" w:type="pct"/>
            <w:shd w:val="clear" w:color="auto" w:fill="auto"/>
          </w:tcPr>
          <w:p w14:paraId="683B091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175 (158–190)</w:t>
            </w:r>
          </w:p>
        </w:tc>
        <w:tc>
          <w:tcPr>
            <w:tcW w:w="1250" w:type="pct"/>
            <w:shd w:val="clear" w:color="auto" w:fill="auto"/>
          </w:tcPr>
          <w:p w14:paraId="26B7B55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180 (166–203)</w:t>
            </w:r>
          </w:p>
        </w:tc>
      </w:tr>
      <w:tr w14:paraId="220DF9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0E4BABF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249" w:type="pct"/>
            <w:shd w:val="clear" w:color="auto" w:fill="auto"/>
          </w:tcPr>
          <w:p w14:paraId="30201F3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125 (117–127)</w:t>
            </w:r>
          </w:p>
        </w:tc>
        <w:tc>
          <w:tcPr>
            <w:tcW w:w="1249" w:type="pct"/>
            <w:shd w:val="clear" w:color="auto" w:fill="auto"/>
          </w:tcPr>
          <w:p w14:paraId="5C0857CA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334 (282–340)</w:t>
            </w:r>
          </w:p>
        </w:tc>
        <w:tc>
          <w:tcPr>
            <w:tcW w:w="1250" w:type="pct"/>
            <w:shd w:val="clear" w:color="auto" w:fill="auto"/>
          </w:tcPr>
          <w:p w14:paraId="358623DD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240 (229–261)</w:t>
            </w:r>
          </w:p>
        </w:tc>
      </w:tr>
      <w:tr w14:paraId="58D4D69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tcBorders>
              <w:bottom w:val="single" w:color="auto" w:sz="4" w:space="0"/>
            </w:tcBorders>
            <w:shd w:val="clear" w:color="auto" w:fill="auto"/>
          </w:tcPr>
          <w:p w14:paraId="482D163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49" w:type="pct"/>
            <w:tcBorders>
              <w:bottom w:val="single" w:color="auto" w:sz="4" w:space="0"/>
            </w:tcBorders>
            <w:shd w:val="clear" w:color="auto" w:fill="auto"/>
          </w:tcPr>
          <w:p w14:paraId="37D483A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126 (119–128)</w:t>
            </w:r>
          </w:p>
        </w:tc>
        <w:tc>
          <w:tcPr>
            <w:tcW w:w="1249" w:type="pct"/>
            <w:tcBorders>
              <w:bottom w:val="single" w:color="auto" w:sz="4" w:space="0"/>
            </w:tcBorders>
            <w:shd w:val="clear" w:color="auto" w:fill="auto"/>
          </w:tcPr>
          <w:p w14:paraId="668B1B8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289 (248–296)</w:t>
            </w:r>
          </w:p>
        </w:tc>
        <w:tc>
          <w:tcPr>
            <w:tcW w:w="1250" w:type="pct"/>
            <w:tcBorders>
              <w:bottom w:val="single" w:color="auto" w:sz="4" w:space="0"/>
            </w:tcBorders>
            <w:shd w:val="clear" w:color="auto" w:fill="auto"/>
          </w:tcPr>
          <w:p w14:paraId="4F51E39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229 (216–253)</w:t>
            </w:r>
          </w:p>
        </w:tc>
      </w:tr>
      <w:tr w14:paraId="751DEF6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</w:tcBorders>
            <w:shd w:val="clear" w:color="auto" w:fill="auto"/>
          </w:tcPr>
          <w:p w14:paraId="4DB2307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Linear mixed-effects model (3D-printed vs modular cup–bone; specimen as random intercept)</w:t>
            </w:r>
          </w:p>
        </w:tc>
      </w:tr>
      <w:tr w14:paraId="5B38E12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28BFA5D8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LMM effect</w:t>
            </w:r>
          </w:p>
        </w:tc>
        <w:tc>
          <w:tcPr>
            <w:tcW w:w="1249" w:type="pct"/>
            <w:shd w:val="clear" w:color="auto" w:fill="auto"/>
          </w:tcPr>
          <w:p w14:paraId="3C968A4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β (3D − modular)</w:t>
            </w:r>
          </w:p>
        </w:tc>
        <w:tc>
          <w:tcPr>
            <w:tcW w:w="1249" w:type="pct"/>
            <w:shd w:val="clear" w:color="auto" w:fill="auto"/>
          </w:tcPr>
          <w:p w14:paraId="23E946D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250" w:type="pct"/>
            <w:shd w:val="clear" w:color="auto" w:fill="auto"/>
          </w:tcPr>
          <w:p w14:paraId="6F70F45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 xml:space="preserve"> value</w:t>
            </w:r>
          </w:p>
        </w:tc>
      </w:tr>
      <w:tr w14:paraId="30D8C4C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5A5BE2C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Group effect</w:t>
            </w:r>
          </w:p>
        </w:tc>
        <w:tc>
          <w:tcPr>
            <w:tcW w:w="1249" w:type="pct"/>
            <w:shd w:val="clear" w:color="auto" w:fill="auto"/>
          </w:tcPr>
          <w:p w14:paraId="3AA0C75A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−113.75</w:t>
            </w:r>
          </w:p>
        </w:tc>
        <w:tc>
          <w:tcPr>
            <w:tcW w:w="1249" w:type="pct"/>
            <w:shd w:val="clear" w:color="auto" w:fill="auto"/>
          </w:tcPr>
          <w:p w14:paraId="36036065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eastAsia" w:eastAsia="宋体"/>
                <w:b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−126.88 to −100.6</w:t>
            </w: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50" w:type="pct"/>
            <w:shd w:val="clear" w:color="auto" w:fill="auto"/>
          </w:tcPr>
          <w:p w14:paraId="5430E0CD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</w:tr>
      <w:tr w14:paraId="7593925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2A6A5BB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Load stage effect</w:t>
            </w:r>
          </w:p>
        </w:tc>
        <w:tc>
          <w:tcPr>
            <w:tcW w:w="1249" w:type="pct"/>
            <w:shd w:val="clear" w:color="auto" w:fill="auto"/>
          </w:tcPr>
          <w:p w14:paraId="038EA78E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33.67</w:t>
            </w:r>
          </w:p>
        </w:tc>
        <w:tc>
          <w:tcPr>
            <w:tcW w:w="1249" w:type="pct"/>
            <w:shd w:val="clear" w:color="auto" w:fill="auto"/>
          </w:tcPr>
          <w:p w14:paraId="5E776000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9.83 to 57.50</w:t>
            </w:r>
          </w:p>
        </w:tc>
        <w:tc>
          <w:tcPr>
            <w:tcW w:w="1250" w:type="pct"/>
            <w:shd w:val="clear" w:color="auto" w:fill="auto"/>
          </w:tcPr>
          <w:p w14:paraId="6F35DD54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0.006</w:t>
            </w:r>
          </w:p>
        </w:tc>
      </w:tr>
      <w:tr w14:paraId="13DB3CC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5BDB43D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Group × load interaction</w:t>
            </w:r>
          </w:p>
        </w:tc>
        <w:tc>
          <w:tcPr>
            <w:tcW w:w="1249" w:type="pct"/>
            <w:shd w:val="clear" w:color="auto" w:fill="auto"/>
          </w:tcPr>
          <w:p w14:paraId="5B0917C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−9.00</w:t>
            </w:r>
          </w:p>
        </w:tc>
        <w:tc>
          <w:tcPr>
            <w:tcW w:w="1249" w:type="pct"/>
            <w:shd w:val="clear" w:color="auto" w:fill="auto"/>
          </w:tcPr>
          <w:p w14:paraId="6B513C24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−35.25 to 17.25</w:t>
            </w:r>
          </w:p>
        </w:tc>
        <w:tc>
          <w:tcPr>
            <w:tcW w:w="1250" w:type="pct"/>
            <w:shd w:val="clear" w:color="auto" w:fill="auto"/>
          </w:tcPr>
          <w:p w14:paraId="23AB111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0.502</w:t>
            </w:r>
          </w:p>
        </w:tc>
      </w:tr>
      <w:tr w14:paraId="5F69AB3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shd w:val="clear" w:color="auto" w:fill="auto"/>
          </w:tcPr>
          <w:p w14:paraId="1E665189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EMM difference, high-load stage (μm)</w:t>
            </w:r>
          </w:p>
        </w:tc>
        <w:tc>
          <w:tcPr>
            <w:tcW w:w="1249" w:type="pct"/>
            <w:shd w:val="clear" w:color="auto" w:fill="auto"/>
          </w:tcPr>
          <w:p w14:paraId="4E153636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−122.8</w:t>
            </w:r>
          </w:p>
        </w:tc>
        <w:tc>
          <w:tcPr>
            <w:tcW w:w="1249" w:type="pct"/>
            <w:shd w:val="clear" w:color="auto" w:fill="auto"/>
          </w:tcPr>
          <w:p w14:paraId="15575B5F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50" w:type="pct"/>
            <w:shd w:val="clear" w:color="auto" w:fill="auto"/>
          </w:tcPr>
          <w:p w14:paraId="25EFB3E7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d = 3.35</w:t>
            </w:r>
          </w:p>
        </w:tc>
      </w:tr>
      <w:tr w14:paraId="12982D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tcBorders>
              <w:bottom w:val="single" w:color="000000" w:sz="12" w:space="0"/>
            </w:tcBorders>
            <w:shd w:val="clear" w:color="auto" w:fill="auto"/>
          </w:tcPr>
          <w:p w14:paraId="7A72F19C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left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Wilcoxon signed-rank, 800 cycles</w:t>
            </w:r>
          </w:p>
        </w:tc>
        <w:tc>
          <w:tcPr>
            <w:tcW w:w="1249" w:type="pct"/>
            <w:tcBorders>
              <w:bottom w:val="single" w:color="000000" w:sz="12" w:space="0"/>
            </w:tcBorders>
            <w:shd w:val="clear" w:color="auto" w:fill="auto"/>
          </w:tcPr>
          <w:p w14:paraId="149B584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49" w:type="pct"/>
            <w:tcBorders>
              <w:bottom w:val="single" w:color="000000" w:sz="12" w:space="0"/>
            </w:tcBorders>
            <w:shd w:val="clear" w:color="auto" w:fill="auto"/>
          </w:tcPr>
          <w:p w14:paraId="6786DA48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50" w:type="pct"/>
            <w:tcBorders>
              <w:bottom w:val="single" w:color="000000" w:sz="12" w:space="0"/>
            </w:tcBorders>
            <w:shd w:val="clear" w:color="auto" w:fill="auto"/>
          </w:tcPr>
          <w:p w14:paraId="020720F3">
            <w:pPr>
              <w:keepNext w:val="0"/>
              <w:keepLines w:val="0"/>
              <w:suppressLineNumbers w:val="0"/>
              <w:spacing w:before="30" w:beforeAutospacing="0" w:after="30" w:afterAutospacing="0"/>
              <w:ind w:left="0" w:right="0"/>
              <w:jc w:val="center"/>
              <w:rPr>
                <w:rFonts w:hint="default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"/>
                <w:b w:val="0"/>
                <w:i w:val="0"/>
                <w:color w:val="000000"/>
                <w:sz w:val="20"/>
                <w:szCs w:val="20"/>
              </w:rPr>
              <w:t xml:space="preserve"> = 0.0625</w:t>
            </w:r>
          </w:p>
        </w:tc>
      </w:tr>
      <w:tr w14:paraId="7844705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bottom w:val="nil"/>
            </w:tcBorders>
            <w:shd w:val="clear" w:color="auto" w:fill="auto"/>
          </w:tcPr>
          <w:p w14:paraId="4D1314D9">
            <w:pPr>
              <w:keepNext w:val="0"/>
              <w:keepLines w:val="0"/>
              <w:suppressLineNumbers w:val="0"/>
              <w:spacing w:before="60" w:beforeAutospacing="0" w:after="0" w:afterAutospacing="0"/>
              <w:ind w:left="0" w:right="0"/>
              <w:rPr>
                <w:rFonts w:hint="default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Values are median (interquartile range) of five paired cadaveric specimens. Between-group comparisons were performed using linear mixed-effects models with specimen as a random intercept (group × load stage); β denotes the estimated difference (3D-printed minus modular cup–bone). EMM, estimated marginal mean; d, standardized effect size (EMM difference divided by the residual standard deviation). The modular augment–bone interface is reported descriptively. —, not applicable</w:t>
            </w:r>
          </w:p>
          <w:p w14:paraId="62D64A15">
            <w:pPr>
              <w:keepNext w:val="0"/>
              <w:keepLines w:val="0"/>
              <w:suppressLineNumbers w:val="0"/>
              <w:spacing w:before="60" w:beforeAutospacing="0" w:after="0" w:afterAutospacing="0"/>
              <w:ind w:left="0" w:right="0"/>
              <w:rPr>
                <w:rFonts w:hint="default" w:ascii="Times New Roman" w:hAnsi="Times New Roman" w:eastAsia="Times New Roman"/>
                <w:b w:val="0"/>
                <w:i/>
                <w:iCs/>
                <w:sz w:val="20"/>
                <w:szCs w:val="20"/>
              </w:rPr>
            </w:pPr>
          </w:p>
        </w:tc>
      </w:tr>
    </w:tbl>
    <w:p w14:paraId="11ECCAE8">
      <w:r>
        <w:br w:type="page"/>
      </w:r>
    </w:p>
    <w:tbl>
      <w:tblPr>
        <w:tblStyle w:val="6"/>
        <w:tblpPr w:leftFromText="180" w:rightFromText="180" w:vertAnchor="text" w:horzAnchor="page" w:tblpXSpec="center" w:tblpY="305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956"/>
        <w:gridCol w:w="1243"/>
        <w:gridCol w:w="1243"/>
        <w:gridCol w:w="1243"/>
        <w:gridCol w:w="1244"/>
        <w:gridCol w:w="1253"/>
      </w:tblGrid>
      <w:tr w14:paraId="4227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43F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Table S7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Peak strain on the acetabular bone</w:t>
            </w:r>
          </w:p>
        </w:tc>
      </w:tr>
      <w:tr w14:paraId="2196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</w:tcPr>
          <w:p w14:paraId="2FF871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Measurement (με)</w:t>
            </w:r>
          </w:p>
        </w:tc>
        <w:tc>
          <w:tcPr>
            <w:tcW w:w="56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3D6B3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Point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Strain 1</w:t>
            </w:r>
          </w:p>
        </w:tc>
        <w:tc>
          <w:tcPr>
            <w:tcW w:w="72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1D7FAC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Point 1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Strain 2</w:t>
            </w:r>
          </w:p>
        </w:tc>
        <w:tc>
          <w:tcPr>
            <w:tcW w:w="72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A11A5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Point 2 Strain 1</w:t>
            </w:r>
          </w:p>
        </w:tc>
        <w:tc>
          <w:tcPr>
            <w:tcW w:w="72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A072B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Point 2 Strain 2</w:t>
            </w:r>
          </w:p>
        </w:tc>
        <w:tc>
          <w:tcPr>
            <w:tcW w:w="72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15449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Point 3 Strain 1</w:t>
            </w:r>
          </w:p>
        </w:tc>
        <w:tc>
          <w:tcPr>
            <w:tcW w:w="73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1AE46B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Point 3 Strain 2</w:t>
            </w:r>
          </w:p>
        </w:tc>
      </w:tr>
      <w:tr w14:paraId="5274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07C3FE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lang w:eastAsia="zh-CN"/>
              </w:rPr>
              <w:t>3D-printed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/>
                <w:sz w:val="20"/>
                <w:szCs w:val="20"/>
              </w:rPr>
              <w:t>prosthes</w:t>
            </w:r>
            <w:r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/>
                <w:sz w:val="20"/>
                <w:szCs w:val="20"/>
              </w:rPr>
              <w:t>s</w:t>
            </w:r>
            <w:r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50-500N</w:t>
            </w:r>
          </w:p>
        </w:tc>
        <w:tc>
          <w:tcPr>
            <w:tcW w:w="56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03C47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184.57 (177.96–194.95)</w:t>
            </w:r>
          </w:p>
        </w:tc>
        <w:tc>
          <w:tcPr>
            <w:tcW w:w="72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0C28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103.89 (97.62–107.20)</w:t>
            </w:r>
          </w:p>
        </w:tc>
        <w:tc>
          <w:tcPr>
            <w:tcW w:w="72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EBD3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301.23 (292.67–322.33)</w:t>
            </w:r>
          </w:p>
        </w:tc>
        <w:tc>
          <w:tcPr>
            <w:tcW w:w="72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4EC36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214.56 (204.79–220.18)</w:t>
            </w:r>
          </w:p>
        </w:tc>
        <w:tc>
          <w:tcPr>
            <w:tcW w:w="72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623BC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452.32 (430.18–481.62)</w:t>
            </w:r>
          </w:p>
        </w:tc>
        <w:tc>
          <w:tcPr>
            <w:tcW w:w="73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E2167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88.68 (82.22–90.16)</w:t>
            </w:r>
          </w:p>
        </w:tc>
      </w:tr>
      <w:tr w14:paraId="4BF5E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DAB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Modular </w:t>
            </w:r>
            <w:r>
              <w:rPr>
                <w:rFonts w:hint="default" w:ascii="Times New Roman" w:hAnsi="Times New Roman"/>
                <w:sz w:val="20"/>
                <w:szCs w:val="20"/>
              </w:rPr>
              <w:t>prosthes</w:t>
            </w:r>
            <w:r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/>
                <w:sz w:val="20"/>
                <w:szCs w:val="20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50-500N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C3F56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38.23 (37.02–39.85)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5A2F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76.23 (73.48–79.23)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3EF3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231.69 (222.01–236.34)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3F4D3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186.79 (181.13–190.73)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5D495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276.22 (270.23–281.18)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5FCE1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119.72 (116.01–123.23)</w:t>
            </w:r>
          </w:p>
        </w:tc>
      </w:tr>
      <w:tr w14:paraId="01E0C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4BFA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lang w:eastAsia="zh-CN"/>
              </w:rPr>
              <w:t>3D-printed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/>
                <w:sz w:val="20"/>
                <w:szCs w:val="20"/>
              </w:rPr>
              <w:t>prosthes</w:t>
            </w:r>
            <w:r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/>
                <w:sz w:val="20"/>
                <w:szCs w:val="20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84-840N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46C1D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334.76 (330.23–339.96)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E033C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196.50 (183.90–203.70)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CC14C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589.06 (581.40–598.73)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9DBF3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375.55 (371.28–383.73)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8197E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908.87 (883.40–917.90)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11178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166.08 (164.51–171.01)</w:t>
            </w:r>
          </w:p>
        </w:tc>
      </w:tr>
      <w:tr w14:paraId="56DFC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</w:tcPr>
          <w:p w14:paraId="7021F1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Modular </w:t>
            </w:r>
            <w:r>
              <w:rPr>
                <w:rFonts w:hint="default" w:ascii="Times New Roman" w:hAnsi="Times New Roman"/>
                <w:sz w:val="20"/>
                <w:szCs w:val="20"/>
              </w:rPr>
              <w:t>prosthes</w:t>
            </w:r>
            <w:r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/>
                <w:sz w:val="20"/>
                <w:szCs w:val="20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84-840N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2B2E79F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47.96 (45.28–50.68)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72C1C67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139.89 (136.39–141.80)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1E45FA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369.24 (360.62–373.85)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6A4D295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303.32 (299.85–307.18)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5B56F3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428.82 (417.12–436.96)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2EB3A7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190.06 (187.57–192.46)</w:t>
            </w:r>
          </w:p>
        </w:tc>
      </w:tr>
      <w:tr w14:paraId="7CDDA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F26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Data are given as median (interquartile range) [M (Q1, Q3)]. Strain data are reported descriptively;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Strain 1, Compressive; Strain 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 xml:space="preserve"> Tensile no formal statistical testing was performed for strain outcomes given the small number of paired specimens (n = 5)</w:t>
            </w:r>
          </w:p>
          <w:p w14:paraId="19A225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32653AE"/>
    <w:p w14:paraId="3840D173"/>
    <w:p w14:paraId="10A3BCE0">
      <w:pPr>
        <w:widowControl/>
        <w:jc w:val="left"/>
      </w:pPr>
      <w:r>
        <w:br w:type="page"/>
      </w:r>
    </w:p>
    <w:p w14:paraId="34A0DE0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629535"/>
            <wp:effectExtent l="0" t="0" r="3810" b="6985"/>
            <wp:docPr id="7" name="图片 7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8CC35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 xml:space="preserve">Fig. S1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zh-CN"/>
        </w:rPr>
        <w:t>Preoperative design and long-term radiographic outcomes of 3D-printed monoblock acetabular reconstruction in a representative case.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 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A representative case with a Paprosky type IIIB acetabular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defect.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Preoperative radiograph demonstrating the severe acetabular bone loss and compromised hip center.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Immediate postoperative radiograph showing the 3D-printed monoblock prosthesis in situ with satisfactory restoration of the hip center of rotation.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Radiograph at the final follow-up, confirming stable prosthesis fixation with no signs of loosening, migration, or osteolysis.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Preoperative planning and design schematic</w:t>
      </w:r>
    </w:p>
    <w:p w14:paraId="31F1778C">
      <w:pPr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br w:type="page"/>
      </w:r>
    </w:p>
    <w:p w14:paraId="175C9EFC">
      <w:pPr>
        <w:spacing w:line="360" w:lineRule="auto"/>
        <w:jc w:val="both"/>
        <w:rPr>
          <w:rFonts w:cs="Times New Roman"/>
          <w:sz w:val="20"/>
          <w:szCs w:val="20"/>
          <w:lang w:eastAsia="zh-CN"/>
        </w:rPr>
      </w:pPr>
    </w:p>
    <w:p w14:paraId="4F6832E3">
      <w:pPr>
        <w:widowControl/>
        <w:jc w:val="left"/>
      </w:pPr>
    </w:p>
    <w:p w14:paraId="3AC66B7B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658110"/>
            <wp:effectExtent l="0" t="0" r="3810" b="8890"/>
            <wp:docPr id="6" name="图片 6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0F3AF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 xml:space="preserve">Fig. S2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zh-CN"/>
        </w:rPr>
        <w:t>Preoperative design and long-term radiographic outcomes of 3D-printed monoblock acetabular reconstruction in a representative case.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 A representative case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with a Paprosky type IIIB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acetabular defect.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Preoperative radiograph demonstrating the severe acetabular bone loss and compromised hip center.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Immediate postoperative radiograph showing the 3D-printed monoblock prosthesis in situ with satisfactory restoration of the hip center of rotation.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Radiograph at the final follow-up, confirming stable prosthesis fixation with no signs of loosening, migration, or osteolysis.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Preoperative planning and design schematic</w:t>
      </w:r>
    </w:p>
    <w:p w14:paraId="76BD69B0">
      <w:pPr>
        <w:widowControl/>
        <w:jc w:val="left"/>
      </w:pPr>
    </w:p>
    <w:p w14:paraId="14B236B9">
      <w:pPr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br w:type="page"/>
      </w:r>
    </w:p>
    <w:p w14:paraId="2E9BCE3C">
      <w:pPr>
        <w:jc w:val="center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drawing>
          <wp:inline distT="0" distB="0" distL="114300" distR="114300">
            <wp:extent cx="5269230" cy="2662555"/>
            <wp:effectExtent l="0" t="0" r="3810" b="4445"/>
            <wp:docPr id="8" name="图片 8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D2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 xml:space="preserve">Fig. S3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zh-CN"/>
        </w:rPr>
        <w:t>Preoperative design and long-term radiographic outcomes of 3D-printed monoblock acetabular reconstruction in a representative case.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 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A representative case with a Paprosky type IIC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acetabular defect.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Preoperative radiograph demonstrating the severe acetabular bone loss and compromised hip center.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Immediate postoperative radiograph showing the 3D-printed monoblock prosthesis in situ with satisfactory restoration of the hip center of rotation.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Radiograph at the final follow-up, confirming stable prosthesis fixation with no signs of loosening, migration, or osteolysis.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Preoperative planning and design schematic</w:t>
      </w:r>
    </w:p>
    <w:p w14:paraId="20F6E156">
      <w:r>
        <w:br w:type="page"/>
      </w:r>
    </w:p>
    <w:p w14:paraId="3143C59F">
      <w:pPr>
        <w:widowControl/>
        <w:jc w:val="left"/>
      </w:pPr>
    </w:p>
    <w:p w14:paraId="34AB76A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3324860"/>
            <wp:effectExtent l="0" t="0" r="4445" b="12700"/>
            <wp:docPr id="2" name="图片 2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8C4A9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 xml:space="preserve">Fig. S4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zh-CN"/>
        </w:rPr>
        <w:t>Comparison of periacetabular bone strain under the two loading protocols.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a, b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Strain distribution under the low-magnitude load (50-500 N) for the modular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)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and 3D-print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ed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(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) groups.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c, d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Strain distribution under the high-magnitude load (84-840 N) for the modular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c)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and 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3D-printed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(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) groups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63474"/>
    <w:rsid w:val="002F24EC"/>
    <w:rsid w:val="007A3406"/>
    <w:rsid w:val="008D7F79"/>
    <w:rsid w:val="00A66ABA"/>
    <w:rsid w:val="00CD7C7B"/>
    <w:rsid w:val="080C0DE8"/>
    <w:rsid w:val="0DA63A8D"/>
    <w:rsid w:val="11CB63BC"/>
    <w:rsid w:val="182757CA"/>
    <w:rsid w:val="196D1903"/>
    <w:rsid w:val="1C5A43C0"/>
    <w:rsid w:val="21563474"/>
    <w:rsid w:val="252D037A"/>
    <w:rsid w:val="2A930DF4"/>
    <w:rsid w:val="2B3203D7"/>
    <w:rsid w:val="30236830"/>
    <w:rsid w:val="384B28DB"/>
    <w:rsid w:val="41404EFB"/>
    <w:rsid w:val="441647C1"/>
    <w:rsid w:val="4B517E8D"/>
    <w:rsid w:val="4BCE055F"/>
    <w:rsid w:val="55FF01DB"/>
    <w:rsid w:val="56096BE2"/>
    <w:rsid w:val="562F3EE5"/>
    <w:rsid w:val="595A2602"/>
    <w:rsid w:val="5C0A4EBC"/>
    <w:rsid w:val="5E982601"/>
    <w:rsid w:val="66A001EE"/>
    <w:rsid w:val="6B76679B"/>
    <w:rsid w:val="6E2434B3"/>
    <w:rsid w:val="71583A76"/>
    <w:rsid w:val="73E951C8"/>
    <w:rsid w:val="7EC940B1"/>
    <w:rsid w:val="7F71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874CB" w:themeColor="accent1"/>
      <w:spacing w:val="15"/>
      <w:sz w:val="24"/>
      <w14:textFill>
        <w14:solidFill>
          <w14:schemeClr w14:val="accent1"/>
        </w14:solidFill>
      </w14:textFill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paragraph" w:customStyle="1" w:styleId="10">
    <w:name w:val="Author List"/>
    <w:basedOn w:val="4"/>
    <w:next w:val="1"/>
    <w:qFormat/>
    <w:uiPriority w:val="1"/>
    <w:pPr>
      <w:spacing w:before="240"/>
      <w:jc w:val="left"/>
    </w:pPr>
    <w:rPr>
      <w:rFonts w:ascii="Times New Roman" w:hAnsi="Times New Roman" w:cs="Times New Roman" w:eastAsiaTheme="minorHAnsi"/>
      <w:b/>
      <w:color w:val="000000"/>
      <w:spacing w:val="0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1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24</Words>
  <Characters>188</Characters>
  <Lines>631</Lines>
  <Paragraphs>512</Paragraphs>
  <TotalTime>5</TotalTime>
  <ScaleCrop>false</ScaleCrop>
  <LinksUpToDate>false</LinksUpToDate>
  <CharactersWithSpaces>211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2026-09-21T02:47:00Z</dcterms:created>
  <dc:creator>千里堤</dc:creator>
  <cp:lastModifiedBy>千里堤</cp:lastModifiedBy>
  <dcterms:modified xsi:type="dcterms:W3CDTF">2026-10-16T09:14:12Z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E0CCEC2BDF5840A7853716116B9DF758_11</vt:lpwstr>
  </property>
  <property fmtid="{D5CDD505-2E9C-101B-9397-08002B2CF9AE}" pid="4" name="KSOTemplateDocerSaveRecord">
    <vt:lpwstr>eyJoZGlkIjoiNmQ2MDE4OGM4NzdiZDE3MGIwZWFlNWRlZWZlNTljN2EiLCJ1c2VySWQiOiI3MDI2MDQzNTYifQ==</vt:lpwstr>
  </property>
</Properties>
</file>