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422E18">
      <w:pPr>
        <w:spacing w:line="288" w:lineRule="auto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Highlights:</w:t>
      </w:r>
    </w:p>
    <w:p w14:paraId="61F4B404">
      <w:pPr>
        <w:numPr>
          <w:ilvl w:val="0"/>
          <w:numId w:val="1"/>
        </w:numPr>
        <w:ind w:left="0" w:leftChars="0" w:firstLine="0" w:firstLineChars="0"/>
        <w:rPr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Wastewater-derived WEAX enabled the modification of wheat gluten properties.</w:t>
      </w:r>
    </w:p>
    <w:p w14:paraId="399F70F6"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Oscillating-plate ultrasonication reorganized WEAX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>gluten networks within 10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>40 s.</w:t>
      </w:r>
    </w:p>
    <w:p w14:paraId="6A5C6575"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Peak numerical hardness at 20 s coincided with reduced disulfide content.</w:t>
      </w:r>
    </w:p>
    <w:p w14:paraId="0D7BC7EB"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Texture and gastric digestibility showed distinct responses to sonication duration.</w:t>
      </w:r>
    </w:p>
    <w:p w14:paraId="0908C763"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r>
        <w:rPr>
          <w:rFonts w:hint="default" w:ascii="Times New Roman" w:hAnsi="Times New Roman" w:cs="Times New Roman"/>
          <w:sz w:val="28"/>
          <w:szCs w:val="28"/>
        </w:rPr>
        <w:t>Ultrasonication partly alleviated WEAX-associated gastric digestion inhibition.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9EDD4B"/>
    <w:multiLevelType w:val="singleLevel"/>
    <w:tmpl w:val="479EDD4B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9A0927"/>
    <w:rsid w:val="02272B14"/>
    <w:rsid w:val="06503403"/>
    <w:rsid w:val="139416F7"/>
    <w:rsid w:val="241D724F"/>
    <w:rsid w:val="2A9A0927"/>
    <w:rsid w:val="306E1932"/>
    <w:rsid w:val="50461704"/>
    <w:rsid w:val="55A434C9"/>
    <w:rsid w:val="5DFD6913"/>
    <w:rsid w:val="735F4386"/>
    <w:rsid w:val="76A55650"/>
    <w:rsid w:val="77F33E46"/>
    <w:rsid w:val="7F606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480" w:lineRule="auto"/>
      <w:ind w:firstLine="0" w:firstLineChars="0"/>
      <w:outlineLvl w:val="0"/>
    </w:pPr>
    <w:rPr>
      <w:rFonts w:ascii="Times New Roman" w:hAnsi="Times New Roman"/>
      <w:b/>
      <w:kern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480" w:lineRule="auto"/>
      <w:ind w:firstLine="0" w:firstLineChars="0"/>
      <w:outlineLvl w:val="1"/>
    </w:pPr>
    <w:rPr>
      <w:rFonts w:ascii="Times New Roman" w:hAnsi="Times New Roman" w:eastAsia="黑体"/>
      <w:b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480" w:lineRule="auto"/>
      <w:jc w:val="left"/>
      <w:outlineLvl w:val="2"/>
    </w:pPr>
    <w:rPr>
      <w:rFonts w:ascii="Times New Roman" w:hAnsi="Times New Roman"/>
      <w:b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480" w:lineRule="auto"/>
      <w:jc w:val="left"/>
      <w:outlineLvl w:val="3"/>
    </w:pPr>
    <w:rPr>
      <w:rFonts w:ascii="Times New Roman" w:hAnsi="Times New Roman" w:eastAsia="黑体"/>
      <w:b/>
      <w:sz w:val="21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Bibliography Entry"/>
    <w:basedOn w:val="1"/>
    <w:qFormat/>
    <w:uiPriority w:val="0"/>
    <w:pPr>
      <w:spacing w:line="480" w:lineRule="auto"/>
      <w:ind w:left="720" w:hanging="720"/>
      <w:jc w:val="both"/>
    </w:pPr>
    <w:rPr>
      <w:rFonts w:ascii="Times New Roman" w:hAnsi="Times New Roman" w:eastAsia="Times New Roman"/>
      <w:sz w:val="24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</Words>
  <Characters>252</Characters>
  <Lines>0</Lines>
  <Paragraphs>0</Paragraphs>
  <TotalTime>9</TotalTime>
  <ScaleCrop>false</ScaleCrop>
  <LinksUpToDate>false</LinksUpToDate>
  <CharactersWithSpaces>273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2026-09-30T08:55:00Z</dcterms:created>
  <dc:creator>夕夜</dc:creator>
  <cp:lastModifiedBy>夕夜</cp:lastModifiedBy>
  <dcterms:modified xsi:type="dcterms:W3CDTF">2026-10-13T13:08:01Z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DD16A06566EA48C096C6C3685305E779_11</vt:lpwstr>
  </property>
  <property fmtid="{D5CDD505-2E9C-101B-9397-08002B2CF9AE}" pid="4" name="KSOTemplateDocerSaveRecord">
    <vt:lpwstr>eyJoZGlkIjoiNWNmM2U5MzIwM2Q1N2JiMmVlYjZhNmU5YTJmMWU3YzIiLCJ1c2VySWQiOiIxMTIwODI1NjUwIn0=</vt:lpwstr>
  </property>
</Properties>
</file>