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5B8BB" w14:textId="77777777" w:rsidR="00C94553" w:rsidRDefault="00C94553" w:rsidP="00C94553">
      <w:pPr>
        <w:pStyle w:val="Corps"/>
        <w:spacing w:line="480" w:lineRule="auto"/>
        <w:jc w:val="both"/>
        <w:rPr>
          <w:rStyle w:val="Aucun"/>
          <w:rFonts w:ascii="Times New Roman" w:eastAsia="Times New Roman" w:hAnsi="Times New Roman" w:cs="Times New Roman"/>
        </w:rPr>
      </w:pPr>
      <w:r>
        <w:rPr>
          <w:rStyle w:val="Aucun"/>
          <w:rFonts w:ascii="Times New Roman" w:hAnsi="Times New Roman"/>
          <w:b/>
          <w:bCs/>
        </w:rPr>
        <w:t xml:space="preserve">Supp fig. 1. Chi3L1 is mainly detected in the inflammatory senescent synoviocytes fibroblasts subtype 2 population (A) </w:t>
      </w:r>
      <w:r>
        <w:rPr>
          <w:rStyle w:val="Aucun"/>
          <w:rFonts w:ascii="Times New Roman" w:hAnsi="Times New Roman"/>
        </w:rPr>
        <w:t>UMAP projection of single cell RNA-seq data showing Chi3L1 expression across different human OA synovium cell subpopulations</w:t>
      </w:r>
      <w:r>
        <w:rPr>
          <w:rStyle w:val="Aucun"/>
          <w:rFonts w:ascii="Times New Roman" w:hAnsi="Times New Roman"/>
          <w:b/>
          <w:bCs/>
        </w:rPr>
        <w:t xml:space="preserve"> (B) </w:t>
      </w:r>
      <w:r>
        <w:rPr>
          <w:rStyle w:val="Aucun"/>
          <w:rFonts w:ascii="Times New Roman" w:hAnsi="Times New Roman"/>
        </w:rPr>
        <w:t xml:space="preserve">Heatmap of different gene expression across three synovial-fibroblasts subtypes, with Chi3L1 enrichment in SF subtype 2 cell subpopulation. </w:t>
      </w:r>
    </w:p>
    <w:p w14:paraId="790CCD20" w14:textId="77777777" w:rsidR="00C94553" w:rsidRPr="000E2B6A" w:rsidRDefault="00C94553" w:rsidP="00C94553">
      <w:pPr>
        <w:pStyle w:val="Corps"/>
        <w:spacing w:line="480" w:lineRule="auto"/>
        <w:jc w:val="both"/>
        <w:rPr>
          <w:rStyle w:val="Aucun"/>
          <w:rFonts w:ascii="Times New Roman" w:eastAsia="Times New Roman" w:hAnsi="Times New Roman" w:cs="Times New Roman"/>
        </w:rPr>
      </w:pPr>
      <w:r>
        <w:rPr>
          <w:rStyle w:val="Aucun"/>
          <w:rFonts w:ascii="Times New Roman" w:hAnsi="Times New Roman"/>
          <w:b/>
          <w:bCs/>
        </w:rPr>
        <w:t xml:space="preserve">Supp fig. 2. Metformin treatment presented no detected ameliorative effect on bone structural architecture (A-E) </w:t>
      </w:r>
      <w:r>
        <w:rPr>
          <w:rStyle w:val="Aucun"/>
          <w:rFonts w:ascii="Times New Roman" w:hAnsi="Times New Roman"/>
        </w:rPr>
        <w:t>Representative image of lateral and medial subchondral bone</w:t>
      </w:r>
      <w:r>
        <w:rPr>
          <w:rStyle w:val="Aucun"/>
          <w:rFonts w:ascii="Times New Roman" w:hAnsi="Times New Roman"/>
          <w:b/>
          <w:bCs/>
        </w:rPr>
        <w:t xml:space="preserve"> (B-F) </w:t>
      </w:r>
      <w:r>
        <w:rPr>
          <w:rStyle w:val="Aucun"/>
          <w:rFonts w:ascii="Times New Roman" w:hAnsi="Times New Roman"/>
        </w:rPr>
        <w:t>Quantification of joint subchondral bone microarchitectural parameters: bone volume, bone surface/bone volume (BS/BV) and thickness. Each dot represents a mouse (n=9 per group).</w:t>
      </w:r>
      <w:r>
        <w:rPr>
          <w:rStyle w:val="Aucun"/>
          <w:rFonts w:ascii="Times New Roman" w:hAnsi="Times New Roman"/>
          <w:b/>
          <w:bCs/>
        </w:rPr>
        <w:t xml:space="preserve"> (C-G) </w:t>
      </w:r>
      <w:r>
        <w:rPr>
          <w:rStyle w:val="Aucun"/>
          <w:rFonts w:ascii="Times New Roman" w:hAnsi="Times New Roman"/>
        </w:rPr>
        <w:t xml:space="preserve">Representative image of lateral and medial epiphysis </w:t>
      </w:r>
      <w:r>
        <w:rPr>
          <w:rStyle w:val="Aucun"/>
          <w:rFonts w:ascii="Times New Roman" w:hAnsi="Times New Roman"/>
          <w:b/>
          <w:bCs/>
        </w:rPr>
        <w:t xml:space="preserve">(D-H) </w:t>
      </w:r>
      <w:r>
        <w:rPr>
          <w:rStyle w:val="Aucun"/>
          <w:rFonts w:ascii="Times New Roman" w:hAnsi="Times New Roman"/>
        </w:rPr>
        <w:t>Quantification of joint subchondral bone microarchitectural parameters: trabecular number, trabecular thickness and bone volume. Each dot represents a mouse (n=9 per group).</w:t>
      </w:r>
      <w:r>
        <w:rPr>
          <w:rStyle w:val="Aucun"/>
          <w:rFonts w:ascii="Times New Roman" w:hAnsi="Times New Roman"/>
          <w:b/>
          <w:bCs/>
        </w:rPr>
        <w:t xml:space="preserve"> (I) </w:t>
      </w:r>
      <w:r>
        <w:rPr>
          <w:rStyle w:val="Aucun"/>
          <w:rFonts w:ascii="Times New Roman" w:hAnsi="Times New Roman"/>
        </w:rPr>
        <w:t>Histological scoring of joint osteophyte. Each dot represents a mouse (n=9 per group).</w:t>
      </w:r>
      <w:r>
        <w:rPr>
          <w:rStyle w:val="Aucun"/>
          <w:rFonts w:ascii="Times New Roman" w:hAnsi="Times New Roman"/>
          <w:b/>
          <w:bCs/>
        </w:rPr>
        <w:t xml:space="preserve"> </w:t>
      </w:r>
      <w:r w:rsidRPr="000E2B6A">
        <w:rPr>
          <w:rStyle w:val="Aucun"/>
          <w:rFonts w:ascii="Times New Roman" w:hAnsi="Times New Roman"/>
        </w:rPr>
        <w:t>Data are expressed as means ± SEM. *p &lt; 0,05, **p &lt; 0,01, ***p &lt; 0,001. Two-tailed Man-Whitney test for (B) (D) (F) (H) (I)</w:t>
      </w:r>
      <w:r>
        <w:rPr>
          <w:rStyle w:val="Aucun"/>
          <w:rFonts w:ascii="Times New Roman" w:hAnsi="Times New Roman"/>
        </w:rPr>
        <w:t>.</w:t>
      </w:r>
    </w:p>
    <w:p w14:paraId="7B2633BE" w14:textId="77777777" w:rsidR="00C94553" w:rsidRPr="004E19BC" w:rsidRDefault="00C94553" w:rsidP="00C94553">
      <w:pPr>
        <w:pStyle w:val="Corps"/>
        <w:spacing w:line="480" w:lineRule="auto"/>
        <w:jc w:val="both"/>
        <w:rPr>
          <w:rStyle w:val="Aucun"/>
          <w:rFonts w:ascii="Times New Roman" w:eastAsia="Times New Roman" w:hAnsi="Times New Roman" w:cs="Times New Roman"/>
          <w:i/>
          <w:iCs/>
        </w:rPr>
      </w:pPr>
      <w:r>
        <w:rPr>
          <w:rStyle w:val="Aucun"/>
          <w:rFonts w:ascii="Times New Roman" w:hAnsi="Times New Roman"/>
          <w:b/>
          <w:bCs/>
        </w:rPr>
        <w:t xml:space="preserve">Supp fig. 3. Different senescent BM-MSCs model presented common increase of CHI3L1 level (A) </w:t>
      </w:r>
      <w:r>
        <w:rPr>
          <w:rStyle w:val="Aucun"/>
          <w:rFonts w:ascii="Times New Roman" w:hAnsi="Times New Roman"/>
        </w:rPr>
        <w:t>Schematic showing BM-MSCs treatment with etoposide (12,5µM) vs DMSO for 24 hours than cultured for ten days</w:t>
      </w:r>
      <w:r>
        <w:rPr>
          <w:rStyle w:val="Aucun"/>
          <w:rFonts w:ascii="Times New Roman" w:hAnsi="Times New Roman"/>
          <w:b/>
          <w:bCs/>
        </w:rPr>
        <w:t xml:space="preserve"> (B) </w:t>
      </w:r>
      <w:r>
        <w:rPr>
          <w:rStyle w:val="Aucun"/>
          <w:rFonts w:ascii="Times New Roman" w:hAnsi="Times New Roman"/>
        </w:rPr>
        <w:t>Quantification of SA-β-gal staining positive of proliferative BM-MSCs (DMSO) versus senescent (Etoposide). Each dot represents an independent biological replicate (n=6 per group)</w:t>
      </w:r>
      <w:r>
        <w:rPr>
          <w:rStyle w:val="Aucun"/>
          <w:rFonts w:ascii="Times New Roman" w:hAnsi="Times New Roman"/>
          <w:b/>
          <w:bCs/>
        </w:rPr>
        <w:t xml:space="preserve"> (C) </w:t>
      </w:r>
      <w:r>
        <w:rPr>
          <w:rStyle w:val="Aucun"/>
          <w:rFonts w:ascii="Times New Roman" w:hAnsi="Times New Roman"/>
        </w:rPr>
        <w:t>Relative quantification of Chi3L1 secreted level at day 10 by Elisa. Each dot represents an independent biological replicate (n=6 per group)</w:t>
      </w:r>
      <w:r>
        <w:rPr>
          <w:rStyle w:val="Aucun"/>
          <w:rFonts w:ascii="Times New Roman" w:hAnsi="Times New Roman"/>
          <w:b/>
          <w:bCs/>
        </w:rPr>
        <w:t xml:space="preserve"> (D) </w:t>
      </w:r>
      <w:r>
        <w:rPr>
          <w:rStyle w:val="Aucun"/>
          <w:rFonts w:ascii="Times New Roman" w:hAnsi="Times New Roman"/>
        </w:rPr>
        <w:t>Schematic showing BM-MSCs transfection with siRNA Control (10mM) vs siRNAs targeting FERMT2, and CBX4 then cultured for one week</w:t>
      </w:r>
      <w:r>
        <w:rPr>
          <w:rStyle w:val="Aucun"/>
          <w:rFonts w:ascii="Times New Roman" w:hAnsi="Times New Roman"/>
          <w:b/>
          <w:bCs/>
        </w:rPr>
        <w:t xml:space="preserve"> (E) </w:t>
      </w:r>
      <w:r>
        <w:rPr>
          <w:rStyle w:val="Aucun"/>
          <w:rFonts w:ascii="Times New Roman" w:hAnsi="Times New Roman"/>
        </w:rPr>
        <w:t xml:space="preserve">Representatives images and their relative quantification of SA-β-gal staining positive of proliferative BM-MSCs (siControl) versus senescent-induced (siFERMT2, siCBX4) Each dot represents an </w:t>
      </w:r>
      <w:r>
        <w:rPr>
          <w:rStyle w:val="Aucun"/>
          <w:rFonts w:ascii="Times New Roman" w:hAnsi="Times New Roman"/>
        </w:rPr>
        <w:lastRenderedPageBreak/>
        <w:t xml:space="preserve">independent biological replicate (n=14 per group) </w:t>
      </w:r>
      <w:r>
        <w:rPr>
          <w:rStyle w:val="Aucun"/>
          <w:rFonts w:ascii="Times New Roman" w:hAnsi="Times New Roman"/>
          <w:b/>
          <w:bCs/>
        </w:rPr>
        <w:t xml:space="preserve">(F) </w:t>
      </w:r>
      <w:r>
        <w:rPr>
          <w:rStyle w:val="Aucun"/>
          <w:rFonts w:ascii="Times New Roman" w:hAnsi="Times New Roman"/>
        </w:rPr>
        <w:t>Relative quantification of Chi3L1 secreted level at day 7 by Elisa. Each dot represents an independent biological replicate (n=8 per group).</w:t>
      </w:r>
      <w:r>
        <w:rPr>
          <w:rStyle w:val="Aucun"/>
          <w:rFonts w:ascii="Times New Roman" w:hAnsi="Times New Roman"/>
          <w:b/>
          <w:bCs/>
        </w:rPr>
        <w:t xml:space="preserve"> </w:t>
      </w:r>
      <w:r w:rsidRPr="000E2B6A">
        <w:rPr>
          <w:rStyle w:val="Aucun"/>
          <w:rFonts w:ascii="Times New Roman" w:hAnsi="Times New Roman"/>
        </w:rPr>
        <w:t>Data are expressed as means ± SEM. *p &lt; 0,05, **p &lt; 0,01, ***p &lt; 0,001. Two-tailed Wilcoxon’s matched pair test for (B) (C) and corrected Friedman test for (E) (F).</w:t>
      </w:r>
    </w:p>
    <w:p w14:paraId="039BE841" w14:textId="77777777" w:rsidR="00C94553" w:rsidRDefault="00C94553" w:rsidP="00C94553">
      <w:pPr>
        <w:pStyle w:val="Corps"/>
        <w:spacing w:line="480" w:lineRule="auto"/>
        <w:jc w:val="both"/>
        <w:rPr>
          <w:rStyle w:val="Aucun"/>
          <w:rFonts w:ascii="Times New Roman" w:hAnsi="Times New Roman"/>
        </w:rPr>
      </w:pPr>
      <w:r>
        <w:rPr>
          <w:rStyle w:val="Aucun"/>
          <w:rFonts w:ascii="Times New Roman" w:hAnsi="Times New Roman"/>
        </w:rPr>
        <w:t>Supplementary Data</w:t>
      </w:r>
    </w:p>
    <w:p w14:paraId="0F29AC34" w14:textId="77777777" w:rsidR="00C94553" w:rsidRPr="000E2B6A" w:rsidRDefault="00C94553" w:rsidP="00C94553">
      <w:pPr>
        <w:pStyle w:val="Corps"/>
        <w:spacing w:line="480" w:lineRule="auto"/>
        <w:jc w:val="both"/>
        <w:rPr>
          <w:rStyle w:val="Aucun"/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2B8F7172" wp14:editId="38FFF031">
            <wp:extent cx="5727700" cy="3041374"/>
            <wp:effectExtent l="0" t="0" r="0" b="0"/>
            <wp:docPr id="79342297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422972" name="Picture 793422972"/>
                    <pic:cNvPicPr/>
                  </pic:nvPicPr>
                  <pic:blipFill rotWithShape="1">
                    <a:blip r:embed="rId4"/>
                    <a:srcRect b="632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30413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C00F45" w14:textId="77777777" w:rsidR="00C94553" w:rsidRDefault="00C94553" w:rsidP="00C94553">
      <w:pPr>
        <w:pStyle w:val="Corps"/>
        <w:spacing w:line="480" w:lineRule="auto"/>
        <w:jc w:val="both"/>
      </w:pPr>
      <w:r>
        <w:rPr>
          <w:noProof/>
          <w14:textOutline w14:w="0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 wp14:anchorId="4DAE501B" wp14:editId="33440083">
            <wp:extent cx="5727700" cy="3597965"/>
            <wp:effectExtent l="0" t="0" r="0" b="0"/>
            <wp:docPr id="49494071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940719" name="Picture 494940719"/>
                    <pic:cNvPicPr/>
                  </pic:nvPicPr>
                  <pic:blipFill rotWithShape="1">
                    <a:blip r:embed="rId5"/>
                    <a:srcRect b="565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3597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16B5BC" w14:textId="77777777" w:rsidR="00C94553" w:rsidRDefault="00C94553" w:rsidP="00C94553">
      <w:pPr>
        <w:pStyle w:val="Corps"/>
        <w:spacing w:line="480" w:lineRule="auto"/>
        <w:jc w:val="both"/>
      </w:pPr>
    </w:p>
    <w:p w14:paraId="2546EE2D" w14:textId="77777777" w:rsidR="00C94553" w:rsidRDefault="00C94553" w:rsidP="00C94553">
      <w:pPr>
        <w:pStyle w:val="Corps"/>
        <w:spacing w:line="480" w:lineRule="auto"/>
        <w:jc w:val="both"/>
      </w:pPr>
      <w:r>
        <w:rPr>
          <w:noProof/>
          <w14:textOutline w14:w="0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 wp14:anchorId="52D48039" wp14:editId="3D47F45B">
            <wp:extent cx="5727700" cy="5267739"/>
            <wp:effectExtent l="0" t="0" r="0" b="3175"/>
            <wp:docPr id="63161938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619388" name="Picture 631619388"/>
                    <pic:cNvPicPr/>
                  </pic:nvPicPr>
                  <pic:blipFill rotWithShape="1">
                    <a:blip r:embed="rId6"/>
                    <a:srcRect b="363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52677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2BF802" w14:textId="77777777" w:rsidR="00C94553" w:rsidRDefault="00C94553" w:rsidP="00C94553">
      <w:pPr>
        <w:pStyle w:val="Corps"/>
        <w:spacing w:line="480" w:lineRule="auto"/>
        <w:jc w:val="both"/>
      </w:pPr>
    </w:p>
    <w:p w14:paraId="0AD63F65" w14:textId="77777777" w:rsidR="00C94553" w:rsidRDefault="00C94553" w:rsidP="00C94553">
      <w:pPr>
        <w:pStyle w:val="Corps"/>
        <w:spacing w:line="480" w:lineRule="auto"/>
        <w:jc w:val="both"/>
      </w:pPr>
    </w:p>
    <w:p w14:paraId="584AB0ED" w14:textId="77777777" w:rsidR="00C94553" w:rsidRDefault="00C94553" w:rsidP="00C94553">
      <w:pPr>
        <w:pStyle w:val="Corps"/>
        <w:spacing w:line="480" w:lineRule="auto"/>
        <w:jc w:val="both"/>
      </w:pPr>
    </w:p>
    <w:p w14:paraId="44724685" w14:textId="77777777" w:rsidR="00C94553" w:rsidRDefault="00C94553" w:rsidP="00C94553">
      <w:pPr>
        <w:pStyle w:val="Corps"/>
        <w:spacing w:line="480" w:lineRule="auto"/>
        <w:jc w:val="both"/>
      </w:pPr>
    </w:p>
    <w:p w14:paraId="6F082EA9" w14:textId="77777777" w:rsidR="00C94553" w:rsidRDefault="00C94553" w:rsidP="00C94553">
      <w:pPr>
        <w:pStyle w:val="Corps"/>
        <w:spacing w:line="480" w:lineRule="auto"/>
        <w:jc w:val="both"/>
      </w:pPr>
    </w:p>
    <w:p w14:paraId="27F2FB23" w14:textId="77777777" w:rsidR="00C94553" w:rsidRDefault="00C94553" w:rsidP="00C94553">
      <w:pPr>
        <w:pStyle w:val="Corps"/>
        <w:spacing w:line="480" w:lineRule="auto"/>
        <w:jc w:val="both"/>
      </w:pPr>
    </w:p>
    <w:p w14:paraId="2F993D5D" w14:textId="77777777" w:rsidR="00C94553" w:rsidRDefault="00C94553" w:rsidP="00C94553">
      <w:pPr>
        <w:pStyle w:val="Corps"/>
        <w:spacing w:line="480" w:lineRule="auto"/>
        <w:jc w:val="both"/>
      </w:pPr>
    </w:p>
    <w:p w14:paraId="24D3F5D9" w14:textId="77777777" w:rsidR="00C94553" w:rsidRDefault="00C94553" w:rsidP="00C94553">
      <w:pPr>
        <w:rPr>
          <w:b/>
          <w:bCs/>
          <w:color w:val="000000"/>
          <w:u w:color="000000"/>
        </w:rPr>
      </w:pPr>
      <w:r>
        <w:rPr>
          <w:b/>
          <w:bCs/>
          <w:noProof/>
          <w:color w:val="000000"/>
          <w:u w:color="000000"/>
        </w:rPr>
        <w:lastRenderedPageBreak/>
        <w:drawing>
          <wp:inline distT="0" distB="0" distL="0" distR="0" wp14:anchorId="0C76253F" wp14:editId="2B7FA1BA">
            <wp:extent cx="5724939" cy="7838848"/>
            <wp:effectExtent l="0" t="0" r="0" b="0"/>
            <wp:docPr id="211971295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712956" name="Picture 2119712956"/>
                    <pic:cNvPicPr/>
                  </pic:nvPicPr>
                  <pic:blipFill rotWithShape="1">
                    <a:blip r:embed="rId7"/>
                    <a:srcRect l="11454" t="8094" r="4896" b="109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865" cy="78620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8B503C" w14:textId="77777777" w:rsidR="00C94553" w:rsidRPr="005E6C00" w:rsidRDefault="00C94553" w:rsidP="00C94553">
      <w:pPr>
        <w:rPr>
          <w:b/>
          <w:bCs/>
        </w:rPr>
      </w:pPr>
      <w:r>
        <w:rPr>
          <w:color w:val="000000"/>
          <w:u w:color="000000"/>
        </w:rPr>
        <w:t xml:space="preserve">Supplementary table </w:t>
      </w:r>
      <w:r w:rsidRPr="005E6C00">
        <w:rPr>
          <w:color w:val="000000"/>
          <w:u w:color="000000"/>
        </w:rPr>
        <w:t>1.</w:t>
      </w:r>
      <w:r>
        <w:rPr>
          <w:b/>
          <w:bCs/>
          <w:color w:val="000000"/>
          <w:u w:color="000000"/>
        </w:rPr>
        <w:t xml:space="preserve"> </w:t>
      </w:r>
      <w:r w:rsidRPr="005E6C00">
        <w:rPr>
          <w:b/>
          <w:bCs/>
          <w:color w:val="000000"/>
          <w:u w:color="000000"/>
        </w:rPr>
        <w:t>Primer sequences used for gene-specific amplification in</w:t>
      </w:r>
      <w:r>
        <w:rPr>
          <w:b/>
          <w:bCs/>
          <w:color w:val="000000"/>
          <w:u w:color="000000"/>
        </w:rPr>
        <w:t xml:space="preserve"> </w:t>
      </w:r>
      <w:r w:rsidRPr="005E6C00">
        <w:rPr>
          <w:b/>
          <w:bCs/>
          <w:color w:val="000000"/>
          <w:u w:color="000000"/>
        </w:rPr>
        <w:t>transcriptomic analysis</w:t>
      </w:r>
    </w:p>
    <w:p w14:paraId="6591F5CC" w14:textId="77777777" w:rsidR="00C94553" w:rsidRDefault="00C94553" w:rsidP="00C94553">
      <w:pPr>
        <w:pStyle w:val="Corps"/>
        <w:spacing w:line="480" w:lineRule="auto"/>
        <w:jc w:val="both"/>
      </w:pPr>
    </w:p>
    <w:p w14:paraId="31254D32" w14:textId="77777777" w:rsidR="008B07A6" w:rsidRDefault="008B07A6"/>
    <w:sectPr w:rsidR="008B07A6" w:rsidSect="00C94553">
      <w:headerReference w:type="default" r:id="rId8"/>
      <w:footerReference w:type="default" r:id="rId9"/>
      <w:pgSz w:w="11900" w:h="16840"/>
      <w:pgMar w:top="1440" w:right="1440" w:bottom="1440" w:left="1440" w:header="708" w:footer="708" w:gutter="0"/>
      <w:lnNumType w:countBy="1" w:restart="continuous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27FDF" w14:textId="77777777" w:rsidR="00C94553" w:rsidRDefault="00C94553">
    <w:pPr>
      <w:pStyle w:val="Head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C2D1E" w14:textId="77777777" w:rsidR="00C94553" w:rsidRDefault="00C9455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553"/>
    <w:rsid w:val="00066677"/>
    <w:rsid w:val="00153A17"/>
    <w:rsid w:val="001A37F3"/>
    <w:rsid w:val="001E79A9"/>
    <w:rsid w:val="003A4E89"/>
    <w:rsid w:val="00556784"/>
    <w:rsid w:val="008B07A6"/>
    <w:rsid w:val="0097029A"/>
    <w:rsid w:val="00987B63"/>
    <w:rsid w:val="00990454"/>
    <w:rsid w:val="00A234E6"/>
    <w:rsid w:val="00BF13F9"/>
    <w:rsid w:val="00C94553"/>
    <w:rsid w:val="00CE738E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7E544"/>
  <w15:chartTrackingRefBased/>
  <w15:docId w15:val="{8EA701ED-0A02-45E6-96FE-CBDCC7823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55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4553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bdr w:val="none" w:sz="0" w:space="0" w:color="auto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4553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bdr w:val="none" w:sz="0" w:space="0" w:color="auto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4553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bdr w:val="none" w:sz="0" w:space="0" w:color="auto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4553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bdr w:val="none" w:sz="0" w:space="0" w:color="auto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4553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bdr w:val="none" w:sz="0" w:space="0" w:color="auto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4553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bdr w:val="none" w:sz="0" w:space="0" w:color="auto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4553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bdr w:val="none" w:sz="0" w:space="0" w:color="auto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4553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bdr w:val="none" w:sz="0" w:space="0" w:color="auto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4553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bdr w:val="none" w:sz="0" w:space="0" w:color="auto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45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45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45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45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45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45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45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45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45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455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bdr w:val="none" w:sz="0" w:space="0" w:color="auto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945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4553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bdr w:val="none" w:sz="0" w:space="0" w:color="auto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945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455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bdr w:val="none" w:sz="0" w:space="0" w:color="auto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945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455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bdr w:val="none" w:sz="0" w:space="0" w:color="auto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945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4553"/>
    <w:pPr>
      <w:pBdr>
        <w:top w:val="single" w:sz="4" w:space="10" w:color="0F4761" w:themeColor="accent1" w:themeShade="BF"/>
        <w:left w:val="none" w:sz="0" w:space="0" w:color="auto"/>
        <w:bottom w:val="single" w:sz="4" w:space="10" w:color="0F4761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bdr w:val="none" w:sz="0" w:space="0" w:color="auto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45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455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link w:val="HeaderChar"/>
    <w:rsid w:val="00C94553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val="fr-FR" w:eastAsia="fr-FR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HeaderChar">
    <w:name w:val="Header Char"/>
    <w:basedOn w:val="DefaultParagraphFont"/>
    <w:link w:val="Header"/>
    <w:rsid w:val="00C94553"/>
    <w:rPr>
      <w:rFonts w:ascii="Helvetica Neue" w:eastAsia="Arial Unicode MS" w:hAnsi="Helvetica Neue" w:cs="Arial Unicode MS"/>
      <w:color w:val="000000"/>
      <w:kern w:val="0"/>
      <w:bdr w:val="nil"/>
      <w:lang w:val="fr-FR" w:eastAsia="fr-FR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Corps">
    <w:name w:val="Corps"/>
    <w:rsid w:val="00C9455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ptos" w:eastAsia="Aptos" w:hAnsi="Aptos" w:cs="Aptos"/>
      <w:color w:val="000000"/>
      <w:kern w:val="0"/>
      <w:u w:color="000000"/>
      <w:bdr w:val="nil"/>
      <w:lang w:eastAsia="fr-FR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Aucun">
    <w:name w:val="Aucun"/>
    <w:qFormat/>
    <w:rsid w:val="00C94553"/>
    <w:rPr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C945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381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2026-10-29T09:31:00Z</dcterms:created>
  <dcterms:modified xsi:type="dcterms:W3CDTF">2026-10-29T09:31:00Z</dcterms:modified>
</cp:coreProperties>
</file>