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46DB0" w14:textId="77777777" w:rsidR="00FD01DD" w:rsidRPr="008812BE" w:rsidRDefault="00FD01DD" w:rsidP="00FD01DD">
      <w:pPr>
        <w:spacing w:line="480" w:lineRule="auto"/>
        <w:ind w:firstLineChars="150" w:firstLine="420"/>
        <w:rPr>
          <w:rFonts w:ascii="Times New Roman" w:hAnsi="Times New Roman" w:cs="Times New Roman"/>
          <w:b/>
          <w:sz w:val="24"/>
          <w:szCs w:val="24"/>
        </w:rPr>
      </w:pPr>
      <w:r w:rsidRPr="008812BE">
        <w:rPr>
          <w:rFonts w:ascii="Times" w:eastAsia="바탕" w:hAnsi="Times" w:cs="Times New Roman" w:hint="eastAsia"/>
          <w:b/>
          <w:bCs/>
          <w:kern w:val="0"/>
          <w:sz w:val="28"/>
          <w:szCs w:val="20"/>
        </w:rPr>
        <w:t>Supporting Information for</w:t>
      </w:r>
    </w:p>
    <w:p w14:paraId="3250B328" w14:textId="77777777" w:rsidR="00FD01DD" w:rsidRPr="008812BE" w:rsidRDefault="00FD01DD" w:rsidP="00FD01DD">
      <w:pPr>
        <w:jc w:val="center"/>
        <w:rPr>
          <w:rFonts w:ascii="Times New Roman" w:eastAsia="맑은 고딕" w:hAnsi="Times New Roman" w:cs="Times New Roman"/>
          <w:b/>
          <w:kern w:val="0"/>
          <w:sz w:val="32"/>
          <w:szCs w:val="32"/>
        </w:rPr>
      </w:pPr>
      <w:r w:rsidRPr="008812BE">
        <w:rPr>
          <w:rFonts w:ascii="Times New Roman" w:eastAsia="맑은 고딕" w:hAnsi="Times New Roman" w:cs="Times New Roman" w:hint="eastAsia"/>
          <w:b/>
          <w:kern w:val="0"/>
          <w:sz w:val="32"/>
          <w:szCs w:val="32"/>
        </w:rPr>
        <w:t>E</w:t>
      </w:r>
      <w:r w:rsidRPr="008812BE">
        <w:rPr>
          <w:rFonts w:ascii="Times New Roman" w:eastAsia="맑은 고딕" w:hAnsi="Times New Roman" w:cs="Times New Roman"/>
          <w:b/>
          <w:kern w:val="0"/>
          <w:sz w:val="32"/>
          <w:szCs w:val="32"/>
        </w:rPr>
        <w:t>co-</w:t>
      </w:r>
      <w:r w:rsidRPr="008812BE">
        <w:rPr>
          <w:rFonts w:ascii="Times New Roman" w:eastAsia="맑은 고딕" w:hAnsi="Times New Roman" w:cs="Times New Roman" w:hint="eastAsia"/>
          <w:b/>
          <w:kern w:val="0"/>
          <w:sz w:val="32"/>
          <w:szCs w:val="32"/>
        </w:rPr>
        <w:t>Fr</w:t>
      </w:r>
      <w:r w:rsidRPr="008812BE">
        <w:rPr>
          <w:rFonts w:ascii="Times New Roman" w:eastAsia="맑은 고딕" w:hAnsi="Times New Roman" w:cs="Times New Roman"/>
          <w:b/>
          <w:kern w:val="0"/>
          <w:sz w:val="32"/>
          <w:szCs w:val="32"/>
        </w:rPr>
        <w:t>iend</w:t>
      </w:r>
      <w:r w:rsidRPr="008812BE">
        <w:rPr>
          <w:rFonts w:ascii="Times New Roman" w:eastAsia="맑은 고딕" w:hAnsi="Times New Roman" w:cs="Times New Roman" w:hint="eastAsia"/>
          <w:b/>
          <w:kern w:val="0"/>
          <w:sz w:val="32"/>
          <w:szCs w:val="32"/>
        </w:rPr>
        <w:t>ly</w:t>
      </w:r>
      <w:r w:rsidRPr="008812BE">
        <w:rPr>
          <w:rFonts w:ascii="Times New Roman" w:eastAsia="맑은 고딕" w:hAnsi="Times New Roman" w:cs="Times New Roman"/>
          <w:b/>
          <w:kern w:val="0"/>
          <w:sz w:val="32"/>
          <w:szCs w:val="32"/>
        </w:rPr>
        <w:t xml:space="preserve"> In</w:t>
      </w:r>
      <w:r w:rsidRPr="008812BE">
        <w:rPr>
          <w:rFonts w:ascii="Times New Roman" w:eastAsia="맑은 고딕" w:hAnsi="Times New Roman" w:cs="Times New Roman"/>
          <w:b/>
          <w:kern w:val="0"/>
          <w:sz w:val="32"/>
          <w:szCs w:val="32"/>
          <w:vertAlign w:val="subscript"/>
        </w:rPr>
        <w:t>x</w:t>
      </w:r>
      <w:r w:rsidRPr="008812BE">
        <w:rPr>
          <w:rFonts w:ascii="Times New Roman" w:eastAsia="맑은 고딕" w:hAnsi="Times New Roman" w:cs="Times New Roman"/>
          <w:b/>
          <w:kern w:val="0"/>
          <w:sz w:val="32"/>
          <w:szCs w:val="32"/>
        </w:rPr>
        <w:t>Ga</w:t>
      </w:r>
      <w:r w:rsidRPr="008812BE">
        <w:rPr>
          <w:rFonts w:ascii="Times New Roman" w:eastAsia="맑은 고딕" w:hAnsi="Times New Roman" w:cs="Times New Roman"/>
          <w:b/>
          <w:kern w:val="0"/>
          <w:sz w:val="32"/>
          <w:szCs w:val="32"/>
          <w:vertAlign w:val="subscript"/>
        </w:rPr>
        <w:t>1-x</w:t>
      </w:r>
      <w:r w:rsidRPr="008812BE">
        <w:rPr>
          <w:rFonts w:ascii="Times New Roman" w:eastAsia="맑은 고딕" w:hAnsi="Times New Roman" w:cs="Times New Roman"/>
          <w:b/>
          <w:kern w:val="0"/>
          <w:sz w:val="32"/>
          <w:szCs w:val="32"/>
        </w:rPr>
        <w:t xml:space="preserve">N </w:t>
      </w:r>
      <w:r w:rsidRPr="008812BE">
        <w:rPr>
          <w:rFonts w:ascii="Times New Roman" w:eastAsia="맑은 고딕" w:hAnsi="Times New Roman" w:cs="Times New Roman" w:hint="eastAsia"/>
          <w:b/>
          <w:kern w:val="0"/>
          <w:sz w:val="32"/>
          <w:szCs w:val="32"/>
        </w:rPr>
        <w:t>C</w:t>
      </w:r>
      <w:r w:rsidRPr="008812BE">
        <w:rPr>
          <w:rFonts w:ascii="Times New Roman" w:eastAsia="맑은 고딕" w:hAnsi="Times New Roman" w:cs="Times New Roman"/>
          <w:b/>
          <w:kern w:val="0"/>
          <w:sz w:val="32"/>
          <w:szCs w:val="32"/>
        </w:rPr>
        <w:t xml:space="preserve">olloidal </w:t>
      </w:r>
      <w:r w:rsidRPr="008812BE">
        <w:rPr>
          <w:rFonts w:ascii="Times New Roman" w:eastAsia="맑은 고딕" w:hAnsi="Times New Roman" w:cs="Times New Roman" w:hint="eastAsia"/>
          <w:b/>
          <w:kern w:val="0"/>
          <w:sz w:val="32"/>
          <w:szCs w:val="32"/>
        </w:rPr>
        <w:t>Q</w:t>
      </w:r>
      <w:r w:rsidRPr="008812BE">
        <w:rPr>
          <w:rFonts w:ascii="Times New Roman" w:eastAsia="맑은 고딕" w:hAnsi="Times New Roman" w:cs="Times New Roman"/>
          <w:b/>
          <w:kern w:val="0"/>
          <w:sz w:val="32"/>
          <w:szCs w:val="32"/>
        </w:rPr>
        <w:t xml:space="preserve">uantum </w:t>
      </w:r>
      <w:r w:rsidRPr="008812BE">
        <w:rPr>
          <w:rFonts w:ascii="Times New Roman" w:eastAsia="맑은 고딕" w:hAnsi="Times New Roman" w:cs="Times New Roman" w:hint="eastAsia"/>
          <w:b/>
          <w:kern w:val="0"/>
          <w:sz w:val="32"/>
          <w:szCs w:val="32"/>
        </w:rPr>
        <w:t>D</w:t>
      </w:r>
      <w:r w:rsidRPr="008812BE">
        <w:rPr>
          <w:rFonts w:ascii="Times New Roman" w:eastAsia="맑은 고딕" w:hAnsi="Times New Roman" w:cs="Times New Roman"/>
          <w:b/>
          <w:kern w:val="0"/>
          <w:sz w:val="32"/>
          <w:szCs w:val="32"/>
        </w:rPr>
        <w:t>o</w:t>
      </w:r>
      <w:r w:rsidRPr="008812BE">
        <w:rPr>
          <w:rFonts w:ascii="Times New Roman" w:eastAsia="맑은 고딕" w:hAnsi="Times New Roman" w:cs="Times New Roman" w:hint="eastAsia"/>
          <w:b/>
          <w:kern w:val="0"/>
          <w:sz w:val="32"/>
          <w:szCs w:val="32"/>
        </w:rPr>
        <w:t xml:space="preserve">ts </w:t>
      </w:r>
      <w:r w:rsidRPr="008812BE">
        <w:rPr>
          <w:rFonts w:ascii="Times New Roman" w:eastAsia="맑은 고딕" w:hAnsi="Times New Roman" w:cs="Times New Roman"/>
          <w:b/>
          <w:kern w:val="0"/>
          <w:sz w:val="32"/>
          <w:szCs w:val="32"/>
        </w:rPr>
        <w:t xml:space="preserve">for </w:t>
      </w:r>
      <w:r w:rsidRPr="008812BE">
        <w:rPr>
          <w:rFonts w:ascii="Times New Roman" w:eastAsia="맑은 고딕" w:hAnsi="Times New Roman" w:cs="Times New Roman" w:hint="eastAsia"/>
          <w:b/>
          <w:kern w:val="0"/>
          <w:sz w:val="32"/>
          <w:szCs w:val="32"/>
        </w:rPr>
        <w:t>Light Emitting Diodes</w:t>
      </w:r>
    </w:p>
    <w:p w14:paraId="5CF5E48A" w14:textId="77777777" w:rsidR="00FD01DD" w:rsidRPr="008812BE" w:rsidRDefault="00FD01DD" w:rsidP="00FD01DD">
      <w:pPr>
        <w:jc w:val="center"/>
        <w:rPr>
          <w:rFonts w:ascii="Times New Roman" w:eastAsia="맑은 고딕" w:hAnsi="Times New Roman" w:cs="Times New Roman"/>
          <w:b/>
          <w:kern w:val="0"/>
          <w:sz w:val="28"/>
          <w:szCs w:val="28"/>
          <w:lang w:val="en-GB"/>
        </w:rPr>
      </w:pPr>
    </w:p>
    <w:p w14:paraId="269D8F9D" w14:textId="77777777" w:rsidR="000B5C63" w:rsidRPr="008812BE" w:rsidRDefault="000B5C63" w:rsidP="000B5C63">
      <w:pPr>
        <w:pStyle w:val="AuthorsFull"/>
        <w:rPr>
          <w:b/>
          <w:sz w:val="28"/>
          <w:szCs w:val="28"/>
          <w:lang w:val="en-GB"/>
        </w:rPr>
      </w:pPr>
      <w:r w:rsidRPr="008812BE">
        <w:rPr>
          <w:lang w:val="en-GB"/>
        </w:rPr>
        <w:t xml:space="preserve">By </w:t>
      </w:r>
      <w:r w:rsidRPr="008812BE">
        <w:rPr>
          <w:rFonts w:eastAsiaTheme="minorEastAsia" w:hint="eastAsia"/>
          <w:lang w:val="en-GB" w:eastAsia="ko-KR"/>
        </w:rPr>
        <w:t>Yangpil Jang</w:t>
      </w:r>
      <w:r w:rsidRPr="008812BE">
        <w:rPr>
          <w:vertAlign w:val="superscript"/>
          <w:lang w:val="en-GB"/>
        </w:rPr>
        <w:t>1</w:t>
      </w:r>
      <w:r w:rsidRPr="008812BE">
        <w:rPr>
          <w:rFonts w:eastAsiaTheme="minorEastAsia" w:hint="eastAsia"/>
          <w:lang w:val="en-GB" w:eastAsia="ko-KR"/>
        </w:rPr>
        <w:t>,</w:t>
      </w:r>
      <w:r w:rsidRPr="008812BE">
        <w:rPr>
          <w:lang w:val="en-GB"/>
        </w:rPr>
        <w:t xml:space="preserve"> Yo-Han Suh</w:t>
      </w:r>
      <w:r w:rsidRPr="008812BE">
        <w:rPr>
          <w:rFonts w:eastAsia="Times New Roman"/>
          <w:vertAlign w:val="superscript"/>
          <w:lang w:val="en-GB"/>
        </w:rPr>
        <w:t>2</w:t>
      </w:r>
      <w:r w:rsidRPr="008812BE">
        <w:rPr>
          <w:rFonts w:eastAsia="Times New Roman"/>
          <w:lang w:val="en-GB"/>
        </w:rPr>
        <w:t>,</w:t>
      </w:r>
      <w:r w:rsidRPr="008812BE">
        <w:rPr>
          <w:rFonts w:eastAsiaTheme="minorEastAsia" w:hint="eastAsia"/>
          <w:lang w:val="en-GB" w:eastAsia="ko-KR"/>
        </w:rPr>
        <w:t xml:space="preserve"> </w:t>
      </w:r>
      <w:r w:rsidRPr="008812BE">
        <w:rPr>
          <w:rFonts w:eastAsia="Times New Roman"/>
          <w:lang w:val="en-GB"/>
        </w:rPr>
        <w:t>and</w:t>
      </w:r>
      <w:r w:rsidRPr="008812BE">
        <w:rPr>
          <w:rFonts w:eastAsiaTheme="minorEastAsia"/>
          <w:lang w:val="en-GB" w:eastAsia="ko-KR"/>
        </w:rPr>
        <w:t xml:space="preserve"> </w:t>
      </w:r>
      <w:r w:rsidRPr="008812BE">
        <w:rPr>
          <w:lang w:val="en-GB"/>
        </w:rPr>
        <w:t>Jongnam Park</w:t>
      </w:r>
      <w:r w:rsidRPr="008812BE">
        <w:rPr>
          <w:vertAlign w:val="superscript"/>
          <w:lang w:val="en-GB"/>
        </w:rPr>
        <w:t>1</w:t>
      </w:r>
      <w:r w:rsidRPr="008812BE">
        <w:rPr>
          <w:rFonts w:eastAsiaTheme="minorEastAsia" w:hint="eastAsia"/>
          <w:vertAlign w:val="superscript"/>
          <w:lang w:val="en-GB" w:eastAsia="ko-KR"/>
        </w:rPr>
        <w:t>,2</w:t>
      </w:r>
      <w:r w:rsidRPr="008812BE">
        <w:rPr>
          <w:vertAlign w:val="superscript"/>
          <w:lang w:val="en-GB"/>
        </w:rPr>
        <w:t>,*</w:t>
      </w:r>
    </w:p>
    <w:p w14:paraId="14A59BEC" w14:textId="77777777" w:rsidR="00FD01DD" w:rsidRPr="008812BE" w:rsidRDefault="00FD01DD" w:rsidP="00A22B3A">
      <w:pPr>
        <w:spacing w:after="0" w:line="480" w:lineRule="auto"/>
        <w:ind w:firstLineChars="177" w:firstLine="425"/>
        <w:rPr>
          <w:rFonts w:ascii="Times New Roman" w:hAnsi="Times New Roman" w:cs="Times New Roman"/>
          <w:b/>
          <w:sz w:val="24"/>
          <w:szCs w:val="24"/>
          <w:lang w:val="en-GB"/>
        </w:rPr>
      </w:pPr>
    </w:p>
    <w:p w14:paraId="305B6E73" w14:textId="15D0552A" w:rsidR="00A22B3A" w:rsidRPr="008812BE" w:rsidRDefault="00A22B3A" w:rsidP="00A22B3A">
      <w:pPr>
        <w:spacing w:after="0" w:line="480" w:lineRule="auto"/>
        <w:ind w:firstLineChars="177" w:firstLine="425"/>
        <w:rPr>
          <w:rFonts w:ascii="Times New Roman" w:hAnsi="Times New Roman" w:cs="Times New Roman"/>
          <w:sz w:val="24"/>
          <w:szCs w:val="24"/>
        </w:rPr>
      </w:pPr>
      <w:r w:rsidRPr="008812BE">
        <w:rPr>
          <w:rFonts w:ascii="Times New Roman" w:hAnsi="Times New Roman" w:cs="Times New Roman"/>
          <w:b/>
          <w:sz w:val="24"/>
          <w:szCs w:val="24"/>
        </w:rPr>
        <w:t>Fig. S1 (a)</w:t>
      </w:r>
      <w:r w:rsidRPr="008812BE">
        <w:rPr>
          <w:rFonts w:ascii="Times New Roman" w:hAnsi="Times New Roman" w:cs="Times New Roman"/>
          <w:sz w:val="24"/>
          <w:szCs w:val="24"/>
        </w:rPr>
        <w:t xml:space="preserve"> shows inductively coupled plasma mass spectrometry (ICP-MS) results of In</w:t>
      </w:r>
      <w:r w:rsidRPr="008812BE">
        <w:rPr>
          <w:rFonts w:ascii="Times New Roman" w:hAnsi="Times New Roman" w:cs="Times New Roman"/>
          <w:sz w:val="24"/>
          <w:szCs w:val="24"/>
          <w:vertAlign w:val="subscript"/>
        </w:rPr>
        <w:t>x</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1-x</w:t>
      </w:r>
      <w:r w:rsidRPr="008812BE">
        <w:rPr>
          <w:rFonts w:ascii="Times New Roman" w:hAnsi="Times New Roman" w:cs="Times New Roman"/>
          <w:sz w:val="24"/>
          <w:szCs w:val="24"/>
        </w:rPr>
        <w:t>N CQDs, (x=0.2</w:t>
      </w:r>
      <w:r w:rsidR="00246F59" w:rsidRPr="008812BE">
        <w:rPr>
          <w:rFonts w:ascii="Times New Roman" w:hAnsi="Times New Roman" w:cs="Times New Roman" w:hint="eastAsia"/>
          <w:sz w:val="24"/>
          <w:szCs w:val="24"/>
        </w:rPr>
        <w:t>5</w:t>
      </w:r>
      <w:r w:rsidRPr="008812BE">
        <w:rPr>
          <w:rFonts w:ascii="Times New Roman" w:hAnsi="Times New Roman" w:cs="Times New Roman"/>
          <w:sz w:val="24"/>
          <w:szCs w:val="24"/>
        </w:rPr>
        <w:t>, 0.5, and 0.75), which shows the difference between theoretical and real metal composition of each In</w:t>
      </w:r>
      <w:r w:rsidRPr="008812BE">
        <w:rPr>
          <w:rFonts w:ascii="Times New Roman" w:hAnsi="Times New Roman" w:cs="Times New Roman"/>
          <w:sz w:val="24"/>
          <w:szCs w:val="24"/>
          <w:vertAlign w:val="subscript"/>
        </w:rPr>
        <w:t>x</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1-x</w:t>
      </w:r>
      <w:r w:rsidRPr="008812BE">
        <w:rPr>
          <w:rFonts w:ascii="Times New Roman" w:hAnsi="Times New Roman" w:cs="Times New Roman"/>
          <w:sz w:val="24"/>
          <w:szCs w:val="24"/>
        </w:rPr>
        <w:t>N CQDs. The x-axis shows each sample condition and y-axis shows Ga and In metal ratio of each state. At all In</w:t>
      </w:r>
      <w:r w:rsidRPr="008812BE">
        <w:rPr>
          <w:rFonts w:ascii="Times New Roman" w:hAnsi="Times New Roman" w:cs="Times New Roman"/>
          <w:sz w:val="24"/>
          <w:szCs w:val="24"/>
          <w:vertAlign w:val="subscript"/>
        </w:rPr>
        <w:t>x</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1-x</w:t>
      </w:r>
      <w:r w:rsidRPr="008812BE">
        <w:rPr>
          <w:rFonts w:ascii="Times New Roman" w:hAnsi="Times New Roman" w:cs="Times New Roman"/>
          <w:sz w:val="24"/>
          <w:szCs w:val="24"/>
        </w:rPr>
        <w:t>N CQDs composition, Ga fraction at real metal composition is slightly higher than that of reactants. However, these ICP-MS results show that In-rich In</w:t>
      </w:r>
      <w:r w:rsidRPr="008812BE">
        <w:rPr>
          <w:rFonts w:ascii="Times New Roman" w:hAnsi="Times New Roman" w:cs="Times New Roman"/>
          <w:sz w:val="24"/>
          <w:szCs w:val="24"/>
          <w:vertAlign w:val="subscript"/>
        </w:rPr>
        <w:t>x</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1-x</w:t>
      </w:r>
      <w:r w:rsidRPr="008812BE">
        <w:rPr>
          <w:rFonts w:ascii="Times New Roman" w:hAnsi="Times New Roman" w:cs="Times New Roman"/>
          <w:sz w:val="24"/>
          <w:szCs w:val="24"/>
        </w:rPr>
        <w:t>N CQDs were well synthesized via</w:t>
      </w:r>
      <w:r w:rsidRPr="008812BE">
        <w:rPr>
          <w:rFonts w:ascii="Times New Roman" w:hAnsi="Times New Roman" w:cs="Times New Roman"/>
          <w:i/>
          <w:sz w:val="24"/>
          <w:szCs w:val="24"/>
        </w:rPr>
        <w:t xml:space="preserve"> </w:t>
      </w:r>
      <w:r w:rsidRPr="008812BE">
        <w:rPr>
          <w:rFonts w:ascii="Times New Roman" w:hAnsi="Times New Roman" w:cs="Times New Roman"/>
          <w:sz w:val="24"/>
          <w:szCs w:val="24"/>
        </w:rPr>
        <w:t xml:space="preserve">simple wet-chemical process. </w:t>
      </w:r>
    </w:p>
    <w:p w14:paraId="3EA8F0B8" w14:textId="77777777" w:rsidR="00A22B3A" w:rsidRPr="008812BE" w:rsidRDefault="00FD01DD" w:rsidP="00A22B3A">
      <w:pPr>
        <w:spacing w:after="0"/>
        <w:jc w:val="center"/>
        <w:rPr>
          <w:rFonts w:ascii="Times New Roman" w:hAnsi="Times New Roman" w:cs="Times New Roman"/>
          <w:b/>
          <w:sz w:val="24"/>
          <w:szCs w:val="24"/>
        </w:rPr>
      </w:pPr>
      <w:r w:rsidRPr="008812BE">
        <w:rPr>
          <w:rFonts w:ascii="Times New Roman" w:hAnsi="Times New Roman" w:cs="Times New Roman"/>
          <w:sz w:val="24"/>
          <w:szCs w:val="24"/>
        </w:rPr>
        <w:object w:dxaOrig="4908" w:dyaOrig="3427" w14:anchorId="73BBF2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0.5pt;height:232.5pt" o:ole="" o:preferrelative="f">
            <v:imagedata r:id="rId6" o:title=""/>
            <o:lock v:ext="edit" aspectratio="f"/>
          </v:shape>
          <o:OLEObject Type="Embed" ProgID="Origin50.Graph" ShapeID="_x0000_i1025" DrawAspect="Content" ObjectID="_1853411179" r:id="rId7"/>
        </w:object>
      </w:r>
    </w:p>
    <w:p w14:paraId="72278C7F" w14:textId="77777777" w:rsidR="00A22B3A" w:rsidRPr="008812BE" w:rsidRDefault="00A22B3A" w:rsidP="00A22B3A">
      <w:pPr>
        <w:spacing w:after="0" w:line="480" w:lineRule="auto"/>
        <w:rPr>
          <w:rFonts w:ascii="Times New Roman" w:hAnsi="Times New Roman" w:cs="Times New Roman"/>
          <w:sz w:val="24"/>
          <w:szCs w:val="24"/>
        </w:rPr>
      </w:pPr>
      <w:r w:rsidRPr="008812BE">
        <w:rPr>
          <w:rFonts w:ascii="Times New Roman" w:hAnsi="Times New Roman" w:cs="Times New Roman"/>
          <w:b/>
          <w:sz w:val="24"/>
          <w:szCs w:val="24"/>
        </w:rPr>
        <w:t xml:space="preserve">Fig. S1 (a) </w:t>
      </w:r>
      <w:r w:rsidRPr="008812BE">
        <w:rPr>
          <w:rFonts w:ascii="Times New Roman" w:hAnsi="Times New Roman" w:cs="Times New Roman"/>
          <w:b/>
          <w:color w:val="000000" w:themeColor="text1"/>
          <w:sz w:val="24"/>
          <w:szCs w:val="24"/>
        </w:rPr>
        <w:t xml:space="preserve">Metal composition of </w:t>
      </w:r>
      <w:r w:rsidRPr="008812BE">
        <w:rPr>
          <w:rFonts w:ascii="Times New Roman" w:hAnsi="Times New Roman" w:cs="Times New Roman"/>
          <w:b/>
          <w:sz w:val="24"/>
          <w:szCs w:val="24"/>
        </w:rPr>
        <w:t>In</w:t>
      </w:r>
      <w:r w:rsidRPr="008812BE">
        <w:rPr>
          <w:rFonts w:ascii="Times New Roman" w:hAnsi="Times New Roman" w:cs="Times New Roman"/>
          <w:b/>
          <w:sz w:val="24"/>
          <w:szCs w:val="24"/>
          <w:vertAlign w:val="subscript"/>
        </w:rPr>
        <w:t>x</w:t>
      </w:r>
      <w:r w:rsidRPr="008812BE">
        <w:rPr>
          <w:rFonts w:ascii="Times New Roman" w:hAnsi="Times New Roman" w:cs="Times New Roman"/>
          <w:b/>
          <w:sz w:val="24"/>
          <w:szCs w:val="24"/>
        </w:rPr>
        <w:t>Ga</w:t>
      </w:r>
      <w:r w:rsidRPr="008812BE">
        <w:rPr>
          <w:rFonts w:ascii="Times New Roman" w:hAnsi="Times New Roman" w:cs="Times New Roman"/>
          <w:b/>
          <w:sz w:val="24"/>
          <w:szCs w:val="24"/>
          <w:vertAlign w:val="subscript"/>
        </w:rPr>
        <w:t>1-x</w:t>
      </w:r>
      <w:r w:rsidRPr="008812BE">
        <w:rPr>
          <w:rFonts w:ascii="Times New Roman" w:hAnsi="Times New Roman" w:cs="Times New Roman"/>
          <w:b/>
          <w:sz w:val="24"/>
          <w:szCs w:val="24"/>
        </w:rPr>
        <w:t xml:space="preserve">N </w:t>
      </w:r>
      <w:r w:rsidRPr="008812BE">
        <w:rPr>
          <w:rFonts w:ascii="Times New Roman" w:hAnsi="Times New Roman" w:cs="Times New Roman"/>
          <w:b/>
          <w:color w:val="000000" w:themeColor="text1"/>
          <w:sz w:val="24"/>
          <w:szCs w:val="24"/>
        </w:rPr>
        <w:t xml:space="preserve">CQDs </w:t>
      </w:r>
      <w:r w:rsidRPr="008812BE">
        <w:rPr>
          <w:rFonts w:ascii="Times New Roman" w:hAnsi="Times New Roman" w:cs="Times New Roman"/>
          <w:b/>
          <w:sz w:val="24"/>
          <w:szCs w:val="24"/>
        </w:rPr>
        <w:t xml:space="preserve">: </w:t>
      </w:r>
      <w:r w:rsidRPr="008812BE">
        <w:rPr>
          <w:rFonts w:ascii="Times New Roman" w:hAnsi="Times New Roman" w:cs="Times New Roman"/>
          <w:sz w:val="24"/>
          <w:szCs w:val="24"/>
        </w:rPr>
        <w:t>ICP-MS results show that Ga and In metal ratio was well controlled in In</w:t>
      </w:r>
      <w:r w:rsidRPr="008812BE">
        <w:rPr>
          <w:rFonts w:ascii="Times New Roman" w:hAnsi="Times New Roman" w:cs="Times New Roman"/>
          <w:sz w:val="24"/>
          <w:szCs w:val="24"/>
          <w:vertAlign w:val="subscript"/>
        </w:rPr>
        <w:t>x</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1-x</w:t>
      </w:r>
      <w:r w:rsidRPr="008812BE">
        <w:rPr>
          <w:rFonts w:ascii="Times New Roman" w:hAnsi="Times New Roman" w:cs="Times New Roman"/>
          <w:sz w:val="24"/>
          <w:szCs w:val="24"/>
        </w:rPr>
        <w:t xml:space="preserve">N </w:t>
      </w:r>
      <w:r w:rsidRPr="008812BE">
        <w:rPr>
          <w:rFonts w:ascii="Times New Roman" w:hAnsi="Times New Roman" w:cs="Times New Roman"/>
          <w:color w:val="000000" w:themeColor="text1"/>
          <w:sz w:val="24"/>
          <w:szCs w:val="24"/>
        </w:rPr>
        <w:t>CQDs</w:t>
      </w:r>
      <w:r w:rsidRPr="008812BE">
        <w:rPr>
          <w:rFonts w:ascii="Times New Roman" w:hAnsi="Times New Roman" w:cs="Times New Roman"/>
          <w:sz w:val="24"/>
          <w:szCs w:val="24"/>
        </w:rPr>
        <w:t xml:space="preserve">, (x = 0.25, 0.5, and 0.75), synthesized by </w:t>
      </w:r>
      <w:r w:rsidRPr="008812BE">
        <w:rPr>
          <w:rFonts w:ascii="Times New Roman" w:hAnsi="Times New Roman" w:cs="Times New Roman"/>
          <w:color w:val="000000" w:themeColor="text1"/>
          <w:sz w:val="24"/>
          <w:szCs w:val="24"/>
        </w:rPr>
        <w:t>wet-chemical process</w:t>
      </w:r>
      <w:r w:rsidRPr="008812BE">
        <w:rPr>
          <w:rFonts w:ascii="Times New Roman" w:hAnsi="Times New Roman" w:cs="Times New Roman"/>
          <w:sz w:val="24"/>
          <w:szCs w:val="24"/>
        </w:rPr>
        <w:t>.</w:t>
      </w:r>
    </w:p>
    <w:p w14:paraId="7245D32D" w14:textId="77777777" w:rsidR="00A22B3A" w:rsidRPr="008812BE" w:rsidRDefault="00A22B3A" w:rsidP="00A22B3A">
      <w:pPr>
        <w:spacing w:after="0" w:line="480" w:lineRule="auto"/>
        <w:ind w:firstLineChars="177" w:firstLine="425"/>
        <w:rPr>
          <w:rFonts w:ascii="Times New Roman" w:hAnsi="Times New Roman" w:cs="Times New Roman"/>
          <w:sz w:val="24"/>
        </w:rPr>
      </w:pPr>
      <w:r w:rsidRPr="008812BE">
        <w:rPr>
          <w:rFonts w:ascii="Times New Roman" w:hAnsi="Times New Roman" w:cs="Times New Roman"/>
          <w:b/>
          <w:sz w:val="24"/>
        </w:rPr>
        <w:lastRenderedPageBreak/>
        <w:t>Fig. S1 (b)</w:t>
      </w:r>
      <w:r w:rsidRPr="008812BE">
        <w:rPr>
          <w:rFonts w:ascii="Times New Roman" w:hAnsi="Times New Roman" w:cs="Times New Roman"/>
          <w:sz w:val="24"/>
        </w:rPr>
        <w:t xml:space="preserve"> shows the binding energy shift of In3d</w:t>
      </w:r>
      <w:r w:rsidRPr="008812BE">
        <w:rPr>
          <w:rFonts w:ascii="Times New Roman" w:hAnsi="Times New Roman" w:cs="Times New Roman"/>
          <w:sz w:val="24"/>
          <w:vertAlign w:val="subscript"/>
        </w:rPr>
        <w:t>3/2</w:t>
      </w:r>
      <w:r w:rsidRPr="008812BE">
        <w:rPr>
          <w:rFonts w:ascii="Times New Roman" w:hAnsi="Times New Roman" w:cs="Times New Roman"/>
          <w:sz w:val="24"/>
        </w:rPr>
        <w:t xml:space="preserve"> and In3d</w:t>
      </w:r>
      <w:r w:rsidRPr="008812BE">
        <w:rPr>
          <w:rFonts w:ascii="Times New Roman" w:hAnsi="Times New Roman" w:cs="Times New Roman"/>
          <w:sz w:val="24"/>
          <w:vertAlign w:val="subscript"/>
        </w:rPr>
        <w:t>5/2</w:t>
      </w:r>
      <w:r w:rsidRPr="008812BE">
        <w:rPr>
          <w:rFonts w:ascii="Times New Roman" w:hAnsi="Times New Roman" w:cs="Times New Roman"/>
          <w:sz w:val="24"/>
        </w:rPr>
        <w:t xml:space="preserve"> according to metal fraction variation. The In3d spectra of all </w:t>
      </w:r>
      <w:r w:rsidRPr="008812BE">
        <w:rPr>
          <w:rFonts w:ascii="Times New Roman" w:hAnsi="Times New Roman" w:cs="Times New Roman"/>
          <w:sz w:val="24"/>
          <w:szCs w:val="24"/>
        </w:rPr>
        <w:t>In</w:t>
      </w:r>
      <w:r w:rsidRPr="008812BE">
        <w:rPr>
          <w:rFonts w:ascii="Times New Roman" w:hAnsi="Times New Roman" w:cs="Times New Roman"/>
          <w:sz w:val="24"/>
          <w:szCs w:val="24"/>
          <w:vertAlign w:val="subscript"/>
        </w:rPr>
        <w:t>x</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1-x</w:t>
      </w:r>
      <w:r w:rsidRPr="008812BE">
        <w:rPr>
          <w:rFonts w:ascii="Times New Roman" w:hAnsi="Times New Roman" w:cs="Times New Roman"/>
          <w:sz w:val="24"/>
          <w:szCs w:val="24"/>
        </w:rPr>
        <w:t xml:space="preserve">N CQDs </w:t>
      </w:r>
      <w:r w:rsidRPr="008812BE">
        <w:rPr>
          <w:rFonts w:ascii="Times New Roman" w:hAnsi="Times New Roman" w:cs="Times New Roman"/>
          <w:sz w:val="24"/>
        </w:rPr>
        <w:t>had InN binding positions</w:t>
      </w:r>
      <w:r w:rsidRPr="008812BE">
        <w:rPr>
          <w:rFonts w:ascii="Times New Roman" w:hAnsi="Times New Roman" w:cs="Times New Roman"/>
          <w:noProof/>
          <w:sz w:val="24"/>
          <w:vertAlign w:val="superscript"/>
        </w:rPr>
        <w:t>1,2</w:t>
      </w:r>
      <w:r w:rsidRPr="008812BE">
        <w:rPr>
          <w:rFonts w:ascii="Times New Roman" w:hAnsi="Times New Roman" w:cs="Times New Roman"/>
          <w:sz w:val="24"/>
        </w:rPr>
        <w:t>. Both binding states (In3d</w:t>
      </w:r>
      <w:r w:rsidRPr="008812BE">
        <w:rPr>
          <w:rFonts w:ascii="Times New Roman" w:hAnsi="Times New Roman" w:cs="Times New Roman"/>
          <w:sz w:val="24"/>
          <w:vertAlign w:val="subscript"/>
        </w:rPr>
        <w:t>5/2</w:t>
      </w:r>
      <w:r w:rsidRPr="008812BE">
        <w:rPr>
          <w:rFonts w:ascii="Times New Roman" w:hAnsi="Times New Roman" w:cs="Times New Roman"/>
          <w:sz w:val="24"/>
        </w:rPr>
        <w:t xml:space="preserve"> and In3d</w:t>
      </w:r>
      <w:r w:rsidRPr="008812BE">
        <w:rPr>
          <w:rFonts w:ascii="Times New Roman" w:hAnsi="Times New Roman" w:cs="Times New Roman"/>
          <w:sz w:val="24"/>
          <w:vertAlign w:val="subscript"/>
        </w:rPr>
        <w:t>3/2</w:t>
      </w:r>
      <w:r w:rsidRPr="008812BE">
        <w:rPr>
          <w:rFonts w:ascii="Times New Roman" w:hAnsi="Times New Roman" w:cs="Times New Roman"/>
          <w:sz w:val="24"/>
        </w:rPr>
        <w:t>) were shifted to lower energy state with increasing In metal fraction. These peaks shift of InN binding states denoted that our colloidal synthetic route can make formation of In, Ga, and N bindings to generate various In</w:t>
      </w:r>
      <w:r w:rsidRPr="008812BE">
        <w:rPr>
          <w:rFonts w:ascii="Times New Roman" w:hAnsi="Times New Roman" w:cs="Times New Roman"/>
          <w:sz w:val="24"/>
          <w:vertAlign w:val="subscript"/>
        </w:rPr>
        <w:t>x</w:t>
      </w:r>
      <w:r w:rsidRPr="008812BE">
        <w:rPr>
          <w:rFonts w:ascii="Times New Roman" w:hAnsi="Times New Roman" w:cs="Times New Roman"/>
          <w:sz w:val="24"/>
        </w:rPr>
        <w:t>Ga</w:t>
      </w:r>
      <w:r w:rsidRPr="008812BE">
        <w:rPr>
          <w:rFonts w:ascii="Times New Roman" w:hAnsi="Times New Roman" w:cs="Times New Roman"/>
          <w:sz w:val="24"/>
          <w:vertAlign w:val="subscript"/>
        </w:rPr>
        <w:t>1-x</w:t>
      </w:r>
      <w:r w:rsidRPr="008812BE">
        <w:rPr>
          <w:rFonts w:ascii="Times New Roman" w:hAnsi="Times New Roman" w:cs="Times New Roman"/>
          <w:sz w:val="24"/>
        </w:rPr>
        <w:t>N CQDs.</w:t>
      </w:r>
    </w:p>
    <w:p w14:paraId="7BC36D0A" w14:textId="77777777" w:rsidR="00A22B3A" w:rsidRPr="008812BE" w:rsidRDefault="00A22B3A" w:rsidP="00A22B3A">
      <w:pPr>
        <w:spacing w:after="0" w:line="480" w:lineRule="auto"/>
        <w:jc w:val="center"/>
        <w:rPr>
          <w:rFonts w:ascii="Times New Roman" w:hAnsi="Times New Roman" w:cs="Times New Roman"/>
          <w:sz w:val="24"/>
          <w:szCs w:val="24"/>
        </w:rPr>
      </w:pPr>
      <w:r w:rsidRPr="008812BE">
        <w:rPr>
          <w:rFonts w:ascii="Times New Roman" w:hAnsi="Times New Roman" w:cs="Times New Roman"/>
        </w:rPr>
        <w:object w:dxaOrig="4909" w:dyaOrig="3428" w14:anchorId="0C639365">
          <v:shape id="_x0000_i1026" type="#_x0000_t75" style="width:388.5pt;height:293.25pt" o:ole="" o:preferrelative="f" o:allowoverlap="f">
            <v:imagedata r:id="rId8" o:title=""/>
            <o:lock v:ext="edit" aspectratio="f"/>
          </v:shape>
          <o:OLEObject Type="Embed" ProgID="Origin50.Graph" ShapeID="_x0000_i1026" DrawAspect="Content" ObjectID="_1853411180" r:id="rId9"/>
        </w:object>
      </w:r>
    </w:p>
    <w:p w14:paraId="133B170A" w14:textId="1F4659C9" w:rsidR="00A22B3A" w:rsidRPr="008812BE" w:rsidRDefault="00A22B3A" w:rsidP="00A22B3A">
      <w:pPr>
        <w:spacing w:after="0" w:line="480" w:lineRule="auto"/>
        <w:rPr>
          <w:rFonts w:ascii="Times New Roman" w:hAnsi="Times New Roman" w:cs="Times New Roman"/>
          <w:sz w:val="24"/>
          <w:szCs w:val="24"/>
        </w:rPr>
      </w:pPr>
      <w:r w:rsidRPr="008812BE">
        <w:rPr>
          <w:rFonts w:ascii="Times New Roman" w:hAnsi="Times New Roman" w:cs="Times New Roman"/>
          <w:b/>
          <w:bCs/>
          <w:sz w:val="24"/>
          <w:szCs w:val="24"/>
        </w:rPr>
        <w:t xml:space="preserve">Fig. S1 </w:t>
      </w:r>
      <w:r w:rsidRPr="008812BE">
        <w:rPr>
          <w:rFonts w:ascii="Times New Roman" w:hAnsi="Times New Roman" w:cs="Times New Roman"/>
          <w:b/>
          <w:sz w:val="24"/>
          <w:szCs w:val="24"/>
        </w:rPr>
        <w:t>(b) XPS spectra of In</w:t>
      </w:r>
      <w:r w:rsidRPr="008812BE">
        <w:rPr>
          <w:rFonts w:ascii="Times New Roman" w:hAnsi="Times New Roman" w:cs="Times New Roman"/>
          <w:b/>
          <w:sz w:val="24"/>
          <w:szCs w:val="24"/>
          <w:vertAlign w:val="subscript"/>
        </w:rPr>
        <w:t>x</w:t>
      </w:r>
      <w:r w:rsidRPr="008812BE">
        <w:rPr>
          <w:rFonts w:ascii="Times New Roman" w:hAnsi="Times New Roman" w:cs="Times New Roman"/>
          <w:b/>
          <w:sz w:val="24"/>
          <w:szCs w:val="24"/>
        </w:rPr>
        <w:t>Ga</w:t>
      </w:r>
      <w:r w:rsidRPr="008812BE">
        <w:rPr>
          <w:rFonts w:ascii="Times New Roman" w:hAnsi="Times New Roman" w:cs="Times New Roman"/>
          <w:b/>
          <w:sz w:val="24"/>
          <w:szCs w:val="24"/>
          <w:vertAlign w:val="subscript"/>
        </w:rPr>
        <w:t>1-x</w:t>
      </w:r>
      <w:r w:rsidRPr="008812BE">
        <w:rPr>
          <w:rFonts w:ascii="Times New Roman" w:hAnsi="Times New Roman" w:cs="Times New Roman"/>
          <w:b/>
          <w:sz w:val="24"/>
          <w:szCs w:val="24"/>
        </w:rPr>
        <w:t xml:space="preserve">N CQDs : </w:t>
      </w:r>
      <w:r w:rsidRPr="008812BE">
        <w:rPr>
          <w:rFonts w:ascii="Times New Roman" w:hAnsi="Times New Roman" w:cs="Times New Roman"/>
          <w:bCs/>
          <w:sz w:val="24"/>
          <w:szCs w:val="24"/>
        </w:rPr>
        <w:t>Bi</w:t>
      </w:r>
      <w:r w:rsidRPr="008812BE">
        <w:rPr>
          <w:rFonts w:ascii="Times New Roman" w:hAnsi="Times New Roman" w:cs="Times New Roman"/>
          <w:sz w:val="24"/>
          <w:szCs w:val="24"/>
        </w:rPr>
        <w:t>nding energy of In</w:t>
      </w:r>
      <w:r w:rsidRPr="008812BE">
        <w:rPr>
          <w:rFonts w:ascii="Times New Roman" w:hAnsi="Times New Roman" w:cs="Times New Roman"/>
          <w:sz w:val="24"/>
          <w:szCs w:val="24"/>
          <w:vertAlign w:val="subscript"/>
        </w:rPr>
        <w:t>x</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1-x</w:t>
      </w:r>
      <w:r w:rsidRPr="008812BE">
        <w:rPr>
          <w:rFonts w:ascii="Times New Roman" w:hAnsi="Times New Roman" w:cs="Times New Roman"/>
          <w:sz w:val="24"/>
          <w:szCs w:val="24"/>
        </w:rPr>
        <w:t>N CQDs of various metal compositions (x = 0.25</w:t>
      </w:r>
      <w:r w:rsidR="00246F59" w:rsidRPr="008812BE">
        <w:rPr>
          <w:rFonts w:ascii="Times New Roman" w:hAnsi="Times New Roman" w:cs="Times New Roman" w:hint="eastAsia"/>
          <w:sz w:val="24"/>
          <w:szCs w:val="24"/>
        </w:rPr>
        <w:t>,</w:t>
      </w:r>
      <w:r w:rsidRPr="008812BE">
        <w:rPr>
          <w:rFonts w:ascii="Times New Roman" w:hAnsi="Times New Roman" w:cs="Times New Roman"/>
          <w:sz w:val="24"/>
          <w:szCs w:val="24"/>
        </w:rPr>
        <w:t xml:space="preserve"> 0.5, and 0.75).</w:t>
      </w:r>
    </w:p>
    <w:p w14:paraId="5CEF9E97" w14:textId="77777777" w:rsidR="00A22B3A" w:rsidRPr="008812BE" w:rsidRDefault="00A22B3A" w:rsidP="00A22B3A">
      <w:pPr>
        <w:spacing w:after="0" w:line="480" w:lineRule="auto"/>
        <w:rPr>
          <w:rFonts w:ascii="Times New Roman" w:hAnsi="Times New Roman" w:cs="Times New Roman"/>
          <w:sz w:val="24"/>
          <w:szCs w:val="24"/>
        </w:rPr>
      </w:pPr>
    </w:p>
    <w:p w14:paraId="6FA3FD64" w14:textId="77777777" w:rsidR="00A22B3A" w:rsidRPr="008812BE" w:rsidRDefault="00A22B3A" w:rsidP="00A22B3A">
      <w:pPr>
        <w:spacing w:after="0" w:line="480" w:lineRule="auto"/>
        <w:rPr>
          <w:rFonts w:ascii="Times New Roman" w:hAnsi="Times New Roman" w:cs="Times New Roman"/>
          <w:sz w:val="24"/>
          <w:szCs w:val="24"/>
        </w:rPr>
      </w:pPr>
    </w:p>
    <w:p w14:paraId="013CCCCF" w14:textId="77777777" w:rsidR="00A22B3A" w:rsidRPr="008812BE" w:rsidRDefault="00A22B3A" w:rsidP="00A22B3A">
      <w:pPr>
        <w:spacing w:after="0" w:line="480" w:lineRule="auto"/>
        <w:rPr>
          <w:rFonts w:ascii="Times New Roman" w:hAnsi="Times New Roman" w:cs="Times New Roman"/>
          <w:sz w:val="24"/>
          <w:szCs w:val="24"/>
        </w:rPr>
      </w:pPr>
    </w:p>
    <w:p w14:paraId="1489CED5" w14:textId="77777777" w:rsidR="00A22B3A" w:rsidRPr="008812BE" w:rsidRDefault="00A22B3A" w:rsidP="00A22B3A">
      <w:pPr>
        <w:spacing w:after="0" w:line="480" w:lineRule="auto"/>
        <w:rPr>
          <w:rFonts w:ascii="Times New Roman" w:hAnsi="Times New Roman" w:cs="Times New Roman"/>
          <w:sz w:val="24"/>
          <w:szCs w:val="24"/>
        </w:rPr>
      </w:pPr>
    </w:p>
    <w:p w14:paraId="05D08C9D" w14:textId="77777777" w:rsidR="00A22B3A" w:rsidRPr="008812BE" w:rsidRDefault="00A22B3A" w:rsidP="00A22B3A">
      <w:pPr>
        <w:spacing w:after="0" w:line="480" w:lineRule="auto"/>
        <w:rPr>
          <w:rFonts w:ascii="Times New Roman" w:hAnsi="Times New Roman" w:cs="Times New Roman"/>
          <w:sz w:val="24"/>
          <w:szCs w:val="24"/>
        </w:rPr>
      </w:pPr>
    </w:p>
    <w:p w14:paraId="2CAF09BD" w14:textId="77777777" w:rsidR="00A22B3A" w:rsidRPr="008812BE" w:rsidRDefault="00A22B3A" w:rsidP="00A22B3A">
      <w:pPr>
        <w:spacing w:after="0" w:line="480" w:lineRule="auto"/>
        <w:rPr>
          <w:rFonts w:ascii="Times New Roman" w:hAnsi="Times New Roman" w:cs="Times New Roman"/>
          <w:sz w:val="24"/>
          <w:szCs w:val="24"/>
        </w:rPr>
      </w:pPr>
    </w:p>
    <w:p w14:paraId="52155750" w14:textId="77777777" w:rsidR="00A22B3A" w:rsidRPr="008812BE" w:rsidRDefault="00A22B3A" w:rsidP="00A22B3A">
      <w:pPr>
        <w:spacing w:after="0" w:line="480" w:lineRule="auto"/>
        <w:rPr>
          <w:rFonts w:ascii="Times New Roman" w:hAnsi="Times New Roman" w:cs="Times New Roman"/>
          <w:sz w:val="24"/>
          <w:szCs w:val="24"/>
        </w:rPr>
      </w:pPr>
    </w:p>
    <w:p w14:paraId="17C36A60" w14:textId="0DBBD326" w:rsidR="00A22B3A" w:rsidRPr="008812BE" w:rsidRDefault="00A22B3A" w:rsidP="00A22B3A">
      <w:pPr>
        <w:spacing w:after="0" w:line="480" w:lineRule="auto"/>
        <w:ind w:firstLineChars="150" w:firstLine="360"/>
        <w:rPr>
          <w:rFonts w:ascii="Times New Roman" w:hAnsi="Times New Roman" w:cs="Times New Roman"/>
          <w:sz w:val="24"/>
        </w:rPr>
      </w:pPr>
      <w:r w:rsidRPr="008812BE">
        <w:rPr>
          <w:rFonts w:ascii="Times New Roman" w:hAnsi="Times New Roman" w:cs="Times New Roman"/>
          <w:b/>
          <w:sz w:val="24"/>
        </w:rPr>
        <w:lastRenderedPageBreak/>
        <w:t>Fig. S2</w:t>
      </w:r>
      <w:r w:rsidRPr="008812BE">
        <w:rPr>
          <w:rFonts w:ascii="Times New Roman" w:hAnsi="Times New Roman" w:cs="Times New Roman"/>
          <w:sz w:val="24"/>
        </w:rPr>
        <w:t xml:space="preserve"> shows relative PL-QY of In</w:t>
      </w:r>
      <w:r w:rsidRPr="008812BE">
        <w:rPr>
          <w:rFonts w:ascii="Times New Roman" w:hAnsi="Times New Roman" w:cs="Times New Roman"/>
          <w:sz w:val="24"/>
          <w:vertAlign w:val="subscript"/>
        </w:rPr>
        <w:t>x</w:t>
      </w:r>
      <w:r w:rsidRPr="008812BE">
        <w:rPr>
          <w:rFonts w:ascii="Times New Roman" w:hAnsi="Times New Roman" w:cs="Times New Roman"/>
          <w:sz w:val="24"/>
        </w:rPr>
        <w:t>Ga</w:t>
      </w:r>
      <w:r w:rsidRPr="008812BE">
        <w:rPr>
          <w:rFonts w:ascii="Times New Roman" w:hAnsi="Times New Roman" w:cs="Times New Roman"/>
          <w:sz w:val="24"/>
          <w:vertAlign w:val="subscript"/>
        </w:rPr>
        <w:t>1-x</w:t>
      </w:r>
      <w:r w:rsidRPr="008812BE">
        <w:rPr>
          <w:rFonts w:ascii="Times New Roman" w:hAnsi="Times New Roman" w:cs="Times New Roman"/>
          <w:sz w:val="24"/>
        </w:rPr>
        <w:t xml:space="preserve">N CQDs according to metal fraction variation. With increasing In fraction, PL-QY decreased from 34% to 3 %, which was well matched with PL intensity change shown in </w:t>
      </w:r>
      <w:r w:rsidRPr="008812BE">
        <w:rPr>
          <w:rFonts w:ascii="Times New Roman" w:hAnsi="Times New Roman" w:cs="Times New Roman"/>
          <w:b/>
          <w:sz w:val="24"/>
        </w:rPr>
        <w:t>Fig. 2 (b)</w:t>
      </w:r>
      <w:r w:rsidRPr="008812BE">
        <w:rPr>
          <w:rFonts w:ascii="Times New Roman" w:hAnsi="Times New Roman" w:cs="Times New Roman"/>
          <w:sz w:val="24"/>
        </w:rPr>
        <w:t>. This PL-QY change in In fraction variation was directly related with unique properties of In</w:t>
      </w:r>
      <w:r w:rsidRPr="008812BE">
        <w:rPr>
          <w:rFonts w:ascii="Times New Roman" w:hAnsi="Times New Roman" w:cs="Times New Roman"/>
          <w:sz w:val="24"/>
          <w:vertAlign w:val="subscript"/>
        </w:rPr>
        <w:t>x</w:t>
      </w:r>
      <w:r w:rsidRPr="008812BE">
        <w:rPr>
          <w:rFonts w:ascii="Times New Roman" w:hAnsi="Times New Roman" w:cs="Times New Roman"/>
          <w:sz w:val="24"/>
        </w:rPr>
        <w:t>Ga</w:t>
      </w:r>
      <w:r w:rsidRPr="008812BE">
        <w:rPr>
          <w:rFonts w:ascii="Times New Roman" w:hAnsi="Times New Roman" w:cs="Times New Roman"/>
          <w:sz w:val="24"/>
          <w:vertAlign w:val="subscript"/>
        </w:rPr>
        <w:t>1-x</w:t>
      </w:r>
      <w:r w:rsidRPr="008812BE">
        <w:rPr>
          <w:rFonts w:ascii="Times New Roman" w:hAnsi="Times New Roman" w:cs="Times New Roman"/>
          <w:sz w:val="24"/>
        </w:rPr>
        <w:t xml:space="preserve">N CQDs. The radiative recombination of GaN or Ga-rich state was relatively less influenced </w:t>
      </w:r>
      <w:r w:rsidR="00040E03" w:rsidRPr="008812BE">
        <w:rPr>
          <w:rFonts w:ascii="Times New Roman" w:hAnsi="Times New Roman" w:cs="Times New Roman" w:hint="eastAsia"/>
          <w:sz w:val="24"/>
        </w:rPr>
        <w:t>by</w:t>
      </w:r>
      <w:r w:rsidRPr="008812BE">
        <w:rPr>
          <w:rFonts w:ascii="Times New Roman" w:hAnsi="Times New Roman" w:cs="Times New Roman"/>
          <w:sz w:val="24"/>
        </w:rPr>
        <w:t xml:space="preserve"> lattice defects, but, that of In</w:t>
      </w:r>
      <w:r w:rsidRPr="008812BE">
        <w:rPr>
          <w:rFonts w:ascii="Times New Roman" w:hAnsi="Times New Roman" w:cs="Times New Roman"/>
          <w:sz w:val="24"/>
          <w:vertAlign w:val="subscript"/>
        </w:rPr>
        <w:t>x</w:t>
      </w:r>
      <w:r w:rsidRPr="008812BE">
        <w:rPr>
          <w:rFonts w:ascii="Times New Roman" w:hAnsi="Times New Roman" w:cs="Times New Roman"/>
          <w:sz w:val="24"/>
        </w:rPr>
        <w:t>Ga</w:t>
      </w:r>
      <w:r w:rsidRPr="008812BE">
        <w:rPr>
          <w:rFonts w:ascii="Times New Roman" w:hAnsi="Times New Roman" w:cs="Times New Roman"/>
          <w:sz w:val="24"/>
          <w:vertAlign w:val="subscript"/>
        </w:rPr>
        <w:t>1-x</w:t>
      </w:r>
      <w:r w:rsidRPr="008812BE">
        <w:rPr>
          <w:rFonts w:ascii="Times New Roman" w:hAnsi="Times New Roman" w:cs="Times New Roman"/>
          <w:sz w:val="24"/>
        </w:rPr>
        <w:t xml:space="preserve">N in In-rich state was more influenced </w:t>
      </w:r>
      <w:r w:rsidR="00040E03" w:rsidRPr="008812BE">
        <w:rPr>
          <w:rFonts w:ascii="Times New Roman" w:hAnsi="Times New Roman" w:cs="Times New Roman" w:hint="eastAsia"/>
          <w:sz w:val="24"/>
        </w:rPr>
        <w:t>by</w:t>
      </w:r>
      <w:r w:rsidRPr="008812BE">
        <w:rPr>
          <w:rFonts w:ascii="Times New Roman" w:hAnsi="Times New Roman" w:cs="Times New Roman"/>
          <w:sz w:val="24"/>
        </w:rPr>
        <w:t xml:space="preserve"> lattice defects.</w:t>
      </w:r>
      <w:r w:rsidRPr="008812BE">
        <w:rPr>
          <w:rFonts w:ascii="Times New Roman" w:hAnsi="Times New Roman" w:cs="Times New Roman"/>
          <w:noProof/>
          <w:sz w:val="24"/>
          <w:vertAlign w:val="superscript"/>
        </w:rPr>
        <w:t>3</w:t>
      </w:r>
      <w:r w:rsidRPr="008812BE">
        <w:rPr>
          <w:rFonts w:ascii="Times New Roman" w:hAnsi="Times New Roman" w:cs="Times New Roman"/>
          <w:sz w:val="24"/>
        </w:rPr>
        <w:t xml:space="preserve"> </w:t>
      </w:r>
    </w:p>
    <w:p w14:paraId="3ED499A0" w14:textId="77777777" w:rsidR="00A22B3A" w:rsidRPr="008812BE" w:rsidRDefault="00A22B3A" w:rsidP="00A22B3A">
      <w:pPr>
        <w:spacing w:after="0" w:line="480" w:lineRule="auto"/>
        <w:ind w:firstLineChars="177" w:firstLine="354"/>
        <w:jc w:val="center"/>
        <w:rPr>
          <w:rFonts w:ascii="Times New Roman" w:hAnsi="Times New Roman" w:cs="Times New Roman"/>
          <w:sz w:val="24"/>
        </w:rPr>
      </w:pPr>
      <w:r w:rsidRPr="008812BE">
        <w:rPr>
          <w:rFonts w:ascii="Times New Roman" w:hAnsi="Times New Roman" w:cs="Times New Roman"/>
        </w:rPr>
        <w:object w:dxaOrig="4908" w:dyaOrig="3427" w14:anchorId="631A3D2A">
          <v:shape id="_x0000_i1027" type="#_x0000_t75" style="width:387.75pt;height:291pt" o:ole="" o:preferrelative="f">
            <v:imagedata r:id="rId10" o:title=""/>
            <o:lock v:ext="edit" aspectratio="f"/>
          </v:shape>
          <o:OLEObject Type="Embed" ProgID="Origin50.Graph" ShapeID="_x0000_i1027" DrawAspect="Content" ObjectID="_1853411181" r:id="rId11"/>
        </w:object>
      </w:r>
    </w:p>
    <w:p w14:paraId="7D16642A" w14:textId="77777777" w:rsidR="00A22B3A" w:rsidRPr="008812BE" w:rsidRDefault="00A22B3A" w:rsidP="00A22B3A">
      <w:pPr>
        <w:spacing w:after="0" w:line="480" w:lineRule="auto"/>
        <w:rPr>
          <w:rFonts w:ascii="Times New Roman" w:hAnsi="Times New Roman" w:cs="Times New Roman"/>
          <w:sz w:val="24"/>
        </w:rPr>
      </w:pPr>
      <w:r w:rsidRPr="008812BE">
        <w:rPr>
          <w:rFonts w:ascii="Times New Roman" w:hAnsi="Times New Roman" w:cs="Times New Roman"/>
          <w:b/>
          <w:bCs/>
          <w:sz w:val="24"/>
        </w:rPr>
        <w:t>Fig. S2</w:t>
      </w:r>
      <w:r w:rsidRPr="008812BE">
        <w:rPr>
          <w:rFonts w:ascii="Times New Roman" w:hAnsi="Times New Roman" w:cs="Times New Roman"/>
          <w:b/>
          <w:sz w:val="24"/>
        </w:rPr>
        <w:t xml:space="preserve"> Relative PL quantum efficiency of </w:t>
      </w:r>
      <w:r w:rsidRPr="008812BE">
        <w:rPr>
          <w:rFonts w:ascii="Times New Roman" w:hAnsi="Times New Roman" w:cs="Times New Roman"/>
          <w:b/>
          <w:sz w:val="24"/>
          <w:szCs w:val="24"/>
        </w:rPr>
        <w:t>In</w:t>
      </w:r>
      <w:r w:rsidRPr="008812BE">
        <w:rPr>
          <w:rFonts w:ascii="Times New Roman" w:hAnsi="Times New Roman" w:cs="Times New Roman"/>
          <w:b/>
          <w:sz w:val="24"/>
          <w:szCs w:val="24"/>
          <w:vertAlign w:val="subscript"/>
        </w:rPr>
        <w:t>x</w:t>
      </w:r>
      <w:r w:rsidRPr="008812BE">
        <w:rPr>
          <w:rFonts w:ascii="Times New Roman" w:hAnsi="Times New Roman" w:cs="Times New Roman"/>
          <w:b/>
          <w:sz w:val="24"/>
          <w:szCs w:val="24"/>
        </w:rPr>
        <w:t>Ga</w:t>
      </w:r>
      <w:r w:rsidRPr="008812BE">
        <w:rPr>
          <w:rFonts w:ascii="Times New Roman" w:hAnsi="Times New Roman" w:cs="Times New Roman"/>
          <w:b/>
          <w:sz w:val="24"/>
          <w:szCs w:val="24"/>
          <w:vertAlign w:val="subscript"/>
        </w:rPr>
        <w:t>1-x</w:t>
      </w:r>
      <w:r w:rsidRPr="008812BE">
        <w:rPr>
          <w:rFonts w:ascii="Times New Roman" w:hAnsi="Times New Roman" w:cs="Times New Roman"/>
          <w:b/>
          <w:sz w:val="24"/>
          <w:szCs w:val="24"/>
        </w:rPr>
        <w:t xml:space="preserve">N CQDs </w:t>
      </w:r>
      <w:r w:rsidRPr="008812BE">
        <w:rPr>
          <w:rFonts w:ascii="Times New Roman" w:hAnsi="Times New Roman" w:cs="Times New Roman"/>
          <w:b/>
          <w:sz w:val="24"/>
        </w:rPr>
        <w:t xml:space="preserve">: </w:t>
      </w:r>
      <w:r w:rsidRPr="008812BE">
        <w:rPr>
          <w:rFonts w:ascii="Times New Roman" w:hAnsi="Times New Roman" w:cs="Times New Roman"/>
          <w:sz w:val="24"/>
        </w:rPr>
        <w:t xml:space="preserve">PL-QY of </w:t>
      </w:r>
      <w:r w:rsidRPr="008812BE">
        <w:rPr>
          <w:rFonts w:ascii="Times New Roman" w:hAnsi="Times New Roman" w:cs="Times New Roman"/>
          <w:sz w:val="24"/>
          <w:szCs w:val="24"/>
        </w:rPr>
        <w:t>In</w:t>
      </w:r>
      <w:r w:rsidRPr="008812BE">
        <w:rPr>
          <w:rFonts w:ascii="Times New Roman" w:hAnsi="Times New Roman" w:cs="Times New Roman"/>
          <w:sz w:val="24"/>
          <w:szCs w:val="24"/>
          <w:vertAlign w:val="subscript"/>
        </w:rPr>
        <w:t>x</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1-x</w:t>
      </w:r>
      <w:r w:rsidRPr="008812BE">
        <w:rPr>
          <w:rFonts w:ascii="Times New Roman" w:hAnsi="Times New Roman" w:cs="Times New Roman"/>
          <w:sz w:val="24"/>
          <w:szCs w:val="24"/>
        </w:rPr>
        <w:t>N CQDs of various metal compositions (x = 0.25, 0.5, and 0.75).</w:t>
      </w:r>
    </w:p>
    <w:p w14:paraId="5F0DA5AD" w14:textId="77777777" w:rsidR="00A22B3A" w:rsidRPr="008812BE" w:rsidRDefault="00A22B3A" w:rsidP="00A22B3A">
      <w:pPr>
        <w:spacing w:after="0" w:line="480" w:lineRule="auto"/>
        <w:ind w:firstLineChars="177" w:firstLine="425"/>
        <w:rPr>
          <w:rFonts w:ascii="Times New Roman" w:hAnsi="Times New Roman" w:cs="Times New Roman"/>
          <w:sz w:val="24"/>
        </w:rPr>
      </w:pPr>
    </w:p>
    <w:p w14:paraId="2999D8F5" w14:textId="77777777" w:rsidR="00A22B3A" w:rsidRPr="008812BE" w:rsidRDefault="00A22B3A" w:rsidP="00A22B3A">
      <w:pPr>
        <w:spacing w:after="0" w:line="480" w:lineRule="auto"/>
        <w:ind w:firstLineChars="177" w:firstLine="425"/>
        <w:rPr>
          <w:rFonts w:ascii="Times New Roman" w:hAnsi="Times New Roman" w:cs="Times New Roman"/>
          <w:sz w:val="24"/>
        </w:rPr>
      </w:pPr>
    </w:p>
    <w:p w14:paraId="0E24F331" w14:textId="77777777" w:rsidR="00A22B3A" w:rsidRPr="008812BE" w:rsidRDefault="00A22B3A" w:rsidP="00A22B3A">
      <w:pPr>
        <w:spacing w:after="0" w:line="480" w:lineRule="auto"/>
        <w:ind w:firstLineChars="177" w:firstLine="425"/>
        <w:rPr>
          <w:rFonts w:ascii="Times New Roman" w:hAnsi="Times New Roman" w:cs="Times New Roman"/>
          <w:sz w:val="24"/>
        </w:rPr>
      </w:pPr>
    </w:p>
    <w:p w14:paraId="3A925D84" w14:textId="77777777" w:rsidR="00A22B3A" w:rsidRPr="008812BE" w:rsidRDefault="00A22B3A" w:rsidP="00A22B3A">
      <w:pPr>
        <w:spacing w:after="0" w:line="480" w:lineRule="auto"/>
        <w:ind w:firstLineChars="177" w:firstLine="425"/>
        <w:rPr>
          <w:rFonts w:ascii="Times New Roman" w:hAnsi="Times New Roman" w:cs="Times New Roman"/>
          <w:sz w:val="24"/>
        </w:rPr>
      </w:pPr>
    </w:p>
    <w:p w14:paraId="1C1A6C12" w14:textId="77777777" w:rsidR="00A22B3A" w:rsidRPr="008812BE" w:rsidRDefault="00A22B3A" w:rsidP="00A22B3A">
      <w:pPr>
        <w:spacing w:after="0" w:line="480" w:lineRule="auto"/>
        <w:ind w:firstLineChars="177" w:firstLine="425"/>
        <w:rPr>
          <w:rFonts w:ascii="Times New Roman" w:hAnsi="Times New Roman" w:cs="Times New Roman"/>
          <w:sz w:val="24"/>
        </w:rPr>
      </w:pPr>
    </w:p>
    <w:p w14:paraId="3CB09D38" w14:textId="77777777" w:rsidR="00A22B3A" w:rsidRPr="008812BE" w:rsidRDefault="00A22B3A" w:rsidP="00A22B3A">
      <w:pPr>
        <w:spacing w:after="0" w:line="480" w:lineRule="auto"/>
        <w:ind w:firstLineChars="177" w:firstLine="425"/>
        <w:rPr>
          <w:rFonts w:ascii="Times New Roman" w:hAnsi="Times New Roman" w:cs="Times New Roman"/>
          <w:sz w:val="24"/>
        </w:rPr>
      </w:pPr>
    </w:p>
    <w:p w14:paraId="5E8C4D66" w14:textId="62721120" w:rsidR="00A22B3A" w:rsidRPr="008812BE" w:rsidRDefault="00A22B3A" w:rsidP="00A22B3A">
      <w:pPr>
        <w:spacing w:after="0" w:line="480" w:lineRule="auto"/>
        <w:ind w:firstLineChars="180" w:firstLine="432"/>
        <w:rPr>
          <w:rFonts w:ascii="Times New Roman" w:hAnsi="Times New Roman" w:cs="Times New Roman"/>
          <w:sz w:val="24"/>
        </w:rPr>
      </w:pPr>
      <w:r w:rsidRPr="008812BE">
        <w:rPr>
          <w:rFonts w:ascii="Times New Roman" w:hAnsi="Times New Roman" w:cs="Times New Roman"/>
          <w:b/>
          <w:sz w:val="24"/>
        </w:rPr>
        <w:lastRenderedPageBreak/>
        <w:t>Fig. S3 (a)</w:t>
      </w:r>
      <w:r w:rsidRPr="008812BE">
        <w:rPr>
          <w:rFonts w:ascii="Times New Roman" w:hAnsi="Times New Roman" w:cs="Times New Roman"/>
          <w:sz w:val="24"/>
        </w:rPr>
        <w:t xml:space="preserve"> and </w:t>
      </w:r>
      <w:r w:rsidRPr="008812BE">
        <w:rPr>
          <w:rFonts w:ascii="Times New Roman" w:hAnsi="Times New Roman" w:cs="Times New Roman"/>
          <w:b/>
          <w:sz w:val="24"/>
        </w:rPr>
        <w:t>(b)</w:t>
      </w:r>
      <w:r w:rsidRPr="008812BE">
        <w:rPr>
          <w:rFonts w:ascii="Times New Roman" w:hAnsi="Times New Roman" w:cs="Times New Roman"/>
          <w:sz w:val="24"/>
        </w:rPr>
        <w:t xml:space="preserve"> shows UV-vis absorption and PL spectra of In</w:t>
      </w:r>
      <w:r w:rsidRPr="008812BE">
        <w:rPr>
          <w:rFonts w:ascii="Times New Roman" w:hAnsi="Times New Roman" w:cs="Times New Roman"/>
          <w:sz w:val="24"/>
          <w:vertAlign w:val="subscript"/>
        </w:rPr>
        <w:t>0.</w:t>
      </w:r>
      <w:r w:rsidR="0025689F" w:rsidRPr="008812BE">
        <w:rPr>
          <w:rFonts w:ascii="Times New Roman" w:hAnsi="Times New Roman" w:cs="Times New Roman" w:hint="eastAsia"/>
          <w:sz w:val="24"/>
          <w:vertAlign w:val="subscript"/>
        </w:rPr>
        <w:t>7</w:t>
      </w:r>
      <w:r w:rsidRPr="008812BE">
        <w:rPr>
          <w:rFonts w:ascii="Times New Roman" w:hAnsi="Times New Roman" w:cs="Times New Roman"/>
          <w:sz w:val="24"/>
          <w:vertAlign w:val="subscript"/>
        </w:rPr>
        <w:t>5</w:t>
      </w:r>
      <w:r w:rsidRPr="008812BE">
        <w:rPr>
          <w:rFonts w:ascii="Times New Roman" w:hAnsi="Times New Roman" w:cs="Times New Roman"/>
          <w:sz w:val="24"/>
        </w:rPr>
        <w:t>Ga</w:t>
      </w:r>
      <w:r w:rsidRPr="008812BE">
        <w:rPr>
          <w:rFonts w:ascii="Times New Roman" w:hAnsi="Times New Roman" w:cs="Times New Roman"/>
          <w:sz w:val="24"/>
          <w:vertAlign w:val="subscript"/>
        </w:rPr>
        <w:t>0.</w:t>
      </w:r>
      <w:r w:rsidR="0025689F" w:rsidRPr="008812BE">
        <w:rPr>
          <w:rFonts w:ascii="Times New Roman" w:hAnsi="Times New Roman" w:cs="Times New Roman" w:hint="eastAsia"/>
          <w:sz w:val="24"/>
          <w:vertAlign w:val="subscript"/>
        </w:rPr>
        <w:t>2</w:t>
      </w:r>
      <w:r w:rsidRPr="008812BE">
        <w:rPr>
          <w:rFonts w:ascii="Times New Roman" w:hAnsi="Times New Roman" w:cs="Times New Roman"/>
          <w:sz w:val="24"/>
          <w:vertAlign w:val="subscript"/>
        </w:rPr>
        <w:t>5</w:t>
      </w:r>
      <w:r w:rsidRPr="008812BE">
        <w:rPr>
          <w:rFonts w:ascii="Times New Roman" w:hAnsi="Times New Roman" w:cs="Times New Roman"/>
          <w:sz w:val="24"/>
        </w:rPr>
        <w:t>N CQDs of different size. The Ga and In metal fraction was fixed to 0.25 and 0.75 (</w:t>
      </w:r>
      <w:r w:rsidR="0025689F" w:rsidRPr="008812BE">
        <w:rPr>
          <w:rFonts w:ascii="Times New Roman" w:hAnsi="Times New Roman" w:cs="Times New Roman"/>
          <w:sz w:val="24"/>
        </w:rPr>
        <w:t>In</w:t>
      </w:r>
      <w:r w:rsidR="0025689F" w:rsidRPr="008812BE">
        <w:rPr>
          <w:rFonts w:ascii="Times New Roman" w:hAnsi="Times New Roman" w:cs="Times New Roman"/>
          <w:sz w:val="24"/>
          <w:vertAlign w:val="subscript"/>
        </w:rPr>
        <w:t>0.</w:t>
      </w:r>
      <w:r w:rsidR="0025689F" w:rsidRPr="008812BE">
        <w:rPr>
          <w:rFonts w:ascii="Times New Roman" w:hAnsi="Times New Roman" w:cs="Times New Roman" w:hint="eastAsia"/>
          <w:sz w:val="24"/>
          <w:vertAlign w:val="subscript"/>
        </w:rPr>
        <w:t>7</w:t>
      </w:r>
      <w:r w:rsidR="0025689F" w:rsidRPr="008812BE">
        <w:rPr>
          <w:rFonts w:ascii="Times New Roman" w:hAnsi="Times New Roman" w:cs="Times New Roman"/>
          <w:sz w:val="24"/>
          <w:vertAlign w:val="subscript"/>
        </w:rPr>
        <w:t>5</w:t>
      </w:r>
      <w:r w:rsidR="0025689F" w:rsidRPr="008812BE">
        <w:rPr>
          <w:rFonts w:ascii="Times New Roman" w:hAnsi="Times New Roman" w:cs="Times New Roman"/>
          <w:sz w:val="24"/>
        </w:rPr>
        <w:t>Ga</w:t>
      </w:r>
      <w:r w:rsidR="0025689F" w:rsidRPr="008812BE">
        <w:rPr>
          <w:rFonts w:ascii="Times New Roman" w:hAnsi="Times New Roman" w:cs="Times New Roman"/>
          <w:sz w:val="24"/>
          <w:vertAlign w:val="subscript"/>
        </w:rPr>
        <w:t>0.</w:t>
      </w:r>
      <w:r w:rsidR="0025689F" w:rsidRPr="008812BE">
        <w:rPr>
          <w:rFonts w:ascii="Times New Roman" w:hAnsi="Times New Roman" w:cs="Times New Roman" w:hint="eastAsia"/>
          <w:sz w:val="24"/>
          <w:vertAlign w:val="subscript"/>
        </w:rPr>
        <w:t>2</w:t>
      </w:r>
      <w:r w:rsidR="0025689F" w:rsidRPr="008812BE">
        <w:rPr>
          <w:rFonts w:ascii="Times New Roman" w:hAnsi="Times New Roman" w:cs="Times New Roman"/>
          <w:sz w:val="24"/>
          <w:vertAlign w:val="subscript"/>
        </w:rPr>
        <w:t>5</w:t>
      </w:r>
      <w:r w:rsidR="0025689F" w:rsidRPr="008812BE">
        <w:rPr>
          <w:rFonts w:ascii="Times New Roman" w:hAnsi="Times New Roman" w:cs="Times New Roman"/>
          <w:sz w:val="24"/>
        </w:rPr>
        <w:t>N</w:t>
      </w:r>
      <w:r w:rsidRPr="008812BE">
        <w:rPr>
          <w:rFonts w:ascii="Times New Roman" w:hAnsi="Times New Roman" w:cs="Times New Roman"/>
          <w:sz w:val="24"/>
        </w:rPr>
        <w:t>), because it showed highest PL-QY. For size control of In</w:t>
      </w:r>
      <w:r w:rsidRPr="008812BE">
        <w:rPr>
          <w:rFonts w:ascii="Times New Roman" w:hAnsi="Times New Roman" w:cs="Times New Roman"/>
          <w:sz w:val="24"/>
          <w:vertAlign w:val="subscript"/>
        </w:rPr>
        <w:t>x</w:t>
      </w:r>
      <w:r w:rsidRPr="008812BE">
        <w:rPr>
          <w:rFonts w:ascii="Times New Roman" w:hAnsi="Times New Roman" w:cs="Times New Roman"/>
          <w:sz w:val="24"/>
        </w:rPr>
        <w:t>Ga</w:t>
      </w:r>
      <w:r w:rsidRPr="008812BE">
        <w:rPr>
          <w:rFonts w:ascii="Times New Roman" w:hAnsi="Times New Roman" w:cs="Times New Roman"/>
          <w:sz w:val="24"/>
          <w:vertAlign w:val="subscript"/>
        </w:rPr>
        <w:t>1-x</w:t>
      </w:r>
      <w:r w:rsidRPr="008812BE">
        <w:rPr>
          <w:rFonts w:ascii="Times New Roman" w:hAnsi="Times New Roman" w:cs="Times New Roman"/>
          <w:sz w:val="24"/>
        </w:rPr>
        <w:t>N CQDs, the concentration of O.A.(oleic acid) changed from 0.6 mmol to 2.2 mmol. The 1</w:t>
      </w:r>
      <w:r w:rsidRPr="008812BE">
        <w:rPr>
          <w:rFonts w:ascii="Times New Roman" w:hAnsi="Times New Roman" w:cs="Times New Roman"/>
          <w:sz w:val="24"/>
          <w:vertAlign w:val="superscript"/>
        </w:rPr>
        <w:t>st</w:t>
      </w:r>
      <w:r w:rsidRPr="008812BE">
        <w:rPr>
          <w:rFonts w:ascii="Times New Roman" w:hAnsi="Times New Roman" w:cs="Times New Roman"/>
          <w:sz w:val="24"/>
        </w:rPr>
        <w:t xml:space="preserve"> excitonic peaks as well as PL spectra were blue-shifted with a decrease of particle size (increase of O.A. concentration). These results demonstrated that band gap of In</w:t>
      </w:r>
      <w:r w:rsidRPr="008812BE">
        <w:rPr>
          <w:rFonts w:ascii="Times New Roman" w:hAnsi="Times New Roman" w:cs="Times New Roman"/>
          <w:sz w:val="24"/>
          <w:vertAlign w:val="subscript"/>
        </w:rPr>
        <w:t>x</w:t>
      </w:r>
      <w:r w:rsidRPr="008812BE">
        <w:rPr>
          <w:rFonts w:ascii="Times New Roman" w:hAnsi="Times New Roman" w:cs="Times New Roman"/>
          <w:sz w:val="24"/>
        </w:rPr>
        <w:t>Ga</w:t>
      </w:r>
      <w:r w:rsidRPr="008812BE">
        <w:rPr>
          <w:rFonts w:ascii="Times New Roman" w:hAnsi="Times New Roman" w:cs="Times New Roman"/>
          <w:sz w:val="24"/>
          <w:vertAlign w:val="subscript"/>
        </w:rPr>
        <w:t>1-x</w:t>
      </w:r>
      <w:r w:rsidRPr="008812BE">
        <w:rPr>
          <w:rFonts w:ascii="Times New Roman" w:hAnsi="Times New Roman" w:cs="Times New Roman"/>
          <w:sz w:val="24"/>
        </w:rPr>
        <w:t xml:space="preserve">N CQDs was well controlled by quantum confinement effect. </w:t>
      </w:r>
    </w:p>
    <w:p w14:paraId="47823D03" w14:textId="77777777" w:rsidR="00A22B3A" w:rsidRPr="008812BE" w:rsidRDefault="00A22B3A" w:rsidP="00A22B3A">
      <w:pPr>
        <w:spacing w:after="0" w:line="480" w:lineRule="auto"/>
        <w:rPr>
          <w:rFonts w:ascii="Times New Roman" w:hAnsi="Times New Roman" w:cs="Times New Roman"/>
          <w:b/>
          <w:color w:val="000000" w:themeColor="text1"/>
          <w:sz w:val="24"/>
          <w:szCs w:val="24"/>
        </w:rPr>
      </w:pPr>
      <w:r w:rsidRPr="008812BE">
        <w:rPr>
          <w:rFonts w:ascii="Times New Roman" w:hAnsi="Times New Roman" w:cs="Times New Roman"/>
          <w:noProof/>
        </w:rPr>
        <w:drawing>
          <wp:inline distT="0" distB="0" distL="0" distR="0" wp14:anchorId="1090AED7" wp14:editId="199018AB">
            <wp:extent cx="5731510" cy="2426056"/>
            <wp:effectExtent l="0" t="0" r="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2426056"/>
                    </a:xfrm>
                    <a:prstGeom prst="rect">
                      <a:avLst/>
                    </a:prstGeom>
                    <a:noFill/>
                    <a:ln>
                      <a:noFill/>
                    </a:ln>
                  </pic:spPr>
                </pic:pic>
              </a:graphicData>
            </a:graphic>
          </wp:inline>
        </w:drawing>
      </w:r>
    </w:p>
    <w:p w14:paraId="6A6B78B3" w14:textId="4BBE0A88" w:rsidR="00A22B3A" w:rsidRPr="008812BE" w:rsidRDefault="00A22B3A" w:rsidP="00A22B3A">
      <w:pPr>
        <w:spacing w:after="0" w:line="480" w:lineRule="auto"/>
        <w:rPr>
          <w:rFonts w:ascii="Times New Roman" w:hAnsi="Times New Roman" w:cs="Times New Roman"/>
          <w:sz w:val="24"/>
        </w:rPr>
      </w:pPr>
      <w:r w:rsidRPr="008812BE">
        <w:rPr>
          <w:rFonts w:ascii="Times New Roman" w:hAnsi="Times New Roman" w:cs="Times New Roman"/>
          <w:b/>
          <w:bCs/>
          <w:sz w:val="24"/>
        </w:rPr>
        <w:t>Fig. S3</w:t>
      </w:r>
      <w:r w:rsidRPr="008812BE">
        <w:rPr>
          <w:rFonts w:ascii="Times New Roman" w:hAnsi="Times New Roman" w:cs="Times New Roman"/>
          <w:b/>
          <w:sz w:val="24"/>
        </w:rPr>
        <w:t xml:space="preserve"> </w:t>
      </w:r>
      <w:r w:rsidRPr="008812BE">
        <w:rPr>
          <w:rFonts w:ascii="Times New Roman" w:hAnsi="Times New Roman" w:cs="Times New Roman"/>
          <w:b/>
          <w:sz w:val="24"/>
          <w:szCs w:val="24"/>
        </w:rPr>
        <w:t xml:space="preserve">Band gap tuning of </w:t>
      </w:r>
      <w:r w:rsidRPr="008812BE">
        <w:rPr>
          <w:rFonts w:ascii="Times New Roman" w:hAnsi="Times New Roman" w:cs="Times New Roman"/>
          <w:b/>
          <w:bCs/>
          <w:sz w:val="24"/>
          <w:szCs w:val="24"/>
        </w:rPr>
        <w:t>In</w:t>
      </w:r>
      <w:r w:rsidRPr="008812BE">
        <w:rPr>
          <w:rFonts w:ascii="Times New Roman" w:hAnsi="Times New Roman" w:cs="Times New Roman"/>
          <w:b/>
          <w:bCs/>
          <w:sz w:val="24"/>
          <w:szCs w:val="24"/>
          <w:vertAlign w:val="subscript"/>
        </w:rPr>
        <w:t>x</w:t>
      </w:r>
      <w:r w:rsidRPr="008812BE">
        <w:rPr>
          <w:rFonts w:ascii="Times New Roman" w:hAnsi="Times New Roman" w:cs="Times New Roman"/>
          <w:b/>
          <w:bCs/>
          <w:sz w:val="24"/>
          <w:szCs w:val="24"/>
        </w:rPr>
        <w:t>Ga</w:t>
      </w:r>
      <w:r w:rsidRPr="008812BE">
        <w:rPr>
          <w:rFonts w:ascii="Times New Roman" w:hAnsi="Times New Roman" w:cs="Times New Roman"/>
          <w:b/>
          <w:bCs/>
          <w:sz w:val="24"/>
          <w:szCs w:val="24"/>
          <w:vertAlign w:val="subscript"/>
        </w:rPr>
        <w:t>1-x</w:t>
      </w:r>
      <w:r w:rsidRPr="008812BE">
        <w:rPr>
          <w:rFonts w:ascii="Times New Roman" w:hAnsi="Times New Roman" w:cs="Times New Roman"/>
          <w:b/>
          <w:bCs/>
          <w:sz w:val="24"/>
          <w:szCs w:val="24"/>
        </w:rPr>
        <w:t>N CQDs by q</w:t>
      </w:r>
      <w:r w:rsidRPr="008812BE">
        <w:rPr>
          <w:rFonts w:ascii="Times New Roman" w:hAnsi="Times New Roman" w:cs="Times New Roman"/>
          <w:b/>
          <w:sz w:val="24"/>
        </w:rPr>
        <w:t>uantum confinement effect :</w:t>
      </w:r>
      <w:r w:rsidRPr="008812BE">
        <w:rPr>
          <w:rFonts w:ascii="Times New Roman" w:hAnsi="Times New Roman" w:cs="Times New Roman"/>
          <w:sz w:val="24"/>
        </w:rPr>
        <w:t xml:space="preserve"> (a) UV-vis absorption and (b) PL spectra of size controlled </w:t>
      </w:r>
      <w:r w:rsidR="0025689F" w:rsidRPr="008812BE">
        <w:rPr>
          <w:rFonts w:ascii="Times New Roman" w:hAnsi="Times New Roman" w:cs="Times New Roman"/>
          <w:sz w:val="24"/>
        </w:rPr>
        <w:t>In</w:t>
      </w:r>
      <w:r w:rsidR="0025689F" w:rsidRPr="008812BE">
        <w:rPr>
          <w:rFonts w:ascii="Times New Roman" w:hAnsi="Times New Roman" w:cs="Times New Roman"/>
          <w:sz w:val="24"/>
          <w:vertAlign w:val="subscript"/>
        </w:rPr>
        <w:t>0.</w:t>
      </w:r>
      <w:r w:rsidR="00246F59" w:rsidRPr="008812BE">
        <w:rPr>
          <w:rFonts w:ascii="Times New Roman" w:hAnsi="Times New Roman" w:cs="Times New Roman" w:hint="eastAsia"/>
          <w:sz w:val="24"/>
          <w:vertAlign w:val="subscript"/>
        </w:rPr>
        <w:t>2</w:t>
      </w:r>
      <w:r w:rsidR="0025689F" w:rsidRPr="008812BE">
        <w:rPr>
          <w:rFonts w:ascii="Times New Roman" w:hAnsi="Times New Roman" w:cs="Times New Roman"/>
          <w:sz w:val="24"/>
          <w:vertAlign w:val="subscript"/>
        </w:rPr>
        <w:t>5</w:t>
      </w:r>
      <w:r w:rsidR="0025689F" w:rsidRPr="008812BE">
        <w:rPr>
          <w:rFonts w:ascii="Times New Roman" w:hAnsi="Times New Roman" w:cs="Times New Roman"/>
          <w:sz w:val="24"/>
        </w:rPr>
        <w:t>Ga</w:t>
      </w:r>
      <w:r w:rsidR="0025689F" w:rsidRPr="008812BE">
        <w:rPr>
          <w:rFonts w:ascii="Times New Roman" w:hAnsi="Times New Roman" w:cs="Times New Roman"/>
          <w:sz w:val="24"/>
          <w:vertAlign w:val="subscript"/>
        </w:rPr>
        <w:t>0.</w:t>
      </w:r>
      <w:r w:rsidR="00246F59" w:rsidRPr="008812BE">
        <w:rPr>
          <w:rFonts w:ascii="Times New Roman" w:hAnsi="Times New Roman" w:cs="Times New Roman" w:hint="eastAsia"/>
          <w:sz w:val="24"/>
          <w:vertAlign w:val="subscript"/>
        </w:rPr>
        <w:t>7</w:t>
      </w:r>
      <w:r w:rsidR="0025689F" w:rsidRPr="008812BE">
        <w:rPr>
          <w:rFonts w:ascii="Times New Roman" w:hAnsi="Times New Roman" w:cs="Times New Roman"/>
          <w:sz w:val="24"/>
          <w:vertAlign w:val="subscript"/>
        </w:rPr>
        <w:t>5</w:t>
      </w:r>
      <w:r w:rsidR="0025689F" w:rsidRPr="008812BE">
        <w:rPr>
          <w:rFonts w:ascii="Times New Roman" w:hAnsi="Times New Roman" w:cs="Times New Roman"/>
          <w:sz w:val="24"/>
        </w:rPr>
        <w:t>N</w:t>
      </w:r>
      <w:r w:rsidRPr="008812BE">
        <w:rPr>
          <w:rFonts w:ascii="Times New Roman" w:hAnsi="Times New Roman" w:cs="Times New Roman"/>
          <w:sz w:val="24"/>
        </w:rPr>
        <w:t xml:space="preserve"> CQDs through O.A. concentration (O.A. = 0.6, 1.2, and 2.2 mmol).</w:t>
      </w:r>
    </w:p>
    <w:p w14:paraId="38025859" w14:textId="77777777" w:rsidR="00A22B3A" w:rsidRPr="008812BE" w:rsidRDefault="00A22B3A" w:rsidP="00A22B3A">
      <w:pPr>
        <w:spacing w:after="0" w:line="480" w:lineRule="auto"/>
        <w:rPr>
          <w:rFonts w:ascii="Times New Roman" w:hAnsi="Times New Roman" w:cs="Times New Roman"/>
          <w:sz w:val="24"/>
        </w:rPr>
      </w:pPr>
    </w:p>
    <w:p w14:paraId="4D0428B2" w14:textId="77777777" w:rsidR="00A22B3A" w:rsidRPr="008812BE" w:rsidRDefault="00A22B3A" w:rsidP="00A22B3A">
      <w:pPr>
        <w:spacing w:after="0" w:line="480" w:lineRule="auto"/>
        <w:rPr>
          <w:rFonts w:ascii="Times New Roman" w:hAnsi="Times New Roman" w:cs="Times New Roman"/>
          <w:sz w:val="24"/>
        </w:rPr>
      </w:pPr>
    </w:p>
    <w:p w14:paraId="339A10C1" w14:textId="77777777" w:rsidR="00A22B3A" w:rsidRPr="008812BE" w:rsidRDefault="00A22B3A" w:rsidP="00A22B3A">
      <w:pPr>
        <w:spacing w:after="0" w:line="480" w:lineRule="auto"/>
        <w:rPr>
          <w:rFonts w:ascii="Times New Roman" w:hAnsi="Times New Roman" w:cs="Times New Roman"/>
          <w:sz w:val="24"/>
        </w:rPr>
      </w:pPr>
    </w:p>
    <w:p w14:paraId="388178A8" w14:textId="77777777" w:rsidR="00A22B3A" w:rsidRPr="008812BE" w:rsidRDefault="00A22B3A" w:rsidP="00A22B3A">
      <w:pPr>
        <w:spacing w:after="0" w:line="480" w:lineRule="auto"/>
        <w:rPr>
          <w:rFonts w:ascii="Times New Roman" w:hAnsi="Times New Roman" w:cs="Times New Roman"/>
          <w:sz w:val="24"/>
        </w:rPr>
      </w:pPr>
    </w:p>
    <w:p w14:paraId="59FE95E1" w14:textId="77777777" w:rsidR="00A22B3A" w:rsidRPr="008812BE" w:rsidRDefault="00A22B3A" w:rsidP="00A22B3A">
      <w:pPr>
        <w:spacing w:after="0" w:line="480" w:lineRule="auto"/>
        <w:rPr>
          <w:rFonts w:ascii="Times New Roman" w:hAnsi="Times New Roman" w:cs="Times New Roman"/>
          <w:sz w:val="24"/>
        </w:rPr>
      </w:pPr>
    </w:p>
    <w:p w14:paraId="16C8B235" w14:textId="77777777" w:rsidR="00A22B3A" w:rsidRPr="008812BE" w:rsidRDefault="00A22B3A" w:rsidP="00A22B3A">
      <w:pPr>
        <w:spacing w:after="0" w:line="480" w:lineRule="auto"/>
        <w:jc w:val="center"/>
        <w:rPr>
          <w:rFonts w:ascii="Times New Roman" w:hAnsi="Times New Roman" w:cs="Times New Roman"/>
          <w:sz w:val="24"/>
        </w:rPr>
      </w:pPr>
      <w:r w:rsidRPr="008812BE">
        <w:rPr>
          <w:rFonts w:ascii="Times New Roman" w:hAnsi="Times New Roman" w:cs="Times New Roman"/>
          <w:noProof/>
        </w:rPr>
        <w:lastRenderedPageBreak/>
        <w:drawing>
          <wp:inline distT="0" distB="0" distL="0" distR="0" wp14:anchorId="480F1231" wp14:editId="0539B2E1">
            <wp:extent cx="4742822" cy="3564564"/>
            <wp:effectExtent l="0" t="0" r="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47206" cy="3567859"/>
                    </a:xfrm>
                    <a:prstGeom prst="rect">
                      <a:avLst/>
                    </a:prstGeom>
                    <a:noFill/>
                    <a:ln>
                      <a:noFill/>
                    </a:ln>
                  </pic:spPr>
                </pic:pic>
              </a:graphicData>
            </a:graphic>
          </wp:inline>
        </w:drawing>
      </w:r>
    </w:p>
    <w:p w14:paraId="2C694A16" w14:textId="77777777" w:rsidR="00A22B3A" w:rsidRPr="008812BE" w:rsidRDefault="00A22B3A" w:rsidP="00A22B3A">
      <w:pPr>
        <w:spacing w:after="0" w:line="480" w:lineRule="auto"/>
        <w:rPr>
          <w:rFonts w:ascii="Times New Roman" w:hAnsi="Times New Roman" w:cs="Times New Roman"/>
          <w:sz w:val="24"/>
        </w:rPr>
      </w:pPr>
      <w:r w:rsidRPr="008812BE">
        <w:rPr>
          <w:rFonts w:ascii="Times New Roman" w:hAnsi="Times New Roman" w:cs="Times New Roman"/>
          <w:b/>
          <w:bCs/>
          <w:sz w:val="24"/>
        </w:rPr>
        <w:t>Fig. S4</w:t>
      </w:r>
      <w:r w:rsidRPr="008812BE">
        <w:rPr>
          <w:rFonts w:ascii="Times New Roman" w:hAnsi="Times New Roman" w:cs="Times New Roman"/>
          <w:b/>
          <w:sz w:val="24"/>
        </w:rPr>
        <w:t xml:space="preserve"> </w:t>
      </w:r>
      <w:r w:rsidRPr="008812BE">
        <w:rPr>
          <w:rFonts w:ascii="Times New Roman" w:hAnsi="Times New Roman" w:cs="Times New Roman"/>
          <w:b/>
          <w:sz w:val="24"/>
          <w:szCs w:val="24"/>
        </w:rPr>
        <w:t xml:space="preserve">Band gap tuning of </w:t>
      </w:r>
      <w:r w:rsidRPr="008812BE">
        <w:rPr>
          <w:rFonts w:ascii="Times New Roman" w:hAnsi="Times New Roman" w:cs="Times New Roman"/>
          <w:b/>
          <w:bCs/>
          <w:sz w:val="24"/>
          <w:szCs w:val="24"/>
        </w:rPr>
        <w:t>In</w:t>
      </w:r>
      <w:r w:rsidRPr="008812BE">
        <w:rPr>
          <w:rFonts w:ascii="Times New Roman" w:hAnsi="Times New Roman" w:cs="Times New Roman"/>
          <w:b/>
          <w:bCs/>
          <w:sz w:val="24"/>
          <w:szCs w:val="24"/>
          <w:vertAlign w:val="subscript"/>
        </w:rPr>
        <w:t>x</w:t>
      </w:r>
      <w:r w:rsidRPr="008812BE">
        <w:rPr>
          <w:rFonts w:ascii="Times New Roman" w:hAnsi="Times New Roman" w:cs="Times New Roman"/>
          <w:b/>
          <w:bCs/>
          <w:sz w:val="24"/>
          <w:szCs w:val="24"/>
        </w:rPr>
        <w:t>Ga</w:t>
      </w:r>
      <w:r w:rsidRPr="008812BE">
        <w:rPr>
          <w:rFonts w:ascii="Times New Roman" w:hAnsi="Times New Roman" w:cs="Times New Roman"/>
          <w:b/>
          <w:bCs/>
          <w:sz w:val="24"/>
          <w:szCs w:val="24"/>
          <w:vertAlign w:val="subscript"/>
        </w:rPr>
        <w:t>1-x</w:t>
      </w:r>
      <w:r w:rsidRPr="008812BE">
        <w:rPr>
          <w:rFonts w:ascii="Times New Roman" w:hAnsi="Times New Roman" w:cs="Times New Roman"/>
          <w:b/>
          <w:bCs/>
          <w:sz w:val="24"/>
          <w:szCs w:val="24"/>
        </w:rPr>
        <w:t>N CQDs by q</w:t>
      </w:r>
      <w:r w:rsidRPr="008812BE">
        <w:rPr>
          <w:rFonts w:ascii="Times New Roman" w:hAnsi="Times New Roman" w:cs="Times New Roman"/>
          <w:b/>
          <w:sz w:val="24"/>
        </w:rPr>
        <w:t xml:space="preserve">uantum confinement effect </w:t>
      </w:r>
      <w:r w:rsidRPr="008812BE">
        <w:rPr>
          <w:rFonts w:ascii="Times New Roman" w:hAnsi="Times New Roman" w:cs="Times New Roman"/>
          <w:sz w:val="24"/>
        </w:rPr>
        <w:t>: Maximum PL peak shift and fluorescence images of In</w:t>
      </w:r>
      <w:r w:rsidRPr="008812BE">
        <w:rPr>
          <w:rFonts w:ascii="Times New Roman" w:hAnsi="Times New Roman" w:cs="Times New Roman"/>
          <w:sz w:val="24"/>
          <w:vertAlign w:val="subscript"/>
        </w:rPr>
        <w:t>0.25</w:t>
      </w:r>
      <w:r w:rsidRPr="008812BE">
        <w:rPr>
          <w:rFonts w:ascii="Times New Roman" w:hAnsi="Times New Roman" w:cs="Times New Roman"/>
          <w:sz w:val="24"/>
        </w:rPr>
        <w:t>Ga</w:t>
      </w:r>
      <w:r w:rsidRPr="008812BE">
        <w:rPr>
          <w:rFonts w:ascii="Times New Roman" w:hAnsi="Times New Roman" w:cs="Times New Roman"/>
          <w:sz w:val="24"/>
          <w:vertAlign w:val="subscript"/>
        </w:rPr>
        <w:t>0.75</w:t>
      </w:r>
      <w:r w:rsidRPr="008812BE">
        <w:rPr>
          <w:rFonts w:ascii="Times New Roman" w:hAnsi="Times New Roman" w:cs="Times New Roman"/>
          <w:sz w:val="24"/>
        </w:rPr>
        <w:t>N CQDs of different particle size through O.A. control in solution.</w:t>
      </w:r>
    </w:p>
    <w:p w14:paraId="5E4BF59F" w14:textId="77777777" w:rsidR="00A22B3A" w:rsidRPr="008812BE" w:rsidRDefault="00A22B3A" w:rsidP="00A22B3A">
      <w:pPr>
        <w:spacing w:after="0" w:line="480" w:lineRule="auto"/>
        <w:rPr>
          <w:rFonts w:ascii="Times New Roman" w:hAnsi="Times New Roman" w:cs="Times New Roman"/>
          <w:sz w:val="24"/>
        </w:rPr>
      </w:pPr>
    </w:p>
    <w:p w14:paraId="231AC77B" w14:textId="77777777" w:rsidR="00A22B3A" w:rsidRPr="008812BE" w:rsidRDefault="00A22B3A" w:rsidP="00A22B3A">
      <w:pPr>
        <w:spacing w:after="0" w:line="480" w:lineRule="auto"/>
        <w:rPr>
          <w:rFonts w:ascii="Times New Roman" w:hAnsi="Times New Roman" w:cs="Times New Roman"/>
          <w:sz w:val="24"/>
        </w:rPr>
      </w:pPr>
    </w:p>
    <w:p w14:paraId="556370AE" w14:textId="77777777" w:rsidR="00A22B3A" w:rsidRPr="008812BE" w:rsidRDefault="00A22B3A" w:rsidP="00A22B3A">
      <w:pPr>
        <w:spacing w:after="0" w:line="480" w:lineRule="auto"/>
        <w:rPr>
          <w:rFonts w:ascii="Times New Roman" w:hAnsi="Times New Roman" w:cs="Times New Roman"/>
          <w:sz w:val="24"/>
        </w:rPr>
      </w:pPr>
    </w:p>
    <w:p w14:paraId="62E6A97C" w14:textId="77777777" w:rsidR="00A22B3A" w:rsidRPr="008812BE" w:rsidRDefault="00A22B3A" w:rsidP="00A22B3A">
      <w:pPr>
        <w:spacing w:after="0" w:line="480" w:lineRule="auto"/>
        <w:rPr>
          <w:rFonts w:ascii="Times New Roman" w:hAnsi="Times New Roman" w:cs="Times New Roman"/>
          <w:sz w:val="24"/>
        </w:rPr>
      </w:pPr>
    </w:p>
    <w:p w14:paraId="4600F7ED" w14:textId="77777777" w:rsidR="00A22B3A" w:rsidRPr="008812BE" w:rsidRDefault="00A22B3A" w:rsidP="00A22B3A">
      <w:pPr>
        <w:spacing w:after="0" w:line="480" w:lineRule="auto"/>
        <w:rPr>
          <w:rFonts w:ascii="Times New Roman" w:hAnsi="Times New Roman" w:cs="Times New Roman"/>
          <w:sz w:val="24"/>
        </w:rPr>
      </w:pPr>
    </w:p>
    <w:p w14:paraId="2E341EEF" w14:textId="77777777" w:rsidR="00A22B3A" w:rsidRPr="008812BE" w:rsidRDefault="00A22B3A" w:rsidP="00A22B3A">
      <w:pPr>
        <w:spacing w:after="0" w:line="480" w:lineRule="auto"/>
        <w:rPr>
          <w:rFonts w:ascii="Times New Roman" w:hAnsi="Times New Roman" w:cs="Times New Roman"/>
          <w:sz w:val="24"/>
        </w:rPr>
      </w:pPr>
    </w:p>
    <w:p w14:paraId="20937684" w14:textId="77777777" w:rsidR="00A22B3A" w:rsidRPr="008812BE" w:rsidRDefault="00A22B3A" w:rsidP="00A22B3A">
      <w:pPr>
        <w:spacing w:after="0" w:line="480" w:lineRule="auto"/>
        <w:rPr>
          <w:rFonts w:ascii="Times New Roman" w:hAnsi="Times New Roman" w:cs="Times New Roman"/>
          <w:sz w:val="24"/>
        </w:rPr>
      </w:pPr>
    </w:p>
    <w:p w14:paraId="54366890" w14:textId="77777777" w:rsidR="00A22B3A" w:rsidRPr="008812BE" w:rsidRDefault="00A22B3A" w:rsidP="00A22B3A">
      <w:pPr>
        <w:tabs>
          <w:tab w:val="left" w:pos="7513"/>
        </w:tabs>
        <w:spacing w:after="0" w:line="480" w:lineRule="auto"/>
        <w:ind w:firstLineChars="150" w:firstLine="360"/>
        <w:rPr>
          <w:rFonts w:ascii="Times New Roman" w:hAnsi="Times New Roman" w:cs="Times New Roman"/>
          <w:sz w:val="24"/>
        </w:rPr>
      </w:pPr>
    </w:p>
    <w:p w14:paraId="46564882" w14:textId="77777777" w:rsidR="00A22B3A" w:rsidRPr="008812BE" w:rsidRDefault="00A22B3A" w:rsidP="00A22B3A">
      <w:pPr>
        <w:tabs>
          <w:tab w:val="left" w:pos="7513"/>
        </w:tabs>
        <w:spacing w:after="0" w:line="480" w:lineRule="auto"/>
        <w:ind w:firstLineChars="150" w:firstLine="360"/>
        <w:rPr>
          <w:rFonts w:ascii="Times New Roman" w:hAnsi="Times New Roman" w:cs="Times New Roman"/>
          <w:sz w:val="24"/>
        </w:rPr>
      </w:pPr>
    </w:p>
    <w:p w14:paraId="77288827" w14:textId="77777777" w:rsidR="00A22B3A" w:rsidRPr="008812BE" w:rsidRDefault="00A22B3A" w:rsidP="00A22B3A">
      <w:pPr>
        <w:tabs>
          <w:tab w:val="left" w:pos="7513"/>
        </w:tabs>
        <w:spacing w:after="0" w:line="480" w:lineRule="auto"/>
        <w:ind w:firstLineChars="150" w:firstLine="360"/>
        <w:rPr>
          <w:rFonts w:ascii="Times New Roman" w:hAnsi="Times New Roman" w:cs="Times New Roman"/>
          <w:sz w:val="24"/>
        </w:rPr>
      </w:pPr>
    </w:p>
    <w:p w14:paraId="68FC33B5" w14:textId="77777777" w:rsidR="00A22B3A" w:rsidRPr="008812BE" w:rsidRDefault="00A22B3A" w:rsidP="00A22B3A">
      <w:pPr>
        <w:tabs>
          <w:tab w:val="left" w:pos="7513"/>
        </w:tabs>
        <w:spacing w:after="0" w:line="480" w:lineRule="auto"/>
        <w:ind w:firstLineChars="150" w:firstLine="360"/>
        <w:rPr>
          <w:rFonts w:ascii="Times New Roman" w:hAnsi="Times New Roman" w:cs="Times New Roman"/>
          <w:sz w:val="24"/>
        </w:rPr>
      </w:pPr>
    </w:p>
    <w:p w14:paraId="2E588431" w14:textId="77777777" w:rsidR="00A22B3A" w:rsidRPr="008812BE" w:rsidRDefault="00A22B3A" w:rsidP="00A22B3A">
      <w:pPr>
        <w:tabs>
          <w:tab w:val="left" w:pos="7513"/>
        </w:tabs>
        <w:spacing w:after="0" w:line="480" w:lineRule="auto"/>
        <w:ind w:firstLineChars="150" w:firstLine="360"/>
        <w:rPr>
          <w:rFonts w:ascii="Times New Roman" w:hAnsi="Times New Roman" w:cs="Times New Roman"/>
          <w:sz w:val="24"/>
          <w:szCs w:val="24"/>
        </w:rPr>
      </w:pPr>
      <w:r w:rsidRPr="008812BE">
        <w:rPr>
          <w:rFonts w:ascii="Times New Roman" w:hAnsi="Times New Roman" w:cs="Times New Roman"/>
          <w:sz w:val="24"/>
        </w:rPr>
        <w:lastRenderedPageBreak/>
        <w:t>To ascertain that optical property variation of In</w:t>
      </w:r>
      <w:r w:rsidRPr="008812BE">
        <w:rPr>
          <w:rFonts w:ascii="Times New Roman" w:hAnsi="Times New Roman" w:cs="Times New Roman"/>
          <w:sz w:val="24"/>
          <w:vertAlign w:val="subscript"/>
        </w:rPr>
        <w:t>0.25</w:t>
      </w:r>
      <w:r w:rsidRPr="008812BE">
        <w:rPr>
          <w:rFonts w:ascii="Times New Roman" w:hAnsi="Times New Roman" w:cs="Times New Roman"/>
          <w:sz w:val="24"/>
        </w:rPr>
        <w:t>Ga</w:t>
      </w:r>
      <w:r w:rsidRPr="008812BE">
        <w:rPr>
          <w:rFonts w:ascii="Times New Roman" w:hAnsi="Times New Roman" w:cs="Times New Roman"/>
          <w:sz w:val="24"/>
          <w:vertAlign w:val="subscript"/>
        </w:rPr>
        <w:t>0.75</w:t>
      </w:r>
      <w:r w:rsidRPr="008812BE">
        <w:rPr>
          <w:rFonts w:ascii="Times New Roman" w:hAnsi="Times New Roman" w:cs="Times New Roman"/>
          <w:sz w:val="24"/>
        </w:rPr>
        <w:t xml:space="preserve">N CQDs due to quantum confinement effect, </w:t>
      </w:r>
      <w:r w:rsidRPr="008812BE">
        <w:rPr>
          <w:rFonts w:ascii="Times New Roman" w:hAnsi="Times New Roman" w:cs="Times New Roman"/>
          <w:sz w:val="24"/>
          <w:szCs w:val="24"/>
        </w:rPr>
        <w:t>transmission electron microscopy (TEM) of In</w:t>
      </w:r>
      <w:r w:rsidRPr="008812BE">
        <w:rPr>
          <w:rFonts w:ascii="Times New Roman" w:hAnsi="Times New Roman" w:cs="Times New Roman"/>
          <w:sz w:val="24"/>
          <w:szCs w:val="24"/>
          <w:vertAlign w:val="subscript"/>
        </w:rPr>
        <w:t>0.25</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0.75</w:t>
      </w:r>
      <w:r w:rsidRPr="008812BE">
        <w:rPr>
          <w:rFonts w:ascii="Times New Roman" w:hAnsi="Times New Roman" w:cs="Times New Roman"/>
          <w:sz w:val="24"/>
          <w:szCs w:val="24"/>
        </w:rPr>
        <w:t xml:space="preserve">N CQDs with different </w:t>
      </w:r>
      <w:r w:rsidRPr="008812BE">
        <w:rPr>
          <w:rFonts w:ascii="Times New Roman" w:hAnsi="Times New Roman" w:cs="Times New Roman"/>
          <w:sz w:val="24"/>
        </w:rPr>
        <w:t>O.A. concentration</w:t>
      </w:r>
      <w:r w:rsidRPr="008812BE">
        <w:rPr>
          <w:rFonts w:ascii="Times New Roman" w:hAnsi="Times New Roman" w:cs="Times New Roman"/>
          <w:sz w:val="24"/>
          <w:szCs w:val="24"/>
        </w:rPr>
        <w:t xml:space="preserve"> was conducted (</w:t>
      </w:r>
      <w:r w:rsidRPr="008812BE">
        <w:rPr>
          <w:rFonts w:ascii="Times New Roman" w:hAnsi="Times New Roman" w:cs="Times New Roman"/>
          <w:b/>
          <w:sz w:val="24"/>
          <w:szCs w:val="24"/>
        </w:rPr>
        <w:t>Fig S5 (a)</w:t>
      </w:r>
      <w:r w:rsidRPr="008812BE">
        <w:rPr>
          <w:rFonts w:ascii="Times New Roman" w:hAnsi="Times New Roman" w:cs="Times New Roman"/>
          <w:sz w:val="24"/>
          <w:szCs w:val="24"/>
        </w:rPr>
        <w:t xml:space="preserve"> and</w:t>
      </w:r>
      <w:r w:rsidRPr="008812BE">
        <w:rPr>
          <w:rFonts w:ascii="Times New Roman" w:hAnsi="Times New Roman" w:cs="Times New Roman"/>
          <w:b/>
          <w:sz w:val="24"/>
          <w:szCs w:val="24"/>
        </w:rPr>
        <w:t xml:space="preserve"> (b)</w:t>
      </w:r>
      <w:r w:rsidRPr="008812BE">
        <w:rPr>
          <w:rFonts w:ascii="Times New Roman" w:hAnsi="Times New Roman" w:cs="Times New Roman"/>
          <w:sz w:val="24"/>
          <w:szCs w:val="24"/>
        </w:rPr>
        <w:t xml:space="preserve">). The </w:t>
      </w:r>
      <w:r w:rsidRPr="008812BE">
        <w:rPr>
          <w:rFonts w:ascii="Times New Roman" w:hAnsi="Times New Roman" w:cs="Times New Roman"/>
          <w:sz w:val="24"/>
        </w:rPr>
        <w:t>In</w:t>
      </w:r>
      <w:r w:rsidRPr="008812BE">
        <w:rPr>
          <w:rFonts w:ascii="Times New Roman" w:hAnsi="Times New Roman" w:cs="Times New Roman"/>
          <w:sz w:val="24"/>
          <w:vertAlign w:val="subscript"/>
        </w:rPr>
        <w:t>0.25</w:t>
      </w:r>
      <w:r w:rsidRPr="008812BE">
        <w:rPr>
          <w:rFonts w:ascii="Times New Roman" w:hAnsi="Times New Roman" w:cs="Times New Roman"/>
          <w:sz w:val="24"/>
        </w:rPr>
        <w:t>Ga</w:t>
      </w:r>
      <w:r w:rsidRPr="008812BE">
        <w:rPr>
          <w:rFonts w:ascii="Times New Roman" w:hAnsi="Times New Roman" w:cs="Times New Roman"/>
          <w:sz w:val="24"/>
          <w:vertAlign w:val="subscript"/>
        </w:rPr>
        <w:t>0.75</w:t>
      </w:r>
      <w:r w:rsidRPr="008812BE">
        <w:rPr>
          <w:rFonts w:ascii="Times New Roman" w:hAnsi="Times New Roman" w:cs="Times New Roman"/>
          <w:sz w:val="24"/>
        </w:rPr>
        <w:t xml:space="preserve">N CQDs showed the </w:t>
      </w:r>
      <w:r w:rsidRPr="008812BE">
        <w:rPr>
          <w:rFonts w:ascii="Times New Roman" w:hAnsi="Times New Roman" w:cs="Times New Roman"/>
          <w:sz w:val="24"/>
          <w:szCs w:val="24"/>
        </w:rPr>
        <w:t>spherical shape and well distributed states. The average sizes of In</w:t>
      </w:r>
      <w:r w:rsidRPr="008812BE">
        <w:rPr>
          <w:rFonts w:ascii="Times New Roman" w:hAnsi="Times New Roman" w:cs="Times New Roman"/>
          <w:sz w:val="24"/>
          <w:szCs w:val="24"/>
          <w:vertAlign w:val="subscript"/>
        </w:rPr>
        <w:t>0.25</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0.75</w:t>
      </w:r>
      <w:r w:rsidRPr="008812BE">
        <w:rPr>
          <w:rFonts w:ascii="Times New Roman" w:hAnsi="Times New Roman" w:cs="Times New Roman"/>
          <w:sz w:val="24"/>
          <w:szCs w:val="24"/>
        </w:rPr>
        <w:t>N CQDs were</w:t>
      </w:r>
      <w:r w:rsidRPr="008812BE">
        <w:rPr>
          <w:rFonts w:ascii="Times New Roman" w:hAnsi="Times New Roman" w:cs="Times New Roman"/>
          <w:sz w:val="24"/>
        </w:rPr>
        <w:t xml:space="preserve"> </w:t>
      </w:r>
      <w:r w:rsidRPr="008812BE">
        <w:rPr>
          <w:rFonts w:ascii="Times New Roman" w:hAnsi="Times New Roman" w:cs="Times New Roman"/>
          <w:sz w:val="24"/>
          <w:szCs w:val="24"/>
        </w:rPr>
        <w:t xml:space="preserve">4 nm (1.2 mmol of O.A, </w:t>
      </w:r>
      <w:r w:rsidRPr="008812BE">
        <w:rPr>
          <w:rFonts w:ascii="Times New Roman" w:hAnsi="Times New Roman" w:cs="Times New Roman"/>
          <w:b/>
          <w:sz w:val="24"/>
          <w:szCs w:val="24"/>
        </w:rPr>
        <w:t>Fig. S5 (a)</w:t>
      </w:r>
      <w:r w:rsidRPr="008812BE">
        <w:rPr>
          <w:rFonts w:ascii="Times New Roman" w:hAnsi="Times New Roman" w:cs="Times New Roman"/>
          <w:sz w:val="24"/>
          <w:szCs w:val="24"/>
        </w:rPr>
        <w:t xml:space="preserve">) and 2.5 ~ 3 nm (2.2 mmol of O.A, </w:t>
      </w:r>
      <w:r w:rsidRPr="008812BE">
        <w:rPr>
          <w:rFonts w:ascii="Times New Roman" w:hAnsi="Times New Roman" w:cs="Times New Roman"/>
          <w:b/>
          <w:sz w:val="24"/>
          <w:szCs w:val="24"/>
        </w:rPr>
        <w:t>Fig. S5 (b)</w:t>
      </w:r>
      <w:r w:rsidRPr="008812BE">
        <w:rPr>
          <w:rFonts w:ascii="Times New Roman" w:hAnsi="Times New Roman" w:cs="Times New Roman"/>
          <w:sz w:val="24"/>
          <w:szCs w:val="24"/>
        </w:rPr>
        <w:t xml:space="preserve">), respectively. These TEM results clearly show that optical properties of </w:t>
      </w:r>
      <w:r w:rsidRPr="008812BE">
        <w:rPr>
          <w:rFonts w:ascii="Times New Roman" w:hAnsi="Times New Roman" w:cs="Times New Roman"/>
          <w:sz w:val="24"/>
        </w:rPr>
        <w:t>In</w:t>
      </w:r>
      <w:r w:rsidRPr="008812BE">
        <w:rPr>
          <w:rFonts w:ascii="Times New Roman" w:hAnsi="Times New Roman" w:cs="Times New Roman"/>
          <w:sz w:val="24"/>
          <w:vertAlign w:val="subscript"/>
        </w:rPr>
        <w:t>x</w:t>
      </w:r>
      <w:r w:rsidRPr="008812BE">
        <w:rPr>
          <w:rFonts w:ascii="Times New Roman" w:hAnsi="Times New Roman" w:cs="Times New Roman"/>
          <w:sz w:val="24"/>
        </w:rPr>
        <w:t>Ga</w:t>
      </w:r>
      <w:r w:rsidRPr="008812BE">
        <w:rPr>
          <w:rFonts w:ascii="Times New Roman" w:hAnsi="Times New Roman" w:cs="Times New Roman"/>
          <w:sz w:val="24"/>
          <w:vertAlign w:val="subscript"/>
        </w:rPr>
        <w:t>1-x</w:t>
      </w:r>
      <w:r w:rsidRPr="008812BE">
        <w:rPr>
          <w:rFonts w:ascii="Times New Roman" w:hAnsi="Times New Roman" w:cs="Times New Roman"/>
          <w:sz w:val="24"/>
        </w:rPr>
        <w:t xml:space="preserve">N CQDs are </w:t>
      </w:r>
      <w:r w:rsidRPr="008812BE">
        <w:rPr>
          <w:rFonts w:ascii="Times New Roman" w:hAnsi="Times New Roman" w:cs="Times New Roman"/>
          <w:sz w:val="24"/>
          <w:szCs w:val="24"/>
        </w:rPr>
        <w:t xml:space="preserve">well controlled by particle size variation and our hot-injection routes effectively control the particle size of </w:t>
      </w:r>
      <w:r w:rsidRPr="008812BE">
        <w:rPr>
          <w:rFonts w:ascii="Times New Roman" w:hAnsi="Times New Roman" w:cs="Times New Roman"/>
          <w:sz w:val="24"/>
        </w:rPr>
        <w:t>CQDs</w:t>
      </w:r>
      <w:r w:rsidRPr="008812BE">
        <w:rPr>
          <w:rFonts w:ascii="Times New Roman" w:hAnsi="Times New Roman" w:cs="Times New Roman"/>
          <w:sz w:val="24"/>
          <w:szCs w:val="24"/>
        </w:rPr>
        <w:t xml:space="preserve"> via surfactant concentration control. For comparison, TEM images of GaN (3.5 nm) and InN (5 nm) CQDs, synthesized under same synthetic route and condition (1.2 mmol of O.A.), were also shown in </w:t>
      </w:r>
      <w:r w:rsidRPr="008812BE">
        <w:rPr>
          <w:rFonts w:ascii="Times New Roman" w:hAnsi="Times New Roman" w:cs="Times New Roman"/>
          <w:b/>
          <w:sz w:val="24"/>
          <w:szCs w:val="24"/>
        </w:rPr>
        <w:t>Fig. S5 (c)</w:t>
      </w:r>
      <w:r w:rsidRPr="008812BE">
        <w:rPr>
          <w:rFonts w:ascii="Times New Roman" w:hAnsi="Times New Roman" w:cs="Times New Roman"/>
          <w:sz w:val="24"/>
          <w:szCs w:val="24"/>
        </w:rPr>
        <w:t xml:space="preserve"> and </w:t>
      </w:r>
      <w:r w:rsidRPr="008812BE">
        <w:rPr>
          <w:rFonts w:ascii="Times New Roman" w:hAnsi="Times New Roman" w:cs="Times New Roman"/>
          <w:b/>
          <w:sz w:val="24"/>
          <w:szCs w:val="24"/>
        </w:rPr>
        <w:t>Fig. S5 (d)</w:t>
      </w:r>
      <w:r w:rsidRPr="008812BE">
        <w:rPr>
          <w:rFonts w:ascii="Times New Roman" w:hAnsi="Times New Roman" w:cs="Times New Roman"/>
          <w:sz w:val="24"/>
          <w:szCs w:val="24"/>
        </w:rPr>
        <w:t xml:space="preserve">. </w:t>
      </w:r>
    </w:p>
    <w:p w14:paraId="14D412B0" w14:textId="77777777" w:rsidR="00A22B3A" w:rsidRPr="008812BE" w:rsidRDefault="00A22B3A" w:rsidP="00A22B3A">
      <w:pPr>
        <w:tabs>
          <w:tab w:val="left" w:pos="7513"/>
        </w:tabs>
        <w:spacing w:after="0" w:line="480" w:lineRule="auto"/>
        <w:ind w:firstLineChars="150" w:firstLine="300"/>
        <w:jc w:val="center"/>
        <w:rPr>
          <w:rFonts w:ascii="Times New Roman" w:hAnsi="Times New Roman" w:cs="Times New Roman"/>
          <w:sz w:val="24"/>
          <w:szCs w:val="24"/>
        </w:rPr>
      </w:pPr>
      <w:r w:rsidRPr="008812BE">
        <w:rPr>
          <w:rFonts w:ascii="Times New Roman" w:hAnsi="Times New Roman" w:cs="Times New Roman"/>
          <w:noProof/>
        </w:rPr>
        <w:drawing>
          <wp:inline distT="0" distB="0" distL="0" distR="0" wp14:anchorId="699B2A32" wp14:editId="1EB71E8E">
            <wp:extent cx="3907390" cy="3498850"/>
            <wp:effectExtent l="0" t="0" r="0" b="635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09968" cy="3501159"/>
                    </a:xfrm>
                    <a:prstGeom prst="rect">
                      <a:avLst/>
                    </a:prstGeom>
                    <a:noFill/>
                    <a:ln>
                      <a:noFill/>
                    </a:ln>
                  </pic:spPr>
                </pic:pic>
              </a:graphicData>
            </a:graphic>
          </wp:inline>
        </w:drawing>
      </w:r>
    </w:p>
    <w:p w14:paraId="26DD96F9" w14:textId="77777777" w:rsidR="00A22B3A" w:rsidRPr="008812BE" w:rsidRDefault="00A22B3A" w:rsidP="00A22B3A">
      <w:pPr>
        <w:spacing w:after="0" w:line="480" w:lineRule="auto"/>
        <w:rPr>
          <w:rFonts w:ascii="Times New Roman" w:hAnsi="Times New Roman" w:cs="Times New Roman"/>
          <w:sz w:val="24"/>
        </w:rPr>
      </w:pPr>
      <w:r w:rsidRPr="008812BE">
        <w:rPr>
          <w:rFonts w:ascii="Times New Roman" w:hAnsi="Times New Roman" w:cs="Times New Roman"/>
          <w:b/>
          <w:bCs/>
          <w:sz w:val="24"/>
        </w:rPr>
        <w:t>Fig. S5</w:t>
      </w:r>
      <w:r w:rsidRPr="008812BE">
        <w:rPr>
          <w:rFonts w:ascii="Times New Roman" w:hAnsi="Times New Roman" w:cs="Times New Roman"/>
          <w:b/>
          <w:sz w:val="24"/>
        </w:rPr>
        <w:t xml:space="preserve"> TEM images of In</w:t>
      </w:r>
      <w:r w:rsidRPr="008812BE">
        <w:rPr>
          <w:rFonts w:ascii="Times New Roman" w:hAnsi="Times New Roman" w:cs="Times New Roman"/>
          <w:b/>
          <w:sz w:val="24"/>
          <w:vertAlign w:val="subscript"/>
        </w:rPr>
        <w:t>x</w:t>
      </w:r>
      <w:r w:rsidRPr="008812BE">
        <w:rPr>
          <w:rFonts w:ascii="Times New Roman" w:hAnsi="Times New Roman" w:cs="Times New Roman"/>
          <w:b/>
          <w:sz w:val="24"/>
        </w:rPr>
        <w:t>Ga</w:t>
      </w:r>
      <w:r w:rsidRPr="008812BE">
        <w:rPr>
          <w:rFonts w:ascii="Times New Roman" w:hAnsi="Times New Roman" w:cs="Times New Roman"/>
          <w:b/>
          <w:sz w:val="24"/>
          <w:vertAlign w:val="subscript"/>
        </w:rPr>
        <w:t>1-x</w:t>
      </w:r>
      <w:r w:rsidRPr="008812BE">
        <w:rPr>
          <w:rFonts w:ascii="Times New Roman" w:hAnsi="Times New Roman" w:cs="Times New Roman"/>
          <w:b/>
          <w:sz w:val="24"/>
        </w:rPr>
        <w:t>N CQDs.</w:t>
      </w:r>
      <w:r w:rsidRPr="008812BE">
        <w:rPr>
          <w:rFonts w:ascii="Times New Roman" w:hAnsi="Times New Roman" w:cs="Times New Roman"/>
          <w:sz w:val="24"/>
        </w:rPr>
        <w:t xml:space="preserve"> (a) green emissive In</w:t>
      </w:r>
      <w:r w:rsidRPr="008812BE">
        <w:rPr>
          <w:rFonts w:ascii="Times New Roman" w:hAnsi="Times New Roman" w:cs="Times New Roman"/>
          <w:sz w:val="24"/>
          <w:vertAlign w:val="subscript"/>
        </w:rPr>
        <w:t>0.25</w:t>
      </w:r>
      <w:r w:rsidRPr="008812BE">
        <w:rPr>
          <w:rFonts w:ascii="Times New Roman" w:hAnsi="Times New Roman" w:cs="Times New Roman"/>
          <w:sz w:val="24"/>
        </w:rPr>
        <w:t>Ga</w:t>
      </w:r>
      <w:r w:rsidRPr="008812BE">
        <w:rPr>
          <w:rFonts w:ascii="Times New Roman" w:hAnsi="Times New Roman" w:cs="Times New Roman"/>
          <w:sz w:val="24"/>
          <w:vertAlign w:val="subscript"/>
        </w:rPr>
        <w:t>0.75</w:t>
      </w:r>
      <w:r w:rsidRPr="008812BE">
        <w:rPr>
          <w:rFonts w:ascii="Times New Roman" w:hAnsi="Times New Roman" w:cs="Times New Roman"/>
          <w:sz w:val="24"/>
        </w:rPr>
        <w:t>N CQDs (O.A. = 1.2 mmol,</w:t>
      </w:r>
      <w:r w:rsidRPr="008812BE">
        <w:rPr>
          <w:rFonts w:ascii="Times New Roman" w:hAnsi="Times New Roman" w:cs="Times New Roman"/>
          <w:sz w:val="24"/>
          <w:szCs w:val="24"/>
        </w:rPr>
        <w:t xml:space="preserve"> </w:t>
      </w:r>
      <w:r w:rsidRPr="008812BE">
        <w:rPr>
          <w:rFonts w:ascii="Times New Roman" w:hAnsi="Times New Roman" w:cs="Times New Roman"/>
          <w:sz w:val="24"/>
        </w:rPr>
        <w:t xml:space="preserve">average size : </w:t>
      </w:r>
      <w:r w:rsidRPr="008812BE">
        <w:rPr>
          <w:rFonts w:ascii="Times New Roman" w:hAnsi="Times New Roman" w:cs="Times New Roman"/>
          <w:sz w:val="24"/>
          <w:szCs w:val="24"/>
        </w:rPr>
        <w:t>4 nm</w:t>
      </w:r>
      <w:r w:rsidRPr="008812BE">
        <w:rPr>
          <w:rFonts w:ascii="Times New Roman" w:hAnsi="Times New Roman" w:cs="Times New Roman"/>
          <w:sz w:val="24"/>
        </w:rPr>
        <w:t>), (b) blue emissive In</w:t>
      </w:r>
      <w:r w:rsidRPr="008812BE">
        <w:rPr>
          <w:rFonts w:ascii="Times New Roman" w:hAnsi="Times New Roman" w:cs="Times New Roman"/>
          <w:sz w:val="24"/>
          <w:vertAlign w:val="subscript"/>
        </w:rPr>
        <w:t>0.25</w:t>
      </w:r>
      <w:r w:rsidRPr="008812BE">
        <w:rPr>
          <w:rFonts w:ascii="Times New Roman" w:hAnsi="Times New Roman" w:cs="Times New Roman"/>
          <w:sz w:val="24"/>
        </w:rPr>
        <w:t>Ga</w:t>
      </w:r>
      <w:r w:rsidRPr="008812BE">
        <w:rPr>
          <w:rFonts w:ascii="Times New Roman" w:hAnsi="Times New Roman" w:cs="Times New Roman"/>
          <w:sz w:val="24"/>
          <w:vertAlign w:val="subscript"/>
        </w:rPr>
        <w:t>0.75</w:t>
      </w:r>
      <w:r w:rsidRPr="008812BE">
        <w:rPr>
          <w:rFonts w:ascii="Times New Roman" w:hAnsi="Times New Roman" w:cs="Times New Roman"/>
          <w:sz w:val="24"/>
        </w:rPr>
        <w:t>N CQDs (O.A. = 2.2 mmol,</w:t>
      </w:r>
      <w:r w:rsidRPr="008812BE">
        <w:rPr>
          <w:rFonts w:ascii="Times New Roman" w:hAnsi="Times New Roman" w:cs="Times New Roman"/>
          <w:sz w:val="24"/>
          <w:szCs w:val="24"/>
        </w:rPr>
        <w:t xml:space="preserve"> </w:t>
      </w:r>
      <w:r w:rsidRPr="008812BE">
        <w:rPr>
          <w:rFonts w:ascii="Times New Roman" w:hAnsi="Times New Roman" w:cs="Times New Roman"/>
          <w:sz w:val="24"/>
        </w:rPr>
        <w:t xml:space="preserve">average size : </w:t>
      </w:r>
      <w:r w:rsidRPr="008812BE">
        <w:rPr>
          <w:rFonts w:ascii="Times New Roman" w:hAnsi="Times New Roman" w:cs="Times New Roman"/>
          <w:sz w:val="24"/>
          <w:szCs w:val="24"/>
        </w:rPr>
        <w:t>2.5 ~ 3 nm</w:t>
      </w:r>
      <w:r w:rsidRPr="008812BE">
        <w:rPr>
          <w:rFonts w:ascii="Times New Roman" w:hAnsi="Times New Roman" w:cs="Times New Roman"/>
          <w:sz w:val="24"/>
        </w:rPr>
        <w:t xml:space="preserve"> ), (c) InN and (d) GaN CQDs (O.A = 1.2 mmol, average size : 3.5 ~ 5 nm).</w:t>
      </w:r>
    </w:p>
    <w:p w14:paraId="1DF5884E" w14:textId="77777777" w:rsidR="00A22B3A" w:rsidRPr="008812BE" w:rsidRDefault="00A22B3A" w:rsidP="00A22B3A">
      <w:pPr>
        <w:spacing w:after="0" w:line="480" w:lineRule="auto"/>
        <w:rPr>
          <w:rFonts w:ascii="Times New Roman" w:hAnsi="Times New Roman" w:cs="Times New Roman"/>
          <w:sz w:val="24"/>
        </w:rPr>
      </w:pPr>
    </w:p>
    <w:p w14:paraId="6F7AD480" w14:textId="77777777" w:rsidR="00A22B3A" w:rsidRPr="008812BE" w:rsidRDefault="00A22B3A" w:rsidP="00A22B3A">
      <w:pPr>
        <w:spacing w:after="0" w:line="480" w:lineRule="auto"/>
        <w:ind w:firstLineChars="177" w:firstLine="425"/>
        <w:contextualSpacing/>
        <w:rPr>
          <w:rFonts w:ascii="Times New Roman" w:hAnsi="Times New Roman" w:cs="Times New Roman"/>
          <w:sz w:val="24"/>
        </w:rPr>
      </w:pPr>
      <w:r w:rsidRPr="008812BE">
        <w:rPr>
          <w:rFonts w:ascii="Times New Roman" w:hAnsi="Times New Roman" w:cs="Times New Roman"/>
          <w:sz w:val="24"/>
        </w:rPr>
        <w:lastRenderedPageBreak/>
        <w:t>The power-dependent experiments (</w:t>
      </w:r>
      <w:r w:rsidRPr="008812BE">
        <w:rPr>
          <w:rFonts w:ascii="Times New Roman" w:hAnsi="Times New Roman" w:cs="Times New Roman"/>
          <w:b/>
          <w:sz w:val="24"/>
        </w:rPr>
        <w:t>Fig. S6</w:t>
      </w:r>
      <w:r w:rsidRPr="008812BE">
        <w:rPr>
          <w:rFonts w:ascii="Times New Roman" w:hAnsi="Times New Roman" w:cs="Times New Roman"/>
          <w:sz w:val="24"/>
        </w:rPr>
        <w:t>) were conducted to investigate energy state (band structure) and defect condition of In</w:t>
      </w:r>
      <w:r w:rsidRPr="008812BE">
        <w:rPr>
          <w:rFonts w:ascii="Times New Roman" w:hAnsi="Times New Roman" w:cs="Times New Roman"/>
          <w:sz w:val="24"/>
          <w:vertAlign w:val="subscript"/>
        </w:rPr>
        <w:t>x</w:t>
      </w:r>
      <w:r w:rsidRPr="008812BE">
        <w:rPr>
          <w:rFonts w:ascii="Times New Roman" w:hAnsi="Times New Roman" w:cs="Times New Roman"/>
          <w:sz w:val="24"/>
        </w:rPr>
        <w:t>Ga</w:t>
      </w:r>
      <w:r w:rsidRPr="008812BE">
        <w:rPr>
          <w:rFonts w:ascii="Times New Roman" w:hAnsi="Times New Roman" w:cs="Times New Roman"/>
          <w:sz w:val="24"/>
          <w:vertAlign w:val="subscript"/>
        </w:rPr>
        <w:t>1-x</w:t>
      </w:r>
      <w:r w:rsidRPr="008812BE">
        <w:rPr>
          <w:rFonts w:ascii="Times New Roman" w:hAnsi="Times New Roman" w:cs="Times New Roman"/>
          <w:sz w:val="24"/>
        </w:rPr>
        <w:t xml:space="preserve">N CQDs of different metal fraction. The experiment conditions were same for temperature-dependent </w:t>
      </w:r>
      <w:r w:rsidRPr="008812BE">
        <w:rPr>
          <w:rFonts w:ascii="Times New Roman" w:hAnsi="Times New Roman" w:cs="Times New Roman"/>
          <w:sz w:val="24"/>
          <w:szCs w:val="24"/>
        </w:rPr>
        <w:t xml:space="preserve">PL </w:t>
      </w:r>
      <w:r w:rsidRPr="008812BE">
        <w:rPr>
          <w:rFonts w:ascii="Times New Roman" w:hAnsi="Times New Roman" w:cs="Times New Roman"/>
          <w:sz w:val="24"/>
        </w:rPr>
        <w:t xml:space="preserve">measurement. </w:t>
      </w:r>
      <w:r w:rsidRPr="008812BE">
        <w:rPr>
          <w:rFonts w:ascii="Times New Roman" w:hAnsi="Times New Roman" w:cs="Times New Roman"/>
          <w:b/>
          <w:sz w:val="24"/>
        </w:rPr>
        <w:t>Fig. S6 (a)</w:t>
      </w:r>
      <w:r w:rsidRPr="008812BE">
        <w:rPr>
          <w:rFonts w:ascii="Times New Roman" w:hAnsi="Times New Roman" w:cs="Times New Roman"/>
          <w:sz w:val="24"/>
        </w:rPr>
        <w:t xml:space="preserve"> shows power-dependent PL spectra of GaN CQDs, which consist of two peaks at ~460 and ~520 nm. No PL spectra shift and PL intensity change at ~460 and 520 nm were observed with excitation power variation. It means that emissive states at ~460 and ~520 nm consist of band like structure and exciton density at each state for PL emission is similar. From this result, it is confirmed that PL of GaN CQDs originates from band-edge recombination.                      </w:t>
      </w:r>
    </w:p>
    <w:p w14:paraId="56372D3B" w14:textId="5CFD24D1" w:rsidR="00A22B3A" w:rsidRPr="008812BE" w:rsidRDefault="00A22B3A" w:rsidP="00A22B3A">
      <w:pPr>
        <w:spacing w:after="0" w:line="480" w:lineRule="auto"/>
        <w:ind w:firstLineChars="150" w:firstLine="360"/>
        <w:contextualSpacing/>
        <w:rPr>
          <w:rFonts w:ascii="Times New Roman" w:hAnsi="Times New Roman" w:cs="Times New Roman"/>
          <w:sz w:val="24"/>
        </w:rPr>
      </w:pPr>
      <w:r w:rsidRPr="008812BE">
        <w:rPr>
          <w:rFonts w:ascii="Times New Roman" w:hAnsi="Times New Roman" w:cs="Times New Roman"/>
          <w:b/>
          <w:sz w:val="24"/>
        </w:rPr>
        <w:t>Fig. S6 (b)</w:t>
      </w:r>
      <w:r w:rsidRPr="008812BE">
        <w:rPr>
          <w:rFonts w:ascii="Times New Roman" w:hAnsi="Times New Roman" w:cs="Times New Roman"/>
          <w:sz w:val="24"/>
        </w:rPr>
        <w:t xml:space="preserve"> shows power-dependent PL spectra of In</w:t>
      </w:r>
      <w:r w:rsidRPr="008812BE">
        <w:rPr>
          <w:rFonts w:ascii="Times New Roman" w:hAnsi="Times New Roman" w:cs="Times New Roman"/>
          <w:sz w:val="24"/>
          <w:vertAlign w:val="subscript"/>
        </w:rPr>
        <w:t>0.25</w:t>
      </w:r>
      <w:r w:rsidRPr="008812BE">
        <w:rPr>
          <w:rFonts w:ascii="Times New Roman" w:hAnsi="Times New Roman" w:cs="Times New Roman"/>
          <w:sz w:val="24"/>
        </w:rPr>
        <w:t>Ga</w:t>
      </w:r>
      <w:r w:rsidRPr="008812BE">
        <w:rPr>
          <w:rFonts w:ascii="Times New Roman" w:hAnsi="Times New Roman" w:cs="Times New Roman"/>
          <w:sz w:val="24"/>
          <w:vertAlign w:val="subscript"/>
        </w:rPr>
        <w:t>0.75</w:t>
      </w:r>
      <w:r w:rsidRPr="008812BE">
        <w:rPr>
          <w:rFonts w:ascii="Times New Roman" w:hAnsi="Times New Roman" w:cs="Times New Roman"/>
          <w:sz w:val="24"/>
        </w:rPr>
        <w:t>N CQDs</w:t>
      </w:r>
      <w:r w:rsidRPr="008812BE">
        <w:rPr>
          <w:rFonts w:ascii="Times New Roman" w:hAnsi="Times New Roman" w:cs="Times New Roman"/>
          <w:sz w:val="24"/>
          <w:szCs w:val="24"/>
        </w:rPr>
        <w:t xml:space="preserve"> (low concentration of In)</w:t>
      </w:r>
      <w:r w:rsidRPr="008812BE">
        <w:rPr>
          <w:rFonts w:ascii="Times New Roman" w:hAnsi="Times New Roman" w:cs="Times New Roman"/>
          <w:sz w:val="24"/>
        </w:rPr>
        <w:t>. With increasing excitation power, PL intensity at ~520 nm more rapidly increased than that of ~560 nm. This result suggested that emissive states at ~560 nm more quickly saturated by high power laser excitation than those at ~520 nm. It can be interpreted by two possibilities. First, number of In-mediated energy states (~520 nm) may be less than that of Ga-metal mediated energy states due to low In fraction in In</w:t>
      </w:r>
      <w:r w:rsidRPr="008812BE">
        <w:rPr>
          <w:rFonts w:ascii="Times New Roman" w:hAnsi="Times New Roman" w:cs="Times New Roman"/>
          <w:sz w:val="24"/>
          <w:vertAlign w:val="subscript"/>
        </w:rPr>
        <w:t>0.25</w:t>
      </w:r>
      <w:r w:rsidRPr="008812BE">
        <w:rPr>
          <w:rFonts w:ascii="Times New Roman" w:hAnsi="Times New Roman" w:cs="Times New Roman"/>
          <w:sz w:val="24"/>
        </w:rPr>
        <w:t>Ga</w:t>
      </w:r>
      <w:r w:rsidRPr="008812BE">
        <w:rPr>
          <w:rFonts w:ascii="Times New Roman" w:hAnsi="Times New Roman" w:cs="Times New Roman"/>
          <w:sz w:val="24"/>
          <w:vertAlign w:val="subscript"/>
        </w:rPr>
        <w:t>0.75</w:t>
      </w:r>
      <w:r w:rsidRPr="008812BE">
        <w:rPr>
          <w:rFonts w:ascii="Times New Roman" w:hAnsi="Times New Roman" w:cs="Times New Roman"/>
          <w:sz w:val="24"/>
        </w:rPr>
        <w:t xml:space="preserve">N CQDs. </w:t>
      </w:r>
      <w:r w:rsidR="00040E03" w:rsidRPr="008812BE">
        <w:rPr>
          <w:rFonts w:ascii="Times New Roman" w:hAnsi="Times New Roman" w:cs="Times New Roman"/>
          <w:sz w:val="24"/>
        </w:rPr>
        <w:t>Second, the emissive states at ~520 nm exhibit a higher degree of crystalline order and a lower density of localized mid-gap defects compared to those at ~560 nm.</w:t>
      </w:r>
    </w:p>
    <w:p w14:paraId="1DCF1EA8" w14:textId="77777777" w:rsidR="00A22B3A" w:rsidRPr="008812BE" w:rsidRDefault="00A22B3A" w:rsidP="00A22B3A">
      <w:pPr>
        <w:spacing w:after="0" w:line="480" w:lineRule="auto"/>
        <w:ind w:firstLineChars="150" w:firstLine="360"/>
        <w:contextualSpacing/>
        <w:rPr>
          <w:rFonts w:ascii="Times New Roman" w:hAnsi="Times New Roman" w:cs="Times New Roman"/>
          <w:sz w:val="24"/>
        </w:rPr>
      </w:pPr>
      <w:r w:rsidRPr="008812BE">
        <w:rPr>
          <w:rFonts w:ascii="Times New Roman" w:hAnsi="Times New Roman" w:cs="Times New Roman"/>
          <w:b/>
          <w:sz w:val="24"/>
        </w:rPr>
        <w:t>Fig. S6 (c)</w:t>
      </w:r>
      <w:r w:rsidRPr="008812BE">
        <w:rPr>
          <w:rFonts w:ascii="Times New Roman" w:hAnsi="Times New Roman" w:cs="Times New Roman"/>
          <w:sz w:val="24"/>
        </w:rPr>
        <w:t xml:space="preserve"> shows power-dependent PL spectra of In</w:t>
      </w:r>
      <w:r w:rsidRPr="008812BE">
        <w:rPr>
          <w:rFonts w:ascii="Times New Roman" w:hAnsi="Times New Roman" w:cs="Times New Roman"/>
          <w:sz w:val="24"/>
          <w:vertAlign w:val="subscript"/>
        </w:rPr>
        <w:t>0.5</w:t>
      </w:r>
      <w:r w:rsidRPr="008812BE">
        <w:rPr>
          <w:rFonts w:ascii="Times New Roman" w:hAnsi="Times New Roman" w:cs="Times New Roman"/>
          <w:sz w:val="24"/>
        </w:rPr>
        <w:t>Ga</w:t>
      </w:r>
      <w:r w:rsidRPr="008812BE">
        <w:rPr>
          <w:rFonts w:ascii="Times New Roman" w:hAnsi="Times New Roman" w:cs="Times New Roman"/>
          <w:sz w:val="24"/>
          <w:vertAlign w:val="subscript"/>
        </w:rPr>
        <w:t>0.5</w:t>
      </w:r>
      <w:r w:rsidRPr="008812BE">
        <w:rPr>
          <w:rFonts w:ascii="Times New Roman" w:hAnsi="Times New Roman" w:cs="Times New Roman"/>
          <w:sz w:val="24"/>
        </w:rPr>
        <w:t>N CQDs (</w:t>
      </w:r>
      <w:r w:rsidRPr="008812BE">
        <w:rPr>
          <w:rFonts w:ascii="Times New Roman" w:hAnsi="Times New Roman" w:cs="Times New Roman"/>
          <w:sz w:val="24"/>
          <w:szCs w:val="24"/>
        </w:rPr>
        <w:t>same concentration of Ga and In</w:t>
      </w:r>
      <w:r w:rsidRPr="008812BE">
        <w:rPr>
          <w:rFonts w:ascii="Times New Roman" w:hAnsi="Times New Roman" w:cs="Times New Roman"/>
          <w:sz w:val="24"/>
        </w:rPr>
        <w:t>). Similar to temperature-dependent PL results (</w:t>
      </w:r>
      <w:r w:rsidRPr="008812BE">
        <w:rPr>
          <w:rFonts w:ascii="Times New Roman" w:hAnsi="Times New Roman" w:cs="Times New Roman"/>
          <w:b/>
          <w:sz w:val="24"/>
        </w:rPr>
        <w:t>Fig. 3 (c)</w:t>
      </w:r>
      <w:r w:rsidRPr="008812BE">
        <w:rPr>
          <w:rFonts w:ascii="Times New Roman" w:hAnsi="Times New Roman" w:cs="Times New Roman"/>
          <w:sz w:val="24"/>
        </w:rPr>
        <w:t>), PL intensities at ~560 and ~580 nm, originating from In-alloy mediated states, significantly increased compared to those of In</w:t>
      </w:r>
      <w:r w:rsidRPr="008812BE">
        <w:rPr>
          <w:rFonts w:ascii="Times New Roman" w:hAnsi="Times New Roman" w:cs="Times New Roman"/>
          <w:sz w:val="24"/>
          <w:vertAlign w:val="subscript"/>
        </w:rPr>
        <w:t>x</w:t>
      </w:r>
      <w:r w:rsidRPr="008812BE">
        <w:rPr>
          <w:rFonts w:ascii="Times New Roman" w:hAnsi="Times New Roman" w:cs="Times New Roman"/>
          <w:sz w:val="24"/>
        </w:rPr>
        <w:t>Ga</w:t>
      </w:r>
      <w:r w:rsidRPr="008812BE">
        <w:rPr>
          <w:rFonts w:ascii="Times New Roman" w:hAnsi="Times New Roman" w:cs="Times New Roman"/>
          <w:sz w:val="24"/>
          <w:vertAlign w:val="subscript"/>
        </w:rPr>
        <w:t>1-x</w:t>
      </w:r>
      <w:r w:rsidRPr="008812BE">
        <w:rPr>
          <w:rFonts w:ascii="Times New Roman" w:hAnsi="Times New Roman" w:cs="Times New Roman"/>
          <w:sz w:val="24"/>
        </w:rPr>
        <w:t>N</w:t>
      </w:r>
      <w:r w:rsidRPr="008812BE">
        <w:rPr>
          <w:rFonts w:ascii="Times New Roman" w:hAnsi="Times New Roman" w:cs="Times New Roman"/>
          <w:sz w:val="24"/>
          <w:szCs w:val="24"/>
        </w:rPr>
        <w:t xml:space="preserve"> CQDs of low In fraction. </w:t>
      </w:r>
      <w:r w:rsidRPr="008812BE">
        <w:rPr>
          <w:rFonts w:ascii="Times New Roman" w:hAnsi="Times New Roman" w:cs="Times New Roman"/>
          <w:sz w:val="24"/>
        </w:rPr>
        <w:t xml:space="preserve">In addition, PL intensity at ~520 nm more quickly increased than that of ~560 nm with the increase of excitation laser power. These result demonstrates that GaN mediated state had a large number of energy states for exciton generation than that of In-mediated state under equal metal fraction of Ga and In.  </w:t>
      </w:r>
    </w:p>
    <w:p w14:paraId="2DD7CDED" w14:textId="615525CB" w:rsidR="00A22B3A" w:rsidRPr="008812BE" w:rsidRDefault="00A22B3A" w:rsidP="00A22B3A">
      <w:pPr>
        <w:spacing w:after="0" w:line="480" w:lineRule="auto"/>
        <w:ind w:firstLineChars="150" w:firstLine="360"/>
        <w:contextualSpacing/>
        <w:rPr>
          <w:rFonts w:ascii="Times New Roman" w:hAnsi="Times New Roman" w:cs="Times New Roman"/>
          <w:sz w:val="24"/>
        </w:rPr>
      </w:pPr>
      <w:r w:rsidRPr="008812BE">
        <w:rPr>
          <w:rFonts w:ascii="Times New Roman" w:hAnsi="Times New Roman" w:cs="Times New Roman"/>
          <w:b/>
          <w:sz w:val="24"/>
        </w:rPr>
        <w:t>Fig. S6 (d)</w:t>
      </w:r>
      <w:r w:rsidRPr="008812BE">
        <w:rPr>
          <w:rFonts w:ascii="Times New Roman" w:hAnsi="Times New Roman" w:cs="Times New Roman"/>
          <w:sz w:val="24"/>
        </w:rPr>
        <w:t xml:space="preserve"> shows power-dependent PL spectra of In</w:t>
      </w:r>
      <w:r w:rsidRPr="008812BE">
        <w:rPr>
          <w:rFonts w:ascii="Times New Roman" w:hAnsi="Times New Roman" w:cs="Times New Roman"/>
          <w:sz w:val="24"/>
          <w:vertAlign w:val="subscript"/>
        </w:rPr>
        <w:t>0.75</w:t>
      </w:r>
      <w:r w:rsidRPr="008812BE">
        <w:rPr>
          <w:rFonts w:ascii="Times New Roman" w:hAnsi="Times New Roman" w:cs="Times New Roman"/>
          <w:sz w:val="24"/>
        </w:rPr>
        <w:t>Ga</w:t>
      </w:r>
      <w:r w:rsidRPr="008812BE">
        <w:rPr>
          <w:rFonts w:ascii="Times New Roman" w:hAnsi="Times New Roman" w:cs="Times New Roman"/>
          <w:sz w:val="24"/>
          <w:vertAlign w:val="subscript"/>
        </w:rPr>
        <w:t>0.25</w:t>
      </w:r>
      <w:r w:rsidRPr="008812BE">
        <w:rPr>
          <w:rFonts w:ascii="Times New Roman" w:hAnsi="Times New Roman" w:cs="Times New Roman"/>
          <w:sz w:val="24"/>
        </w:rPr>
        <w:t xml:space="preserve">N CQDs (high </w:t>
      </w:r>
      <w:r w:rsidRPr="008812BE">
        <w:rPr>
          <w:rFonts w:ascii="Times New Roman" w:hAnsi="Times New Roman" w:cs="Times New Roman"/>
          <w:sz w:val="24"/>
          <w:szCs w:val="24"/>
        </w:rPr>
        <w:t>concentration</w:t>
      </w:r>
      <w:r w:rsidRPr="008812BE">
        <w:rPr>
          <w:rFonts w:ascii="Times New Roman" w:hAnsi="Times New Roman" w:cs="Times New Roman"/>
          <w:sz w:val="24"/>
        </w:rPr>
        <w:t xml:space="preserve"> of In). With increasing excitation power, PL intensities at ~460 and ~490 nm more rapidly </w:t>
      </w:r>
      <w:r w:rsidRPr="008812BE">
        <w:rPr>
          <w:rFonts w:ascii="Times New Roman" w:hAnsi="Times New Roman" w:cs="Times New Roman"/>
          <w:sz w:val="24"/>
        </w:rPr>
        <w:lastRenderedPageBreak/>
        <w:t xml:space="preserve">increased than those at ~520, 560, and 580 nm. </w:t>
      </w:r>
      <w:r w:rsidR="00040E03" w:rsidRPr="008812BE">
        <w:rPr>
          <w:rFonts w:ascii="Times New Roman" w:hAnsi="Times New Roman" w:cs="Times New Roman"/>
          <w:sz w:val="24"/>
        </w:rPr>
        <w:t>This result indicates that the GaN-mediated states possess a more highly ordered band structure than the In-alloy-mediated states, even in the In-rich regime.</w:t>
      </w:r>
    </w:p>
    <w:p w14:paraId="4B03CE18" w14:textId="77777777" w:rsidR="00A22B3A" w:rsidRPr="008812BE" w:rsidRDefault="00A22B3A" w:rsidP="00A22B3A">
      <w:pPr>
        <w:spacing w:after="0" w:line="480" w:lineRule="auto"/>
        <w:ind w:firstLineChars="150" w:firstLine="300"/>
        <w:contextualSpacing/>
        <w:rPr>
          <w:rFonts w:ascii="Times New Roman" w:hAnsi="Times New Roman" w:cs="Times New Roman"/>
          <w:sz w:val="24"/>
        </w:rPr>
      </w:pPr>
      <w:r w:rsidRPr="008812BE">
        <w:rPr>
          <w:rFonts w:ascii="Times New Roman" w:hAnsi="Times New Roman" w:cs="Times New Roman"/>
          <w:noProof/>
        </w:rPr>
        <w:drawing>
          <wp:inline distT="0" distB="0" distL="0" distR="0" wp14:anchorId="17629E82" wp14:editId="0542AAE6">
            <wp:extent cx="5731510" cy="4534535"/>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4534535"/>
                    </a:xfrm>
                    <a:prstGeom prst="rect">
                      <a:avLst/>
                    </a:prstGeom>
                    <a:noFill/>
                    <a:ln>
                      <a:noFill/>
                    </a:ln>
                  </pic:spPr>
                </pic:pic>
              </a:graphicData>
            </a:graphic>
          </wp:inline>
        </w:drawing>
      </w:r>
    </w:p>
    <w:p w14:paraId="6C06561E" w14:textId="77777777" w:rsidR="00A22B3A" w:rsidRPr="008812BE" w:rsidRDefault="00A22B3A" w:rsidP="00A22B3A">
      <w:pPr>
        <w:spacing w:after="0" w:line="480" w:lineRule="auto"/>
        <w:rPr>
          <w:rFonts w:ascii="Times New Roman" w:hAnsi="Times New Roman" w:cs="Times New Roman"/>
          <w:sz w:val="24"/>
        </w:rPr>
      </w:pPr>
      <w:r w:rsidRPr="008812BE">
        <w:rPr>
          <w:rFonts w:ascii="Times New Roman" w:hAnsi="Times New Roman" w:cs="Times New Roman"/>
          <w:b/>
          <w:bCs/>
          <w:sz w:val="24"/>
        </w:rPr>
        <w:t>Fig. S6</w:t>
      </w:r>
      <w:r w:rsidRPr="008812BE">
        <w:rPr>
          <w:rFonts w:ascii="Times New Roman" w:hAnsi="Times New Roman" w:cs="Times New Roman"/>
          <w:b/>
          <w:sz w:val="24"/>
        </w:rPr>
        <w:t xml:space="preserve"> </w:t>
      </w:r>
      <w:r w:rsidRPr="008812BE">
        <w:rPr>
          <w:rFonts w:ascii="Times New Roman" w:hAnsi="Times New Roman" w:cs="Times New Roman"/>
          <w:b/>
          <w:bCs/>
          <w:sz w:val="24"/>
        </w:rPr>
        <w:t>Power</w:t>
      </w:r>
      <w:r w:rsidRPr="008812BE">
        <w:rPr>
          <w:rFonts w:ascii="Times New Roman" w:hAnsi="Times New Roman" w:cs="Times New Roman"/>
          <w:b/>
          <w:bCs/>
          <w:color w:val="FF0000"/>
          <w:sz w:val="24"/>
        </w:rPr>
        <w:t>-</w:t>
      </w:r>
      <w:r w:rsidRPr="008812BE">
        <w:rPr>
          <w:rFonts w:ascii="Times New Roman" w:hAnsi="Times New Roman" w:cs="Times New Roman"/>
          <w:b/>
          <w:bCs/>
          <w:sz w:val="24"/>
        </w:rPr>
        <w:t>dependent PL spectra of In</w:t>
      </w:r>
      <w:r w:rsidRPr="008812BE">
        <w:rPr>
          <w:rFonts w:ascii="Times New Roman" w:hAnsi="Times New Roman" w:cs="Times New Roman"/>
          <w:b/>
          <w:bCs/>
          <w:sz w:val="24"/>
          <w:vertAlign w:val="subscript"/>
        </w:rPr>
        <w:t>x</w:t>
      </w:r>
      <w:r w:rsidRPr="008812BE">
        <w:rPr>
          <w:rFonts w:ascii="Times New Roman" w:hAnsi="Times New Roman" w:cs="Times New Roman"/>
          <w:b/>
          <w:bCs/>
          <w:sz w:val="24"/>
        </w:rPr>
        <w:t>Ga</w:t>
      </w:r>
      <w:r w:rsidRPr="008812BE">
        <w:rPr>
          <w:rFonts w:ascii="Times New Roman" w:hAnsi="Times New Roman" w:cs="Times New Roman"/>
          <w:b/>
          <w:bCs/>
          <w:sz w:val="24"/>
          <w:vertAlign w:val="subscript"/>
        </w:rPr>
        <w:t>1-x</w:t>
      </w:r>
      <w:r w:rsidRPr="008812BE">
        <w:rPr>
          <w:rFonts w:ascii="Times New Roman" w:hAnsi="Times New Roman" w:cs="Times New Roman"/>
          <w:b/>
          <w:bCs/>
          <w:sz w:val="24"/>
        </w:rPr>
        <w:t xml:space="preserve">N </w:t>
      </w:r>
      <w:r w:rsidRPr="008812BE">
        <w:rPr>
          <w:rFonts w:ascii="Times New Roman" w:hAnsi="Times New Roman" w:cs="Times New Roman"/>
          <w:b/>
          <w:sz w:val="24"/>
          <w:szCs w:val="24"/>
        </w:rPr>
        <w:t xml:space="preserve">CQDs </w:t>
      </w:r>
      <w:r w:rsidRPr="008812BE">
        <w:rPr>
          <w:rFonts w:ascii="Times New Roman" w:hAnsi="Times New Roman" w:cs="Times New Roman"/>
          <w:b/>
          <w:sz w:val="24"/>
        </w:rPr>
        <w:t>(x = 0, 0.25, 0.5 and 0.75)</w:t>
      </w:r>
      <w:r w:rsidRPr="008812BE">
        <w:rPr>
          <w:rFonts w:ascii="Times New Roman" w:hAnsi="Times New Roman" w:cs="Times New Roman"/>
          <w:sz w:val="24"/>
        </w:rPr>
        <w:t>. (a) GaN, (b) In</w:t>
      </w:r>
      <w:r w:rsidRPr="008812BE">
        <w:rPr>
          <w:rFonts w:ascii="Times New Roman" w:hAnsi="Times New Roman" w:cs="Times New Roman"/>
          <w:sz w:val="24"/>
          <w:vertAlign w:val="subscript"/>
        </w:rPr>
        <w:t>0.25</w:t>
      </w:r>
      <w:r w:rsidRPr="008812BE">
        <w:rPr>
          <w:rFonts w:ascii="Times New Roman" w:hAnsi="Times New Roman" w:cs="Times New Roman"/>
          <w:sz w:val="24"/>
        </w:rPr>
        <w:t>Ga</w:t>
      </w:r>
      <w:r w:rsidRPr="008812BE">
        <w:rPr>
          <w:rFonts w:ascii="Times New Roman" w:hAnsi="Times New Roman" w:cs="Times New Roman"/>
          <w:sz w:val="24"/>
          <w:vertAlign w:val="subscript"/>
        </w:rPr>
        <w:t>0.75</w:t>
      </w:r>
      <w:r w:rsidRPr="008812BE">
        <w:rPr>
          <w:rFonts w:ascii="Times New Roman" w:hAnsi="Times New Roman" w:cs="Times New Roman"/>
          <w:sz w:val="24"/>
        </w:rPr>
        <w:t>N, (c) In</w:t>
      </w:r>
      <w:r w:rsidRPr="008812BE">
        <w:rPr>
          <w:rFonts w:ascii="Times New Roman" w:hAnsi="Times New Roman" w:cs="Times New Roman"/>
          <w:sz w:val="24"/>
          <w:vertAlign w:val="subscript"/>
        </w:rPr>
        <w:t>0.5</w:t>
      </w:r>
      <w:r w:rsidRPr="008812BE">
        <w:rPr>
          <w:rFonts w:ascii="Times New Roman" w:hAnsi="Times New Roman" w:cs="Times New Roman"/>
          <w:sz w:val="24"/>
        </w:rPr>
        <w:t>Ga</w:t>
      </w:r>
      <w:r w:rsidRPr="008812BE">
        <w:rPr>
          <w:rFonts w:ascii="Times New Roman" w:hAnsi="Times New Roman" w:cs="Times New Roman"/>
          <w:sz w:val="24"/>
          <w:vertAlign w:val="subscript"/>
        </w:rPr>
        <w:t>0.5</w:t>
      </w:r>
      <w:r w:rsidRPr="008812BE">
        <w:rPr>
          <w:rFonts w:ascii="Times New Roman" w:hAnsi="Times New Roman" w:cs="Times New Roman"/>
          <w:sz w:val="24"/>
        </w:rPr>
        <w:t>N, and (d) In</w:t>
      </w:r>
      <w:r w:rsidRPr="008812BE">
        <w:rPr>
          <w:rFonts w:ascii="Times New Roman" w:hAnsi="Times New Roman" w:cs="Times New Roman"/>
          <w:sz w:val="24"/>
          <w:vertAlign w:val="subscript"/>
        </w:rPr>
        <w:t>0.75</w:t>
      </w:r>
      <w:r w:rsidRPr="008812BE">
        <w:rPr>
          <w:rFonts w:ascii="Times New Roman" w:hAnsi="Times New Roman" w:cs="Times New Roman"/>
          <w:sz w:val="24"/>
        </w:rPr>
        <w:t>Ga</w:t>
      </w:r>
      <w:r w:rsidRPr="008812BE">
        <w:rPr>
          <w:rFonts w:ascii="Times New Roman" w:hAnsi="Times New Roman" w:cs="Times New Roman"/>
          <w:sz w:val="24"/>
          <w:vertAlign w:val="subscript"/>
        </w:rPr>
        <w:t>0.25</w:t>
      </w:r>
      <w:r w:rsidRPr="008812BE">
        <w:rPr>
          <w:rFonts w:ascii="Times New Roman" w:hAnsi="Times New Roman" w:cs="Times New Roman"/>
          <w:sz w:val="24"/>
        </w:rPr>
        <w:t>N CQDs. The fs tunable Ti:sapphire laser (Mira900, Coherent) was used as an excitation source at 20K (λ</w:t>
      </w:r>
      <w:r w:rsidRPr="008812BE">
        <w:rPr>
          <w:rFonts w:ascii="Times New Roman" w:hAnsi="Times New Roman" w:cs="Times New Roman"/>
          <w:sz w:val="24"/>
          <w:vertAlign w:val="subscript"/>
        </w:rPr>
        <w:t>exc</w:t>
      </w:r>
      <w:r w:rsidRPr="008812BE">
        <w:rPr>
          <w:rFonts w:ascii="Times New Roman" w:hAnsi="Times New Roman" w:cs="Times New Roman"/>
          <w:sz w:val="24"/>
        </w:rPr>
        <w:t xml:space="preserve"> = 375 nm).</w:t>
      </w:r>
    </w:p>
    <w:p w14:paraId="4A22B036" w14:textId="77777777" w:rsidR="00A22B3A" w:rsidRPr="008812BE" w:rsidRDefault="00A22B3A" w:rsidP="00A22B3A">
      <w:pPr>
        <w:spacing w:after="0" w:line="480" w:lineRule="auto"/>
        <w:rPr>
          <w:rFonts w:ascii="Times New Roman" w:hAnsi="Times New Roman" w:cs="Times New Roman"/>
          <w:b/>
          <w:sz w:val="24"/>
        </w:rPr>
      </w:pPr>
    </w:p>
    <w:p w14:paraId="2FCEF670" w14:textId="77777777" w:rsidR="00A22B3A" w:rsidRPr="008812BE" w:rsidRDefault="00A22B3A" w:rsidP="00A22B3A">
      <w:pPr>
        <w:spacing w:after="0" w:line="480" w:lineRule="auto"/>
        <w:ind w:firstLineChars="177" w:firstLine="425"/>
        <w:rPr>
          <w:rFonts w:ascii="Times New Roman" w:hAnsi="Times New Roman" w:cs="Times New Roman"/>
          <w:b/>
          <w:sz w:val="24"/>
        </w:rPr>
      </w:pPr>
    </w:p>
    <w:p w14:paraId="31D0F2F7" w14:textId="77777777" w:rsidR="00A22B3A" w:rsidRPr="008812BE" w:rsidRDefault="00A22B3A" w:rsidP="00A22B3A">
      <w:pPr>
        <w:spacing w:after="0" w:line="480" w:lineRule="auto"/>
        <w:ind w:firstLineChars="177" w:firstLine="425"/>
        <w:rPr>
          <w:rFonts w:ascii="Times New Roman" w:hAnsi="Times New Roman" w:cs="Times New Roman"/>
          <w:b/>
          <w:sz w:val="24"/>
        </w:rPr>
      </w:pPr>
    </w:p>
    <w:p w14:paraId="3805C420" w14:textId="77777777" w:rsidR="00A22B3A" w:rsidRPr="008812BE" w:rsidRDefault="00A22B3A" w:rsidP="00A22B3A">
      <w:pPr>
        <w:spacing w:after="0" w:line="480" w:lineRule="auto"/>
        <w:ind w:firstLineChars="177" w:firstLine="425"/>
        <w:rPr>
          <w:rFonts w:ascii="Times New Roman" w:hAnsi="Times New Roman" w:cs="Times New Roman"/>
          <w:b/>
          <w:sz w:val="24"/>
        </w:rPr>
      </w:pPr>
    </w:p>
    <w:p w14:paraId="5041C3A9" w14:textId="77777777" w:rsidR="00A22B3A" w:rsidRPr="008812BE" w:rsidRDefault="00A22B3A" w:rsidP="00A22B3A">
      <w:pPr>
        <w:spacing w:after="0" w:line="480" w:lineRule="auto"/>
        <w:ind w:firstLineChars="177" w:firstLine="425"/>
        <w:rPr>
          <w:rFonts w:ascii="Times New Roman" w:hAnsi="Times New Roman" w:cs="Times New Roman"/>
          <w:b/>
          <w:sz w:val="24"/>
        </w:rPr>
      </w:pPr>
    </w:p>
    <w:p w14:paraId="05FC018A" w14:textId="77777777" w:rsidR="00A22B3A" w:rsidRPr="008812BE" w:rsidRDefault="00A22B3A" w:rsidP="00A22B3A">
      <w:pPr>
        <w:spacing w:after="0" w:line="480" w:lineRule="auto"/>
        <w:ind w:firstLineChars="177" w:firstLine="425"/>
        <w:rPr>
          <w:rFonts w:ascii="Times New Roman" w:hAnsi="Times New Roman" w:cs="Times New Roman"/>
          <w:b/>
          <w:sz w:val="24"/>
        </w:rPr>
      </w:pPr>
    </w:p>
    <w:p w14:paraId="2FD3C820" w14:textId="77777777" w:rsidR="00A22B3A" w:rsidRPr="008812BE" w:rsidRDefault="00A22B3A" w:rsidP="00A22B3A">
      <w:pPr>
        <w:spacing w:after="0" w:line="480" w:lineRule="auto"/>
        <w:ind w:firstLineChars="177" w:firstLine="425"/>
        <w:rPr>
          <w:rFonts w:ascii="Times New Roman" w:hAnsi="Times New Roman" w:cs="Times New Roman"/>
          <w:kern w:val="0"/>
          <w:sz w:val="24"/>
          <w:szCs w:val="24"/>
        </w:rPr>
      </w:pPr>
      <w:r w:rsidRPr="008812BE">
        <w:rPr>
          <w:rFonts w:ascii="Times New Roman" w:hAnsi="Times New Roman" w:cs="Times New Roman"/>
          <w:sz w:val="24"/>
        </w:rPr>
        <w:t>The time resolved single photon counting (TCSPC) experiments (</w:t>
      </w:r>
      <w:r w:rsidRPr="008812BE">
        <w:rPr>
          <w:rFonts w:ascii="Times New Roman" w:hAnsi="Times New Roman" w:cs="Times New Roman"/>
          <w:b/>
          <w:sz w:val="24"/>
        </w:rPr>
        <w:t xml:space="preserve">Fig. S7) </w:t>
      </w:r>
      <w:r w:rsidRPr="008812BE">
        <w:rPr>
          <w:rFonts w:ascii="Times New Roman" w:hAnsi="Times New Roman" w:cs="Times New Roman"/>
          <w:sz w:val="24"/>
        </w:rPr>
        <w:t>were conducted to investigate exciton dynamics of In</w:t>
      </w:r>
      <w:r w:rsidRPr="008812BE">
        <w:rPr>
          <w:rFonts w:ascii="Times New Roman" w:hAnsi="Times New Roman" w:cs="Times New Roman"/>
          <w:sz w:val="24"/>
          <w:vertAlign w:val="subscript"/>
        </w:rPr>
        <w:t>x</w:t>
      </w:r>
      <w:r w:rsidRPr="008812BE">
        <w:rPr>
          <w:rFonts w:ascii="Times New Roman" w:hAnsi="Times New Roman" w:cs="Times New Roman"/>
          <w:sz w:val="24"/>
        </w:rPr>
        <w:t>Ga</w:t>
      </w:r>
      <w:r w:rsidRPr="008812BE">
        <w:rPr>
          <w:rFonts w:ascii="Times New Roman" w:hAnsi="Times New Roman" w:cs="Times New Roman"/>
          <w:sz w:val="24"/>
          <w:vertAlign w:val="subscript"/>
        </w:rPr>
        <w:t>1-x</w:t>
      </w:r>
      <w:r w:rsidRPr="008812BE">
        <w:rPr>
          <w:rFonts w:ascii="Times New Roman" w:hAnsi="Times New Roman" w:cs="Times New Roman"/>
          <w:sz w:val="24"/>
        </w:rPr>
        <w:t xml:space="preserve">N CQDs of different metal fraction. The PL decay profiles were measured at 520 nm (GaN mediated state) and 560 nm (In mediated state). The </w:t>
      </w:r>
      <w:r w:rsidRPr="008812BE">
        <w:rPr>
          <w:rFonts w:ascii="Times New Roman" w:hAnsi="Times New Roman" w:cs="Times New Roman"/>
          <w:sz w:val="24"/>
          <w:szCs w:val="24"/>
        </w:rPr>
        <w:t xml:space="preserve">decay profiles were fitted using bi-exponential fitting, which indicated that PL decay occurred through two relaxation pathways. </w:t>
      </w:r>
      <w:r w:rsidRPr="008812BE">
        <w:rPr>
          <w:rFonts w:ascii="Times New Roman" w:hAnsi="Times New Roman" w:cs="Times New Roman"/>
          <w:b/>
          <w:sz w:val="24"/>
          <w:szCs w:val="24"/>
        </w:rPr>
        <w:t xml:space="preserve">Table S1 </w:t>
      </w:r>
      <w:r w:rsidRPr="008812BE">
        <w:rPr>
          <w:rFonts w:ascii="Times New Roman" w:hAnsi="Times New Roman" w:cs="Times New Roman"/>
          <w:sz w:val="24"/>
          <w:szCs w:val="24"/>
        </w:rPr>
        <w:t>summarized PL lifetimes and fractional intensities of In</w:t>
      </w:r>
      <w:r w:rsidRPr="008812BE">
        <w:rPr>
          <w:rFonts w:ascii="Times New Roman" w:hAnsi="Times New Roman" w:cs="Times New Roman"/>
          <w:sz w:val="24"/>
          <w:szCs w:val="24"/>
          <w:vertAlign w:val="subscript"/>
        </w:rPr>
        <w:t>x</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1-x</w:t>
      </w:r>
      <w:r w:rsidRPr="008812BE">
        <w:rPr>
          <w:rFonts w:ascii="Times New Roman" w:hAnsi="Times New Roman" w:cs="Times New Roman"/>
          <w:sz w:val="24"/>
          <w:szCs w:val="24"/>
        </w:rPr>
        <w:t xml:space="preserve">N CQDs </w:t>
      </w:r>
      <w:r w:rsidRPr="008812BE">
        <w:rPr>
          <w:rFonts w:ascii="Times New Roman" w:hAnsi="Times New Roman" w:cs="Times New Roman"/>
          <w:sz w:val="24"/>
        </w:rPr>
        <w:t>of</w:t>
      </w:r>
      <w:r w:rsidRPr="008812BE">
        <w:rPr>
          <w:rFonts w:ascii="Times New Roman" w:hAnsi="Times New Roman" w:cs="Times New Roman"/>
          <w:sz w:val="24"/>
          <w:szCs w:val="24"/>
        </w:rPr>
        <w:t xml:space="preserve"> different metal fraction. With</w:t>
      </w:r>
      <w:r w:rsidRPr="008812BE">
        <w:rPr>
          <w:rFonts w:ascii="Times New Roman" w:hAnsi="Times New Roman" w:cs="Times New Roman"/>
          <w:sz w:val="24"/>
        </w:rPr>
        <w:t xml:space="preserve"> increasing In fraction, PL </w:t>
      </w:r>
      <w:r w:rsidRPr="008812BE">
        <w:rPr>
          <w:rFonts w:ascii="Times New Roman" w:hAnsi="Times New Roman" w:cs="Times New Roman"/>
          <w:sz w:val="24"/>
          <w:szCs w:val="24"/>
        </w:rPr>
        <w:t xml:space="preserve">lifetime decreased and fraction with </w:t>
      </w:r>
      <w:r w:rsidRPr="008812BE">
        <w:rPr>
          <w:rFonts w:ascii="Times New Roman" w:hAnsi="Times New Roman" w:cs="Times New Roman"/>
          <w:kern w:val="0"/>
          <w:sz w:val="24"/>
          <w:szCs w:val="24"/>
        </w:rPr>
        <w:t>short lifetime increased</w:t>
      </w:r>
      <w:r w:rsidRPr="008812BE">
        <w:rPr>
          <w:rFonts w:ascii="Times New Roman" w:hAnsi="Times New Roman" w:cs="Times New Roman"/>
          <w:sz w:val="24"/>
          <w:szCs w:val="24"/>
        </w:rPr>
        <w:t xml:space="preserve"> in both wavelength (520 and 560 nm)</w:t>
      </w:r>
      <w:r w:rsidRPr="008812BE">
        <w:rPr>
          <w:rFonts w:ascii="Times New Roman" w:hAnsi="Times New Roman" w:cs="Times New Roman"/>
          <w:kern w:val="0"/>
          <w:sz w:val="24"/>
          <w:szCs w:val="24"/>
        </w:rPr>
        <w:t xml:space="preserve">. </w:t>
      </w:r>
      <w:r w:rsidRPr="008812BE">
        <w:rPr>
          <w:rFonts w:ascii="Times New Roman" w:hAnsi="Times New Roman" w:cs="Times New Roman"/>
          <w:b/>
          <w:sz w:val="24"/>
          <w:szCs w:val="24"/>
        </w:rPr>
        <w:t xml:space="preserve">Fig. S7 (c) </w:t>
      </w:r>
      <w:r w:rsidRPr="008812BE">
        <w:rPr>
          <w:rFonts w:ascii="Times New Roman" w:hAnsi="Times New Roman" w:cs="Times New Roman"/>
          <w:sz w:val="24"/>
          <w:szCs w:val="24"/>
        </w:rPr>
        <w:t>showed</w:t>
      </w:r>
      <w:r w:rsidRPr="008812BE">
        <w:rPr>
          <w:rFonts w:ascii="Times New Roman" w:hAnsi="Times New Roman" w:cs="Times New Roman"/>
          <w:b/>
          <w:sz w:val="24"/>
          <w:szCs w:val="24"/>
        </w:rPr>
        <w:t xml:space="preserve"> </w:t>
      </w:r>
      <w:r w:rsidRPr="008812BE">
        <w:rPr>
          <w:rFonts w:ascii="Times New Roman" w:hAnsi="Times New Roman" w:cs="Times New Roman"/>
          <w:sz w:val="24"/>
          <w:szCs w:val="24"/>
        </w:rPr>
        <w:t>the change of intensity-weighted average lifetime (</w:t>
      </w:r>
      <w:r w:rsidRPr="008812BE">
        <w:rPr>
          <w:rFonts w:ascii="Times New Roman" w:hAnsi="Times New Roman" w:cs="Times New Roman"/>
          <w:sz w:val="24"/>
          <w:szCs w:val="24"/>
        </w:rPr>
        <w:sym w:font="Symbol" w:char="F074"/>
      </w:r>
      <w:r w:rsidRPr="008812BE">
        <w:rPr>
          <w:rFonts w:ascii="Times New Roman" w:hAnsi="Times New Roman" w:cs="Times New Roman"/>
          <w:sz w:val="24"/>
          <w:szCs w:val="24"/>
          <w:vertAlign w:val="subscript"/>
        </w:rPr>
        <w:t>ave</w:t>
      </w:r>
      <w:r w:rsidRPr="008812BE">
        <w:rPr>
          <w:rFonts w:ascii="Times New Roman" w:hAnsi="Times New Roman" w:cs="Times New Roman"/>
          <w:sz w:val="24"/>
          <w:szCs w:val="24"/>
        </w:rPr>
        <w:t>) of In</w:t>
      </w:r>
      <w:r w:rsidRPr="008812BE">
        <w:rPr>
          <w:rFonts w:ascii="Times New Roman" w:hAnsi="Times New Roman" w:cs="Times New Roman"/>
          <w:sz w:val="24"/>
          <w:szCs w:val="24"/>
          <w:vertAlign w:val="subscript"/>
        </w:rPr>
        <w:t>x</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1-x</w:t>
      </w:r>
      <w:r w:rsidRPr="008812BE">
        <w:rPr>
          <w:rFonts w:ascii="Times New Roman" w:hAnsi="Times New Roman" w:cs="Times New Roman"/>
          <w:sz w:val="24"/>
          <w:szCs w:val="24"/>
        </w:rPr>
        <w:t>N CQDs according to In fraction variation. The average lifetime (</w:t>
      </w:r>
      <w:r w:rsidRPr="008812BE">
        <w:rPr>
          <w:rFonts w:ascii="Times New Roman" w:hAnsi="Times New Roman" w:cs="Times New Roman"/>
          <w:sz w:val="24"/>
          <w:szCs w:val="24"/>
        </w:rPr>
        <w:sym w:font="Symbol" w:char="F074"/>
      </w:r>
      <w:r w:rsidRPr="008812BE">
        <w:rPr>
          <w:rFonts w:ascii="Times New Roman" w:hAnsi="Times New Roman" w:cs="Times New Roman"/>
          <w:sz w:val="24"/>
          <w:szCs w:val="24"/>
          <w:vertAlign w:val="subscript"/>
        </w:rPr>
        <w:t>ave</w:t>
      </w:r>
      <w:r w:rsidRPr="008812BE">
        <w:rPr>
          <w:rFonts w:ascii="Times New Roman" w:hAnsi="Times New Roman" w:cs="Times New Roman"/>
          <w:sz w:val="24"/>
          <w:szCs w:val="24"/>
        </w:rPr>
        <w:t>) of In</w:t>
      </w:r>
      <w:r w:rsidRPr="008812BE">
        <w:rPr>
          <w:rFonts w:ascii="Times New Roman" w:hAnsi="Times New Roman" w:cs="Times New Roman"/>
          <w:sz w:val="24"/>
          <w:szCs w:val="24"/>
          <w:vertAlign w:val="subscript"/>
        </w:rPr>
        <w:t>x</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1-x</w:t>
      </w:r>
      <w:r w:rsidRPr="008812BE">
        <w:rPr>
          <w:rFonts w:ascii="Times New Roman" w:hAnsi="Times New Roman" w:cs="Times New Roman"/>
          <w:sz w:val="24"/>
          <w:szCs w:val="24"/>
        </w:rPr>
        <w:t xml:space="preserve">N CQDs at 520 nm decreased and saturated with increasing </w:t>
      </w:r>
      <w:r w:rsidRPr="008812BE">
        <w:rPr>
          <w:rFonts w:ascii="Times New Roman" w:hAnsi="Times New Roman" w:cs="Times New Roman"/>
          <w:kern w:val="0"/>
          <w:sz w:val="24"/>
          <w:szCs w:val="24"/>
        </w:rPr>
        <w:t xml:space="preserve">In fraction. It means that GaN mediated emissive states were strongly affected by </w:t>
      </w:r>
      <w:r w:rsidRPr="008812BE">
        <w:rPr>
          <w:rFonts w:ascii="Times New Roman" w:hAnsi="Times New Roman" w:cs="Times New Roman"/>
          <w:sz w:val="24"/>
        </w:rPr>
        <w:t>defects,</w:t>
      </w:r>
      <w:r w:rsidRPr="008812BE">
        <w:rPr>
          <w:rFonts w:ascii="Times New Roman" w:hAnsi="Times New Roman" w:cs="Times New Roman"/>
          <w:kern w:val="0"/>
          <w:sz w:val="24"/>
          <w:szCs w:val="24"/>
        </w:rPr>
        <w:t xml:space="preserve"> which induced by In alloy, even in low In concentration. However, they are not much affected at high In concentration. The </w:t>
      </w:r>
      <w:r w:rsidRPr="008812BE">
        <w:rPr>
          <w:rFonts w:ascii="Times New Roman" w:hAnsi="Times New Roman" w:cs="Times New Roman"/>
          <w:sz w:val="24"/>
          <w:szCs w:val="24"/>
        </w:rPr>
        <w:t xml:space="preserve">intensity-weighted </w:t>
      </w:r>
      <w:r w:rsidRPr="008812BE">
        <w:rPr>
          <w:rFonts w:ascii="Times New Roman" w:hAnsi="Times New Roman" w:cs="Times New Roman"/>
          <w:kern w:val="0"/>
          <w:sz w:val="24"/>
          <w:szCs w:val="24"/>
        </w:rPr>
        <w:t>a</w:t>
      </w:r>
      <w:r w:rsidRPr="008812BE">
        <w:rPr>
          <w:rFonts w:ascii="Times New Roman" w:hAnsi="Times New Roman" w:cs="Times New Roman"/>
          <w:sz w:val="24"/>
          <w:szCs w:val="24"/>
        </w:rPr>
        <w:t>verage lifetime (</w:t>
      </w:r>
      <w:r w:rsidRPr="008812BE">
        <w:rPr>
          <w:rFonts w:ascii="Times New Roman" w:hAnsi="Times New Roman" w:cs="Times New Roman"/>
          <w:sz w:val="24"/>
          <w:szCs w:val="24"/>
        </w:rPr>
        <w:sym w:font="Symbol" w:char="F074"/>
      </w:r>
      <w:r w:rsidRPr="008812BE">
        <w:rPr>
          <w:rFonts w:ascii="Times New Roman" w:hAnsi="Times New Roman" w:cs="Times New Roman"/>
          <w:sz w:val="24"/>
          <w:szCs w:val="24"/>
          <w:vertAlign w:val="subscript"/>
        </w:rPr>
        <w:t>ave</w:t>
      </w:r>
      <w:r w:rsidRPr="008812BE">
        <w:rPr>
          <w:rFonts w:ascii="Times New Roman" w:hAnsi="Times New Roman" w:cs="Times New Roman"/>
          <w:sz w:val="24"/>
          <w:szCs w:val="24"/>
        </w:rPr>
        <w:t>) of In</w:t>
      </w:r>
      <w:r w:rsidRPr="008812BE">
        <w:rPr>
          <w:rFonts w:ascii="Times New Roman" w:hAnsi="Times New Roman" w:cs="Times New Roman"/>
          <w:sz w:val="24"/>
          <w:szCs w:val="24"/>
          <w:vertAlign w:val="subscript"/>
        </w:rPr>
        <w:t>x</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1-x</w:t>
      </w:r>
      <w:r w:rsidRPr="008812BE">
        <w:rPr>
          <w:rFonts w:ascii="Times New Roman" w:hAnsi="Times New Roman" w:cs="Times New Roman"/>
          <w:sz w:val="24"/>
          <w:szCs w:val="24"/>
        </w:rPr>
        <w:t xml:space="preserve">N CQDs at 560 nm </w:t>
      </w:r>
      <w:r w:rsidRPr="008812BE">
        <w:rPr>
          <w:rFonts w:ascii="Times New Roman" w:hAnsi="Times New Roman" w:cs="Times New Roman"/>
          <w:kern w:val="0"/>
          <w:sz w:val="24"/>
          <w:szCs w:val="24"/>
        </w:rPr>
        <w:t>proportionally decreased with In fraction variation. It indicated that In-mediated emissive states were continually and more affected by defects than Ga-mediated emissive states. From TSCPC results, it is well explained that PL intensity decrease (</w:t>
      </w:r>
      <w:r w:rsidRPr="008812BE">
        <w:rPr>
          <w:rFonts w:ascii="Times New Roman" w:hAnsi="Times New Roman" w:cs="Times New Roman"/>
          <w:b/>
          <w:kern w:val="0"/>
          <w:sz w:val="24"/>
          <w:szCs w:val="24"/>
        </w:rPr>
        <w:t>Fig. 2 (b)</w:t>
      </w:r>
      <w:r w:rsidRPr="008812BE">
        <w:rPr>
          <w:rFonts w:ascii="Times New Roman" w:hAnsi="Times New Roman" w:cs="Times New Roman"/>
          <w:kern w:val="0"/>
          <w:sz w:val="24"/>
          <w:szCs w:val="24"/>
        </w:rPr>
        <w:t xml:space="preserve">) with increasing In fraction resulted from enhancement of non-radiative recombination (quenching) in </w:t>
      </w:r>
      <w:r w:rsidRPr="008812BE">
        <w:rPr>
          <w:rFonts w:ascii="Times New Roman" w:hAnsi="Times New Roman" w:cs="Times New Roman"/>
          <w:sz w:val="24"/>
          <w:szCs w:val="24"/>
        </w:rPr>
        <w:t>In</w:t>
      </w:r>
      <w:r w:rsidRPr="008812BE">
        <w:rPr>
          <w:rFonts w:ascii="Times New Roman" w:hAnsi="Times New Roman" w:cs="Times New Roman"/>
          <w:sz w:val="24"/>
          <w:szCs w:val="24"/>
          <w:vertAlign w:val="subscript"/>
        </w:rPr>
        <w:t>x</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1-x</w:t>
      </w:r>
      <w:r w:rsidRPr="008812BE">
        <w:rPr>
          <w:rFonts w:ascii="Times New Roman" w:hAnsi="Times New Roman" w:cs="Times New Roman"/>
          <w:sz w:val="24"/>
          <w:szCs w:val="24"/>
        </w:rPr>
        <w:t>N CQDs.</w:t>
      </w:r>
    </w:p>
    <w:p w14:paraId="6AB147EB" w14:textId="77777777" w:rsidR="00A22B3A" w:rsidRPr="008812BE" w:rsidRDefault="00A22B3A" w:rsidP="00A22B3A">
      <w:pPr>
        <w:spacing w:after="0" w:line="480" w:lineRule="auto"/>
        <w:ind w:firstLineChars="177" w:firstLine="425"/>
        <w:rPr>
          <w:rFonts w:ascii="Times New Roman" w:hAnsi="Times New Roman" w:cs="Times New Roman"/>
          <w:kern w:val="0"/>
          <w:sz w:val="24"/>
          <w:szCs w:val="24"/>
        </w:rPr>
      </w:pPr>
    </w:p>
    <w:p w14:paraId="2E20E979" w14:textId="77777777" w:rsidR="00A22B3A" w:rsidRPr="008812BE" w:rsidRDefault="00A22B3A" w:rsidP="00A22B3A">
      <w:pPr>
        <w:spacing w:after="0" w:line="480" w:lineRule="auto"/>
        <w:ind w:firstLineChars="177" w:firstLine="425"/>
        <w:rPr>
          <w:rFonts w:ascii="Times New Roman" w:hAnsi="Times New Roman" w:cs="Times New Roman"/>
          <w:kern w:val="0"/>
          <w:sz w:val="24"/>
          <w:szCs w:val="24"/>
        </w:rPr>
      </w:pPr>
    </w:p>
    <w:p w14:paraId="3FA99E66" w14:textId="77777777" w:rsidR="00A22B3A" w:rsidRPr="008812BE" w:rsidRDefault="00A22B3A" w:rsidP="00A22B3A">
      <w:pPr>
        <w:spacing w:after="0" w:line="480" w:lineRule="auto"/>
        <w:ind w:firstLineChars="250" w:firstLine="600"/>
        <w:rPr>
          <w:rFonts w:ascii="Times New Roman" w:hAnsi="Times New Roman" w:cs="Times New Roman"/>
          <w:sz w:val="24"/>
          <w:szCs w:val="24"/>
        </w:rPr>
      </w:pPr>
    </w:p>
    <w:p w14:paraId="692E87EB" w14:textId="77777777" w:rsidR="00A22B3A" w:rsidRPr="008812BE" w:rsidRDefault="00A22B3A" w:rsidP="00A22B3A">
      <w:pPr>
        <w:spacing w:after="0" w:line="480" w:lineRule="auto"/>
        <w:ind w:firstLineChars="250" w:firstLine="600"/>
        <w:rPr>
          <w:rFonts w:ascii="Times New Roman" w:hAnsi="Times New Roman" w:cs="Times New Roman"/>
          <w:sz w:val="24"/>
          <w:szCs w:val="24"/>
        </w:rPr>
      </w:pPr>
    </w:p>
    <w:p w14:paraId="39212C8C" w14:textId="77777777" w:rsidR="00A22B3A" w:rsidRPr="008812BE" w:rsidRDefault="00A22B3A" w:rsidP="00A22B3A">
      <w:pPr>
        <w:spacing w:after="0" w:line="480" w:lineRule="auto"/>
        <w:ind w:firstLineChars="250" w:firstLine="600"/>
        <w:rPr>
          <w:rFonts w:ascii="Times New Roman" w:hAnsi="Times New Roman" w:cs="Times New Roman"/>
          <w:sz w:val="24"/>
          <w:szCs w:val="24"/>
        </w:rPr>
      </w:pPr>
    </w:p>
    <w:p w14:paraId="48B6B919" w14:textId="77777777" w:rsidR="00A22B3A" w:rsidRPr="008812BE" w:rsidRDefault="00A22B3A" w:rsidP="00A22B3A">
      <w:pPr>
        <w:spacing w:after="0" w:line="480" w:lineRule="auto"/>
        <w:jc w:val="center"/>
        <w:rPr>
          <w:rFonts w:ascii="Times New Roman" w:hAnsi="Times New Roman" w:cs="Times New Roman"/>
          <w:sz w:val="24"/>
          <w:szCs w:val="24"/>
        </w:rPr>
      </w:pPr>
      <w:r w:rsidRPr="008812BE">
        <w:rPr>
          <w:rFonts w:ascii="Times New Roman" w:hAnsi="Times New Roman" w:cs="Times New Roman"/>
          <w:noProof/>
        </w:rPr>
        <w:lastRenderedPageBreak/>
        <w:drawing>
          <wp:inline distT="0" distB="0" distL="0" distR="0" wp14:anchorId="305687C8" wp14:editId="02A3C932">
            <wp:extent cx="5731510" cy="4547552"/>
            <wp:effectExtent l="0" t="0" r="0"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4547552"/>
                    </a:xfrm>
                    <a:prstGeom prst="rect">
                      <a:avLst/>
                    </a:prstGeom>
                    <a:noFill/>
                    <a:ln>
                      <a:noFill/>
                    </a:ln>
                  </pic:spPr>
                </pic:pic>
              </a:graphicData>
            </a:graphic>
          </wp:inline>
        </w:drawing>
      </w:r>
    </w:p>
    <w:p w14:paraId="24E7BD70" w14:textId="77777777" w:rsidR="00A22B3A" w:rsidRPr="008812BE" w:rsidRDefault="00A22B3A" w:rsidP="00A22B3A">
      <w:pPr>
        <w:spacing w:after="0" w:line="360" w:lineRule="auto"/>
        <w:contextualSpacing/>
        <w:rPr>
          <w:rFonts w:ascii="Times New Roman" w:hAnsi="Times New Roman" w:cs="Times New Roman"/>
          <w:bCs/>
          <w:sz w:val="24"/>
          <w:szCs w:val="24"/>
        </w:rPr>
      </w:pPr>
      <w:r w:rsidRPr="008812BE">
        <w:rPr>
          <w:rFonts w:ascii="Times New Roman" w:hAnsi="Times New Roman" w:cs="Times New Roman"/>
          <w:b/>
          <w:bCs/>
          <w:sz w:val="24"/>
          <w:szCs w:val="24"/>
        </w:rPr>
        <w:t>Fig. S7</w:t>
      </w:r>
      <w:r w:rsidRPr="008812BE">
        <w:rPr>
          <w:rFonts w:ascii="Times New Roman" w:hAnsi="Times New Roman" w:cs="Times New Roman"/>
          <w:sz w:val="24"/>
          <w:szCs w:val="24"/>
        </w:rPr>
        <w:t xml:space="preserve"> </w:t>
      </w:r>
      <w:r w:rsidRPr="008812BE">
        <w:rPr>
          <w:rFonts w:ascii="Times New Roman" w:hAnsi="Times New Roman" w:cs="Times New Roman"/>
          <w:b/>
          <w:bCs/>
          <w:sz w:val="24"/>
          <w:szCs w:val="24"/>
        </w:rPr>
        <w:t xml:space="preserve">TCSPC results of </w:t>
      </w:r>
      <w:r w:rsidRPr="008812BE">
        <w:rPr>
          <w:rFonts w:ascii="Times New Roman" w:hAnsi="Times New Roman" w:cs="Times New Roman"/>
          <w:b/>
          <w:sz w:val="24"/>
        </w:rPr>
        <w:t>In</w:t>
      </w:r>
      <w:r w:rsidRPr="008812BE">
        <w:rPr>
          <w:rFonts w:ascii="Times New Roman" w:hAnsi="Times New Roman" w:cs="Times New Roman"/>
          <w:b/>
          <w:sz w:val="24"/>
          <w:vertAlign w:val="subscript"/>
        </w:rPr>
        <w:t>x</w:t>
      </w:r>
      <w:r w:rsidRPr="008812BE">
        <w:rPr>
          <w:rFonts w:ascii="Times New Roman" w:hAnsi="Times New Roman" w:cs="Times New Roman"/>
          <w:b/>
          <w:sz w:val="24"/>
        </w:rPr>
        <w:t>Ga</w:t>
      </w:r>
      <w:r w:rsidRPr="008812BE">
        <w:rPr>
          <w:rFonts w:ascii="Times New Roman" w:hAnsi="Times New Roman" w:cs="Times New Roman"/>
          <w:b/>
          <w:sz w:val="24"/>
          <w:vertAlign w:val="subscript"/>
        </w:rPr>
        <w:t>1-x</w:t>
      </w:r>
      <w:r w:rsidRPr="008812BE">
        <w:rPr>
          <w:rFonts w:ascii="Times New Roman" w:hAnsi="Times New Roman" w:cs="Times New Roman"/>
          <w:b/>
          <w:sz w:val="24"/>
        </w:rPr>
        <w:t>N CQDs of different metal fraction.</w:t>
      </w:r>
      <w:r w:rsidRPr="008812BE">
        <w:rPr>
          <w:rFonts w:ascii="Times New Roman" w:hAnsi="Times New Roman" w:cs="Times New Roman"/>
          <w:sz w:val="24"/>
        </w:rPr>
        <w:t xml:space="preserve"> (a) </w:t>
      </w:r>
      <w:r w:rsidRPr="008812BE">
        <w:rPr>
          <w:rFonts w:ascii="Times New Roman" w:hAnsi="Times New Roman" w:cs="Times New Roman"/>
          <w:bCs/>
          <w:sz w:val="24"/>
          <w:szCs w:val="24"/>
        </w:rPr>
        <w:t xml:space="preserve">PL decay profiles of </w:t>
      </w:r>
      <w:r w:rsidRPr="008812BE">
        <w:rPr>
          <w:rFonts w:ascii="Times New Roman" w:hAnsi="Times New Roman" w:cs="Times New Roman"/>
          <w:sz w:val="24"/>
        </w:rPr>
        <w:t>In</w:t>
      </w:r>
      <w:r w:rsidRPr="008812BE">
        <w:rPr>
          <w:rFonts w:ascii="Times New Roman" w:hAnsi="Times New Roman" w:cs="Times New Roman"/>
          <w:sz w:val="24"/>
          <w:vertAlign w:val="subscript"/>
        </w:rPr>
        <w:t>x</w:t>
      </w:r>
      <w:r w:rsidRPr="008812BE">
        <w:rPr>
          <w:rFonts w:ascii="Times New Roman" w:hAnsi="Times New Roman" w:cs="Times New Roman"/>
          <w:sz w:val="24"/>
        </w:rPr>
        <w:t>Ga</w:t>
      </w:r>
      <w:r w:rsidRPr="008812BE">
        <w:rPr>
          <w:rFonts w:ascii="Times New Roman" w:hAnsi="Times New Roman" w:cs="Times New Roman"/>
          <w:sz w:val="24"/>
          <w:vertAlign w:val="subscript"/>
        </w:rPr>
        <w:t>1-x</w:t>
      </w:r>
      <w:r w:rsidRPr="008812BE">
        <w:rPr>
          <w:rFonts w:ascii="Times New Roman" w:hAnsi="Times New Roman" w:cs="Times New Roman"/>
          <w:sz w:val="24"/>
        </w:rPr>
        <w:t xml:space="preserve">N CQDs, </w:t>
      </w:r>
      <w:r w:rsidRPr="008812BE">
        <w:rPr>
          <w:rFonts w:ascii="Times New Roman" w:hAnsi="Times New Roman" w:cs="Times New Roman"/>
          <w:sz w:val="24"/>
          <w:szCs w:val="24"/>
        </w:rPr>
        <w:t>(x = 0, 0.25, 0.5 and 0.75),</w:t>
      </w:r>
      <w:r w:rsidRPr="008812BE">
        <w:rPr>
          <w:rFonts w:ascii="Times New Roman" w:hAnsi="Times New Roman" w:cs="Times New Roman"/>
          <w:sz w:val="24"/>
        </w:rPr>
        <w:t xml:space="preserve"> </w:t>
      </w:r>
      <w:r w:rsidRPr="008812BE">
        <w:rPr>
          <w:rFonts w:ascii="Times New Roman" w:hAnsi="Times New Roman" w:cs="Times New Roman"/>
          <w:sz w:val="24"/>
          <w:szCs w:val="24"/>
        </w:rPr>
        <w:t xml:space="preserve">at 520 nm. (b) </w:t>
      </w:r>
      <w:r w:rsidRPr="008812BE">
        <w:rPr>
          <w:rFonts w:ascii="Times New Roman" w:hAnsi="Times New Roman" w:cs="Times New Roman"/>
          <w:bCs/>
          <w:sz w:val="24"/>
          <w:szCs w:val="24"/>
        </w:rPr>
        <w:t xml:space="preserve">PL decay profiles of </w:t>
      </w:r>
      <w:r w:rsidRPr="008812BE">
        <w:rPr>
          <w:rFonts w:ascii="Times New Roman" w:hAnsi="Times New Roman" w:cs="Times New Roman"/>
          <w:sz w:val="24"/>
        </w:rPr>
        <w:t>In</w:t>
      </w:r>
      <w:r w:rsidRPr="008812BE">
        <w:rPr>
          <w:rFonts w:ascii="Times New Roman" w:hAnsi="Times New Roman" w:cs="Times New Roman"/>
          <w:sz w:val="24"/>
          <w:vertAlign w:val="subscript"/>
        </w:rPr>
        <w:t>x</w:t>
      </w:r>
      <w:r w:rsidRPr="008812BE">
        <w:rPr>
          <w:rFonts w:ascii="Times New Roman" w:hAnsi="Times New Roman" w:cs="Times New Roman"/>
          <w:sz w:val="24"/>
        </w:rPr>
        <w:t>Ga</w:t>
      </w:r>
      <w:r w:rsidRPr="008812BE">
        <w:rPr>
          <w:rFonts w:ascii="Times New Roman" w:hAnsi="Times New Roman" w:cs="Times New Roman"/>
          <w:sz w:val="24"/>
          <w:vertAlign w:val="subscript"/>
        </w:rPr>
        <w:t>1-x</w:t>
      </w:r>
      <w:r w:rsidRPr="008812BE">
        <w:rPr>
          <w:rFonts w:ascii="Times New Roman" w:hAnsi="Times New Roman" w:cs="Times New Roman"/>
          <w:sz w:val="24"/>
        </w:rPr>
        <w:t xml:space="preserve">N CQDs, </w:t>
      </w:r>
      <w:r w:rsidRPr="008812BE">
        <w:rPr>
          <w:rFonts w:ascii="Times New Roman" w:hAnsi="Times New Roman" w:cs="Times New Roman"/>
          <w:sz w:val="24"/>
          <w:szCs w:val="24"/>
        </w:rPr>
        <w:t>(x = 0.25, 0.5, and 0.75),</w:t>
      </w:r>
      <w:r w:rsidRPr="008812BE">
        <w:rPr>
          <w:rFonts w:ascii="Times New Roman" w:hAnsi="Times New Roman" w:cs="Times New Roman"/>
          <w:sz w:val="24"/>
        </w:rPr>
        <w:t xml:space="preserve"> </w:t>
      </w:r>
      <w:r w:rsidRPr="008812BE">
        <w:rPr>
          <w:rFonts w:ascii="Times New Roman" w:hAnsi="Times New Roman" w:cs="Times New Roman"/>
          <w:sz w:val="24"/>
          <w:szCs w:val="24"/>
        </w:rPr>
        <w:t>at 560 nm. (c) Intensity-weighted average lifetime (</w:t>
      </w:r>
      <w:r w:rsidRPr="008812BE">
        <w:rPr>
          <w:rFonts w:ascii="Times New Roman" w:hAnsi="Times New Roman" w:cs="Times New Roman"/>
          <w:sz w:val="24"/>
          <w:szCs w:val="24"/>
        </w:rPr>
        <w:sym w:font="Symbol" w:char="F074"/>
      </w:r>
      <w:r w:rsidRPr="008812BE">
        <w:rPr>
          <w:rFonts w:ascii="Times New Roman" w:hAnsi="Times New Roman" w:cs="Times New Roman"/>
          <w:sz w:val="24"/>
          <w:szCs w:val="24"/>
          <w:vertAlign w:val="subscript"/>
        </w:rPr>
        <w:t>ave</w:t>
      </w:r>
      <w:r w:rsidRPr="008812BE">
        <w:rPr>
          <w:rFonts w:ascii="Times New Roman" w:hAnsi="Times New Roman" w:cs="Times New Roman"/>
          <w:sz w:val="24"/>
          <w:szCs w:val="24"/>
        </w:rPr>
        <w:t>) of In</w:t>
      </w:r>
      <w:r w:rsidRPr="008812BE">
        <w:rPr>
          <w:rFonts w:ascii="Times New Roman" w:hAnsi="Times New Roman" w:cs="Times New Roman"/>
          <w:sz w:val="24"/>
          <w:szCs w:val="24"/>
          <w:vertAlign w:val="subscript"/>
        </w:rPr>
        <w:t>x</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1-x</w:t>
      </w:r>
      <w:r w:rsidRPr="008812BE">
        <w:rPr>
          <w:rFonts w:ascii="Times New Roman" w:hAnsi="Times New Roman" w:cs="Times New Roman"/>
          <w:sz w:val="24"/>
          <w:szCs w:val="24"/>
        </w:rPr>
        <w:t>N CQDs according to In fraction variation.</w:t>
      </w:r>
    </w:p>
    <w:p w14:paraId="695B44DB" w14:textId="77777777" w:rsidR="00FD01DD" w:rsidRPr="008812BE" w:rsidRDefault="00FD01DD">
      <w:pPr>
        <w:widowControl/>
        <w:wordWrap/>
        <w:autoSpaceDE/>
        <w:autoSpaceDN/>
        <w:spacing w:after="160" w:line="259" w:lineRule="auto"/>
        <w:rPr>
          <w:rFonts w:ascii="Times New Roman" w:hAnsi="Times New Roman" w:cs="Times New Roman"/>
          <w:bCs/>
          <w:sz w:val="24"/>
          <w:szCs w:val="24"/>
        </w:rPr>
      </w:pPr>
      <w:r w:rsidRPr="008812BE">
        <w:rPr>
          <w:rFonts w:ascii="Times New Roman" w:hAnsi="Times New Roman" w:cs="Times New Roman"/>
          <w:bCs/>
          <w:sz w:val="24"/>
          <w:szCs w:val="24"/>
        </w:rPr>
        <w:br w:type="page"/>
      </w:r>
    </w:p>
    <w:p w14:paraId="6D6D7739" w14:textId="77777777" w:rsidR="00A22B3A" w:rsidRPr="008812BE" w:rsidRDefault="00A22B3A" w:rsidP="00A22B3A">
      <w:pPr>
        <w:spacing w:after="0" w:line="360" w:lineRule="auto"/>
        <w:contextualSpacing/>
        <w:rPr>
          <w:rFonts w:ascii="Times New Roman" w:hAnsi="Times New Roman" w:cs="Times New Roman"/>
          <w:sz w:val="24"/>
          <w:szCs w:val="24"/>
        </w:rPr>
      </w:pPr>
      <w:r w:rsidRPr="008812BE">
        <w:rPr>
          <w:rFonts w:ascii="Times New Roman" w:hAnsi="Times New Roman" w:cs="Times New Roman"/>
          <w:b/>
          <w:sz w:val="24"/>
          <w:szCs w:val="24"/>
        </w:rPr>
        <w:lastRenderedPageBreak/>
        <w:t xml:space="preserve">Table 1. </w:t>
      </w:r>
      <w:r w:rsidRPr="008812BE">
        <w:rPr>
          <w:rFonts w:ascii="Times New Roman" w:hAnsi="Times New Roman" w:cs="Times New Roman"/>
          <w:sz w:val="24"/>
          <w:szCs w:val="24"/>
        </w:rPr>
        <w:t>PL lifetime of In</w:t>
      </w:r>
      <w:r w:rsidRPr="008812BE">
        <w:rPr>
          <w:rFonts w:ascii="Times New Roman" w:hAnsi="Times New Roman" w:cs="Times New Roman"/>
          <w:sz w:val="24"/>
          <w:szCs w:val="24"/>
          <w:vertAlign w:val="subscript"/>
        </w:rPr>
        <w:t>x</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1-x</w:t>
      </w:r>
      <w:r w:rsidRPr="008812BE">
        <w:rPr>
          <w:rFonts w:ascii="Times New Roman" w:hAnsi="Times New Roman" w:cs="Times New Roman"/>
          <w:sz w:val="24"/>
          <w:szCs w:val="24"/>
        </w:rPr>
        <w:t>N CQDs of different metal fraction in film</w:t>
      </w:r>
      <w:r w:rsidRPr="008812BE">
        <w:rPr>
          <w:rFonts w:ascii="Times New Roman" w:hAnsi="Times New Roman" w:cs="Times New Roman"/>
          <w:sz w:val="24"/>
          <w:szCs w:val="24"/>
          <w:vertAlign w:val="superscript"/>
        </w:rPr>
        <w:t>a</w:t>
      </w:r>
      <w:r w:rsidRPr="008812BE">
        <w:rPr>
          <w:rFonts w:ascii="Times New Roman" w:hAnsi="Times New Roman" w:cs="Times New Roman"/>
          <w:sz w:val="24"/>
          <w:szCs w:val="24"/>
        </w:rPr>
        <w:t xml:space="preserve"> </w:t>
      </w:r>
    </w:p>
    <w:tbl>
      <w:tblPr>
        <w:tblStyle w:val="a8"/>
        <w:tblW w:w="9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0"/>
        <w:gridCol w:w="1520"/>
        <w:gridCol w:w="1521"/>
        <w:gridCol w:w="1520"/>
        <w:gridCol w:w="1520"/>
        <w:gridCol w:w="1521"/>
      </w:tblGrid>
      <w:tr w:rsidR="00A22B3A" w:rsidRPr="008812BE" w14:paraId="4918B236" w14:textId="77777777" w:rsidTr="00F43322">
        <w:trPr>
          <w:trHeight w:val="297"/>
        </w:trPr>
        <w:tc>
          <w:tcPr>
            <w:tcW w:w="1520" w:type="dxa"/>
            <w:tcBorders>
              <w:top w:val="single" w:sz="4" w:space="0" w:color="auto"/>
              <w:bottom w:val="single" w:sz="4" w:space="0" w:color="auto"/>
            </w:tcBorders>
            <w:vAlign w:val="center"/>
          </w:tcPr>
          <w:p w14:paraId="1B83B49A"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Metal fraction</w:t>
            </w:r>
          </w:p>
        </w:tc>
        <w:tc>
          <w:tcPr>
            <w:tcW w:w="1520" w:type="dxa"/>
            <w:tcBorders>
              <w:top w:val="single" w:sz="4" w:space="0" w:color="auto"/>
              <w:bottom w:val="single" w:sz="4" w:space="0" w:color="auto"/>
            </w:tcBorders>
            <w:vAlign w:val="center"/>
          </w:tcPr>
          <w:p w14:paraId="26B44B31" w14:textId="77777777" w:rsidR="00A22B3A" w:rsidRPr="008812BE" w:rsidRDefault="00A22B3A" w:rsidP="00A22B3A">
            <w:pPr>
              <w:spacing w:after="0"/>
              <w:jc w:val="center"/>
              <w:rPr>
                <w:rFonts w:ascii="Times New Roman" w:hAnsi="Times New Roman"/>
                <w:iCs/>
                <w:szCs w:val="20"/>
              </w:rPr>
            </w:pPr>
            <w:r w:rsidRPr="008812BE">
              <w:rPr>
                <w:rFonts w:ascii="Times New Roman" w:hAnsi="Times New Roman"/>
                <w:iCs/>
                <w:szCs w:val="20"/>
              </w:rPr>
              <w:t xml:space="preserve">Wavelength </w:t>
            </w:r>
          </w:p>
        </w:tc>
        <w:tc>
          <w:tcPr>
            <w:tcW w:w="1521" w:type="dxa"/>
            <w:tcBorders>
              <w:top w:val="single" w:sz="4" w:space="0" w:color="auto"/>
              <w:bottom w:val="single" w:sz="4" w:space="0" w:color="auto"/>
            </w:tcBorders>
            <w:vAlign w:val="center"/>
          </w:tcPr>
          <w:p w14:paraId="6DB56912"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i/>
                <w:iCs/>
                <w:szCs w:val="20"/>
              </w:rPr>
              <w:sym w:font="Symbol" w:char="F074"/>
            </w:r>
            <w:r w:rsidRPr="008812BE">
              <w:rPr>
                <w:rFonts w:ascii="Times New Roman" w:hAnsi="Times New Roman"/>
                <w:szCs w:val="20"/>
                <w:vertAlign w:val="subscript"/>
              </w:rPr>
              <w:t>1</w:t>
            </w:r>
            <w:r w:rsidRPr="008812BE">
              <w:rPr>
                <w:rFonts w:ascii="Times New Roman" w:hAnsi="Times New Roman"/>
                <w:szCs w:val="20"/>
              </w:rPr>
              <w:t>(</w:t>
            </w:r>
            <w:r w:rsidRPr="008812BE">
              <w:rPr>
                <w:rFonts w:ascii="Times New Roman" w:hAnsi="Times New Roman"/>
                <w:i/>
                <w:iCs/>
                <w:szCs w:val="20"/>
              </w:rPr>
              <w:t>f</w:t>
            </w:r>
            <w:r w:rsidRPr="008812BE">
              <w:rPr>
                <w:rFonts w:ascii="Times New Roman" w:hAnsi="Times New Roman"/>
                <w:szCs w:val="20"/>
                <w:vertAlign w:val="subscript"/>
              </w:rPr>
              <w:t>1</w:t>
            </w:r>
            <w:r w:rsidRPr="008812BE">
              <w:rPr>
                <w:rFonts w:ascii="Times New Roman" w:hAnsi="Times New Roman"/>
                <w:szCs w:val="20"/>
              </w:rPr>
              <w:t>)/ns</w:t>
            </w:r>
          </w:p>
        </w:tc>
        <w:tc>
          <w:tcPr>
            <w:tcW w:w="1520" w:type="dxa"/>
            <w:tcBorders>
              <w:top w:val="single" w:sz="4" w:space="0" w:color="auto"/>
              <w:bottom w:val="single" w:sz="4" w:space="0" w:color="auto"/>
            </w:tcBorders>
            <w:vAlign w:val="center"/>
          </w:tcPr>
          <w:p w14:paraId="638CC24F"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i/>
                <w:iCs/>
                <w:szCs w:val="20"/>
              </w:rPr>
              <w:sym w:font="Symbol" w:char="F074"/>
            </w:r>
            <w:r w:rsidRPr="008812BE">
              <w:rPr>
                <w:rFonts w:ascii="Times New Roman" w:hAnsi="Times New Roman"/>
                <w:szCs w:val="20"/>
                <w:vertAlign w:val="subscript"/>
              </w:rPr>
              <w:t>2</w:t>
            </w:r>
            <w:r w:rsidRPr="008812BE">
              <w:rPr>
                <w:rFonts w:ascii="Times New Roman" w:hAnsi="Times New Roman"/>
                <w:szCs w:val="20"/>
              </w:rPr>
              <w:t>(</w:t>
            </w:r>
            <w:r w:rsidRPr="008812BE">
              <w:rPr>
                <w:rFonts w:ascii="Times New Roman" w:hAnsi="Times New Roman"/>
                <w:i/>
                <w:iCs/>
                <w:szCs w:val="20"/>
              </w:rPr>
              <w:t>f</w:t>
            </w:r>
            <w:r w:rsidRPr="008812BE">
              <w:rPr>
                <w:rFonts w:ascii="Times New Roman" w:hAnsi="Times New Roman"/>
                <w:szCs w:val="20"/>
                <w:vertAlign w:val="subscript"/>
              </w:rPr>
              <w:t>2</w:t>
            </w:r>
            <w:r w:rsidRPr="008812BE">
              <w:rPr>
                <w:rFonts w:ascii="Times New Roman" w:hAnsi="Times New Roman"/>
                <w:szCs w:val="20"/>
              </w:rPr>
              <w:t>)/ns</w:t>
            </w:r>
          </w:p>
        </w:tc>
        <w:tc>
          <w:tcPr>
            <w:tcW w:w="1520" w:type="dxa"/>
            <w:tcBorders>
              <w:top w:val="single" w:sz="4" w:space="0" w:color="auto"/>
              <w:bottom w:val="single" w:sz="4" w:space="0" w:color="auto"/>
            </w:tcBorders>
            <w:vAlign w:val="center"/>
          </w:tcPr>
          <w:p w14:paraId="2A074AC2"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i/>
                <w:iCs/>
                <w:szCs w:val="20"/>
              </w:rPr>
              <w:sym w:font="Symbol" w:char="F074"/>
            </w:r>
            <w:r w:rsidRPr="008812BE">
              <w:rPr>
                <w:rFonts w:ascii="Times New Roman" w:hAnsi="Times New Roman"/>
                <w:szCs w:val="20"/>
                <w:vertAlign w:val="subscript"/>
              </w:rPr>
              <w:t>ave</w:t>
            </w:r>
            <w:r w:rsidRPr="008812BE">
              <w:rPr>
                <w:rFonts w:ascii="Times New Roman" w:hAnsi="Times New Roman"/>
                <w:szCs w:val="20"/>
              </w:rPr>
              <w:t>/ns</w:t>
            </w:r>
            <w:r w:rsidRPr="008812BE">
              <w:rPr>
                <w:rFonts w:ascii="Times New Roman" w:hAnsi="Times New Roman"/>
                <w:szCs w:val="20"/>
                <w:vertAlign w:val="superscript"/>
              </w:rPr>
              <w:t>b</w:t>
            </w:r>
          </w:p>
        </w:tc>
        <w:tc>
          <w:tcPr>
            <w:tcW w:w="1521" w:type="dxa"/>
            <w:tcBorders>
              <w:top w:val="single" w:sz="4" w:space="0" w:color="auto"/>
              <w:bottom w:val="single" w:sz="4" w:space="0" w:color="auto"/>
            </w:tcBorders>
            <w:vAlign w:val="center"/>
          </w:tcPr>
          <w:p w14:paraId="74CBCA31"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sym w:font="Symbol" w:char="F063"/>
            </w:r>
            <w:r w:rsidRPr="008812BE">
              <w:rPr>
                <w:rFonts w:ascii="Times New Roman" w:hAnsi="Times New Roman"/>
                <w:szCs w:val="20"/>
                <w:vertAlign w:val="superscript"/>
              </w:rPr>
              <w:t>2c</w:t>
            </w:r>
          </w:p>
        </w:tc>
      </w:tr>
      <w:tr w:rsidR="00A22B3A" w:rsidRPr="008812BE" w14:paraId="23E08EEB" w14:textId="77777777" w:rsidTr="00456CC9">
        <w:trPr>
          <w:trHeight w:val="286"/>
        </w:trPr>
        <w:tc>
          <w:tcPr>
            <w:tcW w:w="1520" w:type="dxa"/>
            <w:tcBorders>
              <w:top w:val="single" w:sz="4" w:space="0" w:color="auto"/>
              <w:bottom w:val="single" w:sz="4" w:space="0" w:color="auto"/>
            </w:tcBorders>
            <w:vAlign w:val="center"/>
          </w:tcPr>
          <w:p w14:paraId="5379978F"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GaN</w:t>
            </w:r>
          </w:p>
        </w:tc>
        <w:tc>
          <w:tcPr>
            <w:tcW w:w="1520" w:type="dxa"/>
            <w:tcBorders>
              <w:top w:val="single" w:sz="4" w:space="0" w:color="auto"/>
              <w:bottom w:val="single" w:sz="4" w:space="0" w:color="auto"/>
            </w:tcBorders>
            <w:vAlign w:val="center"/>
          </w:tcPr>
          <w:p w14:paraId="7AB82FE6" w14:textId="77777777" w:rsidR="00A22B3A" w:rsidRPr="008812BE" w:rsidRDefault="00A22B3A" w:rsidP="00A22B3A">
            <w:pPr>
              <w:spacing w:after="0"/>
              <w:jc w:val="center"/>
              <w:rPr>
                <w:rFonts w:ascii="Times New Roman" w:hAnsi="Times New Roman"/>
                <w:iCs/>
                <w:szCs w:val="20"/>
              </w:rPr>
            </w:pPr>
            <w:r w:rsidRPr="008812BE">
              <w:rPr>
                <w:rFonts w:ascii="Times New Roman" w:hAnsi="Times New Roman"/>
                <w:iCs/>
                <w:szCs w:val="20"/>
              </w:rPr>
              <w:t>520 nm</w:t>
            </w:r>
          </w:p>
        </w:tc>
        <w:tc>
          <w:tcPr>
            <w:tcW w:w="1521" w:type="dxa"/>
            <w:tcBorders>
              <w:top w:val="single" w:sz="4" w:space="0" w:color="auto"/>
              <w:bottom w:val="single" w:sz="4" w:space="0" w:color="auto"/>
            </w:tcBorders>
            <w:vAlign w:val="center"/>
          </w:tcPr>
          <w:p w14:paraId="07127A6D" w14:textId="77777777" w:rsidR="00A22B3A" w:rsidRPr="008812BE" w:rsidRDefault="00A22B3A" w:rsidP="00A22B3A">
            <w:pPr>
              <w:spacing w:after="0"/>
              <w:ind w:rightChars="-35" w:right="-70"/>
              <w:jc w:val="center"/>
              <w:rPr>
                <w:rFonts w:ascii="Times New Roman" w:hAnsi="Times New Roman"/>
                <w:szCs w:val="20"/>
              </w:rPr>
            </w:pPr>
            <w:r w:rsidRPr="008812BE">
              <w:rPr>
                <w:rFonts w:ascii="Times New Roman" w:hAnsi="Times New Roman"/>
                <w:szCs w:val="20"/>
              </w:rPr>
              <w:t>0.65 (0.46)</w:t>
            </w:r>
          </w:p>
        </w:tc>
        <w:tc>
          <w:tcPr>
            <w:tcW w:w="1520" w:type="dxa"/>
            <w:tcBorders>
              <w:top w:val="single" w:sz="4" w:space="0" w:color="auto"/>
              <w:bottom w:val="single" w:sz="4" w:space="0" w:color="auto"/>
            </w:tcBorders>
            <w:vAlign w:val="center"/>
          </w:tcPr>
          <w:p w14:paraId="6AEF626A"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1.59 (0.54)</w:t>
            </w:r>
          </w:p>
        </w:tc>
        <w:tc>
          <w:tcPr>
            <w:tcW w:w="1520" w:type="dxa"/>
            <w:tcBorders>
              <w:top w:val="single" w:sz="4" w:space="0" w:color="auto"/>
              <w:bottom w:val="single" w:sz="4" w:space="0" w:color="auto"/>
            </w:tcBorders>
            <w:vAlign w:val="center"/>
          </w:tcPr>
          <w:p w14:paraId="7C9F6CE6"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1.16</w:t>
            </w:r>
          </w:p>
        </w:tc>
        <w:tc>
          <w:tcPr>
            <w:tcW w:w="1521" w:type="dxa"/>
            <w:tcBorders>
              <w:top w:val="single" w:sz="4" w:space="0" w:color="auto"/>
              <w:bottom w:val="single" w:sz="4" w:space="0" w:color="auto"/>
            </w:tcBorders>
            <w:vAlign w:val="center"/>
          </w:tcPr>
          <w:p w14:paraId="0B219F15"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1.194</w:t>
            </w:r>
          </w:p>
        </w:tc>
      </w:tr>
      <w:tr w:rsidR="00A22B3A" w:rsidRPr="008812BE" w14:paraId="265441F5" w14:textId="77777777" w:rsidTr="00F43322">
        <w:trPr>
          <w:trHeight w:val="297"/>
        </w:trPr>
        <w:tc>
          <w:tcPr>
            <w:tcW w:w="1520" w:type="dxa"/>
            <w:tcBorders>
              <w:top w:val="single" w:sz="4" w:space="0" w:color="auto"/>
              <w:bottom w:val="single" w:sz="4" w:space="0" w:color="auto"/>
            </w:tcBorders>
            <w:vAlign w:val="center"/>
          </w:tcPr>
          <w:p w14:paraId="78D7A03D"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Ga rich</w:t>
            </w:r>
          </w:p>
        </w:tc>
        <w:tc>
          <w:tcPr>
            <w:tcW w:w="1520" w:type="dxa"/>
            <w:tcBorders>
              <w:top w:val="single" w:sz="4" w:space="0" w:color="auto"/>
              <w:bottom w:val="single" w:sz="4" w:space="0" w:color="auto"/>
            </w:tcBorders>
            <w:vAlign w:val="center"/>
          </w:tcPr>
          <w:p w14:paraId="032B4052" w14:textId="77777777" w:rsidR="00A22B3A" w:rsidRPr="008812BE" w:rsidRDefault="00A22B3A" w:rsidP="00A22B3A">
            <w:pPr>
              <w:spacing w:after="0"/>
              <w:jc w:val="center"/>
              <w:rPr>
                <w:rFonts w:ascii="Times New Roman" w:hAnsi="Times New Roman"/>
                <w:i/>
                <w:iCs/>
                <w:szCs w:val="20"/>
              </w:rPr>
            </w:pPr>
            <w:r w:rsidRPr="008812BE">
              <w:rPr>
                <w:rFonts w:ascii="Times New Roman" w:hAnsi="Times New Roman"/>
                <w:iCs/>
                <w:szCs w:val="20"/>
              </w:rPr>
              <w:t>520 nm</w:t>
            </w:r>
          </w:p>
        </w:tc>
        <w:tc>
          <w:tcPr>
            <w:tcW w:w="1521" w:type="dxa"/>
            <w:tcBorders>
              <w:top w:val="single" w:sz="4" w:space="0" w:color="auto"/>
              <w:bottom w:val="single" w:sz="4" w:space="0" w:color="auto"/>
            </w:tcBorders>
            <w:vAlign w:val="center"/>
          </w:tcPr>
          <w:p w14:paraId="2D4F3C84" w14:textId="77777777" w:rsidR="00A22B3A" w:rsidRPr="008812BE" w:rsidRDefault="00A22B3A" w:rsidP="00A22B3A">
            <w:pPr>
              <w:spacing w:after="0"/>
              <w:ind w:rightChars="-35" w:right="-70"/>
              <w:jc w:val="center"/>
              <w:rPr>
                <w:rFonts w:ascii="Times New Roman" w:hAnsi="Times New Roman"/>
                <w:szCs w:val="20"/>
              </w:rPr>
            </w:pPr>
            <w:r w:rsidRPr="008812BE">
              <w:rPr>
                <w:rFonts w:ascii="Times New Roman" w:hAnsi="Times New Roman"/>
                <w:szCs w:val="20"/>
              </w:rPr>
              <w:t>0.41 (0.45)</w:t>
            </w:r>
          </w:p>
        </w:tc>
        <w:tc>
          <w:tcPr>
            <w:tcW w:w="1520" w:type="dxa"/>
            <w:tcBorders>
              <w:top w:val="single" w:sz="4" w:space="0" w:color="auto"/>
              <w:bottom w:val="single" w:sz="4" w:space="0" w:color="auto"/>
            </w:tcBorders>
            <w:vAlign w:val="center"/>
          </w:tcPr>
          <w:p w14:paraId="53D16CAB"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1.11 (0.55)</w:t>
            </w:r>
          </w:p>
        </w:tc>
        <w:tc>
          <w:tcPr>
            <w:tcW w:w="1520" w:type="dxa"/>
            <w:tcBorders>
              <w:top w:val="single" w:sz="4" w:space="0" w:color="auto"/>
              <w:bottom w:val="single" w:sz="4" w:space="0" w:color="auto"/>
            </w:tcBorders>
            <w:vAlign w:val="center"/>
          </w:tcPr>
          <w:p w14:paraId="2442CF5D"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0.80</w:t>
            </w:r>
          </w:p>
        </w:tc>
        <w:tc>
          <w:tcPr>
            <w:tcW w:w="1521" w:type="dxa"/>
            <w:tcBorders>
              <w:top w:val="single" w:sz="4" w:space="0" w:color="auto"/>
              <w:bottom w:val="single" w:sz="4" w:space="0" w:color="auto"/>
            </w:tcBorders>
            <w:vAlign w:val="center"/>
          </w:tcPr>
          <w:p w14:paraId="3219E433"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1.202</w:t>
            </w:r>
          </w:p>
        </w:tc>
      </w:tr>
      <w:tr w:rsidR="00A22B3A" w:rsidRPr="008812BE" w14:paraId="0ADFE2D5" w14:textId="77777777" w:rsidTr="00F43322">
        <w:trPr>
          <w:trHeight w:val="297"/>
        </w:trPr>
        <w:tc>
          <w:tcPr>
            <w:tcW w:w="1520" w:type="dxa"/>
            <w:tcBorders>
              <w:top w:val="single" w:sz="4" w:space="0" w:color="auto"/>
              <w:bottom w:val="single" w:sz="4" w:space="0" w:color="auto"/>
            </w:tcBorders>
            <w:vAlign w:val="center"/>
          </w:tcPr>
          <w:p w14:paraId="09732E25"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Ga=In</w:t>
            </w:r>
          </w:p>
        </w:tc>
        <w:tc>
          <w:tcPr>
            <w:tcW w:w="1520" w:type="dxa"/>
            <w:tcBorders>
              <w:top w:val="single" w:sz="4" w:space="0" w:color="auto"/>
              <w:bottom w:val="single" w:sz="4" w:space="0" w:color="auto"/>
            </w:tcBorders>
            <w:vAlign w:val="center"/>
          </w:tcPr>
          <w:p w14:paraId="22BE08A0" w14:textId="77777777" w:rsidR="00A22B3A" w:rsidRPr="008812BE" w:rsidRDefault="00A22B3A" w:rsidP="00A22B3A">
            <w:pPr>
              <w:spacing w:after="0"/>
              <w:jc w:val="center"/>
              <w:rPr>
                <w:rFonts w:ascii="Times New Roman" w:hAnsi="Times New Roman"/>
                <w:i/>
                <w:iCs/>
                <w:szCs w:val="20"/>
              </w:rPr>
            </w:pPr>
            <w:r w:rsidRPr="008812BE">
              <w:rPr>
                <w:rFonts w:ascii="Times New Roman" w:hAnsi="Times New Roman"/>
                <w:iCs/>
                <w:szCs w:val="20"/>
              </w:rPr>
              <w:t>520 nm</w:t>
            </w:r>
          </w:p>
        </w:tc>
        <w:tc>
          <w:tcPr>
            <w:tcW w:w="1521" w:type="dxa"/>
            <w:tcBorders>
              <w:top w:val="single" w:sz="4" w:space="0" w:color="auto"/>
              <w:bottom w:val="single" w:sz="4" w:space="0" w:color="auto"/>
            </w:tcBorders>
            <w:vAlign w:val="center"/>
          </w:tcPr>
          <w:p w14:paraId="6F5DAB07" w14:textId="77777777" w:rsidR="00A22B3A" w:rsidRPr="008812BE" w:rsidRDefault="00A22B3A" w:rsidP="00A22B3A">
            <w:pPr>
              <w:spacing w:after="0"/>
              <w:ind w:rightChars="-35" w:right="-70"/>
              <w:jc w:val="center"/>
              <w:rPr>
                <w:rFonts w:ascii="Times New Roman" w:hAnsi="Times New Roman"/>
                <w:szCs w:val="20"/>
              </w:rPr>
            </w:pPr>
            <w:r w:rsidRPr="008812BE">
              <w:rPr>
                <w:rFonts w:ascii="Times New Roman" w:hAnsi="Times New Roman"/>
                <w:szCs w:val="20"/>
              </w:rPr>
              <w:t>0.39 (0.50)</w:t>
            </w:r>
          </w:p>
        </w:tc>
        <w:tc>
          <w:tcPr>
            <w:tcW w:w="1520" w:type="dxa"/>
            <w:tcBorders>
              <w:top w:val="single" w:sz="4" w:space="0" w:color="auto"/>
              <w:bottom w:val="single" w:sz="4" w:space="0" w:color="auto"/>
            </w:tcBorders>
            <w:vAlign w:val="center"/>
          </w:tcPr>
          <w:p w14:paraId="777721A0"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1.11 (0.50)</w:t>
            </w:r>
          </w:p>
        </w:tc>
        <w:tc>
          <w:tcPr>
            <w:tcW w:w="1520" w:type="dxa"/>
            <w:tcBorders>
              <w:top w:val="single" w:sz="4" w:space="0" w:color="auto"/>
              <w:bottom w:val="single" w:sz="4" w:space="0" w:color="auto"/>
            </w:tcBorders>
            <w:vAlign w:val="center"/>
          </w:tcPr>
          <w:p w14:paraId="30520185"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0.75</w:t>
            </w:r>
          </w:p>
        </w:tc>
        <w:tc>
          <w:tcPr>
            <w:tcW w:w="1521" w:type="dxa"/>
            <w:tcBorders>
              <w:top w:val="single" w:sz="4" w:space="0" w:color="auto"/>
              <w:bottom w:val="single" w:sz="4" w:space="0" w:color="auto"/>
            </w:tcBorders>
            <w:vAlign w:val="center"/>
          </w:tcPr>
          <w:p w14:paraId="551111AC"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1.267</w:t>
            </w:r>
          </w:p>
        </w:tc>
      </w:tr>
      <w:tr w:rsidR="00A22B3A" w:rsidRPr="008812BE" w14:paraId="69BB7F25" w14:textId="77777777" w:rsidTr="00F43322">
        <w:trPr>
          <w:trHeight w:val="297"/>
        </w:trPr>
        <w:tc>
          <w:tcPr>
            <w:tcW w:w="1520" w:type="dxa"/>
            <w:tcBorders>
              <w:top w:val="single" w:sz="4" w:space="0" w:color="auto"/>
              <w:bottom w:val="single" w:sz="4" w:space="0" w:color="auto"/>
            </w:tcBorders>
            <w:vAlign w:val="center"/>
          </w:tcPr>
          <w:p w14:paraId="4A0DB5B5"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In rich</w:t>
            </w:r>
          </w:p>
        </w:tc>
        <w:tc>
          <w:tcPr>
            <w:tcW w:w="1520" w:type="dxa"/>
            <w:tcBorders>
              <w:top w:val="single" w:sz="4" w:space="0" w:color="auto"/>
              <w:bottom w:val="single" w:sz="4" w:space="0" w:color="auto"/>
            </w:tcBorders>
            <w:vAlign w:val="center"/>
          </w:tcPr>
          <w:p w14:paraId="0B00C0AA" w14:textId="77777777" w:rsidR="00A22B3A" w:rsidRPr="008812BE" w:rsidRDefault="00A22B3A" w:rsidP="00A22B3A">
            <w:pPr>
              <w:spacing w:after="0"/>
              <w:jc w:val="center"/>
              <w:rPr>
                <w:rFonts w:ascii="Times New Roman" w:hAnsi="Times New Roman"/>
                <w:i/>
                <w:iCs/>
                <w:szCs w:val="20"/>
              </w:rPr>
            </w:pPr>
            <w:r w:rsidRPr="008812BE">
              <w:rPr>
                <w:rFonts w:ascii="Times New Roman" w:hAnsi="Times New Roman"/>
                <w:iCs/>
                <w:szCs w:val="20"/>
              </w:rPr>
              <w:t>520 nm</w:t>
            </w:r>
          </w:p>
        </w:tc>
        <w:tc>
          <w:tcPr>
            <w:tcW w:w="1521" w:type="dxa"/>
            <w:tcBorders>
              <w:top w:val="single" w:sz="4" w:space="0" w:color="auto"/>
              <w:bottom w:val="single" w:sz="4" w:space="0" w:color="auto"/>
            </w:tcBorders>
            <w:vAlign w:val="center"/>
          </w:tcPr>
          <w:p w14:paraId="36EC006B" w14:textId="77777777" w:rsidR="00A22B3A" w:rsidRPr="008812BE" w:rsidRDefault="00A22B3A" w:rsidP="00A22B3A">
            <w:pPr>
              <w:spacing w:after="0"/>
              <w:ind w:rightChars="-35" w:right="-70"/>
              <w:jc w:val="center"/>
              <w:rPr>
                <w:rFonts w:ascii="Times New Roman" w:hAnsi="Times New Roman"/>
                <w:szCs w:val="20"/>
              </w:rPr>
            </w:pPr>
            <w:r w:rsidRPr="008812BE">
              <w:rPr>
                <w:rFonts w:ascii="Times New Roman" w:hAnsi="Times New Roman"/>
                <w:szCs w:val="20"/>
              </w:rPr>
              <w:t>0.32 (0.46)</w:t>
            </w:r>
          </w:p>
        </w:tc>
        <w:tc>
          <w:tcPr>
            <w:tcW w:w="1520" w:type="dxa"/>
            <w:tcBorders>
              <w:top w:val="single" w:sz="4" w:space="0" w:color="auto"/>
              <w:bottom w:val="single" w:sz="4" w:space="0" w:color="auto"/>
            </w:tcBorders>
            <w:vAlign w:val="center"/>
          </w:tcPr>
          <w:p w14:paraId="16D8C75D"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1.09 (0.54)</w:t>
            </w:r>
          </w:p>
        </w:tc>
        <w:tc>
          <w:tcPr>
            <w:tcW w:w="1520" w:type="dxa"/>
            <w:tcBorders>
              <w:top w:val="single" w:sz="4" w:space="0" w:color="auto"/>
              <w:bottom w:val="single" w:sz="4" w:space="0" w:color="auto"/>
            </w:tcBorders>
            <w:vAlign w:val="center"/>
          </w:tcPr>
          <w:p w14:paraId="156500FF"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0.74</w:t>
            </w:r>
          </w:p>
        </w:tc>
        <w:tc>
          <w:tcPr>
            <w:tcW w:w="1521" w:type="dxa"/>
            <w:tcBorders>
              <w:top w:val="single" w:sz="4" w:space="0" w:color="auto"/>
              <w:bottom w:val="single" w:sz="4" w:space="0" w:color="auto"/>
            </w:tcBorders>
            <w:vAlign w:val="center"/>
          </w:tcPr>
          <w:p w14:paraId="5EE3F1AE"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1.368</w:t>
            </w:r>
          </w:p>
        </w:tc>
      </w:tr>
      <w:tr w:rsidR="00A22B3A" w:rsidRPr="008812BE" w14:paraId="5AEB8C22" w14:textId="77777777" w:rsidTr="00F43322">
        <w:trPr>
          <w:trHeight w:val="297"/>
        </w:trPr>
        <w:tc>
          <w:tcPr>
            <w:tcW w:w="1520" w:type="dxa"/>
            <w:tcBorders>
              <w:top w:val="single" w:sz="4" w:space="0" w:color="auto"/>
              <w:bottom w:val="single" w:sz="4" w:space="0" w:color="auto"/>
            </w:tcBorders>
            <w:vAlign w:val="center"/>
          </w:tcPr>
          <w:p w14:paraId="59098D99"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Ga rich</w:t>
            </w:r>
          </w:p>
        </w:tc>
        <w:tc>
          <w:tcPr>
            <w:tcW w:w="1520" w:type="dxa"/>
            <w:tcBorders>
              <w:top w:val="single" w:sz="4" w:space="0" w:color="auto"/>
              <w:bottom w:val="single" w:sz="4" w:space="0" w:color="auto"/>
            </w:tcBorders>
            <w:vAlign w:val="center"/>
          </w:tcPr>
          <w:p w14:paraId="5E8A1AA5"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iCs/>
                <w:szCs w:val="20"/>
              </w:rPr>
              <w:t>560 nm</w:t>
            </w:r>
          </w:p>
        </w:tc>
        <w:tc>
          <w:tcPr>
            <w:tcW w:w="1521" w:type="dxa"/>
            <w:tcBorders>
              <w:top w:val="single" w:sz="4" w:space="0" w:color="auto"/>
              <w:bottom w:val="single" w:sz="4" w:space="0" w:color="auto"/>
            </w:tcBorders>
            <w:vAlign w:val="center"/>
          </w:tcPr>
          <w:p w14:paraId="732D13A4" w14:textId="77777777" w:rsidR="00A22B3A" w:rsidRPr="008812BE" w:rsidRDefault="00A22B3A" w:rsidP="00A22B3A">
            <w:pPr>
              <w:spacing w:after="0"/>
              <w:ind w:rightChars="-35" w:right="-70"/>
              <w:jc w:val="center"/>
              <w:rPr>
                <w:rFonts w:ascii="Times New Roman" w:hAnsi="Times New Roman"/>
                <w:szCs w:val="20"/>
              </w:rPr>
            </w:pPr>
            <w:r w:rsidRPr="008812BE">
              <w:rPr>
                <w:rFonts w:ascii="Times New Roman" w:hAnsi="Times New Roman"/>
                <w:szCs w:val="20"/>
              </w:rPr>
              <w:t>0.50 (0.42)</w:t>
            </w:r>
          </w:p>
        </w:tc>
        <w:tc>
          <w:tcPr>
            <w:tcW w:w="1520" w:type="dxa"/>
            <w:tcBorders>
              <w:top w:val="single" w:sz="4" w:space="0" w:color="auto"/>
              <w:bottom w:val="single" w:sz="4" w:space="0" w:color="auto"/>
            </w:tcBorders>
            <w:vAlign w:val="center"/>
          </w:tcPr>
          <w:p w14:paraId="23576368"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1.51 (0.58)</w:t>
            </w:r>
          </w:p>
        </w:tc>
        <w:tc>
          <w:tcPr>
            <w:tcW w:w="1520" w:type="dxa"/>
            <w:tcBorders>
              <w:top w:val="single" w:sz="4" w:space="0" w:color="auto"/>
              <w:bottom w:val="single" w:sz="4" w:space="0" w:color="auto"/>
            </w:tcBorders>
            <w:vAlign w:val="center"/>
          </w:tcPr>
          <w:p w14:paraId="6A8D44C0"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1.09</w:t>
            </w:r>
          </w:p>
        </w:tc>
        <w:tc>
          <w:tcPr>
            <w:tcW w:w="1521" w:type="dxa"/>
            <w:tcBorders>
              <w:top w:val="single" w:sz="4" w:space="0" w:color="auto"/>
              <w:bottom w:val="single" w:sz="4" w:space="0" w:color="auto"/>
            </w:tcBorders>
            <w:vAlign w:val="center"/>
          </w:tcPr>
          <w:p w14:paraId="48936DE3"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1.337</w:t>
            </w:r>
          </w:p>
        </w:tc>
      </w:tr>
      <w:tr w:rsidR="00A22B3A" w:rsidRPr="008812BE" w14:paraId="2117D181" w14:textId="77777777" w:rsidTr="00F43322">
        <w:trPr>
          <w:trHeight w:val="297"/>
        </w:trPr>
        <w:tc>
          <w:tcPr>
            <w:tcW w:w="1520" w:type="dxa"/>
            <w:tcBorders>
              <w:top w:val="single" w:sz="4" w:space="0" w:color="auto"/>
              <w:bottom w:val="single" w:sz="4" w:space="0" w:color="auto"/>
            </w:tcBorders>
            <w:vAlign w:val="center"/>
          </w:tcPr>
          <w:p w14:paraId="196BD90F"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Ga=In</w:t>
            </w:r>
          </w:p>
        </w:tc>
        <w:tc>
          <w:tcPr>
            <w:tcW w:w="1520" w:type="dxa"/>
            <w:tcBorders>
              <w:top w:val="single" w:sz="4" w:space="0" w:color="auto"/>
              <w:bottom w:val="single" w:sz="4" w:space="0" w:color="auto"/>
            </w:tcBorders>
            <w:vAlign w:val="center"/>
          </w:tcPr>
          <w:p w14:paraId="5972CCB8" w14:textId="77777777" w:rsidR="00A22B3A" w:rsidRPr="008812BE" w:rsidRDefault="00A22B3A" w:rsidP="00A22B3A">
            <w:pPr>
              <w:spacing w:after="0"/>
              <w:ind w:rightChars="-5" w:right="-10"/>
              <w:jc w:val="center"/>
              <w:rPr>
                <w:rFonts w:ascii="Times New Roman" w:hAnsi="Times New Roman"/>
                <w:szCs w:val="20"/>
              </w:rPr>
            </w:pPr>
            <w:r w:rsidRPr="008812BE">
              <w:rPr>
                <w:rFonts w:ascii="Times New Roman" w:hAnsi="Times New Roman"/>
                <w:iCs/>
                <w:szCs w:val="20"/>
              </w:rPr>
              <w:t>560 nm</w:t>
            </w:r>
          </w:p>
        </w:tc>
        <w:tc>
          <w:tcPr>
            <w:tcW w:w="1521" w:type="dxa"/>
            <w:tcBorders>
              <w:top w:val="single" w:sz="4" w:space="0" w:color="auto"/>
              <w:bottom w:val="single" w:sz="4" w:space="0" w:color="auto"/>
            </w:tcBorders>
            <w:vAlign w:val="center"/>
          </w:tcPr>
          <w:p w14:paraId="2424987F" w14:textId="77777777" w:rsidR="00A22B3A" w:rsidRPr="008812BE" w:rsidRDefault="00A22B3A" w:rsidP="00A22B3A">
            <w:pPr>
              <w:spacing w:after="0"/>
              <w:ind w:rightChars="-35" w:right="-70"/>
              <w:jc w:val="center"/>
              <w:rPr>
                <w:rFonts w:ascii="Times New Roman" w:hAnsi="Times New Roman"/>
                <w:szCs w:val="20"/>
              </w:rPr>
            </w:pPr>
            <w:r w:rsidRPr="008812BE">
              <w:rPr>
                <w:rFonts w:ascii="Times New Roman" w:hAnsi="Times New Roman"/>
                <w:szCs w:val="20"/>
              </w:rPr>
              <w:t>0.47 (0.47)</w:t>
            </w:r>
          </w:p>
        </w:tc>
        <w:tc>
          <w:tcPr>
            <w:tcW w:w="1520" w:type="dxa"/>
            <w:tcBorders>
              <w:top w:val="single" w:sz="4" w:space="0" w:color="auto"/>
              <w:bottom w:val="single" w:sz="4" w:space="0" w:color="auto"/>
            </w:tcBorders>
            <w:vAlign w:val="center"/>
          </w:tcPr>
          <w:p w14:paraId="2AFAF7F6"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1.45 (0.53)</w:t>
            </w:r>
          </w:p>
        </w:tc>
        <w:tc>
          <w:tcPr>
            <w:tcW w:w="1520" w:type="dxa"/>
            <w:tcBorders>
              <w:top w:val="single" w:sz="4" w:space="0" w:color="auto"/>
              <w:bottom w:val="single" w:sz="4" w:space="0" w:color="auto"/>
            </w:tcBorders>
            <w:vAlign w:val="center"/>
          </w:tcPr>
          <w:p w14:paraId="79075834"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0.99</w:t>
            </w:r>
          </w:p>
        </w:tc>
        <w:tc>
          <w:tcPr>
            <w:tcW w:w="1521" w:type="dxa"/>
            <w:tcBorders>
              <w:top w:val="single" w:sz="4" w:space="0" w:color="auto"/>
              <w:bottom w:val="single" w:sz="4" w:space="0" w:color="auto"/>
            </w:tcBorders>
            <w:vAlign w:val="center"/>
          </w:tcPr>
          <w:p w14:paraId="29CFB9CE"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1.249</w:t>
            </w:r>
          </w:p>
        </w:tc>
      </w:tr>
      <w:tr w:rsidR="00A22B3A" w:rsidRPr="008812BE" w14:paraId="3FB91483" w14:textId="77777777" w:rsidTr="00F43322">
        <w:trPr>
          <w:trHeight w:val="297"/>
        </w:trPr>
        <w:tc>
          <w:tcPr>
            <w:tcW w:w="1520" w:type="dxa"/>
            <w:tcBorders>
              <w:top w:val="single" w:sz="4" w:space="0" w:color="auto"/>
              <w:bottom w:val="single" w:sz="4" w:space="0" w:color="auto"/>
            </w:tcBorders>
            <w:vAlign w:val="center"/>
          </w:tcPr>
          <w:p w14:paraId="29CD0826"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In rich</w:t>
            </w:r>
          </w:p>
        </w:tc>
        <w:tc>
          <w:tcPr>
            <w:tcW w:w="1520" w:type="dxa"/>
            <w:tcBorders>
              <w:top w:val="single" w:sz="4" w:space="0" w:color="auto"/>
              <w:bottom w:val="single" w:sz="4" w:space="0" w:color="auto"/>
            </w:tcBorders>
            <w:vAlign w:val="center"/>
          </w:tcPr>
          <w:p w14:paraId="39BE5BD1"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iCs/>
                <w:szCs w:val="20"/>
              </w:rPr>
              <w:t>560 nm</w:t>
            </w:r>
          </w:p>
        </w:tc>
        <w:tc>
          <w:tcPr>
            <w:tcW w:w="1521" w:type="dxa"/>
            <w:tcBorders>
              <w:top w:val="single" w:sz="4" w:space="0" w:color="auto"/>
              <w:bottom w:val="single" w:sz="4" w:space="0" w:color="auto"/>
            </w:tcBorders>
            <w:vAlign w:val="center"/>
          </w:tcPr>
          <w:p w14:paraId="56D53BBD" w14:textId="77777777" w:rsidR="00A22B3A" w:rsidRPr="008812BE" w:rsidRDefault="00A22B3A" w:rsidP="00A22B3A">
            <w:pPr>
              <w:spacing w:after="0"/>
              <w:ind w:rightChars="-35" w:right="-70"/>
              <w:jc w:val="center"/>
              <w:rPr>
                <w:rFonts w:ascii="Times New Roman" w:hAnsi="Times New Roman"/>
                <w:szCs w:val="20"/>
              </w:rPr>
            </w:pPr>
            <w:r w:rsidRPr="008812BE">
              <w:rPr>
                <w:rFonts w:ascii="Times New Roman" w:hAnsi="Times New Roman"/>
                <w:szCs w:val="20"/>
              </w:rPr>
              <w:t>0.38 (0.50)</w:t>
            </w:r>
          </w:p>
        </w:tc>
        <w:tc>
          <w:tcPr>
            <w:tcW w:w="1520" w:type="dxa"/>
            <w:tcBorders>
              <w:top w:val="single" w:sz="4" w:space="0" w:color="auto"/>
              <w:bottom w:val="single" w:sz="4" w:space="0" w:color="auto"/>
            </w:tcBorders>
            <w:vAlign w:val="center"/>
          </w:tcPr>
          <w:p w14:paraId="4D61A131"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1.35 (0.50)</w:t>
            </w:r>
          </w:p>
        </w:tc>
        <w:tc>
          <w:tcPr>
            <w:tcW w:w="1520" w:type="dxa"/>
            <w:tcBorders>
              <w:top w:val="single" w:sz="4" w:space="0" w:color="auto"/>
              <w:bottom w:val="single" w:sz="4" w:space="0" w:color="auto"/>
            </w:tcBorders>
            <w:vAlign w:val="center"/>
          </w:tcPr>
          <w:p w14:paraId="3571C558"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0.87</w:t>
            </w:r>
          </w:p>
        </w:tc>
        <w:tc>
          <w:tcPr>
            <w:tcW w:w="1521" w:type="dxa"/>
            <w:tcBorders>
              <w:top w:val="single" w:sz="4" w:space="0" w:color="auto"/>
              <w:bottom w:val="single" w:sz="4" w:space="0" w:color="auto"/>
            </w:tcBorders>
            <w:vAlign w:val="center"/>
          </w:tcPr>
          <w:p w14:paraId="68AC9410" w14:textId="77777777" w:rsidR="00A22B3A" w:rsidRPr="008812BE" w:rsidRDefault="00A22B3A" w:rsidP="00A22B3A">
            <w:pPr>
              <w:spacing w:after="0"/>
              <w:jc w:val="center"/>
              <w:rPr>
                <w:rFonts w:ascii="Times New Roman" w:hAnsi="Times New Roman"/>
                <w:szCs w:val="20"/>
              </w:rPr>
            </w:pPr>
            <w:r w:rsidRPr="008812BE">
              <w:rPr>
                <w:rFonts w:ascii="Times New Roman" w:hAnsi="Times New Roman"/>
                <w:szCs w:val="20"/>
              </w:rPr>
              <w:t>1.266</w:t>
            </w:r>
          </w:p>
        </w:tc>
      </w:tr>
    </w:tbl>
    <w:p w14:paraId="3A54B23E" w14:textId="77777777" w:rsidR="00A22B3A" w:rsidRPr="008812BE" w:rsidRDefault="00A22B3A" w:rsidP="00A22B3A">
      <w:pPr>
        <w:spacing w:after="0" w:line="360" w:lineRule="auto"/>
        <w:rPr>
          <w:rFonts w:ascii="Times New Roman" w:hAnsi="Times New Roman" w:cs="Times New Roman"/>
          <w:sz w:val="18"/>
          <w:szCs w:val="18"/>
        </w:rPr>
      </w:pPr>
      <w:r w:rsidRPr="008812BE">
        <w:rPr>
          <w:rFonts w:ascii="Times New Roman" w:hAnsi="Times New Roman" w:cs="Times New Roman"/>
          <w:sz w:val="18"/>
          <w:szCs w:val="18"/>
          <w:vertAlign w:val="superscript"/>
        </w:rPr>
        <w:t xml:space="preserve">a </w:t>
      </w:r>
      <w:r w:rsidRPr="008812BE">
        <w:rPr>
          <w:rFonts w:ascii="Times New Roman" w:hAnsi="Times New Roman" w:cs="Times New Roman"/>
          <w:sz w:val="18"/>
          <w:szCs w:val="18"/>
        </w:rPr>
        <w:t>Monitored wavelength was 520 and 560 nm. The PL decay curves were fitted by a bi-exponential function to calculate the lifetime of In</w:t>
      </w:r>
      <w:r w:rsidRPr="008812BE">
        <w:rPr>
          <w:rFonts w:ascii="Times New Roman" w:hAnsi="Times New Roman" w:cs="Times New Roman"/>
          <w:sz w:val="18"/>
          <w:szCs w:val="18"/>
          <w:vertAlign w:val="subscript"/>
        </w:rPr>
        <w:t>x</w:t>
      </w:r>
      <w:r w:rsidRPr="008812BE">
        <w:rPr>
          <w:rFonts w:ascii="Times New Roman" w:hAnsi="Times New Roman" w:cs="Times New Roman"/>
          <w:sz w:val="18"/>
          <w:szCs w:val="18"/>
        </w:rPr>
        <w:t>Ga</w:t>
      </w:r>
      <w:r w:rsidRPr="008812BE">
        <w:rPr>
          <w:rFonts w:ascii="Times New Roman" w:hAnsi="Times New Roman" w:cs="Times New Roman"/>
          <w:sz w:val="18"/>
          <w:szCs w:val="18"/>
          <w:vertAlign w:val="subscript"/>
        </w:rPr>
        <w:t>1-x</w:t>
      </w:r>
      <w:r w:rsidRPr="008812BE">
        <w:rPr>
          <w:rFonts w:ascii="Times New Roman" w:hAnsi="Times New Roman" w:cs="Times New Roman"/>
          <w:sz w:val="18"/>
          <w:szCs w:val="18"/>
        </w:rPr>
        <w:t xml:space="preserve">N CQDs. </w:t>
      </w:r>
      <w:r w:rsidRPr="008812BE">
        <w:rPr>
          <w:rFonts w:ascii="Times New Roman" w:hAnsi="Times New Roman" w:cs="Times New Roman"/>
          <w:sz w:val="18"/>
          <w:szCs w:val="18"/>
          <w:vertAlign w:val="superscript"/>
        </w:rPr>
        <w:t xml:space="preserve">b </w:t>
      </w:r>
      <w:r w:rsidRPr="008812BE">
        <w:rPr>
          <w:rFonts w:ascii="Times New Roman" w:hAnsi="Times New Roman" w:cs="Times New Roman"/>
          <w:sz w:val="18"/>
          <w:szCs w:val="18"/>
        </w:rPr>
        <w:t>The intensity-weighted average lifetime (</w:t>
      </w:r>
      <w:r w:rsidRPr="008812BE">
        <w:rPr>
          <w:rFonts w:ascii="Times New Roman" w:hAnsi="Times New Roman" w:cs="Times New Roman"/>
          <w:i/>
          <w:sz w:val="18"/>
          <w:szCs w:val="18"/>
        </w:rPr>
        <w:t>τ</w:t>
      </w:r>
      <w:r w:rsidRPr="008812BE">
        <w:rPr>
          <w:rFonts w:ascii="Times New Roman" w:hAnsi="Times New Roman" w:cs="Times New Roman"/>
          <w:sz w:val="18"/>
          <w:szCs w:val="18"/>
          <w:vertAlign w:val="subscript"/>
        </w:rPr>
        <w:t>ave</w:t>
      </w:r>
      <w:r w:rsidRPr="008812BE">
        <w:rPr>
          <w:rFonts w:ascii="Times New Roman" w:hAnsi="Times New Roman" w:cs="Times New Roman"/>
          <w:sz w:val="18"/>
          <w:szCs w:val="18"/>
        </w:rPr>
        <w:t xml:space="preserve">) was </w:t>
      </w:r>
      <w:r w:rsidRPr="008812BE">
        <w:rPr>
          <w:rFonts w:ascii="Times New Roman" w:hAnsi="Times New Roman" w:cs="Times New Roman"/>
          <w:i/>
          <w:sz w:val="18"/>
          <w:szCs w:val="18"/>
        </w:rPr>
        <w:t>f</w:t>
      </w:r>
      <w:r w:rsidRPr="008812BE">
        <w:rPr>
          <w:rFonts w:ascii="Times New Roman" w:hAnsi="Times New Roman" w:cs="Times New Roman"/>
          <w:sz w:val="18"/>
          <w:szCs w:val="18"/>
          <w:vertAlign w:val="subscript"/>
        </w:rPr>
        <w:t>1</w:t>
      </w:r>
      <w:r w:rsidRPr="008812BE">
        <w:rPr>
          <w:rFonts w:ascii="Times New Roman" w:hAnsi="Times New Roman" w:cs="Times New Roman"/>
          <w:i/>
          <w:sz w:val="18"/>
          <w:szCs w:val="18"/>
        </w:rPr>
        <w:t>τ</w:t>
      </w:r>
      <w:r w:rsidRPr="008812BE">
        <w:rPr>
          <w:rFonts w:ascii="Times New Roman" w:hAnsi="Times New Roman" w:cs="Times New Roman"/>
          <w:sz w:val="18"/>
          <w:szCs w:val="18"/>
          <w:vertAlign w:val="subscript"/>
        </w:rPr>
        <w:t>1</w:t>
      </w:r>
      <w:r w:rsidRPr="008812BE">
        <w:rPr>
          <w:rFonts w:ascii="Times New Roman" w:hAnsi="Times New Roman" w:cs="Times New Roman"/>
          <w:sz w:val="18"/>
          <w:szCs w:val="18"/>
        </w:rPr>
        <w:t xml:space="preserve"> + </w:t>
      </w:r>
      <w:r w:rsidRPr="008812BE">
        <w:rPr>
          <w:rFonts w:ascii="Times New Roman" w:hAnsi="Times New Roman" w:cs="Times New Roman"/>
          <w:i/>
          <w:sz w:val="18"/>
          <w:szCs w:val="18"/>
        </w:rPr>
        <w:t>f</w:t>
      </w:r>
      <w:r w:rsidRPr="008812BE">
        <w:rPr>
          <w:rFonts w:ascii="Times New Roman" w:hAnsi="Times New Roman" w:cs="Times New Roman"/>
          <w:sz w:val="18"/>
          <w:szCs w:val="18"/>
          <w:vertAlign w:val="subscript"/>
        </w:rPr>
        <w:t>2</w:t>
      </w:r>
      <w:r w:rsidRPr="008812BE">
        <w:rPr>
          <w:rFonts w:ascii="Times New Roman" w:hAnsi="Times New Roman" w:cs="Times New Roman"/>
          <w:i/>
          <w:sz w:val="18"/>
          <w:szCs w:val="18"/>
        </w:rPr>
        <w:t>τ</w:t>
      </w:r>
      <w:r w:rsidRPr="008812BE">
        <w:rPr>
          <w:rFonts w:ascii="Times New Roman" w:hAnsi="Times New Roman" w:cs="Times New Roman"/>
          <w:sz w:val="18"/>
          <w:szCs w:val="18"/>
          <w:vertAlign w:val="subscript"/>
        </w:rPr>
        <w:t>2</w:t>
      </w:r>
      <w:r w:rsidRPr="008812BE">
        <w:rPr>
          <w:rFonts w:ascii="Times New Roman" w:hAnsi="Times New Roman" w:cs="Times New Roman"/>
          <w:sz w:val="18"/>
          <w:szCs w:val="18"/>
        </w:rPr>
        <w:t xml:space="preserve">, where </w:t>
      </w:r>
      <w:r w:rsidRPr="008812BE">
        <w:rPr>
          <w:rFonts w:ascii="Times New Roman" w:hAnsi="Times New Roman" w:cs="Times New Roman"/>
          <w:i/>
          <w:sz w:val="18"/>
          <w:szCs w:val="18"/>
        </w:rPr>
        <w:t>f</w:t>
      </w:r>
      <w:r w:rsidRPr="008812BE">
        <w:rPr>
          <w:rFonts w:ascii="Times New Roman" w:hAnsi="Times New Roman" w:cs="Times New Roman"/>
          <w:sz w:val="18"/>
          <w:szCs w:val="18"/>
          <w:vertAlign w:val="subscript"/>
        </w:rPr>
        <w:t>1</w:t>
      </w:r>
      <w:r w:rsidRPr="008812BE">
        <w:rPr>
          <w:rFonts w:ascii="Times New Roman" w:hAnsi="Times New Roman" w:cs="Times New Roman"/>
          <w:sz w:val="18"/>
          <w:szCs w:val="18"/>
        </w:rPr>
        <w:t xml:space="preserve"> and </w:t>
      </w:r>
      <w:r w:rsidRPr="008812BE">
        <w:rPr>
          <w:rFonts w:ascii="Times New Roman" w:hAnsi="Times New Roman" w:cs="Times New Roman"/>
          <w:i/>
          <w:sz w:val="18"/>
          <w:szCs w:val="18"/>
        </w:rPr>
        <w:t>f</w:t>
      </w:r>
      <w:r w:rsidRPr="008812BE">
        <w:rPr>
          <w:rFonts w:ascii="Times New Roman" w:hAnsi="Times New Roman" w:cs="Times New Roman"/>
          <w:sz w:val="18"/>
          <w:szCs w:val="18"/>
          <w:vertAlign w:val="subscript"/>
        </w:rPr>
        <w:t>2</w:t>
      </w:r>
      <w:r w:rsidRPr="008812BE">
        <w:rPr>
          <w:rFonts w:ascii="Times New Roman" w:hAnsi="Times New Roman" w:cs="Times New Roman"/>
          <w:sz w:val="18"/>
          <w:szCs w:val="18"/>
        </w:rPr>
        <w:t xml:space="preserve"> are fractional intensities and </w:t>
      </w:r>
      <w:r w:rsidRPr="008812BE">
        <w:rPr>
          <w:rFonts w:ascii="Times New Roman" w:hAnsi="Times New Roman" w:cs="Times New Roman"/>
          <w:i/>
          <w:sz w:val="18"/>
          <w:szCs w:val="18"/>
        </w:rPr>
        <w:t>τ</w:t>
      </w:r>
      <w:r w:rsidRPr="008812BE">
        <w:rPr>
          <w:rFonts w:ascii="Times New Roman" w:hAnsi="Times New Roman" w:cs="Times New Roman"/>
          <w:sz w:val="18"/>
          <w:szCs w:val="18"/>
          <w:vertAlign w:val="subscript"/>
        </w:rPr>
        <w:t>1</w:t>
      </w:r>
      <w:r w:rsidRPr="008812BE">
        <w:rPr>
          <w:rFonts w:ascii="Times New Roman" w:hAnsi="Times New Roman" w:cs="Times New Roman"/>
          <w:sz w:val="18"/>
          <w:szCs w:val="18"/>
        </w:rPr>
        <w:t xml:space="preserve"> and </w:t>
      </w:r>
      <w:r w:rsidRPr="008812BE">
        <w:rPr>
          <w:rFonts w:ascii="Times New Roman" w:hAnsi="Times New Roman" w:cs="Times New Roman"/>
          <w:i/>
          <w:sz w:val="18"/>
          <w:szCs w:val="18"/>
        </w:rPr>
        <w:t>τ</w:t>
      </w:r>
      <w:r w:rsidRPr="008812BE">
        <w:rPr>
          <w:rFonts w:ascii="Times New Roman" w:hAnsi="Times New Roman" w:cs="Times New Roman"/>
          <w:sz w:val="18"/>
          <w:szCs w:val="18"/>
          <w:vertAlign w:val="subscript"/>
        </w:rPr>
        <w:t>2</w:t>
      </w:r>
      <w:r w:rsidRPr="008812BE">
        <w:rPr>
          <w:rFonts w:ascii="Times New Roman" w:hAnsi="Times New Roman" w:cs="Times New Roman"/>
          <w:sz w:val="18"/>
          <w:szCs w:val="18"/>
        </w:rPr>
        <w:t xml:space="preserve"> are lifetimes. </w:t>
      </w:r>
      <w:r w:rsidRPr="008812BE">
        <w:rPr>
          <w:rFonts w:ascii="Times New Roman" w:hAnsi="Times New Roman" w:cs="Times New Roman"/>
          <w:sz w:val="18"/>
          <w:szCs w:val="18"/>
          <w:vertAlign w:val="superscript"/>
        </w:rPr>
        <w:t>c</w:t>
      </w:r>
      <w:r w:rsidRPr="008812BE">
        <w:rPr>
          <w:rFonts w:ascii="Times New Roman" w:hAnsi="Times New Roman" w:cs="Times New Roman"/>
          <w:sz w:val="18"/>
          <w:szCs w:val="18"/>
        </w:rPr>
        <w:sym w:font="Symbol" w:char="F063"/>
      </w:r>
      <w:r w:rsidRPr="008812BE">
        <w:rPr>
          <w:rFonts w:ascii="Times New Roman" w:hAnsi="Times New Roman" w:cs="Times New Roman"/>
          <w:sz w:val="18"/>
          <w:szCs w:val="18"/>
          <w:vertAlign w:val="superscript"/>
        </w:rPr>
        <w:t>2</w:t>
      </w:r>
      <w:r w:rsidRPr="008812BE">
        <w:rPr>
          <w:rFonts w:ascii="Times New Roman" w:hAnsi="Times New Roman" w:cs="Times New Roman"/>
          <w:sz w:val="18"/>
          <w:szCs w:val="18"/>
        </w:rPr>
        <w:t xml:space="preserve"> is the reduced chi-square value.</w:t>
      </w:r>
    </w:p>
    <w:p w14:paraId="5E46C765" w14:textId="77777777" w:rsidR="00FD01DD" w:rsidRPr="008812BE" w:rsidRDefault="00FD01DD">
      <w:pPr>
        <w:widowControl/>
        <w:wordWrap/>
        <w:autoSpaceDE/>
        <w:autoSpaceDN/>
        <w:spacing w:after="160" w:line="259" w:lineRule="auto"/>
        <w:rPr>
          <w:rFonts w:ascii="Times New Roman" w:hAnsi="Times New Roman" w:cs="Times New Roman"/>
          <w:sz w:val="18"/>
          <w:szCs w:val="18"/>
        </w:rPr>
      </w:pPr>
      <w:r w:rsidRPr="008812BE">
        <w:rPr>
          <w:rFonts w:ascii="Times New Roman" w:hAnsi="Times New Roman" w:cs="Times New Roman"/>
          <w:sz w:val="18"/>
          <w:szCs w:val="18"/>
        </w:rPr>
        <w:br w:type="page"/>
      </w:r>
    </w:p>
    <w:p w14:paraId="5C5C437C" w14:textId="77777777" w:rsidR="00A22B3A" w:rsidRPr="008812BE" w:rsidRDefault="00A22B3A" w:rsidP="00A22B3A">
      <w:pPr>
        <w:spacing w:after="0" w:line="480" w:lineRule="auto"/>
        <w:ind w:firstLineChars="250" w:firstLine="600"/>
        <w:rPr>
          <w:rFonts w:ascii="Times New Roman" w:hAnsi="Times New Roman" w:cs="Times New Roman"/>
          <w:sz w:val="24"/>
          <w:szCs w:val="24"/>
        </w:rPr>
      </w:pPr>
      <w:r w:rsidRPr="008812BE">
        <w:rPr>
          <w:rFonts w:ascii="Times New Roman" w:hAnsi="Times New Roman" w:cs="Times New Roman"/>
          <w:sz w:val="24"/>
          <w:szCs w:val="24"/>
        </w:rPr>
        <w:lastRenderedPageBreak/>
        <w:t>The XANES results (</w:t>
      </w:r>
      <w:r w:rsidRPr="008812BE">
        <w:rPr>
          <w:rFonts w:ascii="Times New Roman" w:hAnsi="Times New Roman" w:cs="Times New Roman"/>
          <w:b/>
          <w:sz w:val="24"/>
          <w:szCs w:val="24"/>
        </w:rPr>
        <w:t>Fig. S8 (a)</w:t>
      </w:r>
      <w:r w:rsidRPr="008812BE">
        <w:rPr>
          <w:rFonts w:ascii="Times New Roman" w:hAnsi="Times New Roman" w:cs="Times New Roman"/>
          <w:sz w:val="24"/>
          <w:szCs w:val="24"/>
        </w:rPr>
        <w:t>) show that white line absorption decreased with increasing In fraction. In addition, atomic position of neighbor inter-atomic distances and bond angle of In components changed with In fraction variation.</w:t>
      </w:r>
      <w:r w:rsidRPr="008812BE">
        <w:rPr>
          <w:rFonts w:ascii="Times New Roman" w:hAnsi="Times New Roman" w:cs="Times New Roman"/>
          <w:b/>
          <w:sz w:val="24"/>
          <w:szCs w:val="24"/>
        </w:rPr>
        <w:t xml:space="preserve"> Fig. S8 (b)</w:t>
      </w:r>
      <w:r w:rsidRPr="008812BE">
        <w:rPr>
          <w:rFonts w:ascii="Times New Roman" w:hAnsi="Times New Roman" w:cs="Times New Roman"/>
          <w:sz w:val="24"/>
          <w:szCs w:val="24"/>
        </w:rPr>
        <w:t xml:space="preserve"> shows XAFS results of In</w:t>
      </w:r>
      <w:r w:rsidRPr="008812BE">
        <w:rPr>
          <w:rFonts w:ascii="Times New Roman" w:hAnsi="Times New Roman" w:cs="Times New Roman"/>
          <w:sz w:val="24"/>
          <w:szCs w:val="24"/>
          <w:vertAlign w:val="subscript"/>
        </w:rPr>
        <w:t>x</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1-x</w:t>
      </w:r>
      <w:r w:rsidRPr="008812BE">
        <w:rPr>
          <w:rFonts w:ascii="Times New Roman" w:hAnsi="Times New Roman" w:cs="Times New Roman"/>
          <w:sz w:val="24"/>
          <w:szCs w:val="24"/>
        </w:rPr>
        <w:t xml:space="preserve">N CQDs (x = 0.25, 0.5, 0.75, and 1). It is observed that high crystalline InN </w:t>
      </w:r>
      <w:r w:rsidRPr="008812BE">
        <w:rPr>
          <w:rFonts w:ascii="Times New Roman" w:hAnsi="Times New Roman" w:cs="Times New Roman"/>
          <w:sz w:val="24"/>
        </w:rPr>
        <w:t>CQDs</w:t>
      </w:r>
      <w:r w:rsidRPr="008812BE">
        <w:rPr>
          <w:rFonts w:ascii="Times New Roman" w:hAnsi="Times New Roman" w:cs="Times New Roman"/>
          <w:sz w:val="24"/>
          <w:szCs w:val="24"/>
        </w:rPr>
        <w:t xml:space="preserve"> had fine split In (core) with N or In coordination binding peak. And also, enhancement of peak intensity of coordination binding with peak splitting was observed with increasing In fraction. This phenomenon was related to crystallinity of each In</w:t>
      </w:r>
      <w:r w:rsidRPr="008812BE">
        <w:rPr>
          <w:rFonts w:ascii="Times New Roman" w:hAnsi="Times New Roman" w:cs="Times New Roman"/>
          <w:sz w:val="24"/>
          <w:szCs w:val="24"/>
          <w:vertAlign w:val="subscript"/>
        </w:rPr>
        <w:t>x</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1-x</w:t>
      </w:r>
      <w:r w:rsidRPr="008812BE">
        <w:rPr>
          <w:rFonts w:ascii="Times New Roman" w:hAnsi="Times New Roman" w:cs="Times New Roman"/>
          <w:sz w:val="24"/>
          <w:szCs w:val="24"/>
        </w:rPr>
        <w:t>N CQDs as shown in XRD (</w:t>
      </w:r>
      <w:r w:rsidRPr="008812BE">
        <w:rPr>
          <w:rFonts w:ascii="Times New Roman" w:hAnsi="Times New Roman" w:cs="Times New Roman"/>
          <w:b/>
          <w:sz w:val="24"/>
          <w:szCs w:val="24"/>
        </w:rPr>
        <w:t>Fig. 1(a)</w:t>
      </w:r>
      <w:r w:rsidRPr="008812BE">
        <w:rPr>
          <w:rFonts w:ascii="Times New Roman" w:hAnsi="Times New Roman" w:cs="Times New Roman"/>
          <w:sz w:val="24"/>
          <w:szCs w:val="24"/>
        </w:rPr>
        <w:t>).</w:t>
      </w:r>
    </w:p>
    <w:p w14:paraId="5A95C50F" w14:textId="77777777" w:rsidR="00A22B3A" w:rsidRPr="008812BE" w:rsidRDefault="00A22B3A" w:rsidP="00A22B3A">
      <w:pPr>
        <w:spacing w:after="0" w:line="480" w:lineRule="auto"/>
        <w:jc w:val="center"/>
        <w:rPr>
          <w:rFonts w:ascii="Times New Roman" w:hAnsi="Times New Roman" w:cs="Times New Roman"/>
          <w:sz w:val="24"/>
          <w:szCs w:val="24"/>
        </w:rPr>
      </w:pPr>
      <w:r w:rsidRPr="008812BE">
        <w:rPr>
          <w:rFonts w:ascii="Times New Roman" w:hAnsi="Times New Roman" w:cs="Times New Roman"/>
          <w:noProof/>
        </w:rPr>
        <w:drawing>
          <wp:inline distT="0" distB="0" distL="0" distR="0" wp14:anchorId="606A25DB" wp14:editId="633B2038">
            <wp:extent cx="5731510" cy="2489228"/>
            <wp:effectExtent l="0" t="0" r="0" b="0"/>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2489228"/>
                    </a:xfrm>
                    <a:prstGeom prst="rect">
                      <a:avLst/>
                    </a:prstGeom>
                    <a:noFill/>
                    <a:ln>
                      <a:noFill/>
                    </a:ln>
                  </pic:spPr>
                </pic:pic>
              </a:graphicData>
            </a:graphic>
          </wp:inline>
        </w:drawing>
      </w:r>
    </w:p>
    <w:p w14:paraId="3EB5C88F" w14:textId="77777777" w:rsidR="00A22B3A" w:rsidRPr="008812BE" w:rsidRDefault="00A22B3A" w:rsidP="00A22B3A">
      <w:pPr>
        <w:spacing w:after="0" w:line="480" w:lineRule="auto"/>
        <w:rPr>
          <w:rFonts w:ascii="Times New Roman" w:hAnsi="Times New Roman" w:cs="Times New Roman"/>
          <w:sz w:val="24"/>
          <w:szCs w:val="24"/>
        </w:rPr>
      </w:pPr>
      <w:r w:rsidRPr="008812BE">
        <w:rPr>
          <w:rFonts w:ascii="Times New Roman" w:hAnsi="Times New Roman" w:cs="Times New Roman"/>
          <w:b/>
          <w:bCs/>
          <w:sz w:val="24"/>
          <w:szCs w:val="24"/>
        </w:rPr>
        <w:t>Fig. S8</w:t>
      </w:r>
      <w:r w:rsidRPr="008812BE">
        <w:rPr>
          <w:rFonts w:ascii="Times New Roman" w:hAnsi="Times New Roman" w:cs="Times New Roman"/>
          <w:sz w:val="24"/>
          <w:szCs w:val="24"/>
        </w:rPr>
        <w:t xml:space="preserve"> </w:t>
      </w:r>
      <w:r w:rsidRPr="008812BE">
        <w:rPr>
          <w:rFonts w:ascii="Times New Roman" w:hAnsi="Times New Roman" w:cs="Times New Roman"/>
          <w:b/>
          <w:bCs/>
          <w:sz w:val="24"/>
          <w:szCs w:val="24"/>
        </w:rPr>
        <w:t>XAS characterization of In</w:t>
      </w:r>
      <w:r w:rsidRPr="008812BE">
        <w:rPr>
          <w:rFonts w:ascii="Times New Roman" w:hAnsi="Times New Roman" w:cs="Times New Roman"/>
          <w:b/>
          <w:bCs/>
          <w:sz w:val="24"/>
          <w:szCs w:val="24"/>
          <w:vertAlign w:val="subscript"/>
        </w:rPr>
        <w:t>x</w:t>
      </w:r>
      <w:r w:rsidRPr="008812BE">
        <w:rPr>
          <w:rFonts w:ascii="Times New Roman" w:hAnsi="Times New Roman" w:cs="Times New Roman"/>
          <w:b/>
          <w:bCs/>
          <w:sz w:val="24"/>
          <w:szCs w:val="24"/>
        </w:rPr>
        <w:t>Ga</w:t>
      </w:r>
      <w:r w:rsidRPr="008812BE">
        <w:rPr>
          <w:rFonts w:ascii="Times New Roman" w:hAnsi="Times New Roman" w:cs="Times New Roman"/>
          <w:b/>
          <w:bCs/>
          <w:sz w:val="24"/>
          <w:szCs w:val="24"/>
          <w:vertAlign w:val="subscript"/>
        </w:rPr>
        <w:t>1-x</w:t>
      </w:r>
      <w:r w:rsidRPr="008812BE">
        <w:rPr>
          <w:rFonts w:ascii="Times New Roman" w:hAnsi="Times New Roman" w:cs="Times New Roman"/>
          <w:b/>
          <w:bCs/>
          <w:sz w:val="24"/>
          <w:szCs w:val="24"/>
        </w:rPr>
        <w:t>N CQDs.</w:t>
      </w:r>
      <w:r w:rsidRPr="008812BE">
        <w:rPr>
          <w:rFonts w:ascii="Times New Roman" w:hAnsi="Times New Roman" w:cs="Times New Roman"/>
          <w:sz w:val="24"/>
          <w:szCs w:val="24"/>
        </w:rPr>
        <w:t xml:space="preserve"> (a) XANES and (b) XAFS spectra of In</w:t>
      </w:r>
      <w:r w:rsidRPr="008812BE">
        <w:rPr>
          <w:rFonts w:ascii="Times New Roman" w:hAnsi="Times New Roman" w:cs="Times New Roman"/>
          <w:sz w:val="24"/>
          <w:szCs w:val="24"/>
          <w:vertAlign w:val="subscript"/>
        </w:rPr>
        <w:t>x</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1-x</w:t>
      </w:r>
      <w:r w:rsidRPr="008812BE">
        <w:rPr>
          <w:rFonts w:ascii="Times New Roman" w:hAnsi="Times New Roman" w:cs="Times New Roman"/>
          <w:sz w:val="24"/>
          <w:szCs w:val="24"/>
        </w:rPr>
        <w:t xml:space="preserve">N CQDs (x = 0.25, 0.5, 0.75, and 1). </w:t>
      </w:r>
    </w:p>
    <w:p w14:paraId="5EDBF64E" w14:textId="77777777" w:rsidR="00A22B3A" w:rsidRPr="008812BE" w:rsidRDefault="00A22B3A" w:rsidP="00A22B3A">
      <w:pPr>
        <w:spacing w:after="0" w:line="480" w:lineRule="auto"/>
        <w:ind w:firstLineChars="250" w:firstLine="600"/>
        <w:rPr>
          <w:rFonts w:ascii="Times New Roman" w:hAnsi="Times New Roman" w:cs="Times New Roman"/>
          <w:sz w:val="24"/>
          <w:szCs w:val="24"/>
        </w:rPr>
      </w:pPr>
    </w:p>
    <w:p w14:paraId="3784FECE" w14:textId="77777777" w:rsidR="00A22B3A" w:rsidRPr="008812BE" w:rsidRDefault="00A22B3A" w:rsidP="00A22B3A">
      <w:pPr>
        <w:spacing w:after="0" w:line="480" w:lineRule="auto"/>
        <w:ind w:firstLineChars="250" w:firstLine="600"/>
        <w:rPr>
          <w:rFonts w:ascii="Times New Roman" w:hAnsi="Times New Roman" w:cs="Times New Roman"/>
          <w:sz w:val="24"/>
          <w:szCs w:val="24"/>
        </w:rPr>
      </w:pPr>
    </w:p>
    <w:p w14:paraId="042FF0F8" w14:textId="77777777" w:rsidR="00A22B3A" w:rsidRPr="008812BE" w:rsidRDefault="00A22B3A" w:rsidP="00A22B3A">
      <w:pPr>
        <w:spacing w:after="0" w:line="480" w:lineRule="auto"/>
        <w:ind w:firstLineChars="250" w:firstLine="600"/>
        <w:rPr>
          <w:rFonts w:ascii="Times New Roman" w:hAnsi="Times New Roman" w:cs="Times New Roman"/>
          <w:sz w:val="24"/>
          <w:szCs w:val="24"/>
        </w:rPr>
      </w:pPr>
    </w:p>
    <w:p w14:paraId="3E3BFC30" w14:textId="77777777" w:rsidR="00A22B3A" w:rsidRPr="008812BE" w:rsidRDefault="00A22B3A" w:rsidP="00A22B3A">
      <w:pPr>
        <w:spacing w:after="0" w:line="480" w:lineRule="auto"/>
        <w:ind w:firstLineChars="250" w:firstLine="600"/>
        <w:rPr>
          <w:rFonts w:ascii="Times New Roman" w:hAnsi="Times New Roman" w:cs="Times New Roman"/>
          <w:sz w:val="24"/>
          <w:szCs w:val="24"/>
        </w:rPr>
      </w:pPr>
    </w:p>
    <w:p w14:paraId="1E4689B8" w14:textId="77777777" w:rsidR="00A22B3A" w:rsidRPr="008812BE" w:rsidRDefault="00A22B3A" w:rsidP="00A22B3A">
      <w:pPr>
        <w:spacing w:after="0" w:line="480" w:lineRule="auto"/>
        <w:ind w:firstLineChars="250" w:firstLine="600"/>
        <w:rPr>
          <w:rFonts w:ascii="Times New Roman" w:hAnsi="Times New Roman" w:cs="Times New Roman"/>
          <w:sz w:val="24"/>
          <w:szCs w:val="24"/>
        </w:rPr>
      </w:pPr>
    </w:p>
    <w:p w14:paraId="131E07E0" w14:textId="77777777" w:rsidR="00A22B3A" w:rsidRPr="008812BE" w:rsidRDefault="00A22B3A" w:rsidP="00A22B3A">
      <w:pPr>
        <w:spacing w:after="0" w:line="480" w:lineRule="auto"/>
        <w:ind w:firstLineChars="250" w:firstLine="600"/>
        <w:rPr>
          <w:rFonts w:ascii="Times New Roman" w:hAnsi="Times New Roman" w:cs="Times New Roman"/>
          <w:sz w:val="24"/>
          <w:szCs w:val="24"/>
        </w:rPr>
      </w:pPr>
    </w:p>
    <w:p w14:paraId="0220E06A" w14:textId="77777777" w:rsidR="00A22B3A" w:rsidRPr="008812BE" w:rsidRDefault="00A22B3A" w:rsidP="00A22B3A">
      <w:pPr>
        <w:spacing w:after="0" w:line="480" w:lineRule="auto"/>
        <w:jc w:val="center"/>
        <w:rPr>
          <w:rFonts w:ascii="Times New Roman" w:hAnsi="Times New Roman" w:cs="Times New Roman"/>
          <w:sz w:val="24"/>
          <w:szCs w:val="24"/>
        </w:rPr>
      </w:pPr>
      <w:r w:rsidRPr="008812BE">
        <w:rPr>
          <w:rFonts w:ascii="Times New Roman" w:hAnsi="Times New Roman" w:cs="Times New Roman"/>
          <w:noProof/>
        </w:rPr>
        <w:lastRenderedPageBreak/>
        <w:drawing>
          <wp:inline distT="0" distB="0" distL="0" distR="0" wp14:anchorId="6E4FF722" wp14:editId="0CC8B7AF">
            <wp:extent cx="5731510" cy="2399189"/>
            <wp:effectExtent l="0" t="0" r="0" b="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2399189"/>
                    </a:xfrm>
                    <a:prstGeom prst="rect">
                      <a:avLst/>
                    </a:prstGeom>
                    <a:noFill/>
                    <a:ln>
                      <a:noFill/>
                    </a:ln>
                  </pic:spPr>
                </pic:pic>
              </a:graphicData>
            </a:graphic>
          </wp:inline>
        </w:drawing>
      </w:r>
    </w:p>
    <w:p w14:paraId="424DF349" w14:textId="77777777" w:rsidR="00A22B3A" w:rsidRPr="008812BE" w:rsidRDefault="00A22B3A" w:rsidP="00A22B3A">
      <w:pPr>
        <w:spacing w:after="0" w:line="480" w:lineRule="auto"/>
        <w:contextualSpacing/>
        <w:rPr>
          <w:rFonts w:ascii="Times New Roman" w:hAnsi="Times New Roman" w:cs="Times New Roman"/>
          <w:sz w:val="24"/>
          <w:szCs w:val="24"/>
        </w:rPr>
      </w:pPr>
      <w:r w:rsidRPr="008812BE">
        <w:rPr>
          <w:rFonts w:ascii="Times New Roman" w:hAnsi="Times New Roman" w:cs="Times New Roman"/>
          <w:b/>
          <w:bCs/>
          <w:sz w:val="24"/>
          <w:szCs w:val="24"/>
        </w:rPr>
        <w:t xml:space="preserve">Fig. S9 </w:t>
      </w:r>
      <w:r w:rsidRPr="008812BE">
        <w:rPr>
          <w:rFonts w:ascii="Times New Roman" w:hAnsi="Times New Roman" w:cs="Times New Roman"/>
          <w:b/>
          <w:sz w:val="24"/>
          <w:szCs w:val="24"/>
        </w:rPr>
        <w:t xml:space="preserve">Ultraviolet photoemission spectroscopy (UPS) spectra of </w:t>
      </w:r>
      <w:r w:rsidRPr="008812BE">
        <w:rPr>
          <w:rFonts w:ascii="Times New Roman" w:eastAsia="바탕" w:hAnsi="Times New Roman" w:cs="Times New Roman"/>
          <w:b/>
          <w:kern w:val="0"/>
          <w:sz w:val="24"/>
          <w:szCs w:val="24"/>
        </w:rPr>
        <w:t>In</w:t>
      </w:r>
      <w:r w:rsidRPr="008812BE">
        <w:rPr>
          <w:rFonts w:ascii="Times New Roman" w:eastAsia="바탕" w:hAnsi="Times New Roman" w:cs="Times New Roman"/>
          <w:b/>
          <w:kern w:val="0"/>
          <w:sz w:val="24"/>
          <w:szCs w:val="24"/>
          <w:vertAlign w:val="subscript"/>
        </w:rPr>
        <w:t>0.25</w:t>
      </w:r>
      <w:r w:rsidRPr="008812BE">
        <w:rPr>
          <w:rFonts w:ascii="Times New Roman" w:eastAsia="바탕" w:hAnsi="Times New Roman" w:cs="Times New Roman"/>
          <w:b/>
          <w:kern w:val="0"/>
          <w:sz w:val="24"/>
          <w:szCs w:val="24"/>
        </w:rPr>
        <w:t>Ga</w:t>
      </w:r>
      <w:r w:rsidRPr="008812BE">
        <w:rPr>
          <w:rFonts w:ascii="Times New Roman" w:eastAsia="바탕" w:hAnsi="Times New Roman" w:cs="Times New Roman"/>
          <w:b/>
          <w:kern w:val="0"/>
          <w:sz w:val="24"/>
          <w:szCs w:val="24"/>
          <w:vertAlign w:val="subscript"/>
        </w:rPr>
        <w:t>0.75</w:t>
      </w:r>
      <w:r w:rsidRPr="008812BE">
        <w:rPr>
          <w:rFonts w:ascii="Times New Roman" w:eastAsia="바탕" w:hAnsi="Times New Roman" w:cs="Times New Roman"/>
          <w:b/>
          <w:kern w:val="0"/>
          <w:sz w:val="24"/>
          <w:szCs w:val="24"/>
        </w:rPr>
        <w:t>N CQDs.</w:t>
      </w:r>
      <w:r w:rsidRPr="008812BE">
        <w:rPr>
          <w:rFonts w:ascii="Times New Roman" w:hAnsi="Times New Roman" w:cs="Times New Roman"/>
          <w:b/>
          <w:bCs/>
          <w:sz w:val="24"/>
          <w:szCs w:val="24"/>
        </w:rPr>
        <w:t xml:space="preserve"> </w:t>
      </w:r>
      <w:r w:rsidRPr="008812BE">
        <w:rPr>
          <w:rFonts w:ascii="Times New Roman" w:hAnsi="Times New Roman" w:cs="Times New Roman"/>
          <w:sz w:val="24"/>
          <w:szCs w:val="24"/>
        </w:rPr>
        <w:t>(a) High binding energy cut-off region and (b) valence band (HOMO) region of In</w:t>
      </w:r>
      <w:r w:rsidRPr="008812BE">
        <w:rPr>
          <w:rFonts w:ascii="Times New Roman" w:hAnsi="Times New Roman" w:cs="Times New Roman"/>
          <w:sz w:val="24"/>
          <w:szCs w:val="24"/>
          <w:vertAlign w:val="subscript"/>
        </w:rPr>
        <w:t>0.25</w:t>
      </w:r>
      <w:r w:rsidRPr="008812BE">
        <w:rPr>
          <w:rFonts w:ascii="Times New Roman" w:hAnsi="Times New Roman" w:cs="Times New Roman"/>
          <w:sz w:val="24"/>
          <w:szCs w:val="24"/>
        </w:rPr>
        <w:t>Ga</w:t>
      </w:r>
      <w:r w:rsidRPr="008812BE">
        <w:rPr>
          <w:rFonts w:ascii="Times New Roman" w:hAnsi="Times New Roman" w:cs="Times New Roman"/>
          <w:sz w:val="24"/>
          <w:szCs w:val="24"/>
          <w:vertAlign w:val="subscript"/>
        </w:rPr>
        <w:t>0.75</w:t>
      </w:r>
      <w:r w:rsidRPr="008812BE">
        <w:rPr>
          <w:rFonts w:ascii="Times New Roman" w:hAnsi="Times New Roman" w:cs="Times New Roman"/>
          <w:sz w:val="24"/>
          <w:szCs w:val="24"/>
        </w:rPr>
        <w:t>N CQDs at UPS. The valence band (HOMO) level was determined to be 7.24 eV and detail information of valence band (HOMO) energy level calculation was described in experimental method.</w:t>
      </w:r>
    </w:p>
    <w:p w14:paraId="437B1AE0" w14:textId="77777777" w:rsidR="00A22B3A" w:rsidRPr="008812BE" w:rsidRDefault="00A22B3A" w:rsidP="00A22B3A">
      <w:pPr>
        <w:spacing w:after="0" w:line="480" w:lineRule="auto"/>
        <w:rPr>
          <w:rFonts w:ascii="Times New Roman" w:hAnsi="Times New Roman" w:cs="Times New Roman"/>
          <w:sz w:val="24"/>
          <w:szCs w:val="24"/>
        </w:rPr>
      </w:pPr>
    </w:p>
    <w:p w14:paraId="64C2EEAC" w14:textId="77777777" w:rsidR="00A22B3A" w:rsidRPr="008812BE" w:rsidRDefault="00A22B3A" w:rsidP="00A22B3A">
      <w:pPr>
        <w:spacing w:after="0" w:line="480" w:lineRule="auto"/>
        <w:rPr>
          <w:rFonts w:ascii="Times New Roman" w:hAnsi="Times New Roman" w:cs="Times New Roman"/>
          <w:sz w:val="24"/>
          <w:szCs w:val="24"/>
        </w:rPr>
      </w:pPr>
    </w:p>
    <w:p w14:paraId="254B1A85" w14:textId="77777777" w:rsidR="00A22B3A" w:rsidRPr="008812BE" w:rsidRDefault="00A22B3A" w:rsidP="00A22B3A">
      <w:pPr>
        <w:spacing w:after="0" w:line="480" w:lineRule="auto"/>
        <w:rPr>
          <w:rFonts w:ascii="Times New Roman" w:hAnsi="Times New Roman" w:cs="Times New Roman"/>
          <w:sz w:val="24"/>
          <w:szCs w:val="24"/>
        </w:rPr>
      </w:pPr>
    </w:p>
    <w:p w14:paraId="4D453895" w14:textId="77777777" w:rsidR="00A22B3A" w:rsidRPr="008812BE" w:rsidRDefault="00A22B3A" w:rsidP="00A22B3A">
      <w:pPr>
        <w:spacing w:after="0" w:line="480" w:lineRule="auto"/>
        <w:rPr>
          <w:rFonts w:ascii="Times New Roman" w:hAnsi="Times New Roman" w:cs="Times New Roman"/>
          <w:sz w:val="24"/>
          <w:szCs w:val="24"/>
        </w:rPr>
      </w:pPr>
    </w:p>
    <w:p w14:paraId="739884EB" w14:textId="77777777" w:rsidR="00A22B3A" w:rsidRPr="008812BE" w:rsidRDefault="00A22B3A" w:rsidP="00A22B3A">
      <w:pPr>
        <w:spacing w:after="0" w:line="480" w:lineRule="auto"/>
        <w:rPr>
          <w:rFonts w:ascii="Times New Roman" w:hAnsi="Times New Roman" w:cs="Times New Roman"/>
          <w:sz w:val="24"/>
          <w:szCs w:val="24"/>
        </w:rPr>
      </w:pPr>
    </w:p>
    <w:p w14:paraId="3D300E94" w14:textId="77777777" w:rsidR="00A22B3A" w:rsidRPr="008812BE" w:rsidRDefault="00A22B3A" w:rsidP="00A22B3A">
      <w:pPr>
        <w:spacing w:after="0" w:line="480" w:lineRule="auto"/>
        <w:rPr>
          <w:rFonts w:ascii="Times New Roman" w:hAnsi="Times New Roman" w:cs="Times New Roman"/>
          <w:sz w:val="24"/>
          <w:szCs w:val="24"/>
        </w:rPr>
      </w:pPr>
    </w:p>
    <w:p w14:paraId="77AC0A1F" w14:textId="77777777" w:rsidR="00A22B3A" w:rsidRPr="008812BE" w:rsidRDefault="00A22B3A" w:rsidP="00A22B3A">
      <w:pPr>
        <w:spacing w:after="0" w:line="480" w:lineRule="auto"/>
        <w:rPr>
          <w:rFonts w:ascii="Times New Roman" w:hAnsi="Times New Roman" w:cs="Times New Roman"/>
          <w:sz w:val="24"/>
          <w:szCs w:val="24"/>
        </w:rPr>
      </w:pPr>
    </w:p>
    <w:p w14:paraId="1E0D369C" w14:textId="77777777" w:rsidR="00A22B3A" w:rsidRPr="008812BE" w:rsidRDefault="00A22B3A" w:rsidP="00A22B3A">
      <w:pPr>
        <w:spacing w:after="0" w:line="480" w:lineRule="auto"/>
        <w:rPr>
          <w:rFonts w:ascii="Times New Roman" w:hAnsi="Times New Roman" w:cs="Times New Roman"/>
          <w:sz w:val="24"/>
          <w:szCs w:val="24"/>
        </w:rPr>
      </w:pPr>
    </w:p>
    <w:p w14:paraId="7BF4AF26" w14:textId="77777777" w:rsidR="00A22B3A" w:rsidRPr="008812BE" w:rsidRDefault="00A22B3A" w:rsidP="00A22B3A">
      <w:pPr>
        <w:spacing w:after="0" w:line="480" w:lineRule="auto"/>
        <w:rPr>
          <w:rFonts w:ascii="Times New Roman" w:hAnsi="Times New Roman" w:cs="Times New Roman"/>
          <w:sz w:val="24"/>
          <w:szCs w:val="24"/>
        </w:rPr>
      </w:pPr>
    </w:p>
    <w:p w14:paraId="74F032A6" w14:textId="77777777" w:rsidR="00A22B3A" w:rsidRPr="008812BE" w:rsidRDefault="00A22B3A" w:rsidP="00A22B3A">
      <w:pPr>
        <w:spacing w:after="0" w:line="480" w:lineRule="auto"/>
        <w:rPr>
          <w:rFonts w:ascii="Times New Roman" w:hAnsi="Times New Roman" w:cs="Times New Roman"/>
          <w:sz w:val="24"/>
          <w:szCs w:val="24"/>
        </w:rPr>
      </w:pPr>
      <w:r w:rsidRPr="008812BE">
        <w:rPr>
          <w:rFonts w:ascii="Times New Roman" w:hAnsi="Times New Roman" w:cs="Times New Roman"/>
          <w:noProof/>
        </w:rPr>
        <w:lastRenderedPageBreak/>
        <w:drawing>
          <wp:inline distT="0" distB="0" distL="0" distR="0" wp14:anchorId="0B3B7072" wp14:editId="02557DEA">
            <wp:extent cx="5731510" cy="2490835"/>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2490835"/>
                    </a:xfrm>
                    <a:prstGeom prst="rect">
                      <a:avLst/>
                    </a:prstGeom>
                    <a:noFill/>
                    <a:ln>
                      <a:noFill/>
                    </a:ln>
                  </pic:spPr>
                </pic:pic>
              </a:graphicData>
            </a:graphic>
          </wp:inline>
        </w:drawing>
      </w:r>
    </w:p>
    <w:p w14:paraId="3DD3EF3C" w14:textId="5E4308F3" w:rsidR="00A22B3A" w:rsidRPr="008812BE" w:rsidRDefault="00A22B3A" w:rsidP="00A22B3A">
      <w:pPr>
        <w:spacing w:after="0" w:line="480" w:lineRule="auto"/>
        <w:rPr>
          <w:rFonts w:ascii="Times New Roman" w:hAnsi="Times New Roman" w:cs="Times New Roman"/>
          <w:sz w:val="24"/>
          <w:szCs w:val="24"/>
        </w:rPr>
      </w:pPr>
      <w:r w:rsidRPr="008812BE">
        <w:rPr>
          <w:rFonts w:ascii="Times New Roman" w:hAnsi="Times New Roman" w:cs="Times New Roman"/>
          <w:b/>
          <w:bCs/>
          <w:sz w:val="24"/>
          <w:szCs w:val="24"/>
        </w:rPr>
        <w:t xml:space="preserve">Fig. S10 QD-LEDs characterization. </w:t>
      </w:r>
      <w:r w:rsidRPr="008812BE">
        <w:rPr>
          <w:rFonts w:ascii="Times New Roman" w:hAnsi="Times New Roman" w:cs="Times New Roman"/>
          <w:sz w:val="24"/>
          <w:szCs w:val="24"/>
        </w:rPr>
        <w:t xml:space="preserve">(a) Power efficiency vs. </w:t>
      </w:r>
      <w:r w:rsidRPr="008812BE">
        <w:rPr>
          <w:rFonts w:ascii="Times New Roman" w:hAnsi="Times New Roman" w:cs="Times New Roman"/>
          <w:kern w:val="0"/>
          <w:sz w:val="24"/>
          <w:szCs w:val="20"/>
          <w:lang w:val="en-GB"/>
        </w:rPr>
        <w:t>luminance</w:t>
      </w:r>
      <w:r w:rsidRPr="008812BE">
        <w:rPr>
          <w:rFonts w:ascii="Times New Roman" w:hAnsi="Times New Roman" w:cs="Times New Roman"/>
          <w:sz w:val="24"/>
          <w:szCs w:val="24"/>
        </w:rPr>
        <w:t xml:space="preserve"> characteristics of QD-LEDs with different H</w:t>
      </w:r>
      <w:r w:rsidR="00246F59" w:rsidRPr="008812BE">
        <w:rPr>
          <w:rFonts w:ascii="Times New Roman" w:hAnsi="Times New Roman" w:cs="Times New Roman" w:hint="eastAsia"/>
          <w:sz w:val="24"/>
          <w:szCs w:val="24"/>
        </w:rPr>
        <w:t>T</w:t>
      </w:r>
      <w:r w:rsidRPr="008812BE">
        <w:rPr>
          <w:rFonts w:ascii="Times New Roman" w:hAnsi="Times New Roman" w:cs="Times New Roman"/>
          <w:sz w:val="24"/>
          <w:szCs w:val="24"/>
        </w:rPr>
        <w:t>Ls. (b) EL spectra of QD-LED (Device B) according to applied voltage.</w:t>
      </w:r>
    </w:p>
    <w:p w14:paraId="068D9E0D" w14:textId="77777777" w:rsidR="00FD01DD" w:rsidRPr="008812BE" w:rsidRDefault="00FD01DD">
      <w:pPr>
        <w:widowControl/>
        <w:wordWrap/>
        <w:autoSpaceDE/>
        <w:autoSpaceDN/>
        <w:spacing w:after="160" w:line="259" w:lineRule="auto"/>
        <w:rPr>
          <w:rFonts w:ascii="Times New Roman" w:hAnsi="Times New Roman" w:cs="Times New Roman"/>
          <w:sz w:val="24"/>
          <w:szCs w:val="24"/>
        </w:rPr>
      </w:pPr>
      <w:r w:rsidRPr="008812BE">
        <w:rPr>
          <w:rFonts w:ascii="Times New Roman" w:hAnsi="Times New Roman" w:cs="Times New Roman"/>
          <w:sz w:val="24"/>
          <w:szCs w:val="24"/>
        </w:rPr>
        <w:br w:type="page"/>
      </w:r>
    </w:p>
    <w:p w14:paraId="01F5169E" w14:textId="77777777" w:rsidR="00A22B3A" w:rsidRPr="008812BE" w:rsidRDefault="00A22B3A" w:rsidP="00A22B3A">
      <w:pPr>
        <w:spacing w:after="0" w:line="480" w:lineRule="auto"/>
        <w:rPr>
          <w:rFonts w:ascii="Times New Roman" w:hAnsi="Times New Roman" w:cs="Times New Roman"/>
          <w:sz w:val="24"/>
          <w:szCs w:val="24"/>
        </w:rPr>
      </w:pPr>
      <w:r w:rsidRPr="008812BE">
        <w:rPr>
          <w:rFonts w:ascii="Times New Roman" w:hAnsi="Times New Roman" w:cs="Times New Roman"/>
          <w:b/>
          <w:sz w:val="24"/>
          <w:szCs w:val="24"/>
          <w:lang w:val="en-GB"/>
        </w:rPr>
        <w:lastRenderedPageBreak/>
        <w:t>Experimental Methods.</w:t>
      </w:r>
    </w:p>
    <w:p w14:paraId="32716039" w14:textId="77777777" w:rsidR="00A22B3A" w:rsidRPr="008812BE" w:rsidRDefault="00A22B3A" w:rsidP="00A22B3A">
      <w:pPr>
        <w:spacing w:after="0" w:line="480" w:lineRule="auto"/>
        <w:ind w:firstLineChars="150" w:firstLine="360"/>
        <w:rPr>
          <w:rFonts w:ascii="Times New Roman" w:hAnsi="Times New Roman" w:cs="Times New Roman"/>
          <w:sz w:val="24"/>
          <w:szCs w:val="24"/>
          <w:lang w:val="en-GB"/>
        </w:rPr>
      </w:pPr>
      <w:r w:rsidRPr="008812BE">
        <w:rPr>
          <w:rFonts w:ascii="Times New Roman" w:hAnsi="Times New Roman" w:cs="Times New Roman"/>
          <w:b/>
          <w:sz w:val="24"/>
          <w:szCs w:val="24"/>
          <w:lang w:val="en-GB"/>
        </w:rPr>
        <w:t xml:space="preserve">Synthesis of ZnO nanoparticles: </w:t>
      </w:r>
      <w:r w:rsidRPr="008812BE">
        <w:rPr>
          <w:rFonts w:ascii="Times New Roman" w:hAnsi="Times New Roman" w:cs="Times New Roman"/>
          <w:sz w:val="24"/>
          <w:szCs w:val="24"/>
          <w:lang w:val="en-GB"/>
        </w:rPr>
        <w:t>ZnO nanoparticles were synthesized via a modified Pacholski method.</w:t>
      </w:r>
      <w:r w:rsidRPr="008812BE">
        <w:rPr>
          <w:rFonts w:ascii="Times New Roman" w:hAnsi="Times New Roman" w:cs="Times New Roman"/>
          <w:noProof/>
          <w:sz w:val="24"/>
          <w:szCs w:val="24"/>
          <w:vertAlign w:val="superscript"/>
          <w:lang w:val="en-GB"/>
        </w:rPr>
        <w:t>4</w:t>
      </w:r>
      <w:hyperlink w:anchor="_ENREF_34" w:tooltip="Pacholski, 2002 #271" w:history="1"/>
      <w:r w:rsidRPr="008812BE">
        <w:rPr>
          <w:rFonts w:ascii="Times New Roman" w:hAnsi="Times New Roman" w:cs="Times New Roman"/>
          <w:sz w:val="24"/>
          <w:szCs w:val="24"/>
          <w:lang w:val="en-GB"/>
        </w:rPr>
        <w:t xml:space="preserve"> The 13 mmol of zinc acetate dihydrate and 120 mL of methanol were mixed in a three-neck round-bottom flask and then heated to 60 </w:t>
      </w:r>
      <w:r w:rsidRPr="008812BE">
        <w:rPr>
          <w:rFonts w:ascii="Times New Roman" w:eastAsia="맑은 고딕" w:hAnsi="Times New Roman" w:cs="Times New Roman"/>
          <w:sz w:val="24"/>
          <w:szCs w:val="24"/>
          <w:lang w:val="en-GB"/>
        </w:rPr>
        <w:t>°</w:t>
      </w:r>
      <w:r w:rsidRPr="008812BE">
        <w:rPr>
          <w:rFonts w:ascii="Times New Roman" w:hAnsi="Times New Roman" w:cs="Times New Roman"/>
          <w:sz w:val="24"/>
          <w:szCs w:val="24"/>
          <w:lang w:val="en-GB"/>
        </w:rPr>
        <w:t xml:space="preserve">C. When the temperature reached at 60 </w:t>
      </w:r>
      <w:r w:rsidRPr="008812BE">
        <w:rPr>
          <w:rFonts w:ascii="Times New Roman" w:eastAsia="맑은 고딕" w:hAnsi="Times New Roman" w:cs="Times New Roman"/>
          <w:sz w:val="24"/>
          <w:szCs w:val="24"/>
          <w:lang w:val="en-GB"/>
        </w:rPr>
        <w:t>°</w:t>
      </w:r>
      <w:r w:rsidRPr="008812BE">
        <w:rPr>
          <w:rFonts w:ascii="Times New Roman" w:hAnsi="Times New Roman" w:cs="Times New Roman"/>
          <w:sz w:val="24"/>
          <w:szCs w:val="24"/>
          <w:lang w:val="en-GB"/>
        </w:rPr>
        <w:t xml:space="preserve">C, 27 mmol of potassium hydroxide and 60 mL of the methanol solution were injected drop-wise into a zinc acetate solution with strong agitation. The solution was kept at 60 </w:t>
      </w:r>
      <w:r w:rsidRPr="008812BE">
        <w:rPr>
          <w:rFonts w:ascii="Times New Roman" w:eastAsia="맑은 고딕" w:hAnsi="Times New Roman" w:cs="Times New Roman"/>
          <w:sz w:val="24"/>
          <w:szCs w:val="24"/>
          <w:lang w:val="en-GB"/>
        </w:rPr>
        <w:t>°</w:t>
      </w:r>
      <w:r w:rsidRPr="008812BE">
        <w:rPr>
          <w:rFonts w:ascii="Times New Roman" w:hAnsi="Times New Roman" w:cs="Times New Roman"/>
          <w:sz w:val="24"/>
          <w:szCs w:val="24"/>
          <w:lang w:val="en-GB"/>
        </w:rPr>
        <w:t>C for 135 min. When the reaction was terminated, the ZnO nanoparticle solution appeared as a milky solution. After being precipitated by centrifugation at 4000 rpm, the product was washed with methanol to remove the residual reactants. Finally, the ZnO product was precipitated by centrifugation and then re-dispersed in 5 mL of butanol (10 mg/mL).</w:t>
      </w:r>
    </w:p>
    <w:p w14:paraId="428546B9" w14:textId="77777777" w:rsidR="00A22B3A" w:rsidRPr="008812BE" w:rsidRDefault="00A22B3A" w:rsidP="00A22B3A">
      <w:pPr>
        <w:spacing w:after="0" w:line="480" w:lineRule="auto"/>
        <w:ind w:firstLineChars="150" w:firstLine="360"/>
        <w:rPr>
          <w:rFonts w:ascii="Times New Roman" w:hAnsi="Times New Roman" w:cs="Times New Roman"/>
          <w:sz w:val="24"/>
          <w:szCs w:val="24"/>
          <w:lang w:val="en-GB"/>
        </w:rPr>
      </w:pPr>
      <w:r w:rsidRPr="008812BE">
        <w:rPr>
          <w:rFonts w:ascii="Times New Roman" w:hAnsi="Times New Roman" w:cs="Times New Roman"/>
          <w:b/>
          <w:sz w:val="24"/>
          <w:szCs w:val="24"/>
          <w:lang w:val="en-GB"/>
        </w:rPr>
        <w:t xml:space="preserve">Relative photoluminescence quantum yield measurements: </w:t>
      </w:r>
      <w:r w:rsidRPr="008812BE">
        <w:rPr>
          <w:rFonts w:ascii="Times New Roman" w:hAnsi="Times New Roman" w:cs="Times New Roman"/>
          <w:sz w:val="24"/>
          <w:szCs w:val="24"/>
          <w:lang w:val="en-GB"/>
        </w:rPr>
        <w:t>The relative PL-QY were measured by comparing the fluorescence intensities of In</w:t>
      </w:r>
      <w:r w:rsidRPr="008812BE">
        <w:rPr>
          <w:rFonts w:ascii="Times New Roman" w:hAnsi="Times New Roman" w:cs="Times New Roman"/>
          <w:sz w:val="24"/>
          <w:szCs w:val="24"/>
          <w:vertAlign w:val="subscript"/>
          <w:lang w:val="en-GB"/>
        </w:rPr>
        <w:t>x</w:t>
      </w:r>
      <w:r w:rsidRPr="008812BE">
        <w:rPr>
          <w:rFonts w:ascii="Times New Roman" w:hAnsi="Times New Roman" w:cs="Times New Roman"/>
          <w:sz w:val="24"/>
          <w:szCs w:val="24"/>
          <w:lang w:val="en-GB"/>
        </w:rPr>
        <w:t>Ga</w:t>
      </w:r>
      <w:r w:rsidRPr="008812BE">
        <w:rPr>
          <w:rFonts w:ascii="Times New Roman" w:hAnsi="Times New Roman" w:cs="Times New Roman"/>
          <w:sz w:val="24"/>
          <w:szCs w:val="24"/>
          <w:vertAlign w:val="subscript"/>
          <w:lang w:val="en-GB"/>
        </w:rPr>
        <w:t>1-x</w:t>
      </w:r>
      <w:r w:rsidRPr="008812BE">
        <w:rPr>
          <w:rFonts w:ascii="Times New Roman" w:hAnsi="Times New Roman" w:cs="Times New Roman"/>
          <w:sz w:val="24"/>
          <w:szCs w:val="24"/>
          <w:lang w:val="en-GB"/>
        </w:rPr>
        <w:t>N CQDs with the intensity of a primary standard dye solution (coumarin 545, PL-QY: 95 % in ethanol, rhodamine 6G, PL-QY: 95 % in ethanol) under different excitation conditions (440 nm and 500 nm). The PL intensity measurements of In</w:t>
      </w:r>
      <w:r w:rsidRPr="008812BE">
        <w:rPr>
          <w:rFonts w:ascii="Times New Roman" w:hAnsi="Times New Roman" w:cs="Times New Roman"/>
          <w:sz w:val="24"/>
          <w:szCs w:val="24"/>
          <w:vertAlign w:val="subscript"/>
          <w:lang w:val="en-GB"/>
        </w:rPr>
        <w:t>x</w:t>
      </w:r>
      <w:r w:rsidRPr="008812BE">
        <w:rPr>
          <w:rFonts w:ascii="Times New Roman" w:hAnsi="Times New Roman" w:cs="Times New Roman"/>
          <w:sz w:val="24"/>
          <w:szCs w:val="24"/>
          <w:lang w:val="en-GB"/>
        </w:rPr>
        <w:t>Ga</w:t>
      </w:r>
      <w:r w:rsidRPr="008812BE">
        <w:rPr>
          <w:rFonts w:ascii="Times New Roman" w:hAnsi="Times New Roman" w:cs="Times New Roman"/>
          <w:sz w:val="24"/>
          <w:szCs w:val="24"/>
          <w:vertAlign w:val="subscript"/>
          <w:lang w:val="en-GB"/>
        </w:rPr>
        <w:t>1-x</w:t>
      </w:r>
      <w:r w:rsidRPr="008812BE">
        <w:rPr>
          <w:rFonts w:ascii="Times New Roman" w:hAnsi="Times New Roman" w:cs="Times New Roman"/>
          <w:sz w:val="24"/>
          <w:szCs w:val="24"/>
          <w:lang w:val="en-GB"/>
        </w:rPr>
        <w:t>N CQDs were conducted using dilute solutions with absorbance below 0.07 at the excitation wavelength to minimize re-absorption between the CQDs.</w:t>
      </w:r>
    </w:p>
    <w:p w14:paraId="0DF6F3CA" w14:textId="77777777" w:rsidR="00A22B3A" w:rsidRPr="008812BE" w:rsidRDefault="00A22B3A" w:rsidP="00A22B3A">
      <w:pPr>
        <w:spacing w:after="0" w:line="480" w:lineRule="auto"/>
        <w:ind w:firstLineChars="150" w:firstLine="360"/>
        <w:rPr>
          <w:rFonts w:ascii="Times New Roman" w:hAnsi="Times New Roman" w:cs="Times New Roman"/>
          <w:sz w:val="24"/>
          <w:szCs w:val="24"/>
          <w:lang w:val="en-GB"/>
        </w:rPr>
      </w:pPr>
      <w:r w:rsidRPr="008812BE">
        <w:rPr>
          <w:rFonts w:ascii="Times New Roman" w:hAnsi="Times New Roman" w:cs="Times New Roman"/>
          <w:sz w:val="24"/>
          <w:szCs w:val="24"/>
          <w:lang w:val="en-GB"/>
        </w:rPr>
        <w:t>The PL QY was calculated using the following equation:</w:t>
      </w:r>
      <w:r w:rsidRPr="008812BE">
        <w:rPr>
          <w:rFonts w:ascii="Times New Roman" w:hAnsi="Times New Roman" w:cs="Times New Roman"/>
          <w:noProof/>
          <w:sz w:val="24"/>
          <w:szCs w:val="24"/>
          <w:vertAlign w:val="superscript"/>
          <w:lang w:val="en-GB"/>
        </w:rPr>
        <w:t>5</w:t>
      </w:r>
    </w:p>
    <w:p w14:paraId="55F331EC" w14:textId="77777777" w:rsidR="00A22B3A" w:rsidRPr="008812BE" w:rsidRDefault="00A22B3A" w:rsidP="00A22B3A">
      <w:pPr>
        <w:spacing w:after="0" w:line="480" w:lineRule="auto"/>
        <w:jc w:val="center"/>
        <w:rPr>
          <w:rFonts w:ascii="Times New Roman" w:hAnsi="Times New Roman" w:cs="Times New Roman"/>
          <w:sz w:val="24"/>
          <w:szCs w:val="24"/>
          <w:lang w:val="en-GB"/>
        </w:rPr>
      </w:pPr>
      <w:r w:rsidRPr="008812BE">
        <w:rPr>
          <w:rFonts w:ascii="Times New Roman" w:hAnsi="Times New Roman" w:cs="Times New Roman"/>
          <w:sz w:val="24"/>
          <w:szCs w:val="24"/>
          <w:lang w:val="en-GB"/>
        </w:rPr>
        <w:t xml:space="preserve">PL QY = </w:t>
      </w:r>
      <m:oMath>
        <m:r>
          <m:rPr>
            <m:sty m:val="p"/>
          </m:rPr>
          <w:rPr>
            <w:rFonts w:ascii="Cambria Math" w:hAnsi="Cambria Math" w:cs="Times New Roman"/>
            <w:sz w:val="24"/>
            <w:szCs w:val="24"/>
            <w:lang w:val="en-GB"/>
          </w:rPr>
          <m:t>0.95×</m:t>
        </m:r>
        <m:f>
          <m:fPr>
            <m:ctrlPr>
              <w:rPr>
                <w:rFonts w:ascii="Cambria Math" w:hAnsi="Cambria Math" w:cs="Times New Roman"/>
                <w:sz w:val="24"/>
                <w:szCs w:val="24"/>
                <w:lang w:val="en-GB"/>
              </w:rPr>
            </m:ctrlPr>
          </m:fPr>
          <m:num>
            <m:r>
              <m:rPr>
                <m:sty m:val="p"/>
              </m:rPr>
              <w:rPr>
                <w:rFonts w:ascii="Cambria Math" w:hAnsi="Cambria Math" w:cs="Times New Roman"/>
                <w:sz w:val="24"/>
                <w:szCs w:val="24"/>
                <w:lang w:val="en-GB"/>
              </w:rPr>
              <m:t>I(QD)</m:t>
            </m:r>
          </m:num>
          <m:den>
            <m:r>
              <m:rPr>
                <m:sty m:val="p"/>
              </m:rPr>
              <w:rPr>
                <w:rFonts w:ascii="Cambria Math" w:hAnsi="Cambria Math" w:cs="Times New Roman"/>
                <w:sz w:val="24"/>
                <w:szCs w:val="24"/>
                <w:lang w:val="en-GB"/>
              </w:rPr>
              <m:t>I(dye)</m:t>
            </m:r>
          </m:den>
        </m:f>
        <m:r>
          <m:rPr>
            <m:sty m:val="p"/>
          </m:rPr>
          <w:rPr>
            <w:rFonts w:ascii="Cambria Math" w:hAnsi="Cambria Math" w:cs="Times New Roman"/>
            <w:sz w:val="24"/>
            <w:szCs w:val="24"/>
            <w:lang w:val="en-GB"/>
          </w:rPr>
          <m:t>×</m:t>
        </m:r>
        <m:f>
          <m:fPr>
            <m:ctrlPr>
              <w:rPr>
                <w:rFonts w:ascii="Cambria Math" w:hAnsi="Cambria Math" w:cs="Times New Roman"/>
                <w:sz w:val="24"/>
                <w:szCs w:val="24"/>
                <w:lang w:val="en-GB"/>
              </w:rPr>
            </m:ctrlPr>
          </m:fPr>
          <m:num>
            <m:r>
              <m:rPr>
                <m:sty m:val="p"/>
              </m:rPr>
              <w:rPr>
                <w:rFonts w:ascii="Cambria Math" w:hAnsi="Cambria Math" w:cs="Times New Roman"/>
                <w:sz w:val="24"/>
                <w:szCs w:val="24"/>
                <w:lang w:val="en-GB"/>
              </w:rPr>
              <m:t>A(dye)</m:t>
            </m:r>
          </m:num>
          <m:den>
            <m:r>
              <m:rPr>
                <m:sty m:val="p"/>
              </m:rPr>
              <w:rPr>
                <w:rFonts w:ascii="Cambria Math" w:hAnsi="Cambria Math" w:cs="Times New Roman"/>
                <w:sz w:val="24"/>
                <w:szCs w:val="24"/>
                <w:lang w:val="en-GB"/>
              </w:rPr>
              <m:t>A(QD)</m:t>
            </m:r>
          </m:den>
        </m:f>
        <m:r>
          <m:rPr>
            <m:sty m:val="p"/>
          </m:rPr>
          <w:rPr>
            <w:rFonts w:ascii="Cambria Math" w:hAnsi="Cambria Math" w:cs="Times New Roman"/>
            <w:sz w:val="24"/>
            <w:szCs w:val="24"/>
            <w:lang w:val="en-GB"/>
          </w:rPr>
          <m:t>×</m:t>
        </m:r>
        <m:f>
          <m:fPr>
            <m:ctrlPr>
              <w:rPr>
                <w:rFonts w:ascii="Cambria Math" w:hAnsi="Cambria Math" w:cs="Times New Roman"/>
                <w:sz w:val="24"/>
                <w:szCs w:val="24"/>
                <w:lang w:val="en-GB"/>
              </w:rPr>
            </m:ctrlPr>
          </m:fPr>
          <m:num>
            <m:sSup>
              <m:sSupPr>
                <m:ctrlPr>
                  <w:rPr>
                    <w:rFonts w:ascii="Cambria Math" w:hAnsi="Cambria Math" w:cs="Times New Roman"/>
                    <w:sz w:val="24"/>
                    <w:szCs w:val="24"/>
                    <w:lang w:val="en-GB"/>
                  </w:rPr>
                </m:ctrlPr>
              </m:sSupPr>
              <m:e>
                <m:r>
                  <m:rPr>
                    <m:sty m:val="p"/>
                  </m:rPr>
                  <w:rPr>
                    <w:rFonts w:ascii="Cambria Math" w:hAnsi="Cambria Math" w:cs="Times New Roman"/>
                    <w:sz w:val="24"/>
                    <w:szCs w:val="24"/>
                    <w:lang w:val="en-GB"/>
                  </w:rPr>
                  <m:t>n(hexane)</m:t>
                </m:r>
              </m:e>
              <m:sup>
                <m:r>
                  <m:rPr>
                    <m:sty m:val="p"/>
                  </m:rPr>
                  <w:rPr>
                    <w:rFonts w:ascii="Cambria Math" w:hAnsi="Cambria Math" w:cs="Times New Roman"/>
                    <w:sz w:val="24"/>
                    <w:szCs w:val="24"/>
                    <w:lang w:val="en-GB"/>
                  </w:rPr>
                  <m:t>2</m:t>
                </m:r>
              </m:sup>
            </m:sSup>
          </m:num>
          <m:den>
            <m:sSup>
              <m:sSupPr>
                <m:ctrlPr>
                  <w:rPr>
                    <w:rFonts w:ascii="Cambria Math" w:hAnsi="Cambria Math" w:cs="Times New Roman"/>
                    <w:sz w:val="24"/>
                    <w:szCs w:val="24"/>
                    <w:lang w:val="en-GB"/>
                  </w:rPr>
                </m:ctrlPr>
              </m:sSupPr>
              <m:e>
                <m:r>
                  <m:rPr>
                    <m:sty m:val="p"/>
                  </m:rPr>
                  <w:rPr>
                    <w:rFonts w:ascii="Cambria Math" w:hAnsi="Cambria Math" w:cs="Times New Roman"/>
                    <w:sz w:val="24"/>
                    <w:szCs w:val="24"/>
                    <w:lang w:val="en-GB"/>
                  </w:rPr>
                  <m:t>n(ethanol)</m:t>
                </m:r>
              </m:e>
              <m:sup>
                <m:r>
                  <m:rPr>
                    <m:sty m:val="p"/>
                  </m:rPr>
                  <w:rPr>
                    <w:rFonts w:ascii="Cambria Math" w:hAnsi="Cambria Math" w:cs="Times New Roman"/>
                    <w:sz w:val="24"/>
                    <w:szCs w:val="24"/>
                    <w:lang w:val="en-GB"/>
                  </w:rPr>
                  <m:t>2</m:t>
                </m:r>
              </m:sup>
            </m:sSup>
          </m:den>
        </m:f>
      </m:oMath>
      <w:r w:rsidRPr="008812BE">
        <w:rPr>
          <w:rFonts w:ascii="Times New Roman" w:hAnsi="Times New Roman" w:cs="Times New Roman"/>
          <w:sz w:val="24"/>
          <w:szCs w:val="24"/>
          <w:lang w:val="en-GB"/>
        </w:rPr>
        <w:t xml:space="preserve">     (1)</w:t>
      </w:r>
    </w:p>
    <w:p w14:paraId="6DCF04A5" w14:textId="77777777" w:rsidR="00A22B3A" w:rsidRPr="008812BE" w:rsidRDefault="00A22B3A" w:rsidP="00A22B3A">
      <w:pPr>
        <w:spacing w:after="0" w:line="480" w:lineRule="auto"/>
        <w:rPr>
          <w:rFonts w:ascii="Times New Roman" w:hAnsi="Times New Roman" w:cs="Times New Roman"/>
          <w:sz w:val="24"/>
          <w:szCs w:val="24"/>
          <w:lang w:val="en-GB"/>
        </w:rPr>
      </w:pPr>
      <w:r w:rsidRPr="008812BE">
        <w:rPr>
          <w:rFonts w:ascii="Times New Roman" w:hAnsi="Times New Roman" w:cs="Times New Roman"/>
          <w:sz w:val="24"/>
          <w:szCs w:val="24"/>
          <w:lang w:val="en-GB"/>
        </w:rPr>
        <w:t xml:space="preserve">In this equation, </w:t>
      </w:r>
      <w:r w:rsidRPr="008812BE">
        <w:rPr>
          <w:rFonts w:ascii="Times New Roman" w:hAnsi="Times New Roman" w:cs="Times New Roman"/>
          <w:i/>
          <w:sz w:val="24"/>
          <w:szCs w:val="24"/>
          <w:lang w:val="en-GB"/>
        </w:rPr>
        <w:t>I</w:t>
      </w:r>
      <w:r w:rsidRPr="008812BE">
        <w:rPr>
          <w:rFonts w:ascii="Times New Roman" w:hAnsi="Times New Roman" w:cs="Times New Roman"/>
          <w:sz w:val="24"/>
          <w:szCs w:val="24"/>
          <w:lang w:val="en-GB"/>
        </w:rPr>
        <w:t xml:space="preserve"> is the integrated area of each PL spectrum, </w:t>
      </w:r>
      <w:r w:rsidRPr="008812BE">
        <w:rPr>
          <w:rFonts w:ascii="Times New Roman" w:hAnsi="Times New Roman" w:cs="Times New Roman"/>
          <w:i/>
          <w:sz w:val="24"/>
          <w:szCs w:val="24"/>
          <w:lang w:val="en-GB"/>
        </w:rPr>
        <w:t>A</w:t>
      </w:r>
      <w:r w:rsidRPr="008812BE">
        <w:rPr>
          <w:rFonts w:ascii="Times New Roman" w:hAnsi="Times New Roman" w:cs="Times New Roman"/>
          <w:sz w:val="24"/>
          <w:szCs w:val="24"/>
          <w:lang w:val="en-GB"/>
        </w:rPr>
        <w:t xml:space="preserve"> is the absorbance of a solution at the excitation condition, and </w:t>
      </w:r>
      <w:r w:rsidRPr="008812BE">
        <w:rPr>
          <w:rFonts w:ascii="Times New Roman" w:hAnsi="Times New Roman" w:cs="Times New Roman"/>
          <w:i/>
          <w:sz w:val="24"/>
          <w:szCs w:val="24"/>
          <w:lang w:val="en-GB"/>
        </w:rPr>
        <w:t>n</w:t>
      </w:r>
      <w:r w:rsidRPr="008812BE">
        <w:rPr>
          <w:rFonts w:ascii="Times New Roman" w:hAnsi="Times New Roman" w:cs="Times New Roman"/>
          <w:sz w:val="24"/>
          <w:szCs w:val="24"/>
          <w:lang w:val="en-GB"/>
        </w:rPr>
        <w:t xml:space="preserve"> is the refractive index of the solvent used.</w:t>
      </w:r>
    </w:p>
    <w:p w14:paraId="39F22CF2" w14:textId="77777777" w:rsidR="00A22B3A" w:rsidRPr="008812BE" w:rsidRDefault="00A22B3A" w:rsidP="00A22B3A">
      <w:pPr>
        <w:spacing w:after="0" w:line="480" w:lineRule="auto"/>
        <w:ind w:firstLineChars="150" w:firstLine="360"/>
        <w:rPr>
          <w:rFonts w:ascii="Times New Roman" w:hAnsi="Times New Roman" w:cs="Times New Roman"/>
          <w:sz w:val="24"/>
          <w:szCs w:val="24"/>
          <w:lang w:val="en-GB"/>
        </w:rPr>
      </w:pPr>
    </w:p>
    <w:p w14:paraId="1AB31543" w14:textId="77777777" w:rsidR="00A22B3A" w:rsidRPr="008812BE" w:rsidRDefault="00A22B3A" w:rsidP="00A22B3A">
      <w:pPr>
        <w:pStyle w:val="1"/>
        <w:spacing w:after="0"/>
      </w:pPr>
      <w:r w:rsidRPr="008812BE">
        <w:t>References</w:t>
      </w:r>
    </w:p>
    <w:p w14:paraId="63435A8B" w14:textId="77777777" w:rsidR="00A22B3A" w:rsidRPr="008812BE" w:rsidRDefault="00A22B3A" w:rsidP="00A22B3A">
      <w:pPr>
        <w:pStyle w:val="EndNoteBibliography"/>
        <w:ind w:left="720" w:hanging="720"/>
        <w:rPr>
          <w:rFonts w:ascii="Times New Roman" w:hAnsi="Times New Roman" w:cs="Times New Roman"/>
        </w:rPr>
      </w:pPr>
      <w:r w:rsidRPr="008812BE">
        <w:rPr>
          <w:rFonts w:ascii="Times New Roman" w:hAnsi="Times New Roman" w:cs="Times New Roman"/>
        </w:rPr>
        <w:t>1</w:t>
      </w:r>
      <w:r w:rsidRPr="008812BE">
        <w:rPr>
          <w:rFonts w:ascii="Times New Roman" w:hAnsi="Times New Roman" w:cs="Times New Roman"/>
        </w:rPr>
        <w:tab/>
        <w:t>Parala, H.</w:t>
      </w:r>
      <w:r w:rsidRPr="008812BE">
        <w:rPr>
          <w:rFonts w:ascii="Times New Roman" w:hAnsi="Times New Roman" w:cs="Times New Roman"/>
          <w:i/>
        </w:rPr>
        <w:t xml:space="preserve"> et al.</w:t>
      </w:r>
      <w:r w:rsidRPr="008812BE">
        <w:rPr>
          <w:rFonts w:ascii="Times New Roman" w:hAnsi="Times New Roman" w:cs="Times New Roman"/>
        </w:rPr>
        <w:t xml:space="preserve"> Investigations on InN whiskers grown by chemical vapour deposition. </w:t>
      </w:r>
      <w:r w:rsidRPr="008812BE">
        <w:rPr>
          <w:rFonts w:ascii="Times New Roman" w:hAnsi="Times New Roman" w:cs="Times New Roman"/>
          <w:i/>
        </w:rPr>
        <w:t>J</w:t>
      </w:r>
      <w:r w:rsidR="006658D4" w:rsidRPr="008812BE">
        <w:rPr>
          <w:rFonts w:ascii="Times New Roman" w:hAnsi="Times New Roman" w:cs="Times New Roman"/>
          <w:i/>
        </w:rPr>
        <w:t>. Cryst.</w:t>
      </w:r>
      <w:r w:rsidRPr="008812BE">
        <w:rPr>
          <w:rFonts w:ascii="Times New Roman" w:hAnsi="Times New Roman" w:cs="Times New Roman"/>
          <w:i/>
        </w:rPr>
        <w:t xml:space="preserve"> Growth</w:t>
      </w:r>
      <w:r w:rsidRPr="008812BE">
        <w:rPr>
          <w:rFonts w:ascii="Times New Roman" w:hAnsi="Times New Roman" w:cs="Times New Roman"/>
        </w:rPr>
        <w:t xml:space="preserve"> </w:t>
      </w:r>
      <w:r w:rsidRPr="008812BE">
        <w:rPr>
          <w:rFonts w:ascii="Times New Roman" w:hAnsi="Times New Roman" w:cs="Times New Roman"/>
          <w:b/>
        </w:rPr>
        <w:t>231</w:t>
      </w:r>
      <w:r w:rsidRPr="008812BE">
        <w:rPr>
          <w:rFonts w:ascii="Times New Roman" w:hAnsi="Times New Roman" w:cs="Times New Roman"/>
        </w:rPr>
        <w:t>, 68-74 (2001).</w:t>
      </w:r>
    </w:p>
    <w:p w14:paraId="29F570F9" w14:textId="77777777" w:rsidR="00A22B3A" w:rsidRPr="008812BE" w:rsidRDefault="00A22B3A" w:rsidP="00A22B3A">
      <w:pPr>
        <w:pStyle w:val="EndNoteBibliography"/>
        <w:ind w:left="720" w:hanging="720"/>
        <w:rPr>
          <w:rFonts w:ascii="Times New Roman" w:hAnsi="Times New Roman" w:cs="Times New Roman"/>
        </w:rPr>
      </w:pPr>
      <w:r w:rsidRPr="008812BE">
        <w:rPr>
          <w:rFonts w:ascii="Times New Roman" w:hAnsi="Times New Roman" w:cs="Times New Roman"/>
        </w:rPr>
        <w:t>2</w:t>
      </w:r>
      <w:r w:rsidRPr="008812BE">
        <w:rPr>
          <w:rFonts w:ascii="Times New Roman" w:hAnsi="Times New Roman" w:cs="Times New Roman"/>
        </w:rPr>
        <w:tab/>
        <w:t>Bu, Y., Ma, L. &amp; Lin, M. C. Laser</w:t>
      </w:r>
      <w:r w:rsidRPr="008812BE">
        <w:rPr>
          <w:rFonts w:ascii="Cambria Math" w:hAnsi="Cambria Math" w:cs="Cambria Math"/>
        </w:rPr>
        <w:t>‐</w:t>
      </w:r>
      <w:r w:rsidRPr="008812BE">
        <w:rPr>
          <w:rFonts w:ascii="Times New Roman" w:hAnsi="Times New Roman" w:cs="Times New Roman"/>
        </w:rPr>
        <w:t xml:space="preserve">assisted chemical vapor deposition of InN on Si(100). </w:t>
      </w:r>
      <w:r w:rsidRPr="008812BE">
        <w:rPr>
          <w:rFonts w:ascii="Times New Roman" w:hAnsi="Times New Roman" w:cs="Times New Roman"/>
          <w:i/>
        </w:rPr>
        <w:t>J</w:t>
      </w:r>
      <w:r w:rsidR="006658D4" w:rsidRPr="008812BE">
        <w:rPr>
          <w:rFonts w:ascii="Times New Roman" w:hAnsi="Times New Roman" w:cs="Times New Roman"/>
          <w:i/>
        </w:rPr>
        <w:t>.</w:t>
      </w:r>
      <w:r w:rsidRPr="008812BE">
        <w:rPr>
          <w:rFonts w:ascii="Times New Roman" w:hAnsi="Times New Roman" w:cs="Times New Roman"/>
          <w:i/>
        </w:rPr>
        <w:t xml:space="preserve"> Vac</w:t>
      </w:r>
      <w:r w:rsidR="006658D4" w:rsidRPr="008812BE">
        <w:rPr>
          <w:rFonts w:ascii="Times New Roman" w:hAnsi="Times New Roman" w:cs="Times New Roman"/>
          <w:i/>
        </w:rPr>
        <w:t>.</w:t>
      </w:r>
      <w:r w:rsidRPr="008812BE">
        <w:rPr>
          <w:rFonts w:ascii="Times New Roman" w:hAnsi="Times New Roman" w:cs="Times New Roman"/>
          <w:i/>
        </w:rPr>
        <w:t xml:space="preserve"> Sci</w:t>
      </w:r>
      <w:r w:rsidR="006658D4" w:rsidRPr="008812BE">
        <w:rPr>
          <w:rFonts w:ascii="Times New Roman" w:hAnsi="Times New Roman" w:cs="Times New Roman"/>
          <w:i/>
        </w:rPr>
        <w:t>.</w:t>
      </w:r>
      <w:r w:rsidRPr="008812BE">
        <w:rPr>
          <w:rFonts w:ascii="Times New Roman" w:hAnsi="Times New Roman" w:cs="Times New Roman"/>
          <w:i/>
        </w:rPr>
        <w:t xml:space="preserve"> Techno</w:t>
      </w:r>
      <w:r w:rsidR="006658D4" w:rsidRPr="008812BE">
        <w:rPr>
          <w:rFonts w:ascii="Times New Roman" w:hAnsi="Times New Roman" w:cs="Times New Roman"/>
          <w:i/>
        </w:rPr>
        <w:t>.</w:t>
      </w:r>
      <w:r w:rsidRPr="008812BE">
        <w:rPr>
          <w:rFonts w:ascii="Times New Roman" w:hAnsi="Times New Roman" w:cs="Times New Roman"/>
          <w:i/>
        </w:rPr>
        <w:t xml:space="preserve"> A</w:t>
      </w:r>
      <w:r w:rsidRPr="008812BE">
        <w:rPr>
          <w:rFonts w:ascii="Times New Roman" w:hAnsi="Times New Roman" w:cs="Times New Roman"/>
        </w:rPr>
        <w:t xml:space="preserve"> </w:t>
      </w:r>
      <w:r w:rsidRPr="008812BE">
        <w:rPr>
          <w:rFonts w:ascii="Times New Roman" w:hAnsi="Times New Roman" w:cs="Times New Roman"/>
          <w:b/>
        </w:rPr>
        <w:t>11</w:t>
      </w:r>
      <w:r w:rsidRPr="008812BE">
        <w:rPr>
          <w:rFonts w:ascii="Times New Roman" w:hAnsi="Times New Roman" w:cs="Times New Roman"/>
        </w:rPr>
        <w:t>, 2931-2937 (1993).</w:t>
      </w:r>
    </w:p>
    <w:p w14:paraId="47FBB834" w14:textId="77777777" w:rsidR="00A22B3A" w:rsidRPr="008812BE" w:rsidRDefault="00A22B3A" w:rsidP="00A22B3A">
      <w:pPr>
        <w:pStyle w:val="EndNoteBibliography"/>
        <w:ind w:left="720" w:hanging="720"/>
        <w:rPr>
          <w:rFonts w:ascii="Times New Roman" w:hAnsi="Times New Roman" w:cs="Times New Roman"/>
        </w:rPr>
      </w:pPr>
      <w:r w:rsidRPr="008812BE">
        <w:rPr>
          <w:rFonts w:ascii="Times New Roman" w:hAnsi="Times New Roman" w:cs="Times New Roman"/>
        </w:rPr>
        <w:t>3</w:t>
      </w:r>
      <w:r w:rsidRPr="008812BE">
        <w:rPr>
          <w:rFonts w:ascii="Times New Roman" w:hAnsi="Times New Roman" w:cs="Times New Roman"/>
        </w:rPr>
        <w:tab/>
        <w:t xml:space="preserve">Reshchikov, M. A. &amp; Morkoç, H. Luminescence properties of defects in GaN. </w:t>
      </w:r>
      <w:r w:rsidRPr="008812BE">
        <w:rPr>
          <w:rFonts w:ascii="Times New Roman" w:hAnsi="Times New Roman" w:cs="Times New Roman"/>
          <w:i/>
        </w:rPr>
        <w:t>J</w:t>
      </w:r>
      <w:r w:rsidR="006658D4" w:rsidRPr="008812BE">
        <w:rPr>
          <w:rFonts w:ascii="Times New Roman" w:hAnsi="Times New Roman" w:cs="Times New Roman"/>
          <w:i/>
        </w:rPr>
        <w:t>.</w:t>
      </w:r>
      <w:r w:rsidRPr="008812BE">
        <w:rPr>
          <w:rFonts w:ascii="Times New Roman" w:hAnsi="Times New Roman" w:cs="Times New Roman"/>
          <w:i/>
        </w:rPr>
        <w:t xml:space="preserve"> Appl</w:t>
      </w:r>
      <w:r w:rsidR="006658D4" w:rsidRPr="008812BE">
        <w:rPr>
          <w:rFonts w:ascii="Times New Roman" w:hAnsi="Times New Roman" w:cs="Times New Roman"/>
          <w:i/>
        </w:rPr>
        <w:t>.</w:t>
      </w:r>
      <w:r w:rsidRPr="008812BE">
        <w:rPr>
          <w:rFonts w:ascii="Times New Roman" w:hAnsi="Times New Roman" w:cs="Times New Roman"/>
          <w:i/>
        </w:rPr>
        <w:t xml:space="preserve"> Phys</w:t>
      </w:r>
      <w:r w:rsidR="006658D4" w:rsidRPr="008812BE">
        <w:rPr>
          <w:rFonts w:ascii="Times New Roman" w:hAnsi="Times New Roman" w:cs="Times New Roman"/>
          <w:i/>
        </w:rPr>
        <w:t>.</w:t>
      </w:r>
      <w:r w:rsidRPr="008812BE">
        <w:rPr>
          <w:rFonts w:ascii="Times New Roman" w:hAnsi="Times New Roman" w:cs="Times New Roman"/>
        </w:rPr>
        <w:t xml:space="preserve"> </w:t>
      </w:r>
      <w:r w:rsidRPr="008812BE">
        <w:rPr>
          <w:rFonts w:ascii="Times New Roman" w:hAnsi="Times New Roman" w:cs="Times New Roman"/>
          <w:b/>
        </w:rPr>
        <w:t>97</w:t>
      </w:r>
      <w:r w:rsidR="002536C2" w:rsidRPr="008812BE">
        <w:rPr>
          <w:rFonts w:ascii="Times New Roman" w:hAnsi="Times New Roman" w:cs="Times New Roman"/>
        </w:rPr>
        <w:t>, 061301</w:t>
      </w:r>
      <w:r w:rsidRPr="008812BE">
        <w:rPr>
          <w:rFonts w:ascii="Times New Roman" w:hAnsi="Times New Roman" w:cs="Times New Roman"/>
        </w:rPr>
        <w:t xml:space="preserve"> </w:t>
      </w:r>
      <w:r w:rsidRPr="008812BE">
        <w:rPr>
          <w:rFonts w:ascii="Times New Roman" w:hAnsi="Times New Roman" w:cs="Times New Roman"/>
        </w:rPr>
        <w:lastRenderedPageBreak/>
        <w:t>(2005).</w:t>
      </w:r>
    </w:p>
    <w:p w14:paraId="1ED68220" w14:textId="77777777" w:rsidR="00A22B3A" w:rsidRPr="008812BE" w:rsidRDefault="00A22B3A" w:rsidP="00A22B3A">
      <w:pPr>
        <w:pStyle w:val="EndNoteBibliography"/>
        <w:ind w:left="720" w:hanging="720"/>
        <w:rPr>
          <w:rFonts w:ascii="Times New Roman" w:hAnsi="Times New Roman" w:cs="Times New Roman"/>
        </w:rPr>
      </w:pPr>
      <w:r w:rsidRPr="008812BE">
        <w:rPr>
          <w:rFonts w:ascii="Times New Roman" w:hAnsi="Times New Roman" w:cs="Times New Roman"/>
        </w:rPr>
        <w:t>4</w:t>
      </w:r>
      <w:r w:rsidRPr="008812BE">
        <w:rPr>
          <w:rFonts w:ascii="Times New Roman" w:hAnsi="Times New Roman" w:cs="Times New Roman"/>
        </w:rPr>
        <w:tab/>
        <w:t>Pacholski, C., Kornowski, A. &amp; Weller,</w:t>
      </w:r>
      <w:r w:rsidR="0021289E" w:rsidRPr="008812BE">
        <w:rPr>
          <w:rFonts w:ascii="Times New Roman" w:hAnsi="Times New Roman" w:cs="Times New Roman"/>
        </w:rPr>
        <w:t xml:space="preserve"> H. Self-Assembly of ZnO: From nanodots to n</w:t>
      </w:r>
      <w:r w:rsidRPr="008812BE">
        <w:rPr>
          <w:rFonts w:ascii="Times New Roman" w:hAnsi="Times New Roman" w:cs="Times New Roman"/>
        </w:rPr>
        <w:t xml:space="preserve">anorods. </w:t>
      </w:r>
      <w:r w:rsidRPr="008812BE">
        <w:rPr>
          <w:rFonts w:ascii="Times New Roman" w:hAnsi="Times New Roman" w:cs="Times New Roman"/>
          <w:i/>
        </w:rPr>
        <w:t>Angew</w:t>
      </w:r>
      <w:r w:rsidR="006658D4" w:rsidRPr="008812BE">
        <w:rPr>
          <w:rFonts w:ascii="Times New Roman" w:hAnsi="Times New Roman" w:cs="Times New Roman"/>
          <w:i/>
        </w:rPr>
        <w:t>.</w:t>
      </w:r>
      <w:r w:rsidRPr="008812BE">
        <w:rPr>
          <w:rFonts w:ascii="Times New Roman" w:hAnsi="Times New Roman" w:cs="Times New Roman"/>
          <w:i/>
        </w:rPr>
        <w:t xml:space="preserve"> Chem</w:t>
      </w:r>
      <w:r w:rsidR="006658D4" w:rsidRPr="008812BE">
        <w:rPr>
          <w:rFonts w:ascii="Times New Roman" w:hAnsi="Times New Roman" w:cs="Times New Roman"/>
          <w:i/>
        </w:rPr>
        <w:t>.</w:t>
      </w:r>
      <w:r w:rsidRPr="008812BE">
        <w:rPr>
          <w:rFonts w:ascii="Times New Roman" w:hAnsi="Times New Roman" w:cs="Times New Roman"/>
          <w:i/>
        </w:rPr>
        <w:t xml:space="preserve"> Int</w:t>
      </w:r>
      <w:r w:rsidR="006658D4" w:rsidRPr="008812BE">
        <w:rPr>
          <w:rFonts w:ascii="Times New Roman" w:hAnsi="Times New Roman" w:cs="Times New Roman"/>
          <w:i/>
        </w:rPr>
        <w:t>.</w:t>
      </w:r>
      <w:r w:rsidRPr="008812BE">
        <w:rPr>
          <w:rFonts w:ascii="Times New Roman" w:hAnsi="Times New Roman" w:cs="Times New Roman"/>
          <w:i/>
        </w:rPr>
        <w:t xml:space="preserve"> Ed</w:t>
      </w:r>
      <w:r w:rsidR="006658D4" w:rsidRPr="008812BE">
        <w:rPr>
          <w:rFonts w:ascii="Times New Roman" w:hAnsi="Times New Roman" w:cs="Times New Roman"/>
          <w:i/>
        </w:rPr>
        <w:t>.</w:t>
      </w:r>
      <w:r w:rsidRPr="008812BE">
        <w:rPr>
          <w:rFonts w:ascii="Times New Roman" w:hAnsi="Times New Roman" w:cs="Times New Roman"/>
        </w:rPr>
        <w:t xml:space="preserve"> </w:t>
      </w:r>
      <w:r w:rsidRPr="008812BE">
        <w:rPr>
          <w:rFonts w:ascii="Times New Roman" w:hAnsi="Times New Roman" w:cs="Times New Roman"/>
          <w:b/>
        </w:rPr>
        <w:t>41</w:t>
      </w:r>
      <w:r w:rsidRPr="008812BE">
        <w:rPr>
          <w:rFonts w:ascii="Times New Roman" w:hAnsi="Times New Roman" w:cs="Times New Roman"/>
        </w:rPr>
        <w:t>, 1188-1191 (2002).</w:t>
      </w:r>
    </w:p>
    <w:p w14:paraId="264ADA4C" w14:textId="77777777" w:rsidR="00A22B3A" w:rsidRPr="00A22B3A" w:rsidRDefault="00A22B3A" w:rsidP="00A22B3A">
      <w:pPr>
        <w:pStyle w:val="EndNoteBibliography"/>
        <w:ind w:left="720" w:hanging="720"/>
        <w:rPr>
          <w:rFonts w:ascii="Times New Roman" w:hAnsi="Times New Roman" w:cs="Times New Roman"/>
        </w:rPr>
      </w:pPr>
      <w:r w:rsidRPr="008812BE">
        <w:rPr>
          <w:rFonts w:ascii="Times New Roman" w:hAnsi="Times New Roman" w:cs="Times New Roman"/>
        </w:rPr>
        <w:t>5</w:t>
      </w:r>
      <w:r w:rsidRPr="008812BE">
        <w:rPr>
          <w:rFonts w:ascii="Times New Roman" w:hAnsi="Times New Roman" w:cs="Times New Roman"/>
        </w:rPr>
        <w:tab/>
        <w:t xml:space="preserve">Crosby, G. A. &amp; Demas, J. N. Measurement of photoluminescence quantum yields. Review. </w:t>
      </w:r>
      <w:r w:rsidR="006658D4" w:rsidRPr="008812BE">
        <w:rPr>
          <w:rFonts w:ascii="Times New Roman" w:hAnsi="Times New Roman" w:cs="Times New Roman"/>
          <w:i/>
        </w:rPr>
        <w:t>J.</w:t>
      </w:r>
      <w:r w:rsidRPr="008812BE">
        <w:rPr>
          <w:rFonts w:ascii="Times New Roman" w:hAnsi="Times New Roman" w:cs="Times New Roman"/>
          <w:i/>
        </w:rPr>
        <w:t xml:space="preserve"> Phys</w:t>
      </w:r>
      <w:r w:rsidR="006658D4" w:rsidRPr="008812BE">
        <w:rPr>
          <w:rFonts w:ascii="Times New Roman" w:hAnsi="Times New Roman" w:cs="Times New Roman"/>
          <w:i/>
        </w:rPr>
        <w:t>.</w:t>
      </w:r>
      <w:r w:rsidRPr="008812BE">
        <w:rPr>
          <w:rFonts w:ascii="Times New Roman" w:hAnsi="Times New Roman" w:cs="Times New Roman"/>
          <w:i/>
        </w:rPr>
        <w:t xml:space="preserve"> Chem</w:t>
      </w:r>
      <w:r w:rsidR="006658D4" w:rsidRPr="008812BE">
        <w:rPr>
          <w:rFonts w:ascii="Times New Roman" w:hAnsi="Times New Roman" w:cs="Times New Roman"/>
          <w:i/>
        </w:rPr>
        <w:t>.</w:t>
      </w:r>
      <w:r w:rsidRPr="008812BE">
        <w:rPr>
          <w:rFonts w:ascii="Times New Roman" w:hAnsi="Times New Roman" w:cs="Times New Roman"/>
        </w:rPr>
        <w:t xml:space="preserve"> </w:t>
      </w:r>
      <w:r w:rsidRPr="008812BE">
        <w:rPr>
          <w:rFonts w:ascii="Times New Roman" w:hAnsi="Times New Roman" w:cs="Times New Roman"/>
          <w:b/>
        </w:rPr>
        <w:t>75</w:t>
      </w:r>
      <w:r w:rsidRPr="008812BE">
        <w:rPr>
          <w:rFonts w:ascii="Times New Roman" w:hAnsi="Times New Roman" w:cs="Times New Roman"/>
        </w:rPr>
        <w:t>, 991-1024 (1971).</w:t>
      </w:r>
    </w:p>
    <w:p w14:paraId="20A552D4" w14:textId="77777777" w:rsidR="00A22B3A" w:rsidRPr="00A22B3A" w:rsidRDefault="00A22B3A" w:rsidP="00A22B3A">
      <w:pPr>
        <w:spacing w:after="0" w:line="480" w:lineRule="auto"/>
        <w:rPr>
          <w:rFonts w:ascii="Times New Roman" w:hAnsi="Times New Roman" w:cs="Times New Roman"/>
        </w:rPr>
      </w:pPr>
    </w:p>
    <w:p w14:paraId="016751DB" w14:textId="77777777" w:rsidR="0029646C" w:rsidRPr="00A22B3A" w:rsidRDefault="0029646C">
      <w:pPr>
        <w:rPr>
          <w:rFonts w:ascii="Times New Roman" w:hAnsi="Times New Roman" w:cs="Times New Roman"/>
        </w:rPr>
      </w:pPr>
    </w:p>
    <w:sectPr w:rsidR="0029646C" w:rsidRPr="00A22B3A">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91FA8" w14:textId="77777777" w:rsidR="00064420" w:rsidRDefault="00064420" w:rsidP="00E62F67">
      <w:pPr>
        <w:spacing w:after="0" w:line="240" w:lineRule="auto"/>
      </w:pPr>
      <w:r>
        <w:separator/>
      </w:r>
    </w:p>
  </w:endnote>
  <w:endnote w:type="continuationSeparator" w:id="0">
    <w:p w14:paraId="1F78E6FD" w14:textId="77777777" w:rsidR="00064420" w:rsidRDefault="00064420" w:rsidP="00E62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C36EC" w14:textId="77777777" w:rsidR="00064420" w:rsidRDefault="00064420" w:rsidP="00E62F67">
      <w:pPr>
        <w:spacing w:after="0" w:line="240" w:lineRule="auto"/>
      </w:pPr>
      <w:r>
        <w:separator/>
      </w:r>
    </w:p>
  </w:footnote>
  <w:footnote w:type="continuationSeparator" w:id="0">
    <w:p w14:paraId="72A4CE3F" w14:textId="77777777" w:rsidR="00064420" w:rsidRDefault="00064420" w:rsidP="00E62F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A22B3A"/>
    <w:rsid w:val="00040E03"/>
    <w:rsid w:val="00064420"/>
    <w:rsid w:val="000966AA"/>
    <w:rsid w:val="000B5C63"/>
    <w:rsid w:val="00180AED"/>
    <w:rsid w:val="00186DCF"/>
    <w:rsid w:val="0021289E"/>
    <w:rsid w:val="00246ED7"/>
    <w:rsid w:val="00246F59"/>
    <w:rsid w:val="002536C2"/>
    <w:rsid w:val="0025689F"/>
    <w:rsid w:val="0029646C"/>
    <w:rsid w:val="00507D7B"/>
    <w:rsid w:val="006658D4"/>
    <w:rsid w:val="008812BE"/>
    <w:rsid w:val="008B43DE"/>
    <w:rsid w:val="00934172"/>
    <w:rsid w:val="00A22B3A"/>
    <w:rsid w:val="00A93AFE"/>
    <w:rsid w:val="00AB17CC"/>
    <w:rsid w:val="00B55C36"/>
    <w:rsid w:val="00CC39A2"/>
    <w:rsid w:val="00D64FC0"/>
    <w:rsid w:val="00E4027B"/>
    <w:rsid w:val="00E62F67"/>
    <w:rsid w:val="00E67FCD"/>
    <w:rsid w:val="00EA74F7"/>
    <w:rsid w:val="00EE1258"/>
    <w:rsid w:val="00FD01D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2E304"/>
  <w15:chartTrackingRefBased/>
  <w15:docId w15:val="{65165DAB-5E02-4951-9910-A8026798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2B3A"/>
    <w:pPr>
      <w:widowControl w:val="0"/>
      <w:wordWrap w:val="0"/>
      <w:autoSpaceDE w:val="0"/>
      <w:autoSpaceDN w:val="0"/>
      <w:spacing w:after="200" w:line="276" w:lineRule="auto"/>
    </w:pPr>
  </w:style>
  <w:style w:type="paragraph" w:styleId="1">
    <w:name w:val="heading 1"/>
    <w:basedOn w:val="a"/>
    <w:next w:val="a"/>
    <w:link w:val="1Char"/>
    <w:uiPriority w:val="9"/>
    <w:qFormat/>
    <w:rsid w:val="00A22B3A"/>
    <w:pPr>
      <w:keepNext/>
      <w:spacing w:line="480" w:lineRule="auto"/>
      <w:jc w:val="left"/>
      <w:outlineLvl w:val="0"/>
    </w:pPr>
    <w:rPr>
      <w:rFonts w:ascii="Times New Roman" w:hAnsi="Times New Roman" w:cs="Times New Roman"/>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A22B3A"/>
    <w:rPr>
      <w:rFonts w:ascii="Times New Roman" w:hAnsi="Times New Roman" w:cs="Times New Roman"/>
      <w:b/>
      <w:sz w:val="24"/>
      <w:szCs w:val="24"/>
    </w:rPr>
  </w:style>
  <w:style w:type="paragraph" w:styleId="a3">
    <w:name w:val="List Paragraph"/>
    <w:basedOn w:val="a"/>
    <w:uiPriority w:val="34"/>
    <w:qFormat/>
    <w:rsid w:val="00A22B3A"/>
    <w:pPr>
      <w:ind w:leftChars="400" w:left="800"/>
    </w:pPr>
  </w:style>
  <w:style w:type="paragraph" w:customStyle="1" w:styleId="EndNoteBibliography">
    <w:name w:val="EndNote Bibliography"/>
    <w:basedOn w:val="a"/>
    <w:link w:val="EndNoteBibliographyChar"/>
    <w:rsid w:val="00A22B3A"/>
    <w:pPr>
      <w:spacing w:after="0" w:line="240" w:lineRule="auto"/>
    </w:pPr>
    <w:rPr>
      <w:rFonts w:ascii="맑은 고딕" w:eastAsia="맑은 고딕" w:hAnsi="맑은 고딕"/>
      <w:noProof/>
    </w:rPr>
  </w:style>
  <w:style w:type="character" w:customStyle="1" w:styleId="EndNoteBibliographyChar">
    <w:name w:val="EndNote Bibliography Char"/>
    <w:basedOn w:val="a0"/>
    <w:link w:val="EndNoteBibliography"/>
    <w:rsid w:val="00A22B3A"/>
    <w:rPr>
      <w:rFonts w:ascii="맑은 고딕" w:eastAsia="맑은 고딕" w:hAnsi="맑은 고딕"/>
      <w:noProof/>
    </w:rPr>
  </w:style>
  <w:style w:type="character" w:styleId="a4">
    <w:name w:val="annotation reference"/>
    <w:basedOn w:val="a0"/>
    <w:uiPriority w:val="99"/>
    <w:semiHidden/>
    <w:unhideWhenUsed/>
    <w:rsid w:val="00A22B3A"/>
    <w:rPr>
      <w:sz w:val="18"/>
      <w:szCs w:val="18"/>
    </w:rPr>
  </w:style>
  <w:style w:type="paragraph" w:styleId="a5">
    <w:name w:val="annotation text"/>
    <w:basedOn w:val="a"/>
    <w:link w:val="Char"/>
    <w:unhideWhenUsed/>
    <w:rsid w:val="00A22B3A"/>
    <w:pPr>
      <w:spacing w:after="0" w:line="240" w:lineRule="auto"/>
      <w:jc w:val="left"/>
    </w:pPr>
  </w:style>
  <w:style w:type="character" w:customStyle="1" w:styleId="Char">
    <w:name w:val="메모 텍스트 Char"/>
    <w:basedOn w:val="a0"/>
    <w:link w:val="a5"/>
    <w:rsid w:val="00A22B3A"/>
  </w:style>
  <w:style w:type="paragraph" w:styleId="a6">
    <w:name w:val="Balloon Text"/>
    <w:basedOn w:val="a"/>
    <w:link w:val="Char0"/>
    <w:uiPriority w:val="99"/>
    <w:semiHidden/>
    <w:unhideWhenUsed/>
    <w:rsid w:val="00A22B3A"/>
    <w:pPr>
      <w:spacing w:after="0" w:line="240" w:lineRule="auto"/>
    </w:pPr>
    <w:rPr>
      <w:rFonts w:asciiTheme="majorHAnsi" w:eastAsiaTheme="majorEastAsia" w:hAnsiTheme="majorHAnsi" w:cstheme="majorBidi"/>
      <w:sz w:val="18"/>
      <w:szCs w:val="18"/>
    </w:rPr>
  </w:style>
  <w:style w:type="character" w:customStyle="1" w:styleId="Char0">
    <w:name w:val="풍선 도움말 텍스트 Char"/>
    <w:basedOn w:val="a0"/>
    <w:link w:val="a6"/>
    <w:uiPriority w:val="99"/>
    <w:semiHidden/>
    <w:rsid w:val="00A22B3A"/>
    <w:rPr>
      <w:rFonts w:asciiTheme="majorHAnsi" w:eastAsiaTheme="majorEastAsia" w:hAnsiTheme="majorHAnsi" w:cstheme="majorBidi"/>
      <w:sz w:val="18"/>
      <w:szCs w:val="18"/>
    </w:rPr>
  </w:style>
  <w:style w:type="paragraph" w:styleId="a7">
    <w:name w:val="Normal (Web)"/>
    <w:basedOn w:val="a"/>
    <w:uiPriority w:val="99"/>
    <w:semiHidden/>
    <w:unhideWhenUsed/>
    <w:rsid w:val="00A22B3A"/>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Results">
    <w:name w:val="*Results"/>
    <w:basedOn w:val="a"/>
    <w:autoRedefine/>
    <w:rsid w:val="00A22B3A"/>
    <w:pPr>
      <w:widowControl/>
      <w:wordWrap/>
      <w:autoSpaceDE/>
      <w:autoSpaceDN/>
      <w:spacing w:before="100" w:beforeAutospacing="1" w:after="100" w:afterAutospacing="1" w:line="480" w:lineRule="auto"/>
      <w:ind w:firstLineChars="100" w:firstLine="200"/>
    </w:pPr>
    <w:rPr>
      <w:rFonts w:ascii="Times New Roman" w:hAnsi="Times New Roman" w:cs="Times New Roman"/>
      <w:kern w:val="0"/>
      <w:szCs w:val="20"/>
      <w:lang w:eastAsia="en-US"/>
    </w:rPr>
  </w:style>
  <w:style w:type="table" w:styleId="a8">
    <w:name w:val="Table Grid"/>
    <w:basedOn w:val="a1"/>
    <w:uiPriority w:val="59"/>
    <w:rsid w:val="00A22B3A"/>
    <w:pPr>
      <w:spacing w:after="0" w:line="240" w:lineRule="auto"/>
    </w:pPr>
    <w:rPr>
      <w:rFonts w:ascii="맑은 고딕" w:hAnsi="맑은 고딕"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caption">
    <w:name w:val="*Figure caption"/>
    <w:basedOn w:val="a"/>
    <w:autoRedefine/>
    <w:qFormat/>
    <w:rsid w:val="00A22B3A"/>
    <w:pPr>
      <w:widowControl/>
      <w:wordWrap/>
      <w:autoSpaceDE/>
      <w:autoSpaceDN/>
      <w:spacing w:before="100" w:beforeAutospacing="1" w:after="100" w:afterAutospacing="1" w:line="240" w:lineRule="auto"/>
    </w:pPr>
    <w:rPr>
      <w:rFonts w:ascii="Verdana" w:hAnsi="Verdana" w:cs="Times New Roman"/>
      <w:b/>
      <w:kern w:val="0"/>
      <w:sz w:val="19"/>
      <w:szCs w:val="20"/>
    </w:rPr>
  </w:style>
  <w:style w:type="paragraph" w:styleId="a9">
    <w:name w:val="header"/>
    <w:basedOn w:val="a"/>
    <w:link w:val="Char1"/>
    <w:uiPriority w:val="99"/>
    <w:unhideWhenUsed/>
    <w:rsid w:val="00A22B3A"/>
    <w:pPr>
      <w:tabs>
        <w:tab w:val="center" w:pos="4513"/>
        <w:tab w:val="right" w:pos="9026"/>
      </w:tabs>
      <w:snapToGrid w:val="0"/>
    </w:pPr>
  </w:style>
  <w:style w:type="character" w:customStyle="1" w:styleId="Char1">
    <w:name w:val="머리글 Char"/>
    <w:basedOn w:val="a0"/>
    <w:link w:val="a9"/>
    <w:uiPriority w:val="99"/>
    <w:rsid w:val="00A22B3A"/>
  </w:style>
  <w:style w:type="paragraph" w:styleId="aa">
    <w:name w:val="footer"/>
    <w:basedOn w:val="a"/>
    <w:link w:val="Char2"/>
    <w:uiPriority w:val="99"/>
    <w:unhideWhenUsed/>
    <w:rsid w:val="00A22B3A"/>
    <w:pPr>
      <w:tabs>
        <w:tab w:val="center" w:pos="4513"/>
        <w:tab w:val="right" w:pos="9026"/>
      </w:tabs>
      <w:snapToGrid w:val="0"/>
    </w:pPr>
  </w:style>
  <w:style w:type="character" w:customStyle="1" w:styleId="Char2">
    <w:name w:val="바닥글 Char"/>
    <w:basedOn w:val="a0"/>
    <w:link w:val="aa"/>
    <w:uiPriority w:val="99"/>
    <w:rsid w:val="00A22B3A"/>
  </w:style>
  <w:style w:type="paragraph" w:customStyle="1" w:styleId="EndNoteBibliographyTitle">
    <w:name w:val="EndNote Bibliography Title"/>
    <w:basedOn w:val="a"/>
    <w:link w:val="EndNoteBibliographyTitleChar"/>
    <w:rsid w:val="00A22B3A"/>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A22B3A"/>
    <w:rPr>
      <w:rFonts w:ascii="맑은 고딕" w:eastAsia="맑은 고딕" w:hAnsi="맑은 고딕"/>
      <w:noProof/>
    </w:rPr>
  </w:style>
  <w:style w:type="character" w:styleId="ab">
    <w:name w:val="Hyperlink"/>
    <w:basedOn w:val="a0"/>
    <w:uiPriority w:val="99"/>
    <w:unhideWhenUsed/>
    <w:rsid w:val="00A22B3A"/>
    <w:rPr>
      <w:color w:val="0563C1" w:themeColor="hyperlink"/>
      <w:u w:val="single"/>
    </w:rPr>
  </w:style>
  <w:style w:type="paragraph" w:customStyle="1" w:styleId="AuthorsFull">
    <w:name w:val="Authors Full"/>
    <w:basedOn w:val="a"/>
    <w:autoRedefine/>
    <w:rsid w:val="00FD01DD"/>
    <w:pPr>
      <w:widowControl/>
      <w:wordWrap/>
      <w:autoSpaceDE/>
      <w:autoSpaceDN/>
      <w:spacing w:after="0" w:line="240" w:lineRule="auto"/>
      <w:jc w:val="center"/>
    </w:pPr>
    <w:rPr>
      <w:rFonts w:ascii="Times New Roman" w:eastAsia="MS Mincho" w:hAnsi="Times New Roman" w:cs="Times New Roman"/>
      <w:i/>
      <w:kern w:val="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08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5.emf"/><Relationship Id="rId18" Type="http://schemas.openxmlformats.org/officeDocument/2006/relationships/image" Target="media/image10.emf"/><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settings" Target="settings.xml"/><Relationship Id="rId16" Type="http://schemas.openxmlformats.org/officeDocument/2006/relationships/image" Target="media/image8.em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oleObject" Target="embeddings/oleObject3.bin"/><Relationship Id="rId5" Type="http://schemas.openxmlformats.org/officeDocument/2006/relationships/endnotes" Target="endnotes.xml"/><Relationship Id="rId15" Type="http://schemas.openxmlformats.org/officeDocument/2006/relationships/image" Target="media/image7.emf"/><Relationship Id="rId10" Type="http://schemas.openxmlformats.org/officeDocument/2006/relationships/image" Target="media/image3.emf"/><Relationship Id="rId19" Type="http://schemas.openxmlformats.org/officeDocument/2006/relationships/image" Target="media/image11.emf"/><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6.em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2004</Words>
  <Characters>11428</Characters>
  <Application>Microsoft Office Word</Application>
  <DocSecurity>0</DocSecurity>
  <Lines>95</Lines>
  <Paragraphs>26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Yohan Suh</dc:creator>
  <cp:keywords/>
  <dc:description/>
  <cp:lastModifiedBy>(대학원생) 하진호 (반도체 소재ㆍ부품 대학원)</cp:lastModifiedBy>
  <cp:revision>2</cp:revision>
  <dcterms:created xsi:type="dcterms:W3CDTF">2026-10-13T06:40:00Z</dcterms:created>
  <dcterms:modified xsi:type="dcterms:W3CDTF">2026-10-13T06:40:00Z</dcterms:modified>
</cp:coreProperties>
</file>