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2F89B">
      <w:pPr>
        <w:pStyle w:val="2"/>
        <w:pageBreakBefore w:val="0"/>
        <w:widowControl/>
        <w:kinsoku/>
        <w:wordWrap/>
        <w:overflowPunct/>
        <w:topLinePunct w:val="0"/>
        <w:autoSpaceDE/>
        <w:autoSpaceDN/>
        <w:bidi w:val="0"/>
        <w:adjustRightInd/>
        <w:spacing w:line="360" w:lineRule="auto"/>
        <w:jc w:val="both"/>
        <w:textAlignment w:val="auto"/>
        <w:rPr>
          <w:rFonts w:hint="default" w:ascii="Times New Roman" w:hAnsi="Times New Roman" w:cs="Times New Roman"/>
        </w:rPr>
      </w:pPr>
      <w:bookmarkStart w:id="0" w:name="_GoBack"/>
      <w:r>
        <w:rPr>
          <w:rFonts w:hint="default" w:ascii="Times New Roman" w:hAnsi="Times New Roman" w:cs="Times New Roman"/>
        </w:rPr>
        <w:t>Supplementary figure legends</w:t>
      </w:r>
    </w:p>
    <w:bookmarkEnd w:id="0"/>
    <w:p w14:paraId="708C0011">
      <w:pPr>
        <w:pStyle w:val="3"/>
        <w:pageBreakBefore w:val="0"/>
        <w:widowControl/>
        <w:kinsoku/>
        <w:wordWrap/>
        <w:overflowPunct/>
        <w:topLinePunct w:val="0"/>
        <w:autoSpaceDE/>
        <w:autoSpaceDN/>
        <w:bidi w:val="0"/>
        <w:adjustRightInd/>
        <w:spacing w:line="360" w:lineRule="auto"/>
        <w:jc w:val="both"/>
        <w:textAlignment w:val="auto"/>
        <w:rPr>
          <w:rFonts w:hint="default" w:ascii="Times New Roman" w:hAnsi="Times New Roman" w:cs="Times New Roman"/>
        </w:rPr>
      </w:pPr>
      <w:r>
        <w:rPr>
          <w:rFonts w:hint="default" w:ascii="Times New Roman" w:hAnsi="Times New Roman" w:cs="Times New Roman"/>
        </w:rPr>
        <w:t>Supplementary Figure S1. Representative endoscopic and fluoroscopic images of planned day-case ERCP procedures.</w:t>
      </w:r>
    </w:p>
    <w:p w14:paraId="14424C20">
      <w:pPr>
        <w:rPr>
          <w:rFonts w:hint="eastAsia" w:eastAsia="宋体"/>
          <w:lang w:eastAsia="zh-CN"/>
        </w:rPr>
      </w:pPr>
      <w:r>
        <w:rPr>
          <w:rFonts w:hint="eastAsia" w:eastAsia="宋体"/>
          <w:lang w:eastAsia="zh-CN"/>
        </w:rPr>
        <w:drawing>
          <wp:inline distT="0" distB="0" distL="114300" distR="114300">
            <wp:extent cx="6106795" cy="3924300"/>
            <wp:effectExtent l="0" t="0" r="8255" b="0"/>
            <wp:docPr id="6" name="图片 6" descr="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 Figure S1"/>
                    <pic:cNvPicPr>
                      <a:picLocks noChangeAspect="1"/>
                    </pic:cNvPicPr>
                  </pic:nvPicPr>
                  <pic:blipFill>
                    <a:blip r:embed="rId6"/>
                    <a:stretch>
                      <a:fillRect/>
                    </a:stretch>
                  </pic:blipFill>
                  <pic:spPr>
                    <a:xfrm>
                      <a:off x="0" y="0"/>
                      <a:ext cx="6106795" cy="3924300"/>
                    </a:xfrm>
                    <a:prstGeom prst="rect">
                      <a:avLst/>
                    </a:prstGeom>
                  </pic:spPr>
                </pic:pic>
              </a:graphicData>
            </a:graphic>
          </wp:inline>
        </w:drawing>
      </w:r>
    </w:p>
    <w:p w14:paraId="01D5F20D">
      <w:pPr>
        <w:pageBreakBefore w:val="0"/>
        <w:widowControl/>
        <w:numPr>
          <w:ilvl w:val="0"/>
          <w:numId w:val="1"/>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r>
        <w:rPr>
          <w:rFonts w:hint="default" w:ascii="Times New Roman" w:hAnsi="Times New Roman" w:cs="Times New Roman"/>
        </w:rPr>
        <w:t>Native major duodenal papilla before biliary cannulation. (</w:t>
      </w:r>
      <w:r>
        <w:rPr>
          <w:rFonts w:hint="eastAsia" w:eastAsia="宋体" w:cs="Times New Roman"/>
          <w:lang w:val="en-US" w:eastAsia="zh-CN"/>
        </w:rPr>
        <w:t>B</w:t>
      </w:r>
      <w:r>
        <w:rPr>
          <w:rFonts w:hint="default" w:ascii="Times New Roman" w:hAnsi="Times New Roman" w:cs="Times New Roman"/>
        </w:rPr>
        <w:t>) Needle-knife precut sphincterotomy performed to facilitate biliary access. (</w:t>
      </w:r>
      <w:r>
        <w:rPr>
          <w:rFonts w:hint="eastAsia" w:eastAsia="宋体" w:cs="Times New Roman"/>
          <w:lang w:val="en-US" w:eastAsia="zh-CN"/>
        </w:rPr>
        <w:t>C</w:t>
      </w:r>
      <w:r>
        <w:rPr>
          <w:rFonts w:hint="default" w:ascii="Times New Roman" w:hAnsi="Times New Roman" w:cs="Times New Roman"/>
        </w:rPr>
        <w:t>) Intraoperative cholangiography demonstrating common bile duct stones. (</w:t>
      </w:r>
      <w:r>
        <w:rPr>
          <w:rFonts w:hint="eastAsia" w:eastAsia="宋体" w:cs="Times New Roman"/>
          <w:lang w:val="en-US" w:eastAsia="zh-CN"/>
        </w:rPr>
        <w:t>D</w:t>
      </w:r>
      <w:r>
        <w:rPr>
          <w:rFonts w:hint="default" w:ascii="Times New Roman" w:hAnsi="Times New Roman" w:cs="Times New Roman"/>
        </w:rPr>
        <w:t>) Extraction of common bile duct stones using a retrieval basket. (</w:t>
      </w:r>
      <w:r>
        <w:rPr>
          <w:rFonts w:hint="eastAsia" w:eastAsia="宋体" w:cs="Times New Roman"/>
          <w:lang w:val="en-US" w:eastAsia="zh-CN"/>
        </w:rPr>
        <w:t>E</w:t>
      </w:r>
      <w:r>
        <w:rPr>
          <w:rFonts w:hint="default" w:ascii="Times New Roman" w:hAnsi="Times New Roman" w:cs="Times New Roman"/>
        </w:rPr>
        <w:t>) Intraoperative cholangiography showing biliary obstruction. (</w:t>
      </w:r>
      <w:r>
        <w:rPr>
          <w:rFonts w:hint="eastAsia" w:eastAsia="宋体" w:cs="Times New Roman"/>
          <w:lang w:val="en-US" w:eastAsia="zh-CN"/>
        </w:rPr>
        <w:t>F</w:t>
      </w:r>
      <w:r>
        <w:rPr>
          <w:rFonts w:hint="default" w:ascii="Times New Roman" w:hAnsi="Times New Roman" w:cs="Times New Roman"/>
        </w:rPr>
        <w:t>) Placement of a biliary stent for biliary drainage. (</w:t>
      </w:r>
      <w:r>
        <w:rPr>
          <w:rFonts w:hint="eastAsia" w:eastAsia="宋体" w:cs="Times New Roman"/>
          <w:lang w:val="en-US" w:eastAsia="zh-CN"/>
        </w:rPr>
        <w:t>G</w:t>
      </w:r>
      <w:r>
        <w:rPr>
          <w:rFonts w:hint="default" w:ascii="Times New Roman" w:hAnsi="Times New Roman" w:cs="Times New Roman"/>
        </w:rPr>
        <w:t>) Difficult biliary cannulation managed using the double-guidewire technique. (</w:t>
      </w:r>
      <w:r>
        <w:rPr>
          <w:rFonts w:hint="eastAsia" w:eastAsia="宋体" w:cs="Times New Roman"/>
          <w:lang w:val="en-US" w:eastAsia="zh-CN"/>
        </w:rPr>
        <w:t>H</w:t>
      </w:r>
      <w:r>
        <w:rPr>
          <w:rFonts w:hint="default" w:ascii="Times New Roman" w:hAnsi="Times New Roman" w:cs="Times New Roman"/>
        </w:rPr>
        <w:t>) Difficult biliary cannulation managed using needle-knife fistulotomy.</w:t>
      </w:r>
    </w:p>
    <w:p w14:paraId="68A77BDF">
      <w:pPr>
        <w:pageBreakBefore w:val="0"/>
        <w:widowControl/>
        <w:numPr>
          <w:ilvl w:val="0"/>
          <w:numId w:val="0"/>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p>
    <w:p w14:paraId="249AA7BA">
      <w:pPr>
        <w:pageBreakBefore w:val="0"/>
        <w:widowControl/>
        <w:numPr>
          <w:ilvl w:val="0"/>
          <w:numId w:val="0"/>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p>
    <w:p w14:paraId="78D91780">
      <w:pPr>
        <w:pageBreakBefore w:val="0"/>
        <w:widowControl/>
        <w:numPr>
          <w:ilvl w:val="0"/>
          <w:numId w:val="0"/>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p>
    <w:p w14:paraId="7A78BB2B">
      <w:pPr>
        <w:pageBreakBefore w:val="0"/>
        <w:widowControl/>
        <w:numPr>
          <w:ilvl w:val="0"/>
          <w:numId w:val="0"/>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p>
    <w:p w14:paraId="0FA9DF09">
      <w:pPr>
        <w:pageBreakBefore w:val="0"/>
        <w:widowControl/>
        <w:numPr>
          <w:ilvl w:val="0"/>
          <w:numId w:val="0"/>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p>
    <w:p w14:paraId="10171875">
      <w:pPr>
        <w:pageBreakBefore w:val="0"/>
        <w:widowControl/>
        <w:numPr>
          <w:ilvl w:val="0"/>
          <w:numId w:val="0"/>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p>
    <w:p w14:paraId="2FBFC8C8">
      <w:pPr>
        <w:pStyle w:val="3"/>
        <w:pageBreakBefore w:val="0"/>
        <w:widowControl/>
        <w:kinsoku/>
        <w:wordWrap/>
        <w:overflowPunct/>
        <w:topLinePunct w:val="0"/>
        <w:autoSpaceDE/>
        <w:autoSpaceDN/>
        <w:bidi w:val="0"/>
        <w:adjustRightInd/>
        <w:spacing w:line="360" w:lineRule="auto"/>
        <w:jc w:val="both"/>
        <w:textAlignment w:val="auto"/>
        <w:rPr>
          <w:rFonts w:hint="default" w:ascii="Times New Roman" w:hAnsi="Times New Roman" w:cs="Times New Roman"/>
        </w:rPr>
      </w:pPr>
      <w:r>
        <w:rPr>
          <w:rFonts w:hint="default" w:ascii="Times New Roman" w:hAnsi="Times New Roman" w:cs="Times New Roman"/>
        </w:rPr>
        <w:t>Supplementary Figure S2. LASSO-based feature selection and predictor-selection stability.</w:t>
      </w:r>
    </w:p>
    <w:p w14:paraId="70C57F51">
      <w:pPr>
        <w:rPr>
          <w:rFonts w:hint="eastAsia" w:eastAsia="宋体"/>
          <w:lang w:eastAsia="zh-CN"/>
        </w:rPr>
      </w:pPr>
      <w:r>
        <w:rPr>
          <w:rFonts w:hint="eastAsia" w:eastAsia="宋体"/>
          <w:lang w:eastAsia="zh-CN"/>
        </w:rPr>
        <w:drawing>
          <wp:inline distT="0" distB="0" distL="114300" distR="114300">
            <wp:extent cx="6108065" cy="4689475"/>
            <wp:effectExtent l="0" t="0" r="6985" b="15875"/>
            <wp:docPr id="9" name="图片 9" descr="Supplementary 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plementary Figure S2"/>
                    <pic:cNvPicPr>
                      <a:picLocks noChangeAspect="1"/>
                    </pic:cNvPicPr>
                  </pic:nvPicPr>
                  <pic:blipFill>
                    <a:blip r:embed="rId7"/>
                    <a:stretch>
                      <a:fillRect/>
                    </a:stretch>
                  </pic:blipFill>
                  <pic:spPr>
                    <a:xfrm>
                      <a:off x="0" y="0"/>
                      <a:ext cx="6108065" cy="4689475"/>
                    </a:xfrm>
                    <a:prstGeom prst="rect">
                      <a:avLst/>
                    </a:prstGeom>
                  </pic:spPr>
                </pic:pic>
              </a:graphicData>
            </a:graphic>
          </wp:inline>
        </w:drawing>
      </w:r>
    </w:p>
    <w:p w14:paraId="51A1FCE6">
      <w:pPr>
        <w:pageBreakBefore w:val="0"/>
        <w:widowControl/>
        <w:numPr>
          <w:ilvl w:val="0"/>
          <w:numId w:val="2"/>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r>
        <w:rPr>
          <w:rFonts w:hint="default" w:ascii="Times New Roman" w:hAnsi="Times New Roman" w:cs="Times New Roman"/>
        </w:rPr>
        <w:t>Selection of the LASSO penalty parameter using 5-fold cross-validation in the development cohort. Mean cross-validated AUC is plotted across values of log(λ); the dashed and dotted vertical lines indicate λ_best and λ_1SE, respectively. (</w:t>
      </w:r>
      <w:r>
        <w:rPr>
          <w:rFonts w:hint="eastAsia" w:eastAsia="宋体" w:cs="Times New Roman"/>
          <w:lang w:val="en-US" w:eastAsia="zh-CN"/>
        </w:rPr>
        <w:t>B</w:t>
      </w:r>
      <w:r>
        <w:rPr>
          <w:rFonts w:hint="default" w:ascii="Times New Roman" w:hAnsi="Times New Roman" w:cs="Times New Roman"/>
        </w:rPr>
        <w:t>) Standardized LASSO coefficient paths showing progressive coefficient shrinkage with increasing penalization; the dotted vertical line indicates λ_1SE. (</w:t>
      </w:r>
      <w:r>
        <w:rPr>
          <w:rFonts w:hint="eastAsia" w:eastAsia="宋体" w:cs="Times New Roman"/>
          <w:lang w:val="en-US" w:eastAsia="zh-CN"/>
        </w:rPr>
        <w:t>C</w:t>
      </w:r>
      <w:r>
        <w:rPr>
          <w:rFonts w:hint="default" w:ascii="Times New Roman" w:hAnsi="Times New Roman" w:cs="Times New Roman"/>
        </w:rPr>
        <w:t>) Standardized coefficients of the 15 preprocedural predictors retained at λ_1SE after refitting the LASSO model using the complete development cohort. (</w:t>
      </w:r>
      <w:r>
        <w:rPr>
          <w:rFonts w:hint="eastAsia" w:eastAsia="宋体" w:cs="Times New Roman"/>
          <w:lang w:val="en-US" w:eastAsia="zh-CN"/>
        </w:rPr>
        <w:t>D</w:t>
      </w:r>
      <w:r>
        <w:rPr>
          <w:rFonts w:hint="default" w:ascii="Times New Roman" w:hAnsi="Times New Roman" w:cs="Times New Roman"/>
        </w:rPr>
        <w:t>) Predictor-selection stability across the outer cross-validation folds, expressed as the proportion of outer folds in which each candidate predictor was retained after feature selection within the corresponding training data. Positive and negative coefficients indicate conditional predictive direction and should not be interpreted causally.</w:t>
      </w:r>
    </w:p>
    <w:p w14:paraId="0333AFE1">
      <w:pPr>
        <w:pageBreakBefore w:val="0"/>
        <w:widowControl/>
        <w:numPr>
          <w:ilvl w:val="0"/>
          <w:numId w:val="0"/>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p>
    <w:p w14:paraId="353B2302">
      <w:pPr>
        <w:pageBreakBefore w:val="0"/>
        <w:widowControl/>
        <w:numPr>
          <w:ilvl w:val="0"/>
          <w:numId w:val="0"/>
        </w:numPr>
        <w:kinsoku/>
        <w:wordWrap/>
        <w:overflowPunct/>
        <w:topLinePunct w:val="0"/>
        <w:autoSpaceDE/>
        <w:autoSpaceDN/>
        <w:bidi w:val="0"/>
        <w:adjustRightInd/>
        <w:spacing w:after="60" w:line="360" w:lineRule="auto"/>
        <w:jc w:val="both"/>
        <w:textAlignment w:val="auto"/>
        <w:rPr>
          <w:rFonts w:hint="default" w:ascii="Times New Roman" w:hAnsi="Times New Roman" w:cs="Times New Roman"/>
        </w:rPr>
      </w:pPr>
    </w:p>
    <w:p w14:paraId="4C58AC00">
      <w:pPr>
        <w:pStyle w:val="3"/>
        <w:pageBreakBefore w:val="0"/>
        <w:widowControl/>
        <w:kinsoku/>
        <w:wordWrap/>
        <w:overflowPunct/>
        <w:topLinePunct w:val="0"/>
        <w:autoSpaceDE/>
        <w:autoSpaceDN/>
        <w:bidi w:val="0"/>
        <w:adjustRightInd/>
        <w:spacing w:line="360" w:lineRule="auto"/>
        <w:jc w:val="both"/>
        <w:textAlignment w:val="auto"/>
        <w:rPr>
          <w:rFonts w:hint="default" w:ascii="Times New Roman" w:hAnsi="Times New Roman" w:cs="Times New Roman"/>
        </w:rPr>
      </w:pPr>
      <w:r>
        <w:rPr>
          <w:rFonts w:hint="default" w:ascii="Times New Roman" w:hAnsi="Times New Roman" w:cs="Times New Roman"/>
        </w:rPr>
        <w:t>Supplementary Figure S3. Sensitivity analyses addressing predictor redundancy and coefficient-direction stability in the development cohort.</w:t>
      </w:r>
    </w:p>
    <w:p w14:paraId="0C82FD94">
      <w:pPr>
        <w:rPr>
          <w:rFonts w:hint="eastAsia" w:eastAsia="宋体"/>
          <w:lang w:eastAsia="zh-CN"/>
        </w:rPr>
      </w:pPr>
      <w:r>
        <w:rPr>
          <w:rFonts w:hint="eastAsia" w:eastAsia="宋体"/>
          <w:lang w:eastAsia="zh-CN"/>
        </w:rPr>
        <w:drawing>
          <wp:inline distT="0" distB="0" distL="114300" distR="114300">
            <wp:extent cx="6106795" cy="1788160"/>
            <wp:effectExtent l="0" t="0" r="8255" b="2540"/>
            <wp:docPr id="8" name="图片 8" descr="Supplementary 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ary Figure S3."/>
                    <pic:cNvPicPr>
                      <a:picLocks noChangeAspect="1"/>
                    </pic:cNvPicPr>
                  </pic:nvPicPr>
                  <pic:blipFill>
                    <a:blip r:embed="rId8"/>
                    <a:stretch>
                      <a:fillRect/>
                    </a:stretch>
                  </pic:blipFill>
                  <pic:spPr>
                    <a:xfrm>
                      <a:off x="0" y="0"/>
                      <a:ext cx="6106795" cy="1788160"/>
                    </a:xfrm>
                    <a:prstGeom prst="rect">
                      <a:avLst/>
                    </a:prstGeom>
                  </pic:spPr>
                </pic:pic>
              </a:graphicData>
            </a:graphic>
          </wp:inline>
        </w:drawing>
      </w:r>
    </w:p>
    <w:p w14:paraId="1FBF4C9D">
      <w:pPr>
        <w:pStyle w:val="4"/>
        <w:keepNext w:val="0"/>
        <w:keepLines w:val="0"/>
        <w:widowControl/>
        <w:suppressLineNumbers w:val="0"/>
        <w:spacing w:before="0" w:beforeAutospacing="1" w:after="0" w:afterAutospacing="1"/>
        <w:ind w:left="0" w:right="0"/>
        <w:rPr>
          <w:b w:val="0"/>
          <w:bCs w:val="0"/>
          <w:sz w:val="22"/>
          <w:szCs w:val="21"/>
        </w:rPr>
      </w:pPr>
      <w:r>
        <w:rPr>
          <w:rStyle w:val="7"/>
          <w:b w:val="0"/>
          <w:bCs w:val="0"/>
          <w:sz w:val="22"/>
          <w:szCs w:val="21"/>
        </w:rPr>
        <w:t>(</w:t>
      </w:r>
      <w:r>
        <w:rPr>
          <w:rStyle w:val="7"/>
          <w:rFonts w:hint="eastAsia" w:eastAsia="宋体"/>
          <w:b w:val="0"/>
          <w:bCs w:val="0"/>
          <w:sz w:val="22"/>
          <w:szCs w:val="21"/>
          <w:lang w:val="en-US" w:eastAsia="zh-CN"/>
        </w:rPr>
        <w:t>A</w:t>
      </w:r>
      <w:r>
        <w:rPr>
          <w:rStyle w:val="7"/>
          <w:b w:val="0"/>
          <w:bCs w:val="0"/>
          <w:sz w:val="22"/>
          <w:szCs w:val="21"/>
        </w:rPr>
        <w:t>)</w:t>
      </w:r>
      <w:r>
        <w:rPr>
          <w:b w:val="0"/>
          <w:bCs w:val="0"/>
          <w:sz w:val="22"/>
          <w:szCs w:val="21"/>
        </w:rPr>
        <w:t xml:space="preserve"> Pairwise correlations among age, ASA physical status, comorbidity count, Clinical Frailty Scale (CFS), Barthel Index, Mini Nutritional Assessment–Short Form (MNA-SF), and Mini-Cog.</w:t>
      </w:r>
    </w:p>
    <w:p w14:paraId="0C625551">
      <w:pPr>
        <w:pStyle w:val="4"/>
        <w:keepNext w:val="0"/>
        <w:keepLines w:val="0"/>
        <w:widowControl/>
        <w:suppressLineNumbers w:val="0"/>
        <w:rPr>
          <w:b w:val="0"/>
          <w:bCs w:val="0"/>
          <w:sz w:val="22"/>
          <w:szCs w:val="21"/>
        </w:rPr>
      </w:pPr>
      <w:r>
        <w:rPr>
          <w:rStyle w:val="7"/>
          <w:b w:val="0"/>
          <w:bCs w:val="0"/>
          <w:sz w:val="22"/>
          <w:szCs w:val="21"/>
        </w:rPr>
        <w:t>(</w:t>
      </w:r>
      <w:r>
        <w:rPr>
          <w:rStyle w:val="7"/>
          <w:rFonts w:hint="eastAsia" w:eastAsia="宋体"/>
          <w:b w:val="0"/>
          <w:bCs w:val="0"/>
          <w:sz w:val="22"/>
          <w:szCs w:val="21"/>
          <w:lang w:val="en-US" w:eastAsia="zh-CN"/>
        </w:rPr>
        <w:t>B</w:t>
      </w:r>
      <w:r>
        <w:rPr>
          <w:rStyle w:val="7"/>
          <w:b w:val="0"/>
          <w:bCs w:val="0"/>
          <w:sz w:val="22"/>
          <w:szCs w:val="21"/>
        </w:rPr>
        <w:t>)</w:t>
      </w:r>
      <w:r>
        <w:rPr>
          <w:b w:val="0"/>
          <w:bCs w:val="0"/>
          <w:sz w:val="22"/>
          <w:szCs w:val="21"/>
        </w:rPr>
        <w:t xml:space="preserve"> Out-of-fold performance (AUC, AP, and Brier score) of the primary preprocedural LASSO model and reduced models excluding (i) ASA physical status and comorbidity count or (ii) these variables plus age.</w:t>
      </w:r>
    </w:p>
    <w:p w14:paraId="4D7A80D8">
      <w:pPr>
        <w:pStyle w:val="4"/>
        <w:keepNext w:val="0"/>
        <w:keepLines w:val="0"/>
        <w:widowControl/>
        <w:suppressLineNumbers w:val="0"/>
        <w:rPr>
          <w:b w:val="0"/>
          <w:bCs w:val="0"/>
          <w:sz w:val="22"/>
          <w:szCs w:val="21"/>
        </w:rPr>
      </w:pPr>
      <w:r>
        <w:rPr>
          <w:rStyle w:val="7"/>
          <w:b w:val="0"/>
          <w:bCs w:val="0"/>
          <w:sz w:val="22"/>
          <w:szCs w:val="21"/>
        </w:rPr>
        <w:t>(</w:t>
      </w:r>
      <w:r>
        <w:rPr>
          <w:rStyle w:val="7"/>
          <w:rFonts w:hint="eastAsia" w:eastAsia="宋体"/>
          <w:b w:val="0"/>
          <w:bCs w:val="0"/>
          <w:sz w:val="22"/>
          <w:szCs w:val="21"/>
          <w:lang w:val="en-US" w:eastAsia="zh-CN"/>
        </w:rPr>
        <w:t>C</w:t>
      </w:r>
      <w:r>
        <w:rPr>
          <w:rStyle w:val="7"/>
          <w:b w:val="0"/>
          <w:bCs w:val="0"/>
          <w:sz w:val="22"/>
          <w:szCs w:val="21"/>
        </w:rPr>
        <w:t>)</w:t>
      </w:r>
      <w:r>
        <w:rPr>
          <w:b w:val="0"/>
          <w:bCs w:val="0"/>
          <w:sz w:val="22"/>
          <w:szCs w:val="21"/>
        </w:rPr>
        <w:t xml:space="preserve"> Standardized LASSO coefficients for age, ASA physical status, and comorbidity count across five outer cross-validation folds. All coefficients were negative; these directions do not imply causal or protective effects. The reference line denotes zero.</w:t>
      </w:r>
    </w:p>
    <w:p w14:paraId="2E99C36D">
      <w:pPr>
        <w:pStyle w:val="4"/>
        <w:keepNext w:val="0"/>
        <w:keepLines w:val="0"/>
        <w:widowControl/>
        <w:suppressLineNumbers w:val="0"/>
      </w:pPr>
    </w:p>
    <w:p w14:paraId="039872FF"/>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7EF4A5"/>
    <w:multiLevelType w:val="singleLevel"/>
    <w:tmpl w:val="277EF4A5"/>
    <w:lvl w:ilvl="0" w:tentative="0">
      <w:start w:val="1"/>
      <w:numFmt w:val="upperLetter"/>
      <w:suff w:val="space"/>
      <w:lvlText w:val="(%1)"/>
      <w:lvlJc w:val="left"/>
    </w:lvl>
  </w:abstractNum>
  <w:abstractNum w:abstractNumId="1">
    <w:nsid w:val="323B0E9B"/>
    <w:multiLevelType w:val="singleLevel"/>
    <w:tmpl w:val="323B0E9B"/>
    <w:lvl w:ilvl="0" w:tentative="0">
      <w:start w:val="1"/>
      <w:numFmt w:val="upp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3A67AC"/>
    <w:rsid w:val="753A6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88" w:lineRule="auto"/>
    </w:pPr>
    <w:rPr>
      <w:rFonts w:ascii="Times New Roman" w:hAnsi="Times New Roman" w:eastAsiaTheme="minorEastAsia" w:cstheme="minorBidi"/>
      <w:sz w:val="22"/>
      <w:szCs w:val="22"/>
      <w:lang w:val="en-US" w:eastAsia="en-US" w:bidi="ar-SA"/>
    </w:rPr>
  </w:style>
  <w:style w:type="paragraph" w:styleId="2">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2"/>
      <w:szCs w:val="26"/>
      <w14:textFill>
        <w14:solidFill>
          <w14:schemeClr w14:val="accent1"/>
        </w14:solidFill>
      </w14:textFill>
    </w:rPr>
  </w:style>
  <w:style w:type="paragraph" w:styleId="3">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874CB" w:themeColor="accent1"/>
      <w:sz w:val="22"/>
      <w14:textFill>
        <w14:solidFill>
          <w14:schemeClr w14:val="accent1"/>
        </w14:solidFill>
      </w14:textFill>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7">
    <w:name w:val="Strong"/>
    <w:basedOn w:val="6"/>
    <w:qFormat/>
    <w:uiPriority w:val="22"/>
    <w:rPr>
      <w:b/>
      <w:bC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2026-10-13T07:31:00Z</dcterms:created>
  <dc:creator>清欢。</dc:creator>
  <cp:lastModifiedBy>清欢。</cp:lastModifiedBy>
  <dcterms:modified xsi:type="dcterms:W3CDTF">2026-10-13T07:35:10Z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16C1A9D4E9B5489C8930596EB696845F_11</vt:lpwstr>
  </property>
  <property fmtid="{D5CDD505-2E9C-101B-9397-08002B2CF9AE}" pid="4" name="KSOTemplateDocerSaveRecord">
    <vt:lpwstr>eyJoZGlkIjoiYjhlZDU4MjBkNDA0ODYwOTZiZDJhOGE0YTM2OGY0MjQiLCJ1c2VySWQiOiIyMTEyOTY3NDIifQ==</vt:lpwstr>
  </property>
</Properties>
</file>