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A8038">
      <w:pPr>
        <w:widowControl/>
        <w:snapToGrid w:val="0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Table S1 Summary of high-quality bacterial 16S rRNA reads obtained per sample after quality filtering across stand types and niches.  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2"/>
        <w:gridCol w:w="1628"/>
        <w:gridCol w:w="4616"/>
      </w:tblGrid>
      <w:tr w14:paraId="7B2EC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5B651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b/>
                <w:bCs/>
                <w:sz w:val="18"/>
                <w:szCs w:val="18"/>
              </w:rPr>
              <w:t>Stand types</w:t>
            </w:r>
          </w:p>
        </w:tc>
        <w:tc>
          <w:tcPr>
            <w:tcW w:w="98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01054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b/>
                <w:bCs/>
                <w:sz w:val="18"/>
                <w:szCs w:val="18"/>
              </w:rPr>
              <w:t>Niches</w:t>
            </w:r>
          </w:p>
        </w:tc>
        <w:tc>
          <w:tcPr>
            <w:tcW w:w="277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F2441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b/>
                <w:bCs/>
                <w:sz w:val="18"/>
                <w:szCs w:val="18"/>
              </w:rPr>
              <w:t>16S rRNA reads after filtering</w:t>
            </w:r>
          </w:p>
        </w:tc>
      </w:tr>
      <w:tr w14:paraId="45982F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12653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</w:t>
            </w:r>
          </w:p>
        </w:tc>
        <w:tc>
          <w:tcPr>
            <w:tcW w:w="980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8197D">
            <w:pPr>
              <w:snapToGrid w:val="0"/>
              <w:jc w:val="center"/>
              <w:rPr>
                <w:rFonts w:ascii="Times New Roman" w:hAnsi="Times New Roman" w:eastAsiaTheme="minorEastAsia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R</w:t>
            </w:r>
          </w:p>
        </w:tc>
        <w:tc>
          <w:tcPr>
            <w:tcW w:w="2779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6BA5B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66,622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±1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841</w:t>
            </w:r>
          </w:p>
        </w:tc>
      </w:tr>
      <w:tr w14:paraId="2163A3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4679D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7EA73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RS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9ED5C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60,280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59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</w:t>
            </w:r>
          </w:p>
        </w:tc>
      </w:tr>
      <w:tr w14:paraId="3BA473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17399">
            <w:pPr>
              <w:snapToGrid w:val="0"/>
              <w:jc w:val="center"/>
              <w:rPr>
                <w:rFonts w:ascii="Times New Roman" w:hAnsi="Times New Roman" w:eastAsiaTheme="minorEastAsia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P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C6F53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NRS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7AC93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59,586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742</w:t>
            </w:r>
          </w:p>
        </w:tc>
      </w:tr>
      <w:tr w14:paraId="129D3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E5F90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PC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4E6BD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R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4A8D0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64,012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579</w:t>
            </w:r>
          </w:p>
        </w:tc>
      </w:tr>
      <w:tr w14:paraId="43D58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1DD54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PC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4AFFD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RS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059E6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62,909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637</w:t>
            </w:r>
          </w:p>
        </w:tc>
      </w:tr>
      <w:tr w14:paraId="30FDF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1C907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PC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A15DE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NRS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5B719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58,771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±4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254</w:t>
            </w:r>
          </w:p>
        </w:tc>
      </w:tr>
      <w:tr w14:paraId="0C36C2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BDB44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PS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78A56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R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2B56C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64,138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±3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279</w:t>
            </w:r>
          </w:p>
        </w:tc>
      </w:tr>
      <w:tr w14:paraId="00449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53A28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PS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4CE46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RS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A20AD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62,429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±1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534</w:t>
            </w:r>
          </w:p>
        </w:tc>
      </w:tr>
      <w:tr w14:paraId="6F4129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38B91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PS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E23A1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NRS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99334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61,078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±1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617</w:t>
            </w:r>
          </w:p>
        </w:tc>
      </w:tr>
      <w:tr w14:paraId="183829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583C8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PZ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D60CD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R</w:t>
            </w:r>
          </w:p>
        </w:tc>
        <w:tc>
          <w:tcPr>
            <w:tcW w:w="27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78DCF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62,069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±4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089</w:t>
            </w:r>
          </w:p>
        </w:tc>
      </w:tr>
      <w:tr w14:paraId="628D73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42B8F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PZ</w:t>
            </w:r>
          </w:p>
        </w:tc>
        <w:tc>
          <w:tcPr>
            <w:tcW w:w="980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7F193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RS</w:t>
            </w:r>
          </w:p>
        </w:tc>
        <w:tc>
          <w:tcPr>
            <w:tcW w:w="2779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B926E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61,186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392</w:t>
            </w:r>
          </w:p>
        </w:tc>
      </w:tr>
      <w:tr w14:paraId="7FCC7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1" w:type="pct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36A7C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PZ</w:t>
            </w:r>
          </w:p>
        </w:tc>
        <w:tc>
          <w:tcPr>
            <w:tcW w:w="980" w:type="pct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8F888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NRS</w:t>
            </w:r>
          </w:p>
        </w:tc>
        <w:tc>
          <w:tcPr>
            <w:tcW w:w="2779" w:type="pct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338F2">
            <w:pPr>
              <w:snapToGrid w:val="0"/>
              <w:ind w:left="698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ascii="Times New Roman" w:hAnsi="Times New Roman" w:eastAsia="Calibri"/>
                <w:sz w:val="18"/>
                <w:szCs w:val="18"/>
              </w:rPr>
              <w:t>59,450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±3</w:t>
            </w: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,</w:t>
            </w:r>
            <w:r>
              <w:rPr>
                <w:rFonts w:ascii="Times New Roman" w:hAnsi="Times New Roman" w:eastAsia="Calibri"/>
                <w:sz w:val="18"/>
                <w:szCs w:val="18"/>
              </w:rPr>
              <w:t>700</w:t>
            </w:r>
          </w:p>
        </w:tc>
      </w:tr>
      <w:tr w14:paraId="1E762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21" w:type="pct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C53B8">
            <w:pPr>
              <w:snapToGrid w:val="0"/>
              <w:jc w:val="center"/>
              <w:rPr>
                <w:rFonts w:ascii="Times New Roman" w:hAnsi="Times New Roman" w:eastAsia="Calibri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A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verage</w:t>
            </w:r>
          </w:p>
        </w:tc>
        <w:tc>
          <w:tcPr>
            <w:tcW w:w="2779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49509">
            <w:pPr>
              <w:snapToGrid w:val="0"/>
              <w:ind w:left="698"/>
              <w:jc w:val="center"/>
              <w:rPr>
                <w:rFonts w:ascii="Times New Roman" w:hAnsi="Times New Roman" w:eastAsiaTheme="minorEastAsia"/>
                <w:sz w:val="18"/>
                <w:szCs w:val="18"/>
              </w:rPr>
            </w:pPr>
            <w:r>
              <w:rPr>
                <w:rFonts w:hint="eastAsia" w:ascii="Times New Roman" w:hAnsi="Times New Roman" w:eastAsiaTheme="minorEastAsia"/>
                <w:sz w:val="18"/>
                <w:szCs w:val="18"/>
              </w:rPr>
              <w:t>6</w:t>
            </w:r>
            <w:r>
              <w:rPr>
                <w:rFonts w:ascii="Times New Roman" w:hAnsi="Times New Roman" w:eastAsiaTheme="minorEastAsia"/>
                <w:sz w:val="18"/>
                <w:szCs w:val="18"/>
              </w:rPr>
              <w:t>1,878±3,643</w:t>
            </w:r>
          </w:p>
        </w:tc>
      </w:tr>
    </w:tbl>
    <w:p w14:paraId="3719264F"/>
    <w:p w14:paraId="5ADF79AB"/>
    <w:p w14:paraId="4A4B6E36">
      <w:pPr>
        <w:widowControl/>
        <w:jc w:val="left"/>
      </w:pPr>
      <w:r>
        <w:br w:type="page"/>
      </w:r>
    </w:p>
    <w:p w14:paraId="4ACFE655">
      <w:pPr>
        <w:widowControl/>
        <w:snapToGri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Table S2 Two-way ANOVA results for the effects of niche and stand type on bacterial α diversity indices.  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14:paraId="16573C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Merge w:val="restart"/>
          </w:tcPr>
          <w:p w14:paraId="24C4271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0" w:type="dxa"/>
            <w:gridSpan w:val="2"/>
            <w:tcBorders>
              <w:bottom w:val="single" w:color="auto" w:sz="4" w:space="0"/>
            </w:tcBorders>
          </w:tcPr>
          <w:p w14:paraId="141D74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Niche</w:t>
            </w:r>
          </w:p>
        </w:tc>
        <w:tc>
          <w:tcPr>
            <w:tcW w:w="2370" w:type="dxa"/>
            <w:gridSpan w:val="2"/>
            <w:tcBorders>
              <w:bottom w:val="single" w:color="auto" w:sz="4" w:space="0"/>
            </w:tcBorders>
          </w:tcPr>
          <w:p w14:paraId="490675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tand type</w:t>
            </w:r>
          </w:p>
        </w:tc>
        <w:tc>
          <w:tcPr>
            <w:tcW w:w="2371" w:type="dxa"/>
            <w:gridSpan w:val="2"/>
            <w:tcBorders>
              <w:bottom w:val="single" w:color="auto" w:sz="4" w:space="0"/>
            </w:tcBorders>
          </w:tcPr>
          <w:p w14:paraId="17E3B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Niche </w:t>
            </w:r>
            <w:r>
              <w:rPr>
                <w:rFonts w:hint="eastAsia" w:ascii="Times New Roman" w:hAnsi="Times New Roman"/>
                <w:sz w:val="18"/>
                <w:szCs w:val="18"/>
              </w:rPr>
              <w:t>×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tand type</w:t>
            </w:r>
          </w:p>
        </w:tc>
      </w:tr>
      <w:tr w14:paraId="4A46B6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Merge w:val="continue"/>
            <w:tcBorders>
              <w:bottom w:val="single" w:color="auto" w:sz="4" w:space="0"/>
            </w:tcBorders>
          </w:tcPr>
          <w:p w14:paraId="2BC1705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</w:tcPr>
          <w:p w14:paraId="37002328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hint="eastAsia" w:ascii="Times New Roman" w:hAnsi="Times New Roman"/>
                <w:i/>
                <w:iCs/>
                <w:sz w:val="18"/>
                <w:szCs w:val="18"/>
              </w:rPr>
              <w:t>F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</w:tcPr>
          <w:p w14:paraId="1B51960B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hint="eastAsia"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</w:tcPr>
          <w:p w14:paraId="23F5D5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i/>
                <w:iCs/>
                <w:sz w:val="18"/>
                <w:szCs w:val="18"/>
              </w:rPr>
              <w:t>F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</w:tcPr>
          <w:p w14:paraId="291311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</w:tcPr>
          <w:p w14:paraId="5B9C22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i/>
                <w:iCs/>
                <w:sz w:val="18"/>
                <w:szCs w:val="18"/>
              </w:rPr>
              <w:t>F</w:t>
            </w:r>
          </w:p>
        </w:tc>
        <w:tc>
          <w:tcPr>
            <w:tcW w:w="1186" w:type="dxa"/>
            <w:tcBorders>
              <w:top w:val="single" w:color="auto" w:sz="4" w:space="0"/>
              <w:bottom w:val="single" w:color="auto" w:sz="4" w:space="0"/>
            </w:tcBorders>
          </w:tcPr>
          <w:p w14:paraId="0FE474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</w:tr>
      <w:tr w14:paraId="177F4D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tcBorders>
              <w:top w:val="single" w:color="auto" w:sz="4" w:space="0"/>
              <w:bottom w:val="nil"/>
            </w:tcBorders>
          </w:tcPr>
          <w:p w14:paraId="15D9064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Chao1</w:t>
            </w:r>
          </w:p>
        </w:tc>
        <w:tc>
          <w:tcPr>
            <w:tcW w:w="1185" w:type="dxa"/>
            <w:tcBorders>
              <w:top w:val="single" w:color="auto" w:sz="4" w:space="0"/>
              <w:bottom w:val="nil"/>
            </w:tcBorders>
          </w:tcPr>
          <w:p w14:paraId="41D25F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88.696</w:t>
            </w:r>
          </w:p>
        </w:tc>
        <w:tc>
          <w:tcPr>
            <w:tcW w:w="1185" w:type="dxa"/>
            <w:tcBorders>
              <w:top w:val="single" w:color="auto" w:sz="4" w:space="0"/>
              <w:bottom w:val="nil"/>
            </w:tcBorders>
          </w:tcPr>
          <w:p w14:paraId="3EA0FB2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.9355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×1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-34</w:t>
            </w:r>
          </w:p>
        </w:tc>
        <w:tc>
          <w:tcPr>
            <w:tcW w:w="1185" w:type="dxa"/>
            <w:tcBorders>
              <w:top w:val="single" w:color="auto" w:sz="4" w:space="0"/>
              <w:bottom w:val="nil"/>
            </w:tcBorders>
          </w:tcPr>
          <w:p w14:paraId="40D0D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.165</w:t>
            </w:r>
          </w:p>
        </w:tc>
        <w:tc>
          <w:tcPr>
            <w:tcW w:w="1185" w:type="dxa"/>
            <w:tcBorders>
              <w:top w:val="single" w:color="auto" w:sz="4" w:space="0"/>
              <w:bottom w:val="nil"/>
            </w:tcBorders>
          </w:tcPr>
          <w:p w14:paraId="2670375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.033</w:t>
            </w:r>
          </w:p>
        </w:tc>
        <w:tc>
          <w:tcPr>
            <w:tcW w:w="1185" w:type="dxa"/>
            <w:tcBorders>
              <w:top w:val="single" w:color="auto" w:sz="4" w:space="0"/>
              <w:bottom w:val="nil"/>
            </w:tcBorders>
          </w:tcPr>
          <w:p w14:paraId="3A082E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.059</w:t>
            </w:r>
          </w:p>
        </w:tc>
        <w:tc>
          <w:tcPr>
            <w:tcW w:w="1186" w:type="dxa"/>
            <w:tcBorders>
              <w:top w:val="single" w:color="auto" w:sz="4" w:space="0"/>
              <w:bottom w:val="nil"/>
            </w:tcBorders>
          </w:tcPr>
          <w:p w14:paraId="66E5C3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.076</w:t>
            </w:r>
          </w:p>
        </w:tc>
      </w:tr>
      <w:tr w14:paraId="72D0A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tcBorders>
              <w:top w:val="nil"/>
            </w:tcBorders>
          </w:tcPr>
          <w:p w14:paraId="09D99BF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Shannon</w:t>
            </w:r>
          </w:p>
        </w:tc>
        <w:tc>
          <w:tcPr>
            <w:tcW w:w="1185" w:type="dxa"/>
            <w:tcBorders>
              <w:top w:val="nil"/>
            </w:tcBorders>
          </w:tcPr>
          <w:p w14:paraId="7C4197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71.561</w:t>
            </w:r>
          </w:p>
        </w:tc>
        <w:tc>
          <w:tcPr>
            <w:tcW w:w="1185" w:type="dxa"/>
            <w:tcBorders>
              <w:top w:val="nil"/>
            </w:tcBorders>
          </w:tcPr>
          <w:p w14:paraId="7B4F36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.7536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×1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-27</w:t>
            </w:r>
          </w:p>
        </w:tc>
        <w:tc>
          <w:tcPr>
            <w:tcW w:w="1185" w:type="dxa"/>
            <w:tcBorders>
              <w:top w:val="nil"/>
            </w:tcBorders>
          </w:tcPr>
          <w:p w14:paraId="28F686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.621</w:t>
            </w:r>
          </w:p>
        </w:tc>
        <w:tc>
          <w:tcPr>
            <w:tcW w:w="1185" w:type="dxa"/>
            <w:tcBorders>
              <w:top w:val="nil"/>
            </w:tcBorders>
          </w:tcPr>
          <w:p w14:paraId="1480AAD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.197</w:t>
            </w:r>
          </w:p>
        </w:tc>
        <w:tc>
          <w:tcPr>
            <w:tcW w:w="1185" w:type="dxa"/>
            <w:tcBorders>
              <w:top w:val="nil"/>
            </w:tcBorders>
          </w:tcPr>
          <w:p w14:paraId="27279E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.769</w:t>
            </w:r>
          </w:p>
        </w:tc>
        <w:tc>
          <w:tcPr>
            <w:tcW w:w="1186" w:type="dxa"/>
            <w:tcBorders>
              <w:top w:val="nil"/>
            </w:tcBorders>
          </w:tcPr>
          <w:p w14:paraId="35F77F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.126</w:t>
            </w:r>
          </w:p>
        </w:tc>
      </w:tr>
    </w:tbl>
    <w:p w14:paraId="4ABD4367"/>
    <w:p w14:paraId="59CFB3BD"/>
    <w:p w14:paraId="102F3407">
      <w:pPr>
        <w:widowControl/>
        <w:jc w:val="both"/>
      </w:pPr>
      <w:r>
        <w:br w:type="page"/>
      </w:r>
      <w:r>
        <w:rPr>
          <w:rFonts w:ascii="Times New Roman" w:hAnsi="Times New Roman"/>
          <w:sz w:val="20"/>
          <w:szCs w:val="20"/>
        </w:rPr>
        <w:t>Table S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3</w:t>
      </w:r>
      <w:r>
        <w:rPr>
          <w:rFonts w:ascii="Times New Roman" w:hAnsi="Times New Roman"/>
          <w:sz w:val="20"/>
          <w:szCs w:val="20"/>
        </w:rPr>
        <w:t xml:space="preserve"> Environmental drivers of bacterial community composition identified by redundancy analysis (RDA), showing vector orientations (RDA1 and RDA2), explained variance (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r</w:t>
      </w:r>
      <w:r>
        <w:rPr>
          <w:rFonts w:ascii="Times New Roman" w:hAnsi="Times New Roman"/>
          <w:i/>
          <w:iCs/>
          <w:color w:val="000000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>), and statistical significance (</w:t>
      </w:r>
      <w:r>
        <w:rPr>
          <w:rFonts w:ascii="Times New Roman" w:hAnsi="Times New Roman"/>
          <w:i/>
          <w:iCs/>
          <w:sz w:val="20"/>
          <w:szCs w:val="20"/>
        </w:rPr>
        <w:t xml:space="preserve">p </w:t>
      </w:r>
      <w:r>
        <w:rPr>
          <w:rFonts w:ascii="Times New Roman" w:hAnsi="Times New Roman"/>
          <w:sz w:val="20"/>
          <w:szCs w:val="20"/>
        </w:rPr>
        <w:t xml:space="preserve">values) of individual soil variables.  </w:t>
      </w:r>
    </w:p>
    <w:tbl>
      <w:tblPr>
        <w:tblStyle w:val="5"/>
        <w:tblpPr w:leftFromText="180" w:rightFromText="180" w:vertAnchor="text" w:horzAnchor="margin" w:tblpY="8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1584"/>
        <w:gridCol w:w="1584"/>
        <w:gridCol w:w="1579"/>
        <w:gridCol w:w="1971"/>
      </w:tblGrid>
      <w:tr w14:paraId="39585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DEBA6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45661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RDA1</w:t>
            </w:r>
          </w:p>
        </w:tc>
        <w:tc>
          <w:tcPr>
            <w:tcW w:w="158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0EB6E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RDA2</w:t>
            </w:r>
          </w:p>
        </w:tc>
        <w:tc>
          <w:tcPr>
            <w:tcW w:w="157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2FBBDC8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97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EAC76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value</w:t>
            </w:r>
          </w:p>
        </w:tc>
      </w:tr>
      <w:tr w14:paraId="62A1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tcBorders>
              <w:top w:val="single" w:color="auto" w:sz="4" w:space="0"/>
            </w:tcBorders>
            <w:vAlign w:val="center"/>
          </w:tcPr>
          <w:p w14:paraId="0C21A15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pH</w:t>
            </w:r>
          </w:p>
        </w:tc>
        <w:tc>
          <w:tcPr>
            <w:tcW w:w="1584" w:type="dxa"/>
            <w:tcBorders>
              <w:top w:val="single" w:color="auto" w:sz="4" w:space="0"/>
            </w:tcBorders>
            <w:vAlign w:val="center"/>
          </w:tcPr>
          <w:p w14:paraId="013870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0.281</w:t>
            </w:r>
          </w:p>
        </w:tc>
        <w:tc>
          <w:tcPr>
            <w:tcW w:w="1584" w:type="dxa"/>
            <w:tcBorders>
              <w:top w:val="single" w:color="auto" w:sz="4" w:space="0"/>
            </w:tcBorders>
            <w:vAlign w:val="center"/>
          </w:tcPr>
          <w:p w14:paraId="6D4111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0.966</w:t>
            </w:r>
          </w:p>
        </w:tc>
        <w:tc>
          <w:tcPr>
            <w:tcW w:w="1579" w:type="dxa"/>
            <w:tcBorders>
              <w:top w:val="single" w:color="auto" w:sz="4" w:space="0"/>
            </w:tcBorders>
            <w:vAlign w:val="center"/>
          </w:tcPr>
          <w:p w14:paraId="744959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1971" w:type="dxa"/>
            <w:tcBorders>
              <w:top w:val="single" w:color="auto" w:sz="4" w:space="0"/>
            </w:tcBorders>
            <w:vAlign w:val="center"/>
          </w:tcPr>
          <w:p w14:paraId="3CF6C99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0.048</w:t>
            </w:r>
          </w:p>
        </w:tc>
      </w:tr>
      <w:tr w14:paraId="52644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vAlign w:val="center"/>
          </w:tcPr>
          <w:p w14:paraId="60BD82D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SWC</w:t>
            </w:r>
          </w:p>
        </w:tc>
        <w:tc>
          <w:tcPr>
            <w:tcW w:w="1584" w:type="dxa"/>
            <w:vAlign w:val="center"/>
          </w:tcPr>
          <w:p w14:paraId="61522D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1584" w:type="dxa"/>
            <w:vAlign w:val="center"/>
          </w:tcPr>
          <w:p w14:paraId="28A1CF9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-0.614</w:t>
            </w:r>
          </w:p>
        </w:tc>
        <w:tc>
          <w:tcPr>
            <w:tcW w:w="1579" w:type="dxa"/>
            <w:vAlign w:val="center"/>
          </w:tcPr>
          <w:p w14:paraId="62A50E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1971" w:type="dxa"/>
            <w:vAlign w:val="center"/>
          </w:tcPr>
          <w:p w14:paraId="713D293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0.0005</w:t>
            </w:r>
          </w:p>
        </w:tc>
      </w:tr>
      <w:tr w14:paraId="7216D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vAlign w:val="center"/>
          </w:tcPr>
          <w:p w14:paraId="6B7322B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SOM</w:t>
            </w:r>
          </w:p>
        </w:tc>
        <w:tc>
          <w:tcPr>
            <w:tcW w:w="1584" w:type="dxa"/>
            <w:vAlign w:val="center"/>
          </w:tcPr>
          <w:p w14:paraId="3B06C3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-0.366</w:t>
            </w:r>
          </w:p>
        </w:tc>
        <w:tc>
          <w:tcPr>
            <w:tcW w:w="1584" w:type="dxa"/>
            <w:vAlign w:val="center"/>
          </w:tcPr>
          <w:p w14:paraId="0D8158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-0.931</w:t>
            </w:r>
          </w:p>
        </w:tc>
        <w:tc>
          <w:tcPr>
            <w:tcW w:w="1579" w:type="dxa"/>
            <w:vAlign w:val="center"/>
          </w:tcPr>
          <w:p w14:paraId="363FE7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1971" w:type="dxa"/>
            <w:vAlign w:val="center"/>
          </w:tcPr>
          <w:p w14:paraId="4C9E5B0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0.0005</w:t>
            </w:r>
          </w:p>
        </w:tc>
      </w:tr>
      <w:tr w14:paraId="4C0CB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vAlign w:val="center"/>
          </w:tcPr>
          <w:p w14:paraId="72248C8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TP</w:t>
            </w:r>
          </w:p>
        </w:tc>
        <w:tc>
          <w:tcPr>
            <w:tcW w:w="1584" w:type="dxa"/>
            <w:vAlign w:val="center"/>
          </w:tcPr>
          <w:p w14:paraId="7F314E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-0.985</w:t>
            </w:r>
          </w:p>
        </w:tc>
        <w:tc>
          <w:tcPr>
            <w:tcW w:w="1584" w:type="dxa"/>
            <w:vAlign w:val="center"/>
          </w:tcPr>
          <w:p w14:paraId="21A304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1579" w:type="dxa"/>
            <w:vAlign w:val="center"/>
          </w:tcPr>
          <w:p w14:paraId="05E341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0.714</w:t>
            </w:r>
          </w:p>
        </w:tc>
        <w:tc>
          <w:tcPr>
            <w:tcW w:w="1971" w:type="dxa"/>
          </w:tcPr>
          <w:p w14:paraId="7A633C4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0.0005</w:t>
            </w:r>
          </w:p>
        </w:tc>
      </w:tr>
      <w:tr w14:paraId="6E0D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578" w:type="dxa"/>
            <w:vAlign w:val="center"/>
          </w:tcPr>
          <w:p w14:paraId="1FD9152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584" w:type="dxa"/>
            <w:vAlign w:val="center"/>
          </w:tcPr>
          <w:p w14:paraId="660CF97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-0.851</w:t>
            </w:r>
          </w:p>
        </w:tc>
        <w:tc>
          <w:tcPr>
            <w:tcW w:w="1584" w:type="dxa"/>
            <w:vAlign w:val="center"/>
          </w:tcPr>
          <w:p w14:paraId="1ACB3F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1579" w:type="dxa"/>
            <w:vAlign w:val="center"/>
          </w:tcPr>
          <w:p w14:paraId="0260E8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1971" w:type="dxa"/>
          </w:tcPr>
          <w:p w14:paraId="5AB508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0.0005</w:t>
            </w:r>
          </w:p>
        </w:tc>
      </w:tr>
      <w:tr w14:paraId="7848A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tcBorders>
              <w:bottom w:val="nil"/>
            </w:tcBorders>
            <w:shd w:val="clear" w:color="auto" w:fill="auto"/>
            <w:vAlign w:val="center"/>
          </w:tcPr>
          <w:p w14:paraId="18A90BA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TK</w:t>
            </w:r>
          </w:p>
        </w:tc>
        <w:tc>
          <w:tcPr>
            <w:tcW w:w="1584" w:type="dxa"/>
            <w:tcBorders>
              <w:bottom w:val="nil"/>
            </w:tcBorders>
            <w:shd w:val="clear" w:color="auto" w:fill="auto"/>
            <w:vAlign w:val="center"/>
          </w:tcPr>
          <w:p w14:paraId="283143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-0.922</w:t>
            </w:r>
          </w:p>
        </w:tc>
        <w:tc>
          <w:tcPr>
            <w:tcW w:w="1584" w:type="dxa"/>
            <w:tcBorders>
              <w:bottom w:val="nil"/>
            </w:tcBorders>
            <w:shd w:val="clear" w:color="auto" w:fill="auto"/>
            <w:vAlign w:val="center"/>
          </w:tcPr>
          <w:p w14:paraId="04F023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1579" w:type="dxa"/>
            <w:tcBorders>
              <w:bottom w:val="nil"/>
            </w:tcBorders>
            <w:shd w:val="clear" w:color="auto" w:fill="auto"/>
            <w:vAlign w:val="center"/>
          </w:tcPr>
          <w:p w14:paraId="0B93FA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0.372</w:t>
            </w:r>
          </w:p>
        </w:tc>
        <w:tc>
          <w:tcPr>
            <w:tcW w:w="1971" w:type="dxa"/>
            <w:tcBorders>
              <w:bottom w:val="nil"/>
            </w:tcBorders>
            <w:shd w:val="clear" w:color="auto" w:fill="auto"/>
          </w:tcPr>
          <w:p w14:paraId="46F6773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0.0005</w:t>
            </w:r>
          </w:p>
        </w:tc>
      </w:tr>
      <w:tr w14:paraId="4100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tcBorders>
              <w:top w:val="nil"/>
              <w:bottom w:val="single" w:color="auto" w:sz="12" w:space="0"/>
            </w:tcBorders>
            <w:vAlign w:val="center"/>
          </w:tcPr>
          <w:p w14:paraId="172E77B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K</w:t>
            </w:r>
          </w:p>
        </w:tc>
        <w:tc>
          <w:tcPr>
            <w:tcW w:w="1584" w:type="dxa"/>
            <w:tcBorders>
              <w:top w:val="nil"/>
              <w:bottom w:val="single" w:color="auto" w:sz="12" w:space="0"/>
            </w:tcBorders>
            <w:vAlign w:val="center"/>
          </w:tcPr>
          <w:p w14:paraId="6CB449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-0.9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84" w:type="dxa"/>
            <w:tcBorders>
              <w:top w:val="nil"/>
              <w:bottom w:val="single" w:color="auto" w:sz="12" w:space="0"/>
            </w:tcBorders>
            <w:vAlign w:val="center"/>
          </w:tcPr>
          <w:p w14:paraId="5B811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-0.341</w:t>
            </w:r>
          </w:p>
        </w:tc>
        <w:tc>
          <w:tcPr>
            <w:tcW w:w="1579" w:type="dxa"/>
            <w:tcBorders>
              <w:top w:val="nil"/>
              <w:bottom w:val="single" w:color="auto" w:sz="12" w:space="0"/>
            </w:tcBorders>
            <w:vAlign w:val="center"/>
          </w:tcPr>
          <w:p w14:paraId="037783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631</w:t>
            </w:r>
          </w:p>
        </w:tc>
        <w:tc>
          <w:tcPr>
            <w:tcW w:w="1971" w:type="dxa"/>
            <w:tcBorders>
              <w:top w:val="nil"/>
              <w:bottom w:val="single" w:color="auto" w:sz="12" w:space="0"/>
            </w:tcBorders>
          </w:tcPr>
          <w:p w14:paraId="1B08F08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0.0005</w:t>
            </w:r>
          </w:p>
        </w:tc>
      </w:tr>
    </w:tbl>
    <w:p w14:paraId="5DCAE7F5"/>
    <w:p w14:paraId="4C319551"/>
    <w:p w14:paraId="253A332C"/>
    <w:p w14:paraId="44C9E44B">
      <w:r>
        <w:br w:type="page"/>
      </w:r>
    </w:p>
    <w:tbl>
      <w:tblPr>
        <w:tblStyle w:val="5"/>
        <w:tblW w:w="0" w:type="auto"/>
        <w:tblInd w:w="1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1"/>
      </w:tblGrid>
      <w:tr w14:paraId="322C5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7EBC3">
            <w:pPr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drawing>
                <wp:inline distT="0" distB="0" distL="114300" distR="114300">
                  <wp:extent cx="3144520" cy="2981325"/>
                  <wp:effectExtent l="0" t="0" r="7620" b="8890"/>
                  <wp:docPr id="3" name="图片 3" descr="P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PCo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4520" cy="2981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0E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9" w:hRule="atLeast"/>
        </w:trPr>
        <w:tc>
          <w:tcPr>
            <w:tcW w:w="8171" w:type="dxa"/>
            <w:tcBorders>
              <w:top w:val="nil"/>
              <w:left w:val="nil"/>
              <w:bottom w:val="nil"/>
              <w:right w:val="nil"/>
            </w:tcBorders>
          </w:tcPr>
          <w:p w14:paraId="6ABF1829">
            <w:pPr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Fig. </w:t>
            </w:r>
            <w:r>
              <w:rPr>
                <w:rFonts w:hint="eastAsia" w:ascii="Times New Roman" w:hAnsi="Times New Roman"/>
                <w:sz w:val="18"/>
                <w:szCs w:val="20"/>
              </w:rPr>
              <w:t>S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1 </w:t>
            </w:r>
            <w:r>
              <w:rPr>
                <w:rFonts w:hint="eastAsia" w:ascii="Times New Roman" w:hAnsi="Times New Roman"/>
                <w:sz w:val="18"/>
                <w:szCs w:val="20"/>
              </w:rPr>
              <w:t xml:space="preserve">PCoA ordination (Axis 1: 44.78%; Axis 2: 9.20%) of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bacterial </w:t>
            </w:r>
            <w:r>
              <w:rPr>
                <w:rFonts w:hint="eastAsia" w:ascii="Times New Roman" w:hAnsi="Times New Roman"/>
                <w:sz w:val="18"/>
                <w:szCs w:val="20"/>
              </w:rPr>
              <w:t>communities based on Bray</w:t>
            </w:r>
            <w:r>
              <w:rPr>
                <w:rFonts w:hint="eastAsia" w:ascii="Times New Roman" w:hAnsi="Times New Roman"/>
                <w:sz w:val="18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18"/>
                <w:szCs w:val="20"/>
              </w:rPr>
              <w:t>Curtis dissimilarities. Colors denote stand types (P, PS, PC, PZ), and symbols represent ecological niches (R, RS, NRS)</w:t>
            </w:r>
            <w:r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</w:tr>
    </w:tbl>
    <w:p w14:paraId="1408A7FC">
      <w:pPr>
        <w:widowControl/>
        <w:jc w:val="left"/>
      </w:pPr>
      <w:r>
        <w:br w:type="page"/>
      </w:r>
    </w:p>
    <w:tbl>
      <w:tblPr>
        <w:tblStyle w:val="5"/>
        <w:tblW w:w="0" w:type="auto"/>
        <w:tblInd w:w="1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1"/>
      </w:tblGrid>
      <w:tr w14:paraId="30039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11A88">
            <w:pPr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drawing>
                <wp:inline distT="0" distB="0" distL="0" distR="0">
                  <wp:extent cx="5210175" cy="1759585"/>
                  <wp:effectExtent l="0" t="0" r="381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2158" b="25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175" cy="175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A4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</w:trPr>
        <w:tc>
          <w:tcPr>
            <w:tcW w:w="8171" w:type="dxa"/>
            <w:tcBorders>
              <w:top w:val="nil"/>
              <w:left w:val="nil"/>
              <w:bottom w:val="nil"/>
              <w:right w:val="nil"/>
            </w:tcBorders>
          </w:tcPr>
          <w:p w14:paraId="15EF5485">
            <w:pPr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Fig. </w:t>
            </w:r>
            <w:r>
              <w:rPr>
                <w:rFonts w:hint="eastAsia" w:ascii="Times New Roman" w:hAnsi="Times New Roman"/>
                <w:sz w:val="18"/>
                <w:szCs w:val="20"/>
              </w:rPr>
              <w:t>S2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Redundancy analysis (RDA) showing the relationships between bacterial community composition and environmental variables across niches and </w:t>
            </w:r>
            <w:r>
              <w:rPr>
                <w:rFonts w:hint="eastAsia" w:ascii="Times New Roman" w:hAnsi="Times New Roman"/>
                <w:sz w:val="18"/>
                <w:szCs w:val="20"/>
              </w:rPr>
              <w:t>stand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types. </w:t>
            </w:r>
            <w:r>
              <w:rPr>
                <w:rFonts w:hint="eastAsia" w:ascii="Times New Roman" w:hAnsi="Times New Roman"/>
                <w:sz w:val="18"/>
                <w:szCs w:val="20"/>
              </w:rPr>
              <w:t>(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A) R, (B) RS, and (C) NRS. P, PS, PC, and PZ represent different </w:t>
            </w:r>
            <w:r>
              <w:rPr>
                <w:rFonts w:hint="eastAsia" w:ascii="Times New Roman" w:hAnsi="Times New Roman"/>
                <w:sz w:val="18"/>
                <w:szCs w:val="20"/>
              </w:rPr>
              <w:t xml:space="preserve">stand </w:t>
            </w:r>
            <w:r>
              <w:rPr>
                <w:rFonts w:ascii="Times New Roman" w:hAnsi="Times New Roman"/>
                <w:sz w:val="18"/>
                <w:szCs w:val="20"/>
              </w:rPr>
              <w:t>types. Arrows indicate environmental variables, and their lengths reflect the strength of their influence on bacterial community structure.</w:t>
            </w:r>
          </w:p>
        </w:tc>
      </w:tr>
    </w:tbl>
    <w:p w14:paraId="67FD5EB2"/>
    <w:p w14:paraId="31537CE3">
      <w:pPr>
        <w:widowControl/>
        <w:jc w:val="left"/>
      </w:pPr>
      <w: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89"/>
    <w:rsid w:val="00233534"/>
    <w:rsid w:val="00390CE0"/>
    <w:rsid w:val="003C5FCE"/>
    <w:rsid w:val="003E650B"/>
    <w:rsid w:val="0059621B"/>
    <w:rsid w:val="00637F89"/>
    <w:rsid w:val="00971EBA"/>
    <w:rsid w:val="0097715A"/>
    <w:rsid w:val="009F6FC3"/>
    <w:rsid w:val="00A103D6"/>
    <w:rsid w:val="00AC379D"/>
    <w:rsid w:val="00AC5F77"/>
    <w:rsid w:val="00C96BF8"/>
    <w:rsid w:val="00CA2531"/>
    <w:rsid w:val="00D47889"/>
    <w:rsid w:val="00D90134"/>
    <w:rsid w:val="00DC3832"/>
    <w:rsid w:val="00DF74A0"/>
    <w:rsid w:val="00F351F8"/>
    <w:rsid w:val="05D4282D"/>
    <w:rsid w:val="118B7830"/>
    <w:rsid w:val="53547C42"/>
    <w:rsid w:val="55CF39F8"/>
    <w:rsid w:val="58F847B8"/>
    <w:rsid w:val="76A505D2"/>
    <w:rsid w:val="7B53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63BC6-5D68-4ACB-BF6B-FC1A6C7738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272</Words>
  <Characters>1478</Characters>
  <Lines>15</Lines>
  <Paragraphs>4</Paragraphs>
  <TotalTime>1</TotalTime>
  <ScaleCrop>false</ScaleCrop>
  <LinksUpToDate>false</LinksUpToDate>
  <CharactersWithSpaces>1644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2026-03-24T11:06:00Z</dcterms:created>
  <dc:creator>ren15771468333@outlook.com</dc:creator>
  <cp:lastModifiedBy>张泽忠</cp:lastModifiedBy>
  <dcterms:modified xsi:type="dcterms:W3CDTF">2026-10-10T05:47:17Z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eyJoZGlkIjoiZmNmY2FkODliM2JlMTdjMWY4NjRmMjc5N2EwMDk3OGQiLCJ1c2VySWQiOiI3OTM1NzEwMTAifQ==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B6C75DE493CA41D88C6DC66052A7B00D_13</vt:lpwstr>
  </property>
</Properties>
</file>