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29C35" w14:textId="77777777" w:rsidR="0005712D" w:rsidRDefault="0005712D" w:rsidP="00BE546A">
      <w:pPr>
        <w:overflowPunct w:val="0"/>
        <w:autoSpaceDE w:val="0"/>
        <w:autoSpaceDN w:val="0"/>
        <w:adjustRightInd w:val="0"/>
        <w:snapToGrid w:val="0"/>
        <w:spacing w:beforeLines="50" w:before="120" w:afterLines="50" w:after="120" w:line="300" w:lineRule="auto"/>
        <w:jc w:val="center"/>
        <w:rPr>
          <w:rFonts w:cs="Times New Roman"/>
          <w:color w:val="000000" w:themeColor="text1"/>
        </w:rPr>
      </w:pPr>
    </w:p>
    <w:p w14:paraId="59AEDFA2" w14:textId="77777777" w:rsidR="0005712D" w:rsidRDefault="0005712D" w:rsidP="00BE546A">
      <w:pPr>
        <w:overflowPunct w:val="0"/>
        <w:autoSpaceDE w:val="0"/>
        <w:autoSpaceDN w:val="0"/>
        <w:adjustRightInd w:val="0"/>
        <w:snapToGrid w:val="0"/>
        <w:spacing w:beforeLines="50" w:before="120" w:afterLines="50" w:after="120" w:line="300" w:lineRule="auto"/>
        <w:jc w:val="center"/>
        <w:rPr>
          <w:rFonts w:cs="Times New Roman"/>
          <w:color w:val="000000" w:themeColor="text1"/>
        </w:rPr>
      </w:pPr>
    </w:p>
    <w:p w14:paraId="697612BC" w14:textId="77777777" w:rsidR="0005712D" w:rsidRDefault="00CF2A39" w:rsidP="00BE546A">
      <w:pPr>
        <w:pStyle w:val="af5"/>
        <w:overflowPunct w:val="0"/>
        <w:autoSpaceDE w:val="0"/>
        <w:autoSpaceDN w:val="0"/>
        <w:adjustRightInd w:val="0"/>
        <w:snapToGrid w:val="0"/>
        <w:spacing w:beforeLines="50" w:before="120" w:afterLines="50" w:after="120" w:line="300" w:lineRule="auto"/>
        <w:rPr>
          <w:rFonts w:ascii="Times New Roman" w:hAnsi="Times New Roman" w:cs="Times New Roman"/>
          <w:color w:val="000000" w:themeColor="text1"/>
        </w:rPr>
      </w:pPr>
      <w:r>
        <w:rPr>
          <w:rFonts w:ascii="Times New Roman" w:hAnsi="Times New Roman" w:cs="Times New Roman"/>
          <w:color w:val="000000" w:themeColor="text1"/>
        </w:rPr>
        <w:t>Statistical Analysis Plan</w:t>
      </w:r>
    </w:p>
    <w:p w14:paraId="01D66648" w14:textId="77777777" w:rsidR="0005712D" w:rsidRDefault="0005712D" w:rsidP="00BE546A">
      <w:pPr>
        <w:overflowPunct w:val="0"/>
        <w:autoSpaceDE w:val="0"/>
        <w:autoSpaceDN w:val="0"/>
        <w:adjustRightInd w:val="0"/>
        <w:snapToGrid w:val="0"/>
        <w:spacing w:beforeLines="50" w:before="120" w:afterLines="50" w:after="120" w:line="300" w:lineRule="auto"/>
        <w:jc w:val="center"/>
        <w:rPr>
          <w:rFonts w:cs="Times New Roman"/>
          <w:color w:val="000000" w:themeColor="text1"/>
        </w:rPr>
      </w:pPr>
    </w:p>
    <w:p w14:paraId="72698E35" w14:textId="77777777" w:rsidR="0005712D" w:rsidRDefault="00CF2A39" w:rsidP="00101741">
      <w:pPr>
        <w:pStyle w:val="af5"/>
        <w:pBdr>
          <w:top w:val="single" w:sz="4" w:space="1" w:color="auto"/>
          <w:bottom w:val="single" w:sz="4" w:space="1" w:color="auto"/>
        </w:pBdr>
        <w:overflowPunct w:val="0"/>
        <w:autoSpaceDE w:val="0"/>
        <w:autoSpaceDN w:val="0"/>
        <w:adjustRightInd w:val="0"/>
        <w:snapToGrid w:val="0"/>
        <w:spacing w:beforeLines="50" w:before="120" w:afterLines="50" w:after="120" w:line="300" w:lineRule="auto"/>
        <w:rPr>
          <w:rFonts w:ascii="Times New Roman" w:hAnsi="Times New Roman" w:cs="Times New Roman"/>
          <w:color w:val="000000" w:themeColor="text1"/>
          <w:sz w:val="32"/>
        </w:rPr>
      </w:pPr>
      <w:r>
        <w:rPr>
          <w:rFonts w:ascii="Times New Roman" w:hAnsi="Times New Roman" w:cs="Times New Roman"/>
          <w:color w:val="000000" w:themeColor="text1"/>
          <w:sz w:val="32"/>
        </w:rPr>
        <w:t>A Multicenter, Randomized, Double-blind, Placebo-controlled Phase II Clinical Study Evaluating the Safety, Tolerability, and Efficacy of RAY1225 Injection in Patients with Type 2 Diabetes Mellitus</w:t>
      </w:r>
    </w:p>
    <w:p w14:paraId="02BAE8F1" w14:textId="77777777" w:rsidR="0005712D" w:rsidRDefault="0005712D" w:rsidP="00BE546A">
      <w:pPr>
        <w:overflowPunct w:val="0"/>
        <w:autoSpaceDE w:val="0"/>
        <w:autoSpaceDN w:val="0"/>
        <w:adjustRightInd w:val="0"/>
        <w:snapToGrid w:val="0"/>
        <w:spacing w:beforeLines="50" w:before="120" w:afterLines="50" w:after="120" w:line="300" w:lineRule="auto"/>
        <w:jc w:val="center"/>
        <w:rPr>
          <w:rFonts w:cs="Times New Roman"/>
          <w:color w:val="000000" w:themeColor="text1"/>
        </w:rPr>
      </w:pPr>
    </w:p>
    <w:p w14:paraId="37C77B48" w14:textId="77777777" w:rsidR="0005712D" w:rsidRDefault="0005712D" w:rsidP="00BE546A">
      <w:pPr>
        <w:overflowPunct w:val="0"/>
        <w:autoSpaceDE w:val="0"/>
        <w:autoSpaceDN w:val="0"/>
        <w:adjustRightInd w:val="0"/>
        <w:snapToGrid w:val="0"/>
        <w:spacing w:beforeLines="50" w:before="120" w:afterLines="50" w:after="120" w:line="300" w:lineRule="auto"/>
        <w:jc w:val="center"/>
        <w:rPr>
          <w:rFonts w:cs="Times New Roman"/>
        </w:rPr>
      </w:pPr>
    </w:p>
    <w:tbl>
      <w:tblPr>
        <w:tblStyle w:val="af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4"/>
        <w:gridCol w:w="4074"/>
      </w:tblGrid>
      <w:tr w:rsidR="0005712D" w:rsidRPr="001735F5" w14:paraId="47CA16E9" w14:textId="77777777" w:rsidTr="00890DDB">
        <w:trPr>
          <w:jc w:val="center"/>
        </w:trPr>
        <w:tc>
          <w:tcPr>
            <w:tcW w:w="0" w:type="auto"/>
            <w:tcMar>
              <w:top w:w="57" w:type="dxa"/>
              <w:left w:w="57" w:type="dxa"/>
              <w:bottom w:w="57" w:type="dxa"/>
              <w:right w:w="57" w:type="dxa"/>
            </w:tcMar>
          </w:tcPr>
          <w:p w14:paraId="640CA713"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Sponsor:</w:t>
            </w:r>
          </w:p>
        </w:tc>
        <w:tc>
          <w:tcPr>
            <w:tcW w:w="0" w:type="auto"/>
            <w:tcMar>
              <w:top w:w="57" w:type="dxa"/>
              <w:left w:w="57" w:type="dxa"/>
              <w:bottom w:w="57" w:type="dxa"/>
              <w:right w:w="57" w:type="dxa"/>
            </w:tcMar>
          </w:tcPr>
          <w:p w14:paraId="547280F5"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color w:val="000000" w:themeColor="text1"/>
                <w:sz w:val="24"/>
              </w:rPr>
              <w:t>Guangdong Raynovent Biotech Co., Ltd.</w:t>
            </w:r>
          </w:p>
        </w:tc>
      </w:tr>
      <w:tr w:rsidR="0005712D" w:rsidRPr="001735F5" w14:paraId="2775B03F" w14:textId="77777777" w:rsidTr="00890DDB">
        <w:trPr>
          <w:jc w:val="center"/>
        </w:trPr>
        <w:tc>
          <w:tcPr>
            <w:tcW w:w="0" w:type="auto"/>
            <w:tcMar>
              <w:top w:w="57" w:type="dxa"/>
              <w:left w:w="57" w:type="dxa"/>
              <w:bottom w:w="57" w:type="dxa"/>
              <w:right w:w="57" w:type="dxa"/>
            </w:tcMar>
          </w:tcPr>
          <w:p w14:paraId="2EDDD5AB"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Protocol No.:</w:t>
            </w:r>
          </w:p>
        </w:tc>
        <w:tc>
          <w:tcPr>
            <w:tcW w:w="0" w:type="auto"/>
            <w:tcMar>
              <w:top w:w="57" w:type="dxa"/>
              <w:left w:w="57" w:type="dxa"/>
              <w:bottom w:w="57" w:type="dxa"/>
              <w:right w:w="57" w:type="dxa"/>
            </w:tcMar>
          </w:tcPr>
          <w:p w14:paraId="0F5ABF9D" w14:textId="77777777" w:rsidR="0005712D" w:rsidRPr="001735F5" w:rsidRDefault="00CF2A39" w:rsidP="001735F5">
            <w:pPr>
              <w:snapToGrid w:val="0"/>
              <w:spacing w:beforeLines="30" w:before="72" w:afterLines="30" w:after="72" w:line="288" w:lineRule="auto"/>
              <w:jc w:val="left"/>
              <w:rPr>
                <w:rFonts w:cs="Times New Roman"/>
                <w:color w:val="000000" w:themeColor="text1"/>
                <w:sz w:val="24"/>
              </w:rPr>
            </w:pPr>
            <w:r w:rsidRPr="001735F5">
              <w:rPr>
                <w:rFonts w:cs="Times New Roman"/>
                <w:color w:val="000000" w:themeColor="text1"/>
                <w:sz w:val="24"/>
              </w:rPr>
              <w:t>RAY1225-23-03</w:t>
            </w:r>
          </w:p>
        </w:tc>
      </w:tr>
      <w:tr w:rsidR="0005712D" w:rsidRPr="001735F5" w14:paraId="2E06F9DA" w14:textId="77777777" w:rsidTr="00890DDB">
        <w:trPr>
          <w:jc w:val="center"/>
        </w:trPr>
        <w:tc>
          <w:tcPr>
            <w:tcW w:w="0" w:type="auto"/>
            <w:tcMar>
              <w:top w:w="57" w:type="dxa"/>
              <w:left w:w="57" w:type="dxa"/>
              <w:bottom w:w="57" w:type="dxa"/>
              <w:right w:w="57" w:type="dxa"/>
            </w:tcMar>
          </w:tcPr>
          <w:p w14:paraId="68F71BEE"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Investigational Drug</w:t>
            </w:r>
          </w:p>
        </w:tc>
        <w:tc>
          <w:tcPr>
            <w:tcW w:w="0" w:type="auto"/>
            <w:tcMar>
              <w:top w:w="57" w:type="dxa"/>
              <w:left w:w="57" w:type="dxa"/>
              <w:bottom w:w="57" w:type="dxa"/>
              <w:right w:w="57" w:type="dxa"/>
            </w:tcMar>
          </w:tcPr>
          <w:p w14:paraId="6AF75865" w14:textId="77777777" w:rsidR="0005712D" w:rsidRPr="001735F5" w:rsidRDefault="00CF2A39" w:rsidP="001735F5">
            <w:pPr>
              <w:snapToGrid w:val="0"/>
              <w:spacing w:beforeLines="30" w:before="72" w:afterLines="30" w:after="72" w:line="288" w:lineRule="auto"/>
              <w:jc w:val="left"/>
              <w:rPr>
                <w:rFonts w:cs="Times New Roman"/>
                <w:color w:val="000000" w:themeColor="text1"/>
                <w:sz w:val="24"/>
              </w:rPr>
            </w:pPr>
            <w:r w:rsidRPr="001735F5">
              <w:rPr>
                <w:rFonts w:cs="Times New Roman"/>
                <w:color w:val="000000" w:themeColor="text1"/>
                <w:sz w:val="24"/>
              </w:rPr>
              <w:t>RAY1225 Injection</w:t>
            </w:r>
          </w:p>
        </w:tc>
      </w:tr>
      <w:tr w:rsidR="0005712D" w:rsidRPr="001735F5" w14:paraId="5E29546F" w14:textId="77777777" w:rsidTr="00890DDB">
        <w:trPr>
          <w:jc w:val="center"/>
        </w:trPr>
        <w:tc>
          <w:tcPr>
            <w:tcW w:w="0" w:type="auto"/>
            <w:tcMar>
              <w:top w:w="57" w:type="dxa"/>
              <w:left w:w="57" w:type="dxa"/>
              <w:bottom w:w="57" w:type="dxa"/>
              <w:right w:w="57" w:type="dxa"/>
            </w:tcMar>
          </w:tcPr>
          <w:p w14:paraId="5CABEE0B"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Phase of Development:</w:t>
            </w:r>
          </w:p>
        </w:tc>
        <w:tc>
          <w:tcPr>
            <w:tcW w:w="0" w:type="auto"/>
            <w:tcMar>
              <w:top w:w="57" w:type="dxa"/>
              <w:left w:w="57" w:type="dxa"/>
              <w:bottom w:w="57" w:type="dxa"/>
              <w:right w:w="57" w:type="dxa"/>
            </w:tcMar>
          </w:tcPr>
          <w:p w14:paraId="4AD811A2" w14:textId="77777777" w:rsidR="0005712D" w:rsidRPr="001735F5" w:rsidRDefault="00CF2A39" w:rsidP="001735F5">
            <w:pPr>
              <w:snapToGrid w:val="0"/>
              <w:spacing w:beforeLines="30" w:before="72" w:afterLines="30" w:after="72" w:line="288" w:lineRule="auto"/>
              <w:jc w:val="left"/>
              <w:rPr>
                <w:rFonts w:cs="Times New Roman"/>
                <w:color w:val="000000" w:themeColor="text1"/>
                <w:sz w:val="24"/>
              </w:rPr>
            </w:pPr>
            <w:r w:rsidRPr="001735F5">
              <w:rPr>
                <w:rFonts w:cs="Times New Roman"/>
                <w:color w:val="000000" w:themeColor="text1"/>
                <w:sz w:val="24"/>
              </w:rPr>
              <w:t>Phase II</w:t>
            </w:r>
          </w:p>
        </w:tc>
      </w:tr>
      <w:tr w:rsidR="0005712D" w:rsidRPr="001735F5" w14:paraId="6F653A61" w14:textId="77777777" w:rsidTr="00890DDB">
        <w:trPr>
          <w:jc w:val="center"/>
        </w:trPr>
        <w:tc>
          <w:tcPr>
            <w:tcW w:w="0" w:type="auto"/>
            <w:tcMar>
              <w:top w:w="57" w:type="dxa"/>
              <w:left w:w="57" w:type="dxa"/>
              <w:bottom w:w="57" w:type="dxa"/>
              <w:right w:w="57" w:type="dxa"/>
            </w:tcMar>
          </w:tcPr>
          <w:p w14:paraId="72990555"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Protocol Version/Date:</w:t>
            </w:r>
          </w:p>
        </w:tc>
        <w:tc>
          <w:tcPr>
            <w:tcW w:w="0" w:type="auto"/>
            <w:tcMar>
              <w:top w:w="57" w:type="dxa"/>
              <w:left w:w="57" w:type="dxa"/>
              <w:bottom w:w="57" w:type="dxa"/>
              <w:right w:w="57" w:type="dxa"/>
            </w:tcMar>
          </w:tcPr>
          <w:p w14:paraId="736E7401"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color w:val="000000" w:themeColor="text1"/>
                <w:sz w:val="24"/>
              </w:rPr>
              <w:t>V1.1/Jan. 26, 2024</w:t>
            </w:r>
          </w:p>
        </w:tc>
      </w:tr>
      <w:tr w:rsidR="0005712D" w:rsidRPr="001735F5" w14:paraId="1A4EA47B" w14:textId="77777777" w:rsidTr="00890DDB">
        <w:trPr>
          <w:jc w:val="center"/>
        </w:trPr>
        <w:tc>
          <w:tcPr>
            <w:tcW w:w="0" w:type="auto"/>
            <w:tcMar>
              <w:top w:w="57" w:type="dxa"/>
              <w:left w:w="57" w:type="dxa"/>
              <w:bottom w:w="57" w:type="dxa"/>
              <w:right w:w="57" w:type="dxa"/>
            </w:tcMar>
          </w:tcPr>
          <w:p w14:paraId="5F838878"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Statistical Analysis Agency:</w:t>
            </w:r>
          </w:p>
        </w:tc>
        <w:tc>
          <w:tcPr>
            <w:tcW w:w="0" w:type="auto"/>
            <w:tcMar>
              <w:top w:w="57" w:type="dxa"/>
              <w:left w:w="57" w:type="dxa"/>
              <w:bottom w:w="57" w:type="dxa"/>
              <w:right w:w="57" w:type="dxa"/>
            </w:tcMar>
          </w:tcPr>
          <w:p w14:paraId="54173B66"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color w:val="000000" w:themeColor="text1"/>
                <w:sz w:val="24"/>
              </w:rPr>
              <w:t>Beijing ClinFunction Co., Ltd.</w:t>
            </w:r>
          </w:p>
        </w:tc>
      </w:tr>
      <w:tr w:rsidR="0005712D" w:rsidRPr="001735F5" w14:paraId="695DAF5B" w14:textId="77777777" w:rsidTr="00890DDB">
        <w:trPr>
          <w:jc w:val="center"/>
        </w:trPr>
        <w:tc>
          <w:tcPr>
            <w:tcW w:w="0" w:type="auto"/>
            <w:tcMar>
              <w:top w:w="57" w:type="dxa"/>
              <w:left w:w="57" w:type="dxa"/>
              <w:bottom w:w="57" w:type="dxa"/>
              <w:right w:w="57" w:type="dxa"/>
            </w:tcMar>
          </w:tcPr>
          <w:p w14:paraId="5608AFCA" w14:textId="77777777"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b/>
                <w:bCs/>
                <w:color w:val="000000" w:themeColor="text1"/>
                <w:sz w:val="24"/>
              </w:rPr>
              <w:t>SAP Version/Date:</w:t>
            </w:r>
          </w:p>
        </w:tc>
        <w:tc>
          <w:tcPr>
            <w:tcW w:w="0" w:type="auto"/>
            <w:tcMar>
              <w:top w:w="57" w:type="dxa"/>
              <w:left w:w="57" w:type="dxa"/>
              <w:bottom w:w="57" w:type="dxa"/>
              <w:right w:w="57" w:type="dxa"/>
            </w:tcMar>
          </w:tcPr>
          <w:p w14:paraId="264CBF90" w14:textId="52397BCF" w:rsidR="0005712D" w:rsidRPr="001735F5" w:rsidRDefault="00CF2A39" w:rsidP="001735F5">
            <w:pPr>
              <w:snapToGrid w:val="0"/>
              <w:spacing w:beforeLines="30" w:before="72" w:afterLines="30" w:after="72" w:line="288" w:lineRule="auto"/>
              <w:jc w:val="left"/>
              <w:rPr>
                <w:rFonts w:cs="Times New Roman"/>
                <w:b/>
                <w:bCs/>
                <w:color w:val="000000" w:themeColor="text1"/>
                <w:sz w:val="24"/>
              </w:rPr>
            </w:pPr>
            <w:r w:rsidRPr="001735F5">
              <w:rPr>
                <w:rFonts w:cs="Times New Roman"/>
                <w:color w:val="000000" w:themeColor="text1"/>
                <w:sz w:val="24"/>
              </w:rPr>
              <w:t xml:space="preserve">Draft for </w:t>
            </w:r>
            <w:r w:rsidRPr="001735F5">
              <w:rPr>
                <w:rFonts w:cs="Times New Roman" w:hint="eastAsia"/>
                <w:color w:val="000000" w:themeColor="text1"/>
                <w:sz w:val="24"/>
              </w:rPr>
              <w:t>D</w:t>
            </w:r>
            <w:r w:rsidRPr="001735F5">
              <w:rPr>
                <w:rFonts w:cs="Times New Roman"/>
                <w:color w:val="000000" w:themeColor="text1"/>
                <w:sz w:val="24"/>
              </w:rPr>
              <w:t>iscussion V1.0, Dec. 19, 2024</w:t>
            </w:r>
          </w:p>
        </w:tc>
      </w:tr>
    </w:tbl>
    <w:p w14:paraId="10A2EBE2" w14:textId="77777777" w:rsidR="0005712D" w:rsidRDefault="0005712D" w:rsidP="00BE546A">
      <w:pPr>
        <w:overflowPunct w:val="0"/>
        <w:autoSpaceDE w:val="0"/>
        <w:autoSpaceDN w:val="0"/>
        <w:adjustRightInd w:val="0"/>
        <w:snapToGrid w:val="0"/>
        <w:spacing w:beforeLines="50" w:before="120" w:afterLines="50" w:after="120" w:line="300" w:lineRule="auto"/>
        <w:jc w:val="left"/>
        <w:rPr>
          <w:rFonts w:cs="Times New Roman"/>
          <w:color w:val="000000" w:themeColor="text1"/>
        </w:rPr>
      </w:pPr>
    </w:p>
    <w:p w14:paraId="0FCC317D" w14:textId="77777777" w:rsidR="0005712D"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rPr>
        <w:sectPr w:rsidR="0005712D" w:rsidSect="00F72DDB">
          <w:footerReference w:type="default" r:id="rId12"/>
          <w:pgSz w:w="12242" w:h="15842" w:code="119"/>
          <w:pgMar w:top="1440" w:right="1440" w:bottom="1440" w:left="1440" w:header="720" w:footer="720" w:gutter="0"/>
          <w:cols w:space="425"/>
          <w:docGrid w:linePitch="312"/>
        </w:sectPr>
      </w:pPr>
    </w:p>
    <w:p w14:paraId="4C3EE3BE" w14:textId="77777777" w:rsidR="0005712D" w:rsidRPr="00BE546A" w:rsidRDefault="00CF2A39" w:rsidP="00101741">
      <w:pPr>
        <w:pStyle w:val="SAPH1TEXT"/>
        <w:keepNext w:val="0"/>
        <w:keepLines w:val="0"/>
        <w:overflowPunct w:val="0"/>
        <w:autoSpaceDE w:val="0"/>
        <w:autoSpaceDN w:val="0"/>
        <w:adjustRightInd w:val="0"/>
        <w:spacing w:beforeLines="50" w:before="120" w:afterLines="50" w:after="120" w:line="300" w:lineRule="auto"/>
        <w:rPr>
          <w:rFonts w:cs="Times New Roman"/>
          <w:color w:val="000000" w:themeColor="text1"/>
          <w:sz w:val="28"/>
          <w:szCs w:val="28"/>
        </w:rPr>
      </w:pPr>
      <w:r w:rsidRPr="00BE546A">
        <w:rPr>
          <w:rFonts w:cs="Times New Roman"/>
          <w:color w:val="000000" w:themeColor="text1"/>
          <w:sz w:val="28"/>
          <w:szCs w:val="28"/>
        </w:rPr>
        <w:lastRenderedPageBreak/>
        <w:t>Revision History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bottom w:w="28" w:type="dxa"/>
        </w:tblCellMar>
        <w:tblLook w:val="04A0" w:firstRow="1" w:lastRow="0" w:firstColumn="1" w:lastColumn="0" w:noHBand="0" w:noVBand="1"/>
      </w:tblPr>
      <w:tblGrid>
        <w:gridCol w:w="1382"/>
        <w:gridCol w:w="2524"/>
        <w:gridCol w:w="1226"/>
        <w:gridCol w:w="4344"/>
      </w:tblGrid>
      <w:tr w:rsidR="0005712D" w:rsidRPr="00101741" w14:paraId="55289B32" w14:textId="77777777" w:rsidTr="00101741">
        <w:tc>
          <w:tcPr>
            <w:tcW w:w="729" w:type="pct"/>
            <w:tcBorders>
              <w:top w:val="single" w:sz="4" w:space="0" w:color="auto"/>
              <w:left w:val="single" w:sz="4" w:space="0" w:color="auto"/>
              <w:bottom w:val="single" w:sz="4" w:space="0" w:color="auto"/>
              <w:right w:val="single" w:sz="4" w:space="0" w:color="auto"/>
            </w:tcBorders>
            <w:shd w:val="pct15" w:color="auto" w:fill="auto"/>
            <w:tcMar>
              <w:top w:w="57" w:type="dxa"/>
              <w:left w:w="57" w:type="dxa"/>
              <w:bottom w:w="57" w:type="dxa"/>
              <w:right w:w="57" w:type="dxa"/>
            </w:tcMar>
            <w:vAlign w:val="center"/>
          </w:tcPr>
          <w:p w14:paraId="359CC225"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color w:val="000000" w:themeColor="text1"/>
                <w:sz w:val="20"/>
                <w:szCs w:val="20"/>
              </w:rPr>
            </w:pPr>
            <w:r w:rsidRPr="00101741">
              <w:rPr>
                <w:rFonts w:cs="Times New Roman"/>
                <w:b/>
                <w:bCs/>
                <w:color w:val="000000" w:themeColor="text1"/>
                <w:sz w:val="20"/>
                <w:szCs w:val="20"/>
              </w:rPr>
              <w:t>Version</w:t>
            </w:r>
          </w:p>
        </w:tc>
        <w:tc>
          <w:tcPr>
            <w:tcW w:w="1332" w:type="pct"/>
            <w:tcBorders>
              <w:top w:val="single" w:sz="4" w:space="0" w:color="auto"/>
              <w:left w:val="single" w:sz="4" w:space="0" w:color="auto"/>
              <w:bottom w:val="single" w:sz="4" w:space="0" w:color="auto"/>
              <w:right w:val="single" w:sz="4" w:space="0" w:color="auto"/>
            </w:tcBorders>
            <w:shd w:val="pct15" w:color="auto" w:fill="auto"/>
            <w:tcMar>
              <w:top w:w="57" w:type="dxa"/>
              <w:left w:w="57" w:type="dxa"/>
              <w:bottom w:w="57" w:type="dxa"/>
              <w:right w:w="57" w:type="dxa"/>
            </w:tcMar>
            <w:vAlign w:val="center"/>
          </w:tcPr>
          <w:p w14:paraId="59D0CEB8"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color w:val="000000" w:themeColor="text1"/>
                <w:sz w:val="20"/>
                <w:szCs w:val="20"/>
              </w:rPr>
            </w:pPr>
            <w:r w:rsidRPr="00101741">
              <w:rPr>
                <w:rFonts w:cs="Times New Roman"/>
                <w:b/>
                <w:bCs/>
                <w:color w:val="000000" w:themeColor="text1"/>
                <w:sz w:val="20"/>
                <w:szCs w:val="20"/>
              </w:rPr>
              <w:t>Date</w:t>
            </w:r>
          </w:p>
        </w:tc>
        <w:tc>
          <w:tcPr>
            <w:tcW w:w="647" w:type="pct"/>
            <w:tcBorders>
              <w:top w:val="single" w:sz="4" w:space="0" w:color="auto"/>
              <w:left w:val="single" w:sz="4" w:space="0" w:color="auto"/>
              <w:bottom w:val="single" w:sz="4" w:space="0" w:color="auto"/>
              <w:right w:val="single" w:sz="4" w:space="0" w:color="auto"/>
            </w:tcBorders>
            <w:shd w:val="pct15" w:color="auto" w:fill="auto"/>
            <w:tcMar>
              <w:top w:w="57" w:type="dxa"/>
              <w:left w:w="57" w:type="dxa"/>
              <w:bottom w:w="57" w:type="dxa"/>
              <w:right w:w="57" w:type="dxa"/>
            </w:tcMar>
            <w:vAlign w:val="center"/>
          </w:tcPr>
          <w:p w14:paraId="3A975B69"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color w:val="000000" w:themeColor="text1"/>
                <w:sz w:val="20"/>
                <w:szCs w:val="20"/>
              </w:rPr>
            </w:pPr>
            <w:r w:rsidRPr="00101741">
              <w:rPr>
                <w:rFonts w:cs="Times New Roman"/>
                <w:b/>
                <w:bCs/>
                <w:color w:val="000000" w:themeColor="text1"/>
                <w:sz w:val="20"/>
                <w:szCs w:val="20"/>
              </w:rPr>
              <w:t>Prepared by</w:t>
            </w:r>
          </w:p>
        </w:tc>
        <w:tc>
          <w:tcPr>
            <w:tcW w:w="2292" w:type="pct"/>
            <w:tcBorders>
              <w:top w:val="single" w:sz="4" w:space="0" w:color="auto"/>
              <w:left w:val="single" w:sz="4" w:space="0" w:color="auto"/>
              <w:bottom w:val="single" w:sz="4" w:space="0" w:color="auto"/>
              <w:right w:val="single" w:sz="4" w:space="0" w:color="auto"/>
            </w:tcBorders>
            <w:shd w:val="pct15" w:color="auto" w:fill="auto"/>
            <w:tcMar>
              <w:top w:w="57" w:type="dxa"/>
              <w:left w:w="57" w:type="dxa"/>
              <w:bottom w:w="57" w:type="dxa"/>
              <w:right w:w="57" w:type="dxa"/>
            </w:tcMar>
            <w:vAlign w:val="center"/>
          </w:tcPr>
          <w:p w14:paraId="5B9A9A91"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color w:val="000000" w:themeColor="text1"/>
                <w:sz w:val="20"/>
                <w:szCs w:val="20"/>
              </w:rPr>
            </w:pPr>
            <w:r w:rsidRPr="00101741">
              <w:rPr>
                <w:rFonts w:cs="Times New Roman"/>
                <w:b/>
                <w:bCs/>
                <w:color w:val="000000" w:themeColor="text1"/>
                <w:sz w:val="20"/>
                <w:szCs w:val="20"/>
              </w:rPr>
              <w:t>Changes from previous version</w:t>
            </w:r>
          </w:p>
        </w:tc>
      </w:tr>
      <w:tr w:rsidR="0005712D" w:rsidRPr="00101741" w14:paraId="76A18F62" w14:textId="77777777" w:rsidTr="00101741">
        <w:tc>
          <w:tcPr>
            <w:tcW w:w="72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D6A3EF"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c>
          <w:tcPr>
            <w:tcW w:w="133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5BC856"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c>
          <w:tcPr>
            <w:tcW w:w="64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217424"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c>
          <w:tcPr>
            <w:tcW w:w="22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716E4F"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r>
      <w:tr w:rsidR="0005712D" w:rsidRPr="00101741" w14:paraId="42FA08E0" w14:textId="77777777" w:rsidTr="00101741">
        <w:tc>
          <w:tcPr>
            <w:tcW w:w="72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0695C5"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c>
          <w:tcPr>
            <w:tcW w:w="133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AC6116"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rPr>
            </w:pPr>
          </w:p>
        </w:tc>
        <w:tc>
          <w:tcPr>
            <w:tcW w:w="64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155D83"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c>
          <w:tcPr>
            <w:tcW w:w="22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B1403B" w14:textId="77777777" w:rsidR="0005712D" w:rsidRPr="00101741" w:rsidRDefault="0005712D" w:rsidP="00101741">
            <w:pPr>
              <w:pStyle w:val="TableText"/>
              <w:overflowPunct w:val="0"/>
              <w:autoSpaceDE w:val="0"/>
              <w:autoSpaceDN w:val="0"/>
              <w:adjustRightInd w:val="0"/>
              <w:snapToGrid w:val="0"/>
              <w:rPr>
                <w:rFonts w:cs="Times New Roman"/>
                <w:color w:val="538135" w:themeColor="accent6" w:themeShade="BF"/>
                <w:lang w:eastAsia="zh-CN"/>
              </w:rPr>
            </w:pPr>
          </w:p>
        </w:tc>
      </w:tr>
      <w:tr w:rsidR="0005712D" w:rsidRPr="00101741" w14:paraId="5299BD13" w14:textId="77777777" w:rsidTr="00101741">
        <w:tc>
          <w:tcPr>
            <w:tcW w:w="72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335384"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133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17B624"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64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B3259E"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22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B7147C"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r>
      <w:tr w:rsidR="0005712D" w:rsidRPr="00101741" w14:paraId="52E93A53" w14:textId="77777777" w:rsidTr="00101741">
        <w:tc>
          <w:tcPr>
            <w:tcW w:w="72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F76E8C"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133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58D93D"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64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92ADAF"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22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1DF915"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r>
      <w:tr w:rsidR="0005712D" w:rsidRPr="00101741" w14:paraId="311E471A" w14:textId="77777777" w:rsidTr="00101741">
        <w:tc>
          <w:tcPr>
            <w:tcW w:w="72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6F55A0"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133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34B2F1"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64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C19CE4"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c>
          <w:tcPr>
            <w:tcW w:w="22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ACD2C2" w14:textId="77777777" w:rsidR="0005712D" w:rsidRPr="00101741" w:rsidRDefault="0005712D" w:rsidP="00101741">
            <w:pPr>
              <w:pStyle w:val="TableText"/>
              <w:overflowPunct w:val="0"/>
              <w:autoSpaceDE w:val="0"/>
              <w:autoSpaceDN w:val="0"/>
              <w:adjustRightInd w:val="0"/>
              <w:snapToGrid w:val="0"/>
              <w:rPr>
                <w:rFonts w:cs="Times New Roman"/>
                <w:color w:val="000000" w:themeColor="text1"/>
                <w:lang w:eastAsia="zh-CN"/>
              </w:rPr>
            </w:pPr>
          </w:p>
        </w:tc>
      </w:tr>
    </w:tbl>
    <w:p w14:paraId="4E9A304C" w14:textId="77777777" w:rsidR="0005712D" w:rsidRPr="00F72DDB"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pPr>
    </w:p>
    <w:p w14:paraId="2E12981F" w14:textId="77777777" w:rsidR="0005712D" w:rsidRPr="00F72DDB"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sectPr w:rsidR="0005712D" w:rsidRPr="00F72DDB" w:rsidSect="00F72DDB">
          <w:headerReference w:type="default" r:id="rId13"/>
          <w:footerReference w:type="default" r:id="rId14"/>
          <w:pgSz w:w="12242" w:h="15842" w:code="119"/>
          <w:pgMar w:top="1440" w:right="1440" w:bottom="1440" w:left="1440" w:header="720" w:footer="720" w:gutter="0"/>
          <w:cols w:space="425"/>
          <w:docGrid w:linePitch="312"/>
        </w:sectPr>
      </w:pPr>
    </w:p>
    <w:p w14:paraId="6B346705" w14:textId="77777777" w:rsidR="0005712D" w:rsidRPr="00BE546A" w:rsidRDefault="00CF2A39" w:rsidP="00101741">
      <w:pPr>
        <w:pStyle w:val="SAPH1TEXT"/>
        <w:keepNext w:val="0"/>
        <w:keepLines w:val="0"/>
        <w:overflowPunct w:val="0"/>
        <w:autoSpaceDE w:val="0"/>
        <w:autoSpaceDN w:val="0"/>
        <w:adjustRightInd w:val="0"/>
        <w:spacing w:beforeLines="50" w:before="120" w:afterLines="50" w:after="120" w:line="300" w:lineRule="auto"/>
        <w:jc w:val="center"/>
        <w:rPr>
          <w:rFonts w:cs="Times New Roman"/>
          <w:color w:val="000000" w:themeColor="text1"/>
          <w:sz w:val="28"/>
          <w:szCs w:val="28"/>
        </w:rPr>
      </w:pPr>
      <w:r w:rsidRPr="00BE546A">
        <w:rPr>
          <w:rFonts w:cs="Times New Roman"/>
          <w:color w:val="000000" w:themeColor="text1"/>
          <w:sz w:val="28"/>
          <w:szCs w:val="28"/>
        </w:rPr>
        <w:lastRenderedPageBreak/>
        <w:t>Signature Page of Statistical Analysis Plan</w:t>
      </w:r>
    </w:p>
    <w:tbl>
      <w:tblPr>
        <w:tblStyle w:val="a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3"/>
        <w:gridCol w:w="7243"/>
      </w:tblGrid>
      <w:tr w:rsidR="0005712D" w:rsidRPr="00BE546A" w14:paraId="7CC03163" w14:textId="77777777" w:rsidTr="00101741">
        <w:tc>
          <w:tcPr>
            <w:tcW w:w="1178" w:type="pct"/>
            <w:tcMar>
              <w:top w:w="57" w:type="dxa"/>
              <w:left w:w="57" w:type="dxa"/>
              <w:bottom w:w="57" w:type="dxa"/>
              <w:right w:w="57" w:type="dxa"/>
            </w:tcMar>
          </w:tcPr>
          <w:p w14:paraId="0447F311" w14:textId="77777777" w:rsidR="0005712D" w:rsidRPr="00BE546A" w:rsidRDefault="00CF2A39" w:rsidP="00306959">
            <w:pPr>
              <w:pStyle w:val="F-PParagraphheading"/>
              <w:snapToGrid w:val="0"/>
              <w:spacing w:after="0" w:line="240" w:lineRule="auto"/>
              <w:jc w:val="left"/>
              <w:rPr>
                <w:rFonts w:ascii="Times New Roman" w:eastAsia="宋体" w:hAnsi="Times New Roman"/>
                <w:b w:val="0"/>
                <w:color w:val="000000" w:themeColor="text1"/>
                <w:szCs w:val="24"/>
              </w:rPr>
            </w:pPr>
            <w:r w:rsidRPr="00BE546A">
              <w:rPr>
                <w:rFonts w:ascii="Times New Roman" w:eastAsia="宋体" w:hAnsi="Times New Roman"/>
                <w:color w:val="000000" w:themeColor="text1"/>
                <w:szCs w:val="24"/>
              </w:rPr>
              <w:t>Study title:</w:t>
            </w:r>
          </w:p>
        </w:tc>
        <w:tc>
          <w:tcPr>
            <w:tcW w:w="3822" w:type="pct"/>
            <w:tcMar>
              <w:top w:w="57" w:type="dxa"/>
              <w:left w:w="57" w:type="dxa"/>
              <w:bottom w:w="57" w:type="dxa"/>
              <w:right w:w="57" w:type="dxa"/>
            </w:tcMar>
          </w:tcPr>
          <w:p w14:paraId="574492CA" w14:textId="77777777" w:rsidR="0005712D" w:rsidRPr="00BE546A" w:rsidRDefault="00CF2A39" w:rsidP="00306959">
            <w:pPr>
              <w:pStyle w:val="F-PParagraphheading"/>
              <w:snapToGrid w:val="0"/>
              <w:spacing w:after="0" w:line="240" w:lineRule="auto"/>
              <w:jc w:val="left"/>
              <w:rPr>
                <w:rFonts w:ascii="Times New Roman" w:eastAsia="宋体" w:hAnsi="Times New Roman"/>
                <w:b w:val="0"/>
                <w:bCs/>
                <w:color w:val="000000" w:themeColor="text1"/>
                <w:szCs w:val="24"/>
              </w:rPr>
            </w:pPr>
            <w:r w:rsidRPr="00BE546A">
              <w:rPr>
                <w:rFonts w:ascii="Times New Roman" w:eastAsia="宋体" w:hAnsi="Times New Roman"/>
                <w:b w:val="0"/>
                <w:color w:val="000000" w:themeColor="text1"/>
                <w:szCs w:val="24"/>
              </w:rPr>
              <w:t>A Multicenter, Randomized, Double-blind, Placebo-controlled Phase II Clinical Study Evaluating the Safety, Tolerability, and Efficacy of RAY1225 Injection in Patients with Type 2 Diabetes Mellitus</w:t>
            </w:r>
          </w:p>
        </w:tc>
      </w:tr>
      <w:tr w:rsidR="0005712D" w:rsidRPr="00BE546A" w14:paraId="739E97C2" w14:textId="77777777" w:rsidTr="00101741">
        <w:tc>
          <w:tcPr>
            <w:tcW w:w="1178" w:type="pct"/>
            <w:tcMar>
              <w:top w:w="57" w:type="dxa"/>
              <w:left w:w="57" w:type="dxa"/>
              <w:bottom w:w="57" w:type="dxa"/>
              <w:right w:w="57" w:type="dxa"/>
            </w:tcMar>
          </w:tcPr>
          <w:p w14:paraId="74339348" w14:textId="77777777" w:rsidR="0005712D" w:rsidRPr="00BE546A" w:rsidRDefault="00CF2A39" w:rsidP="00306959">
            <w:pPr>
              <w:pStyle w:val="F-PParagraphheading"/>
              <w:snapToGrid w:val="0"/>
              <w:spacing w:after="0" w:line="240" w:lineRule="auto"/>
              <w:jc w:val="left"/>
              <w:rPr>
                <w:rFonts w:ascii="Times New Roman" w:eastAsia="宋体" w:hAnsi="Times New Roman"/>
                <w:bCs/>
                <w:color w:val="000000" w:themeColor="text1"/>
                <w:szCs w:val="24"/>
              </w:rPr>
            </w:pPr>
            <w:r w:rsidRPr="00BE546A">
              <w:rPr>
                <w:rFonts w:ascii="Times New Roman" w:eastAsia="宋体" w:hAnsi="Times New Roman"/>
                <w:szCs w:val="24"/>
              </w:rPr>
              <w:t>SAP Version/Date:</w:t>
            </w:r>
          </w:p>
        </w:tc>
        <w:tc>
          <w:tcPr>
            <w:tcW w:w="3822" w:type="pct"/>
            <w:tcMar>
              <w:top w:w="57" w:type="dxa"/>
              <w:left w:w="57" w:type="dxa"/>
              <w:bottom w:w="57" w:type="dxa"/>
              <w:right w:w="57" w:type="dxa"/>
            </w:tcMar>
          </w:tcPr>
          <w:p w14:paraId="79A615C8" w14:textId="77777777" w:rsidR="0005712D" w:rsidRPr="00BE546A" w:rsidRDefault="00CF2A39" w:rsidP="00306959">
            <w:pPr>
              <w:pStyle w:val="F-PParagraphheading"/>
              <w:snapToGrid w:val="0"/>
              <w:spacing w:after="0" w:line="240" w:lineRule="auto"/>
              <w:jc w:val="left"/>
              <w:rPr>
                <w:rFonts w:ascii="Times New Roman" w:eastAsia="宋体" w:hAnsi="Times New Roman"/>
                <w:b w:val="0"/>
                <w:color w:val="000000" w:themeColor="text1"/>
                <w:szCs w:val="24"/>
              </w:rPr>
            </w:pPr>
            <w:r w:rsidRPr="00BE546A">
              <w:rPr>
                <w:rFonts w:ascii="Times New Roman" w:eastAsia="宋体" w:hAnsi="Times New Roman"/>
                <w:b w:val="0"/>
                <w:szCs w:val="24"/>
              </w:rPr>
              <w:t>V1.0/Dec. 19, 2024</w:t>
            </w:r>
          </w:p>
        </w:tc>
      </w:tr>
      <w:tr w:rsidR="0005712D" w:rsidRPr="00BE546A" w14:paraId="32BEA0FB" w14:textId="77777777" w:rsidTr="00101741">
        <w:tc>
          <w:tcPr>
            <w:tcW w:w="5000" w:type="pct"/>
            <w:gridSpan w:val="2"/>
            <w:tcMar>
              <w:top w:w="57" w:type="dxa"/>
              <w:left w:w="57" w:type="dxa"/>
              <w:bottom w:w="57" w:type="dxa"/>
              <w:right w:w="57" w:type="dxa"/>
            </w:tcMar>
          </w:tcPr>
          <w:p w14:paraId="2630E24B" w14:textId="77777777" w:rsidR="0005712D" w:rsidRPr="00BE546A" w:rsidRDefault="00CF2A39" w:rsidP="00BE546A">
            <w:pPr>
              <w:snapToGrid w:val="0"/>
              <w:spacing w:beforeLines="50" w:before="120" w:afterLines="50" w:after="120" w:line="300" w:lineRule="auto"/>
              <w:jc w:val="left"/>
              <w:rPr>
                <w:color w:val="000000" w:themeColor="text1"/>
                <w:sz w:val="24"/>
              </w:rPr>
            </w:pPr>
            <w:r w:rsidRPr="00BE546A">
              <w:rPr>
                <w:color w:val="000000" w:themeColor="text1"/>
                <w:sz w:val="24"/>
              </w:rPr>
              <w:t>Statement:</w:t>
            </w:r>
          </w:p>
          <w:p w14:paraId="3C66119E" w14:textId="77777777" w:rsidR="0005712D" w:rsidRPr="00BE546A" w:rsidRDefault="00CF2A39" w:rsidP="00BE546A">
            <w:pPr>
              <w:snapToGrid w:val="0"/>
              <w:spacing w:beforeLines="50" w:before="120" w:afterLines="50" w:after="120" w:line="300" w:lineRule="auto"/>
              <w:jc w:val="left"/>
              <w:rPr>
                <w:color w:val="000000" w:themeColor="text1"/>
                <w:sz w:val="24"/>
              </w:rPr>
            </w:pPr>
            <w:r w:rsidRPr="00BE546A">
              <w:rPr>
                <w:color w:val="000000" w:themeColor="text1"/>
                <w:sz w:val="24"/>
              </w:rPr>
              <w:t>I have carefully read this statistical analysis plan and agree to conduct statistical analysis on the clinical study data as per this plan.</w:t>
            </w:r>
          </w:p>
        </w:tc>
      </w:tr>
    </w:tbl>
    <w:tbl>
      <w:tblPr>
        <w:tblW w:w="5000" w:type="pct"/>
        <w:tblLook w:val="04A0" w:firstRow="1" w:lastRow="0" w:firstColumn="1" w:lastColumn="0" w:noHBand="0" w:noVBand="1"/>
      </w:tblPr>
      <w:tblGrid>
        <w:gridCol w:w="5284"/>
        <w:gridCol w:w="250"/>
        <w:gridCol w:w="3942"/>
      </w:tblGrid>
      <w:tr w:rsidR="0005712D" w:rsidRPr="00BE546A" w14:paraId="7F31C9BD" w14:textId="77777777" w:rsidTr="00BE546A">
        <w:tc>
          <w:tcPr>
            <w:tcW w:w="2788" w:type="pct"/>
            <w:vMerge w:val="restart"/>
            <w:tcMar>
              <w:top w:w="57" w:type="dxa"/>
              <w:left w:w="57" w:type="dxa"/>
              <w:bottom w:w="57" w:type="dxa"/>
              <w:right w:w="57" w:type="dxa"/>
            </w:tcMar>
          </w:tcPr>
          <w:p w14:paraId="56329B11"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132" w:type="pct"/>
            <w:tcMar>
              <w:top w:w="57" w:type="dxa"/>
              <w:left w:w="57" w:type="dxa"/>
              <w:bottom w:w="57" w:type="dxa"/>
              <w:right w:w="57" w:type="dxa"/>
            </w:tcMar>
          </w:tcPr>
          <w:p w14:paraId="6E73CBDE"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vMerge w:val="restart"/>
            <w:tcMar>
              <w:top w:w="57" w:type="dxa"/>
              <w:left w:w="57" w:type="dxa"/>
              <w:bottom w:w="57" w:type="dxa"/>
              <w:right w:w="57" w:type="dxa"/>
            </w:tcMar>
          </w:tcPr>
          <w:p w14:paraId="6B60E4AE"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r>
      <w:tr w:rsidR="0005712D" w:rsidRPr="00BE546A" w14:paraId="4F337635" w14:textId="77777777" w:rsidTr="00BE546A">
        <w:tc>
          <w:tcPr>
            <w:tcW w:w="2788" w:type="pct"/>
            <w:vMerge/>
            <w:tcBorders>
              <w:bottom w:val="single" w:sz="4" w:space="0" w:color="auto"/>
            </w:tcBorders>
            <w:tcMar>
              <w:top w:w="57" w:type="dxa"/>
              <w:left w:w="57" w:type="dxa"/>
              <w:bottom w:w="57" w:type="dxa"/>
              <w:right w:w="57" w:type="dxa"/>
            </w:tcMar>
          </w:tcPr>
          <w:p w14:paraId="34155278" w14:textId="77777777" w:rsidR="0005712D" w:rsidRPr="00BE546A" w:rsidRDefault="0005712D"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132" w:type="pct"/>
            <w:tcMar>
              <w:top w:w="57" w:type="dxa"/>
              <w:left w:w="57" w:type="dxa"/>
              <w:bottom w:w="57" w:type="dxa"/>
              <w:right w:w="57" w:type="dxa"/>
            </w:tcMar>
          </w:tcPr>
          <w:p w14:paraId="31099458"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vMerge/>
            <w:tcBorders>
              <w:bottom w:val="single" w:sz="4" w:space="0" w:color="auto"/>
            </w:tcBorders>
            <w:tcMar>
              <w:top w:w="57" w:type="dxa"/>
              <w:left w:w="57" w:type="dxa"/>
              <w:bottom w:w="57" w:type="dxa"/>
              <w:right w:w="57" w:type="dxa"/>
            </w:tcMar>
          </w:tcPr>
          <w:p w14:paraId="578CCA23"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r>
      <w:tr w:rsidR="0005712D" w:rsidRPr="00BE546A" w14:paraId="1E0F7F01" w14:textId="77777777" w:rsidTr="00BE546A">
        <w:tc>
          <w:tcPr>
            <w:tcW w:w="2788" w:type="pct"/>
            <w:vMerge w:val="restart"/>
            <w:tcMar>
              <w:top w:w="57" w:type="dxa"/>
              <w:left w:w="57" w:type="dxa"/>
              <w:bottom w:w="57" w:type="dxa"/>
              <w:right w:w="57" w:type="dxa"/>
            </w:tcMar>
          </w:tcPr>
          <w:p w14:paraId="3F6DDF97" w14:textId="77777777" w:rsidR="0005712D" w:rsidRPr="00BE546A" w:rsidRDefault="0005712D"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132" w:type="pct"/>
            <w:tcMar>
              <w:top w:w="57" w:type="dxa"/>
              <w:left w:w="57" w:type="dxa"/>
              <w:bottom w:w="57" w:type="dxa"/>
              <w:right w:w="57" w:type="dxa"/>
            </w:tcMar>
          </w:tcPr>
          <w:p w14:paraId="75277753"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vMerge w:val="restart"/>
            <w:tcMar>
              <w:top w:w="57" w:type="dxa"/>
              <w:left w:w="57" w:type="dxa"/>
              <w:bottom w:w="57" w:type="dxa"/>
              <w:right w:w="57" w:type="dxa"/>
            </w:tcMar>
          </w:tcPr>
          <w:p w14:paraId="06199255"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r>
      <w:tr w:rsidR="0005712D" w:rsidRPr="00BE546A" w14:paraId="0105F8DF" w14:textId="77777777" w:rsidTr="00BE546A">
        <w:tc>
          <w:tcPr>
            <w:tcW w:w="2788" w:type="pct"/>
            <w:vMerge/>
            <w:tcBorders>
              <w:bottom w:val="single" w:sz="4" w:space="0" w:color="auto"/>
            </w:tcBorders>
            <w:tcMar>
              <w:top w:w="57" w:type="dxa"/>
              <w:left w:w="57" w:type="dxa"/>
              <w:bottom w:w="57" w:type="dxa"/>
              <w:right w:w="57" w:type="dxa"/>
            </w:tcMar>
          </w:tcPr>
          <w:p w14:paraId="5387FEB6" w14:textId="77777777" w:rsidR="0005712D" w:rsidRPr="00BE546A" w:rsidRDefault="0005712D"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132" w:type="pct"/>
            <w:tcMar>
              <w:top w:w="57" w:type="dxa"/>
              <w:left w:w="57" w:type="dxa"/>
              <w:bottom w:w="57" w:type="dxa"/>
              <w:right w:w="57" w:type="dxa"/>
            </w:tcMar>
          </w:tcPr>
          <w:p w14:paraId="2343728C"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vMerge/>
            <w:tcBorders>
              <w:bottom w:val="single" w:sz="4" w:space="0" w:color="auto"/>
            </w:tcBorders>
            <w:tcMar>
              <w:top w:w="57" w:type="dxa"/>
              <w:left w:w="57" w:type="dxa"/>
              <w:bottom w:w="57" w:type="dxa"/>
              <w:right w:w="57" w:type="dxa"/>
            </w:tcMar>
          </w:tcPr>
          <w:p w14:paraId="6D8E23F2"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r>
      <w:tr w:rsidR="0005712D" w:rsidRPr="00BE546A" w14:paraId="549D7B57" w14:textId="77777777" w:rsidTr="00BE546A">
        <w:tc>
          <w:tcPr>
            <w:tcW w:w="2788" w:type="pct"/>
            <w:tcBorders>
              <w:top w:val="single" w:sz="4" w:space="0" w:color="auto"/>
            </w:tcBorders>
            <w:tcMar>
              <w:top w:w="57" w:type="dxa"/>
              <w:left w:w="57" w:type="dxa"/>
              <w:bottom w:w="57" w:type="dxa"/>
              <w:right w:w="57" w:type="dxa"/>
            </w:tcMar>
          </w:tcPr>
          <w:p w14:paraId="5D294386" w14:textId="77777777" w:rsidR="0005712D" w:rsidRPr="00BE546A" w:rsidRDefault="00CF2A39"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Prepared by: Liu Wangjun</w:t>
            </w:r>
          </w:p>
          <w:p w14:paraId="42BD9C15" w14:textId="77777777" w:rsidR="0005712D" w:rsidRPr="00BE546A" w:rsidRDefault="00CF2A39"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Director, Statistics and Programming</w:t>
            </w:r>
          </w:p>
          <w:p w14:paraId="7489A274" w14:textId="77777777" w:rsidR="0005712D" w:rsidRPr="00BE546A" w:rsidRDefault="00CF2A39"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Beijing ClinFunction Co., Ltd.</w:t>
            </w:r>
          </w:p>
        </w:tc>
        <w:tc>
          <w:tcPr>
            <w:tcW w:w="132" w:type="pct"/>
            <w:tcMar>
              <w:top w:w="57" w:type="dxa"/>
              <w:left w:w="57" w:type="dxa"/>
              <w:bottom w:w="57" w:type="dxa"/>
              <w:right w:w="57" w:type="dxa"/>
            </w:tcMar>
          </w:tcPr>
          <w:p w14:paraId="5F2A4389"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tcBorders>
              <w:top w:val="single" w:sz="4" w:space="0" w:color="auto"/>
            </w:tcBorders>
            <w:tcMar>
              <w:top w:w="57" w:type="dxa"/>
              <w:left w:w="57" w:type="dxa"/>
              <w:bottom w:w="57" w:type="dxa"/>
              <w:right w:w="57" w:type="dxa"/>
            </w:tcMar>
          </w:tcPr>
          <w:p w14:paraId="736DC14C" w14:textId="77777777" w:rsidR="0005712D" w:rsidRPr="00BE546A" w:rsidRDefault="00CF2A39"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Date (MM/DD/YYYY)</w:t>
            </w:r>
          </w:p>
        </w:tc>
      </w:tr>
      <w:tr w:rsidR="0005712D" w:rsidRPr="00BE546A" w14:paraId="38795EFB" w14:textId="77777777" w:rsidTr="00BE546A">
        <w:tc>
          <w:tcPr>
            <w:tcW w:w="2788" w:type="pct"/>
            <w:vMerge w:val="restart"/>
            <w:tcMar>
              <w:top w:w="57" w:type="dxa"/>
              <w:left w:w="57" w:type="dxa"/>
              <w:bottom w:w="57" w:type="dxa"/>
              <w:right w:w="57" w:type="dxa"/>
            </w:tcMar>
          </w:tcPr>
          <w:p w14:paraId="3891A6D3" w14:textId="77777777" w:rsidR="0005712D" w:rsidRPr="00BE546A" w:rsidRDefault="0005712D"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132" w:type="pct"/>
            <w:tcMar>
              <w:top w:w="57" w:type="dxa"/>
              <w:left w:w="57" w:type="dxa"/>
              <w:bottom w:w="57" w:type="dxa"/>
              <w:right w:w="57" w:type="dxa"/>
            </w:tcMar>
          </w:tcPr>
          <w:p w14:paraId="46B9CDE9"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vMerge w:val="restart"/>
            <w:tcMar>
              <w:top w:w="57" w:type="dxa"/>
              <w:left w:w="57" w:type="dxa"/>
              <w:bottom w:w="57" w:type="dxa"/>
              <w:right w:w="57" w:type="dxa"/>
            </w:tcMar>
          </w:tcPr>
          <w:p w14:paraId="611D34A4"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r>
      <w:tr w:rsidR="0005712D" w:rsidRPr="00BE546A" w14:paraId="25BA19D8" w14:textId="77777777" w:rsidTr="00BE546A">
        <w:tc>
          <w:tcPr>
            <w:tcW w:w="2788" w:type="pct"/>
            <w:vMerge/>
            <w:tcBorders>
              <w:bottom w:val="single" w:sz="4" w:space="0" w:color="auto"/>
            </w:tcBorders>
            <w:tcMar>
              <w:top w:w="57" w:type="dxa"/>
              <w:left w:w="57" w:type="dxa"/>
              <w:bottom w:w="57" w:type="dxa"/>
              <w:right w:w="57" w:type="dxa"/>
            </w:tcMar>
          </w:tcPr>
          <w:p w14:paraId="233D9023" w14:textId="77777777" w:rsidR="0005712D" w:rsidRPr="00BE546A" w:rsidRDefault="0005712D"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132" w:type="pct"/>
            <w:tcMar>
              <w:top w:w="57" w:type="dxa"/>
              <w:left w:w="57" w:type="dxa"/>
              <w:bottom w:w="57" w:type="dxa"/>
              <w:right w:w="57" w:type="dxa"/>
            </w:tcMar>
          </w:tcPr>
          <w:p w14:paraId="0BCF5719"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vMerge/>
            <w:tcBorders>
              <w:bottom w:val="single" w:sz="4" w:space="0" w:color="auto"/>
            </w:tcBorders>
            <w:tcMar>
              <w:top w:w="57" w:type="dxa"/>
              <w:left w:w="57" w:type="dxa"/>
              <w:bottom w:w="57" w:type="dxa"/>
              <w:right w:w="57" w:type="dxa"/>
            </w:tcMar>
          </w:tcPr>
          <w:p w14:paraId="2C4D1F64"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r>
      <w:tr w:rsidR="0005712D" w:rsidRPr="00BE546A" w14:paraId="411CCF3E" w14:textId="77777777" w:rsidTr="00BE546A">
        <w:tc>
          <w:tcPr>
            <w:tcW w:w="2788" w:type="pct"/>
            <w:tcBorders>
              <w:top w:val="single" w:sz="4" w:space="0" w:color="auto"/>
            </w:tcBorders>
            <w:tcMar>
              <w:top w:w="57" w:type="dxa"/>
              <w:left w:w="57" w:type="dxa"/>
              <w:bottom w:w="57" w:type="dxa"/>
              <w:right w:w="57" w:type="dxa"/>
            </w:tcMar>
            <w:vAlign w:val="center"/>
          </w:tcPr>
          <w:p w14:paraId="6F7E3720" w14:textId="77777777" w:rsidR="0005712D" w:rsidRPr="00BE546A" w:rsidRDefault="00CF2A39"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Reviewed by: Liao Zhengfa</w:t>
            </w:r>
          </w:p>
          <w:p w14:paraId="5815C7A6" w14:textId="77777777" w:rsidR="0005712D" w:rsidRPr="00BE546A" w:rsidRDefault="00CF2A39"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Senior Biostatistician</w:t>
            </w:r>
          </w:p>
          <w:p w14:paraId="5699236A" w14:textId="77777777" w:rsidR="0005712D" w:rsidRPr="00BE546A" w:rsidRDefault="00CF2A39"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Guangdong Raynovent Biotech Co., Ltd.</w:t>
            </w:r>
          </w:p>
        </w:tc>
        <w:tc>
          <w:tcPr>
            <w:tcW w:w="132" w:type="pct"/>
            <w:tcMar>
              <w:top w:w="57" w:type="dxa"/>
              <w:left w:w="57" w:type="dxa"/>
              <w:bottom w:w="57" w:type="dxa"/>
              <w:right w:w="57" w:type="dxa"/>
            </w:tcMar>
          </w:tcPr>
          <w:p w14:paraId="4BF079DD" w14:textId="77777777" w:rsidR="0005712D" w:rsidRPr="00BE546A" w:rsidRDefault="0005712D" w:rsidP="00306959">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lang w:eastAsia="zh-CN"/>
              </w:rPr>
            </w:pPr>
          </w:p>
        </w:tc>
        <w:tc>
          <w:tcPr>
            <w:tcW w:w="2080" w:type="pct"/>
            <w:tcBorders>
              <w:top w:val="single" w:sz="4" w:space="0" w:color="auto"/>
            </w:tcBorders>
            <w:tcMar>
              <w:top w:w="57" w:type="dxa"/>
              <w:left w:w="57" w:type="dxa"/>
              <w:bottom w:w="57" w:type="dxa"/>
              <w:right w:w="57" w:type="dxa"/>
            </w:tcMar>
          </w:tcPr>
          <w:p w14:paraId="638003C0" w14:textId="77777777" w:rsidR="0005712D" w:rsidRPr="00BE546A" w:rsidRDefault="00CF2A39" w:rsidP="00101741">
            <w:pPr>
              <w:pStyle w:val="F-PParagraph"/>
              <w:suppressAutoHyphens/>
              <w:overflowPunct w:val="0"/>
              <w:autoSpaceDE w:val="0"/>
              <w:autoSpaceDN w:val="0"/>
              <w:adjustRightInd w:val="0"/>
              <w:snapToGrid w:val="0"/>
              <w:spacing w:after="0" w:line="240" w:lineRule="auto"/>
              <w:jc w:val="left"/>
              <w:rPr>
                <w:rFonts w:eastAsia="宋体"/>
                <w:color w:val="000000" w:themeColor="text1"/>
                <w:szCs w:val="24"/>
              </w:rPr>
            </w:pPr>
            <w:r w:rsidRPr="00BE546A">
              <w:rPr>
                <w:rFonts w:eastAsia="宋体"/>
                <w:color w:val="000000" w:themeColor="text1"/>
                <w:szCs w:val="24"/>
              </w:rPr>
              <w:t>Date (MM/DD/YYYY)</w:t>
            </w:r>
          </w:p>
        </w:tc>
      </w:tr>
    </w:tbl>
    <w:p w14:paraId="7BD2E06E" w14:textId="77777777" w:rsidR="0005712D" w:rsidRPr="00F72DDB"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pPr>
    </w:p>
    <w:p w14:paraId="11D98B29" w14:textId="77777777" w:rsidR="0005712D" w:rsidRPr="00F72DDB"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sectPr w:rsidR="0005712D" w:rsidRPr="00F72DDB" w:rsidSect="00F72DDB">
          <w:pgSz w:w="12242" w:h="15842" w:code="119"/>
          <w:pgMar w:top="1440" w:right="1440" w:bottom="1440" w:left="1440" w:header="720" w:footer="720" w:gutter="0"/>
          <w:cols w:space="425"/>
          <w:docGrid w:linePitch="312"/>
        </w:sectPr>
      </w:pPr>
    </w:p>
    <w:p w14:paraId="5A152C2E" w14:textId="197D25E1" w:rsidR="0005712D" w:rsidRPr="004F1FD9" w:rsidRDefault="00CF2A39" w:rsidP="004F1FD9">
      <w:pPr>
        <w:pStyle w:val="TOC11"/>
      </w:pPr>
      <w:r w:rsidRPr="004F1FD9">
        <w:lastRenderedPageBreak/>
        <w:t>Table of Contents</w:t>
      </w:r>
    </w:p>
    <w:p w14:paraId="49D71A61" w14:textId="7B6DD220" w:rsidR="00144ED6" w:rsidRDefault="00CF2A39">
      <w:pPr>
        <w:pStyle w:val="TOC1"/>
        <w:rPr>
          <w:rFonts w:asciiTheme="minorHAnsi" w:eastAsiaTheme="minorEastAsia" w:hAnsiTheme="minorHAnsi" w:cstheme="minorBidi"/>
          <w:b w:val="0"/>
          <w:bCs w:val="0"/>
          <w:color w:val="auto"/>
          <w:kern w:val="2"/>
          <w:sz w:val="22"/>
          <w:szCs w:val="24"/>
          <w14:ligatures w14:val="standardContextual"/>
        </w:rPr>
      </w:pPr>
      <w:r w:rsidRPr="00F72DDB">
        <w:rPr>
          <w:caps/>
          <w:color w:val="000000" w:themeColor="text1"/>
        </w:rPr>
        <w:fldChar w:fldCharType="begin"/>
      </w:r>
      <w:r w:rsidRPr="00F72DDB">
        <w:rPr>
          <w:color w:val="000000" w:themeColor="text1"/>
        </w:rPr>
        <w:instrText xml:space="preserve"> TOC \o "1-4" \h \z </w:instrText>
      </w:r>
      <w:r w:rsidRPr="00F72DDB">
        <w:rPr>
          <w:caps/>
          <w:color w:val="000000" w:themeColor="text1"/>
        </w:rPr>
        <w:fldChar w:fldCharType="separate"/>
      </w:r>
      <w:hyperlink w:anchor="_Toc216186531" w:history="1">
        <w:r w:rsidR="00144ED6" w:rsidRPr="005F4D3C">
          <w:rPr>
            <w:rStyle w:val="afc"/>
            <w:rFonts w:hint="eastAsia"/>
          </w:rPr>
          <w:t>List of Abbreviations</w:t>
        </w:r>
        <w:r w:rsidR="00144ED6">
          <w:rPr>
            <w:rFonts w:hint="eastAsia"/>
            <w:webHidden/>
          </w:rPr>
          <w:tab/>
        </w:r>
        <w:r w:rsidR="00144ED6">
          <w:rPr>
            <w:rFonts w:hint="eastAsia"/>
            <w:webHidden/>
          </w:rPr>
          <w:fldChar w:fldCharType="begin"/>
        </w:r>
        <w:r w:rsidR="00144ED6">
          <w:rPr>
            <w:rFonts w:hint="eastAsia"/>
            <w:webHidden/>
          </w:rPr>
          <w:instrText xml:space="preserve"> </w:instrText>
        </w:r>
        <w:r w:rsidR="00144ED6">
          <w:rPr>
            <w:webHidden/>
          </w:rPr>
          <w:instrText>PAGEREF _Toc216186531 \h</w:instrText>
        </w:r>
        <w:r w:rsidR="00144ED6">
          <w:rPr>
            <w:rFonts w:hint="eastAsia"/>
            <w:webHidden/>
          </w:rPr>
          <w:instrText xml:space="preserve"> </w:instrText>
        </w:r>
        <w:r w:rsidR="00144ED6">
          <w:rPr>
            <w:rFonts w:hint="eastAsia"/>
            <w:webHidden/>
          </w:rPr>
        </w:r>
        <w:r w:rsidR="00144ED6">
          <w:rPr>
            <w:rFonts w:hint="eastAsia"/>
            <w:webHidden/>
          </w:rPr>
          <w:fldChar w:fldCharType="separate"/>
        </w:r>
        <w:r w:rsidR="00144ED6">
          <w:rPr>
            <w:webHidden/>
          </w:rPr>
          <w:t>6</w:t>
        </w:r>
        <w:r w:rsidR="00144ED6">
          <w:rPr>
            <w:rFonts w:hint="eastAsia"/>
            <w:webHidden/>
          </w:rPr>
          <w:fldChar w:fldCharType="end"/>
        </w:r>
      </w:hyperlink>
    </w:p>
    <w:p w14:paraId="5C1BD05B" w14:textId="416AC7EE"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32" w:history="1">
        <w:r w:rsidRPr="005F4D3C">
          <w:rPr>
            <w:rStyle w:val="afc"/>
            <w:rFonts w:hint="eastAsia"/>
          </w:rPr>
          <w:t>1.</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INTRODUCTION</w:t>
        </w:r>
        <w:r>
          <w:rPr>
            <w:rFonts w:hint="eastAsia"/>
            <w:webHidden/>
          </w:rPr>
          <w:tab/>
        </w:r>
        <w:r>
          <w:rPr>
            <w:rFonts w:hint="eastAsia"/>
            <w:webHidden/>
          </w:rPr>
          <w:fldChar w:fldCharType="begin"/>
        </w:r>
        <w:r>
          <w:rPr>
            <w:rFonts w:hint="eastAsia"/>
            <w:webHidden/>
          </w:rPr>
          <w:instrText xml:space="preserve"> </w:instrText>
        </w:r>
        <w:r>
          <w:rPr>
            <w:webHidden/>
          </w:rPr>
          <w:instrText>PAGEREF _Toc216186532 \h</w:instrText>
        </w:r>
        <w:r>
          <w:rPr>
            <w:rFonts w:hint="eastAsia"/>
            <w:webHidden/>
          </w:rPr>
          <w:instrText xml:space="preserve"> </w:instrText>
        </w:r>
        <w:r>
          <w:rPr>
            <w:rFonts w:hint="eastAsia"/>
            <w:webHidden/>
          </w:rPr>
        </w:r>
        <w:r>
          <w:rPr>
            <w:rFonts w:hint="eastAsia"/>
            <w:webHidden/>
          </w:rPr>
          <w:fldChar w:fldCharType="separate"/>
        </w:r>
        <w:r>
          <w:rPr>
            <w:webHidden/>
          </w:rPr>
          <w:t>8</w:t>
        </w:r>
        <w:r>
          <w:rPr>
            <w:rFonts w:hint="eastAsia"/>
            <w:webHidden/>
          </w:rPr>
          <w:fldChar w:fldCharType="end"/>
        </w:r>
      </w:hyperlink>
    </w:p>
    <w:p w14:paraId="32151A16" w14:textId="5ADDA576"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33" w:history="1">
        <w:r w:rsidRPr="005F4D3C">
          <w:rPr>
            <w:rStyle w:val="afc"/>
            <w:rFonts w:hint="eastAsia"/>
          </w:rPr>
          <w:t>1.1.</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Objective</w:t>
        </w:r>
        <w:r>
          <w:rPr>
            <w:rFonts w:hint="eastAsia"/>
            <w:webHidden/>
          </w:rPr>
          <w:tab/>
        </w:r>
        <w:r>
          <w:rPr>
            <w:rFonts w:hint="eastAsia"/>
            <w:webHidden/>
          </w:rPr>
          <w:fldChar w:fldCharType="begin"/>
        </w:r>
        <w:r>
          <w:rPr>
            <w:rFonts w:hint="eastAsia"/>
            <w:webHidden/>
          </w:rPr>
          <w:instrText xml:space="preserve"> </w:instrText>
        </w:r>
        <w:r>
          <w:rPr>
            <w:webHidden/>
          </w:rPr>
          <w:instrText>PAGEREF _Toc216186533 \h</w:instrText>
        </w:r>
        <w:r>
          <w:rPr>
            <w:rFonts w:hint="eastAsia"/>
            <w:webHidden/>
          </w:rPr>
          <w:instrText xml:space="preserve"> </w:instrText>
        </w:r>
        <w:r>
          <w:rPr>
            <w:rFonts w:hint="eastAsia"/>
            <w:webHidden/>
          </w:rPr>
        </w:r>
        <w:r>
          <w:rPr>
            <w:rFonts w:hint="eastAsia"/>
            <w:webHidden/>
          </w:rPr>
          <w:fldChar w:fldCharType="separate"/>
        </w:r>
        <w:r>
          <w:rPr>
            <w:webHidden/>
          </w:rPr>
          <w:t>8</w:t>
        </w:r>
        <w:r>
          <w:rPr>
            <w:rFonts w:hint="eastAsia"/>
            <w:webHidden/>
          </w:rPr>
          <w:fldChar w:fldCharType="end"/>
        </w:r>
      </w:hyperlink>
    </w:p>
    <w:p w14:paraId="6E968E76" w14:textId="155AAE81"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34" w:history="1">
        <w:r w:rsidRPr="005F4D3C">
          <w:rPr>
            <w:rStyle w:val="afc"/>
            <w:rFonts w:hint="eastAsia"/>
          </w:rPr>
          <w:t>1.2.</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Responsibilities</w:t>
        </w:r>
        <w:r>
          <w:rPr>
            <w:rFonts w:hint="eastAsia"/>
            <w:webHidden/>
          </w:rPr>
          <w:tab/>
        </w:r>
        <w:r>
          <w:rPr>
            <w:rFonts w:hint="eastAsia"/>
            <w:webHidden/>
          </w:rPr>
          <w:fldChar w:fldCharType="begin"/>
        </w:r>
        <w:r>
          <w:rPr>
            <w:rFonts w:hint="eastAsia"/>
            <w:webHidden/>
          </w:rPr>
          <w:instrText xml:space="preserve"> </w:instrText>
        </w:r>
        <w:r>
          <w:rPr>
            <w:webHidden/>
          </w:rPr>
          <w:instrText>PAGEREF _Toc216186534 \h</w:instrText>
        </w:r>
        <w:r>
          <w:rPr>
            <w:rFonts w:hint="eastAsia"/>
            <w:webHidden/>
          </w:rPr>
          <w:instrText xml:space="preserve"> </w:instrText>
        </w:r>
        <w:r>
          <w:rPr>
            <w:rFonts w:hint="eastAsia"/>
            <w:webHidden/>
          </w:rPr>
        </w:r>
        <w:r>
          <w:rPr>
            <w:rFonts w:hint="eastAsia"/>
            <w:webHidden/>
          </w:rPr>
          <w:fldChar w:fldCharType="separate"/>
        </w:r>
        <w:r>
          <w:rPr>
            <w:webHidden/>
          </w:rPr>
          <w:t>8</w:t>
        </w:r>
        <w:r>
          <w:rPr>
            <w:rFonts w:hint="eastAsia"/>
            <w:webHidden/>
          </w:rPr>
          <w:fldChar w:fldCharType="end"/>
        </w:r>
      </w:hyperlink>
    </w:p>
    <w:p w14:paraId="20E44838" w14:textId="403EF9A6"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35" w:history="1">
        <w:r w:rsidRPr="005F4D3C">
          <w:rPr>
            <w:rStyle w:val="afc"/>
            <w:rFonts w:hint="eastAsia"/>
          </w:rPr>
          <w:t>2.</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STUDY OVERVIEW</w:t>
        </w:r>
        <w:r>
          <w:rPr>
            <w:rFonts w:hint="eastAsia"/>
            <w:webHidden/>
          </w:rPr>
          <w:tab/>
        </w:r>
        <w:r>
          <w:rPr>
            <w:rFonts w:hint="eastAsia"/>
            <w:webHidden/>
          </w:rPr>
          <w:fldChar w:fldCharType="begin"/>
        </w:r>
        <w:r>
          <w:rPr>
            <w:rFonts w:hint="eastAsia"/>
            <w:webHidden/>
          </w:rPr>
          <w:instrText xml:space="preserve"> </w:instrText>
        </w:r>
        <w:r>
          <w:rPr>
            <w:webHidden/>
          </w:rPr>
          <w:instrText>PAGEREF _Toc216186535 \h</w:instrText>
        </w:r>
        <w:r>
          <w:rPr>
            <w:rFonts w:hint="eastAsia"/>
            <w:webHidden/>
          </w:rPr>
          <w:instrText xml:space="preserve"> </w:instrText>
        </w:r>
        <w:r>
          <w:rPr>
            <w:rFonts w:hint="eastAsia"/>
            <w:webHidden/>
          </w:rPr>
        </w:r>
        <w:r>
          <w:rPr>
            <w:rFonts w:hint="eastAsia"/>
            <w:webHidden/>
          </w:rPr>
          <w:fldChar w:fldCharType="separate"/>
        </w:r>
        <w:r>
          <w:rPr>
            <w:webHidden/>
          </w:rPr>
          <w:t>8</w:t>
        </w:r>
        <w:r>
          <w:rPr>
            <w:rFonts w:hint="eastAsia"/>
            <w:webHidden/>
          </w:rPr>
          <w:fldChar w:fldCharType="end"/>
        </w:r>
      </w:hyperlink>
    </w:p>
    <w:p w14:paraId="70B34FDA" w14:textId="45A6E743"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36" w:history="1">
        <w:r w:rsidRPr="005F4D3C">
          <w:rPr>
            <w:rStyle w:val="afc"/>
            <w:rFonts w:hint="eastAsia"/>
          </w:rPr>
          <w:t>2.1.</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Study Objectives and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_Toc216186536 \h</w:instrText>
        </w:r>
        <w:r>
          <w:rPr>
            <w:rFonts w:hint="eastAsia"/>
            <w:webHidden/>
          </w:rPr>
          <w:instrText xml:space="preserve"> </w:instrText>
        </w:r>
        <w:r>
          <w:rPr>
            <w:rFonts w:hint="eastAsia"/>
            <w:webHidden/>
          </w:rPr>
        </w:r>
        <w:r>
          <w:rPr>
            <w:rFonts w:hint="eastAsia"/>
            <w:webHidden/>
          </w:rPr>
          <w:fldChar w:fldCharType="separate"/>
        </w:r>
        <w:r>
          <w:rPr>
            <w:webHidden/>
          </w:rPr>
          <w:t>8</w:t>
        </w:r>
        <w:r>
          <w:rPr>
            <w:rFonts w:hint="eastAsia"/>
            <w:webHidden/>
          </w:rPr>
          <w:fldChar w:fldCharType="end"/>
        </w:r>
      </w:hyperlink>
    </w:p>
    <w:p w14:paraId="2A0B5149" w14:textId="1B11FB08"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37" w:history="1">
        <w:r w:rsidRPr="005F4D3C">
          <w:rPr>
            <w:rStyle w:val="afc"/>
            <w:rFonts w:hint="eastAsia"/>
          </w:rPr>
          <w:t>2.2.</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Study Design</w:t>
        </w:r>
        <w:r>
          <w:rPr>
            <w:rFonts w:hint="eastAsia"/>
            <w:webHidden/>
          </w:rPr>
          <w:tab/>
        </w:r>
        <w:r>
          <w:rPr>
            <w:rFonts w:hint="eastAsia"/>
            <w:webHidden/>
          </w:rPr>
          <w:fldChar w:fldCharType="begin"/>
        </w:r>
        <w:r>
          <w:rPr>
            <w:rFonts w:hint="eastAsia"/>
            <w:webHidden/>
          </w:rPr>
          <w:instrText xml:space="preserve"> </w:instrText>
        </w:r>
        <w:r>
          <w:rPr>
            <w:webHidden/>
          </w:rPr>
          <w:instrText>PAGEREF _Toc216186537 \h</w:instrText>
        </w:r>
        <w:r>
          <w:rPr>
            <w:rFonts w:hint="eastAsia"/>
            <w:webHidden/>
          </w:rPr>
          <w:instrText xml:space="preserve"> </w:instrText>
        </w:r>
        <w:r>
          <w:rPr>
            <w:rFonts w:hint="eastAsia"/>
            <w:webHidden/>
          </w:rPr>
        </w:r>
        <w:r>
          <w:rPr>
            <w:rFonts w:hint="eastAsia"/>
            <w:webHidden/>
          </w:rPr>
          <w:fldChar w:fldCharType="separate"/>
        </w:r>
        <w:r>
          <w:rPr>
            <w:webHidden/>
          </w:rPr>
          <w:t>9</w:t>
        </w:r>
        <w:r>
          <w:rPr>
            <w:rFonts w:hint="eastAsia"/>
            <w:webHidden/>
          </w:rPr>
          <w:fldChar w:fldCharType="end"/>
        </w:r>
      </w:hyperlink>
    </w:p>
    <w:p w14:paraId="0F3A375D" w14:textId="4C17FE01"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38" w:history="1">
        <w:r w:rsidRPr="005F4D3C">
          <w:rPr>
            <w:rStyle w:val="afc"/>
            <w:rFonts w:hint="eastAsia"/>
          </w:rPr>
          <w:t>2.3.</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Randomization and Blinding</w:t>
        </w:r>
        <w:r>
          <w:rPr>
            <w:rFonts w:hint="eastAsia"/>
            <w:webHidden/>
          </w:rPr>
          <w:tab/>
        </w:r>
        <w:r>
          <w:rPr>
            <w:rFonts w:hint="eastAsia"/>
            <w:webHidden/>
          </w:rPr>
          <w:fldChar w:fldCharType="begin"/>
        </w:r>
        <w:r>
          <w:rPr>
            <w:rFonts w:hint="eastAsia"/>
            <w:webHidden/>
          </w:rPr>
          <w:instrText xml:space="preserve"> </w:instrText>
        </w:r>
        <w:r>
          <w:rPr>
            <w:webHidden/>
          </w:rPr>
          <w:instrText>PAGEREF _Toc216186538 \h</w:instrText>
        </w:r>
        <w:r>
          <w:rPr>
            <w:rFonts w:hint="eastAsia"/>
            <w:webHidden/>
          </w:rPr>
          <w:instrText xml:space="preserve"> </w:instrText>
        </w:r>
        <w:r>
          <w:rPr>
            <w:rFonts w:hint="eastAsia"/>
            <w:webHidden/>
          </w:rPr>
        </w:r>
        <w:r>
          <w:rPr>
            <w:rFonts w:hint="eastAsia"/>
            <w:webHidden/>
          </w:rPr>
          <w:fldChar w:fldCharType="separate"/>
        </w:r>
        <w:r>
          <w:rPr>
            <w:webHidden/>
          </w:rPr>
          <w:t>11</w:t>
        </w:r>
        <w:r>
          <w:rPr>
            <w:rFonts w:hint="eastAsia"/>
            <w:webHidden/>
          </w:rPr>
          <w:fldChar w:fldCharType="end"/>
        </w:r>
      </w:hyperlink>
    </w:p>
    <w:p w14:paraId="476A9618" w14:textId="56B68D34" w:rsidR="00144ED6" w:rsidRDefault="00144ED6">
      <w:pPr>
        <w:pStyle w:val="TOC3"/>
        <w:rPr>
          <w:rFonts w:asciiTheme="minorHAnsi" w:eastAsiaTheme="minorEastAsia" w:hAnsiTheme="minorHAnsi" w:cstheme="minorBidi"/>
          <w:color w:val="auto"/>
          <w:kern w:val="2"/>
          <w:sz w:val="22"/>
          <w14:ligatures w14:val="standardContextual"/>
        </w:rPr>
      </w:pPr>
      <w:hyperlink w:anchor="_Toc216186539" w:history="1">
        <w:r w:rsidRPr="005F4D3C">
          <w:rPr>
            <w:rStyle w:val="afc"/>
            <w:rFonts w:hint="eastAsia"/>
          </w:rPr>
          <w:t>2.3.1.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Randomization</w:t>
        </w:r>
        <w:r>
          <w:rPr>
            <w:rFonts w:hint="eastAsia"/>
            <w:webHidden/>
          </w:rPr>
          <w:tab/>
        </w:r>
        <w:r>
          <w:rPr>
            <w:rFonts w:hint="eastAsia"/>
            <w:webHidden/>
          </w:rPr>
          <w:fldChar w:fldCharType="begin"/>
        </w:r>
        <w:r>
          <w:rPr>
            <w:rFonts w:hint="eastAsia"/>
            <w:webHidden/>
          </w:rPr>
          <w:instrText xml:space="preserve"> </w:instrText>
        </w:r>
        <w:r>
          <w:rPr>
            <w:webHidden/>
          </w:rPr>
          <w:instrText>PAGEREF _Toc216186539 \h</w:instrText>
        </w:r>
        <w:r>
          <w:rPr>
            <w:rFonts w:hint="eastAsia"/>
            <w:webHidden/>
          </w:rPr>
          <w:instrText xml:space="preserve"> </w:instrText>
        </w:r>
        <w:r>
          <w:rPr>
            <w:rFonts w:hint="eastAsia"/>
            <w:webHidden/>
          </w:rPr>
        </w:r>
        <w:r>
          <w:rPr>
            <w:rFonts w:hint="eastAsia"/>
            <w:webHidden/>
          </w:rPr>
          <w:fldChar w:fldCharType="separate"/>
        </w:r>
        <w:r>
          <w:rPr>
            <w:webHidden/>
          </w:rPr>
          <w:t>11</w:t>
        </w:r>
        <w:r>
          <w:rPr>
            <w:rFonts w:hint="eastAsia"/>
            <w:webHidden/>
          </w:rPr>
          <w:fldChar w:fldCharType="end"/>
        </w:r>
      </w:hyperlink>
    </w:p>
    <w:p w14:paraId="5F0CF01B" w14:textId="13E658A6" w:rsidR="00144ED6" w:rsidRDefault="00144ED6">
      <w:pPr>
        <w:pStyle w:val="TOC3"/>
        <w:rPr>
          <w:rFonts w:asciiTheme="minorHAnsi" w:eastAsiaTheme="minorEastAsia" w:hAnsiTheme="minorHAnsi" w:cstheme="minorBidi"/>
          <w:color w:val="auto"/>
          <w:kern w:val="2"/>
          <w:sz w:val="22"/>
          <w14:ligatures w14:val="standardContextual"/>
        </w:rPr>
      </w:pPr>
      <w:hyperlink w:anchor="_Toc216186540" w:history="1">
        <w:r w:rsidRPr="005F4D3C">
          <w:rPr>
            <w:rStyle w:val="afc"/>
            <w:rFonts w:hint="eastAsia"/>
          </w:rPr>
          <w:t>2.3.2.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Blinding</w:t>
        </w:r>
        <w:r>
          <w:rPr>
            <w:rFonts w:hint="eastAsia"/>
            <w:webHidden/>
          </w:rPr>
          <w:tab/>
        </w:r>
        <w:r>
          <w:rPr>
            <w:rFonts w:hint="eastAsia"/>
            <w:webHidden/>
          </w:rPr>
          <w:fldChar w:fldCharType="begin"/>
        </w:r>
        <w:r>
          <w:rPr>
            <w:rFonts w:hint="eastAsia"/>
            <w:webHidden/>
          </w:rPr>
          <w:instrText xml:space="preserve"> </w:instrText>
        </w:r>
        <w:r>
          <w:rPr>
            <w:webHidden/>
          </w:rPr>
          <w:instrText>PAGEREF _Toc216186540 \h</w:instrText>
        </w:r>
        <w:r>
          <w:rPr>
            <w:rFonts w:hint="eastAsia"/>
            <w:webHidden/>
          </w:rPr>
          <w:instrText xml:space="preserve"> </w:instrText>
        </w:r>
        <w:r>
          <w:rPr>
            <w:rFonts w:hint="eastAsia"/>
            <w:webHidden/>
          </w:rPr>
        </w:r>
        <w:r>
          <w:rPr>
            <w:rFonts w:hint="eastAsia"/>
            <w:webHidden/>
          </w:rPr>
          <w:fldChar w:fldCharType="separate"/>
        </w:r>
        <w:r>
          <w:rPr>
            <w:webHidden/>
          </w:rPr>
          <w:t>12</w:t>
        </w:r>
        <w:r>
          <w:rPr>
            <w:rFonts w:hint="eastAsia"/>
            <w:webHidden/>
          </w:rPr>
          <w:fldChar w:fldCharType="end"/>
        </w:r>
      </w:hyperlink>
    </w:p>
    <w:p w14:paraId="0E643066" w14:textId="614876E8"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41" w:history="1">
        <w:r w:rsidRPr="005F4D3C">
          <w:rPr>
            <w:rStyle w:val="afc"/>
            <w:rFonts w:hint="eastAsia"/>
          </w:rPr>
          <w:t>2.4.</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Schedule of Activities</w:t>
        </w:r>
        <w:r>
          <w:rPr>
            <w:rFonts w:hint="eastAsia"/>
            <w:webHidden/>
          </w:rPr>
          <w:tab/>
        </w:r>
        <w:r>
          <w:rPr>
            <w:rFonts w:hint="eastAsia"/>
            <w:webHidden/>
          </w:rPr>
          <w:fldChar w:fldCharType="begin"/>
        </w:r>
        <w:r>
          <w:rPr>
            <w:rFonts w:hint="eastAsia"/>
            <w:webHidden/>
          </w:rPr>
          <w:instrText xml:space="preserve"> </w:instrText>
        </w:r>
        <w:r>
          <w:rPr>
            <w:webHidden/>
          </w:rPr>
          <w:instrText>PAGEREF _Toc216186541 \h</w:instrText>
        </w:r>
        <w:r>
          <w:rPr>
            <w:rFonts w:hint="eastAsia"/>
            <w:webHidden/>
          </w:rPr>
          <w:instrText xml:space="preserve"> </w:instrText>
        </w:r>
        <w:r>
          <w:rPr>
            <w:rFonts w:hint="eastAsia"/>
            <w:webHidden/>
          </w:rPr>
        </w:r>
        <w:r>
          <w:rPr>
            <w:rFonts w:hint="eastAsia"/>
            <w:webHidden/>
          </w:rPr>
          <w:fldChar w:fldCharType="separate"/>
        </w:r>
        <w:r>
          <w:rPr>
            <w:webHidden/>
          </w:rPr>
          <w:t>13</w:t>
        </w:r>
        <w:r>
          <w:rPr>
            <w:rFonts w:hint="eastAsia"/>
            <w:webHidden/>
          </w:rPr>
          <w:fldChar w:fldCharType="end"/>
        </w:r>
      </w:hyperlink>
    </w:p>
    <w:p w14:paraId="34A184CF" w14:textId="795E5136"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42" w:history="1">
        <w:r w:rsidRPr="005F4D3C">
          <w:rPr>
            <w:rStyle w:val="afc"/>
            <w:rFonts w:hint="eastAsia"/>
          </w:rPr>
          <w:t>3.</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SAMPLE SIZE</w:t>
        </w:r>
        <w:r>
          <w:rPr>
            <w:rFonts w:hint="eastAsia"/>
            <w:webHidden/>
          </w:rPr>
          <w:tab/>
        </w:r>
        <w:r>
          <w:rPr>
            <w:rFonts w:hint="eastAsia"/>
            <w:webHidden/>
          </w:rPr>
          <w:fldChar w:fldCharType="begin"/>
        </w:r>
        <w:r>
          <w:rPr>
            <w:rFonts w:hint="eastAsia"/>
            <w:webHidden/>
          </w:rPr>
          <w:instrText xml:space="preserve"> </w:instrText>
        </w:r>
        <w:r>
          <w:rPr>
            <w:webHidden/>
          </w:rPr>
          <w:instrText>PAGEREF _Toc216186542 \h</w:instrText>
        </w:r>
        <w:r>
          <w:rPr>
            <w:rFonts w:hint="eastAsia"/>
            <w:webHidden/>
          </w:rPr>
          <w:instrText xml:space="preserve"> </w:instrText>
        </w:r>
        <w:r>
          <w:rPr>
            <w:rFonts w:hint="eastAsia"/>
            <w:webHidden/>
          </w:rPr>
        </w:r>
        <w:r>
          <w:rPr>
            <w:rFonts w:hint="eastAsia"/>
            <w:webHidden/>
          </w:rPr>
          <w:fldChar w:fldCharType="separate"/>
        </w:r>
        <w:r>
          <w:rPr>
            <w:webHidden/>
          </w:rPr>
          <w:t>22</w:t>
        </w:r>
        <w:r>
          <w:rPr>
            <w:rFonts w:hint="eastAsia"/>
            <w:webHidden/>
          </w:rPr>
          <w:fldChar w:fldCharType="end"/>
        </w:r>
      </w:hyperlink>
    </w:p>
    <w:p w14:paraId="3370C52D" w14:textId="70A9CC22"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43" w:history="1">
        <w:r w:rsidRPr="005F4D3C">
          <w:rPr>
            <w:rStyle w:val="afc"/>
            <w:rFonts w:hint="eastAsia"/>
          </w:rPr>
          <w:t>4.</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DATA SETS ANALYZED</w:t>
        </w:r>
        <w:r>
          <w:rPr>
            <w:rFonts w:hint="eastAsia"/>
            <w:webHidden/>
          </w:rPr>
          <w:tab/>
        </w:r>
        <w:r>
          <w:rPr>
            <w:rFonts w:hint="eastAsia"/>
            <w:webHidden/>
          </w:rPr>
          <w:fldChar w:fldCharType="begin"/>
        </w:r>
        <w:r>
          <w:rPr>
            <w:rFonts w:hint="eastAsia"/>
            <w:webHidden/>
          </w:rPr>
          <w:instrText xml:space="preserve"> </w:instrText>
        </w:r>
        <w:r>
          <w:rPr>
            <w:webHidden/>
          </w:rPr>
          <w:instrText>PAGEREF _Toc216186543 \h</w:instrText>
        </w:r>
        <w:r>
          <w:rPr>
            <w:rFonts w:hint="eastAsia"/>
            <w:webHidden/>
          </w:rPr>
          <w:instrText xml:space="preserve"> </w:instrText>
        </w:r>
        <w:r>
          <w:rPr>
            <w:rFonts w:hint="eastAsia"/>
            <w:webHidden/>
          </w:rPr>
        </w:r>
        <w:r>
          <w:rPr>
            <w:rFonts w:hint="eastAsia"/>
            <w:webHidden/>
          </w:rPr>
          <w:fldChar w:fldCharType="separate"/>
        </w:r>
        <w:r>
          <w:rPr>
            <w:webHidden/>
          </w:rPr>
          <w:t>22</w:t>
        </w:r>
        <w:r>
          <w:rPr>
            <w:rFonts w:hint="eastAsia"/>
            <w:webHidden/>
          </w:rPr>
          <w:fldChar w:fldCharType="end"/>
        </w:r>
      </w:hyperlink>
    </w:p>
    <w:p w14:paraId="0849303C" w14:textId="21DC43D2"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44" w:history="1">
        <w:r w:rsidRPr="005F4D3C">
          <w:rPr>
            <w:rStyle w:val="afc"/>
            <w:rFonts w:hint="eastAsia"/>
          </w:rPr>
          <w:t>5.</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EVALUATION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_Toc216186544 \h</w:instrText>
        </w:r>
        <w:r>
          <w:rPr>
            <w:rFonts w:hint="eastAsia"/>
            <w:webHidden/>
          </w:rPr>
          <w:instrText xml:space="preserve"> </w:instrText>
        </w:r>
        <w:r>
          <w:rPr>
            <w:rFonts w:hint="eastAsia"/>
            <w:webHidden/>
          </w:rPr>
        </w:r>
        <w:r>
          <w:rPr>
            <w:rFonts w:hint="eastAsia"/>
            <w:webHidden/>
          </w:rPr>
          <w:fldChar w:fldCharType="separate"/>
        </w:r>
        <w:r>
          <w:rPr>
            <w:webHidden/>
          </w:rPr>
          <w:t>23</w:t>
        </w:r>
        <w:r>
          <w:rPr>
            <w:rFonts w:hint="eastAsia"/>
            <w:webHidden/>
          </w:rPr>
          <w:fldChar w:fldCharType="end"/>
        </w:r>
      </w:hyperlink>
    </w:p>
    <w:p w14:paraId="7ACC1BF3" w14:textId="3A77F9EF"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45" w:history="1">
        <w:r w:rsidRPr="005F4D3C">
          <w:rPr>
            <w:rStyle w:val="afc"/>
            <w:rFonts w:hint="eastAsia"/>
          </w:rPr>
          <w:t>5.1.</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Subject Characteristic Variables</w:t>
        </w:r>
        <w:r>
          <w:rPr>
            <w:rFonts w:hint="eastAsia"/>
            <w:webHidden/>
          </w:rPr>
          <w:tab/>
        </w:r>
        <w:r>
          <w:rPr>
            <w:rFonts w:hint="eastAsia"/>
            <w:webHidden/>
          </w:rPr>
          <w:fldChar w:fldCharType="begin"/>
        </w:r>
        <w:r>
          <w:rPr>
            <w:rFonts w:hint="eastAsia"/>
            <w:webHidden/>
          </w:rPr>
          <w:instrText xml:space="preserve"> </w:instrText>
        </w:r>
        <w:r>
          <w:rPr>
            <w:webHidden/>
          </w:rPr>
          <w:instrText>PAGEREF _Toc216186545 \h</w:instrText>
        </w:r>
        <w:r>
          <w:rPr>
            <w:rFonts w:hint="eastAsia"/>
            <w:webHidden/>
          </w:rPr>
          <w:instrText xml:space="preserve"> </w:instrText>
        </w:r>
        <w:r>
          <w:rPr>
            <w:rFonts w:hint="eastAsia"/>
            <w:webHidden/>
          </w:rPr>
        </w:r>
        <w:r>
          <w:rPr>
            <w:rFonts w:hint="eastAsia"/>
            <w:webHidden/>
          </w:rPr>
          <w:fldChar w:fldCharType="separate"/>
        </w:r>
        <w:r>
          <w:rPr>
            <w:webHidden/>
          </w:rPr>
          <w:t>23</w:t>
        </w:r>
        <w:r>
          <w:rPr>
            <w:rFonts w:hint="eastAsia"/>
            <w:webHidden/>
          </w:rPr>
          <w:fldChar w:fldCharType="end"/>
        </w:r>
      </w:hyperlink>
    </w:p>
    <w:p w14:paraId="0359354A" w14:textId="769BF3FD" w:rsidR="00144ED6" w:rsidRDefault="00144ED6">
      <w:pPr>
        <w:pStyle w:val="TOC3"/>
        <w:rPr>
          <w:rFonts w:asciiTheme="minorHAnsi" w:eastAsiaTheme="minorEastAsia" w:hAnsiTheme="minorHAnsi" w:cstheme="minorBidi"/>
          <w:color w:val="auto"/>
          <w:kern w:val="2"/>
          <w:sz w:val="22"/>
          <w14:ligatures w14:val="standardContextual"/>
        </w:rPr>
      </w:pPr>
      <w:hyperlink w:anchor="_Toc216186546" w:history="1">
        <w:r w:rsidRPr="005F4D3C">
          <w:rPr>
            <w:rStyle w:val="afc"/>
            <w:rFonts w:hint="eastAsia"/>
          </w:rPr>
          <w:t>5.1.1.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Demographic and baseline characteristics</w:t>
        </w:r>
        <w:r>
          <w:rPr>
            <w:rFonts w:hint="eastAsia"/>
            <w:webHidden/>
          </w:rPr>
          <w:tab/>
        </w:r>
        <w:r>
          <w:rPr>
            <w:rFonts w:hint="eastAsia"/>
            <w:webHidden/>
          </w:rPr>
          <w:fldChar w:fldCharType="begin"/>
        </w:r>
        <w:r>
          <w:rPr>
            <w:rFonts w:hint="eastAsia"/>
            <w:webHidden/>
          </w:rPr>
          <w:instrText xml:space="preserve"> </w:instrText>
        </w:r>
        <w:r>
          <w:rPr>
            <w:webHidden/>
          </w:rPr>
          <w:instrText>PAGEREF _Toc216186546 \h</w:instrText>
        </w:r>
        <w:r>
          <w:rPr>
            <w:rFonts w:hint="eastAsia"/>
            <w:webHidden/>
          </w:rPr>
          <w:instrText xml:space="preserve"> </w:instrText>
        </w:r>
        <w:r>
          <w:rPr>
            <w:rFonts w:hint="eastAsia"/>
            <w:webHidden/>
          </w:rPr>
        </w:r>
        <w:r>
          <w:rPr>
            <w:rFonts w:hint="eastAsia"/>
            <w:webHidden/>
          </w:rPr>
          <w:fldChar w:fldCharType="separate"/>
        </w:r>
        <w:r>
          <w:rPr>
            <w:webHidden/>
          </w:rPr>
          <w:t>23</w:t>
        </w:r>
        <w:r>
          <w:rPr>
            <w:rFonts w:hint="eastAsia"/>
            <w:webHidden/>
          </w:rPr>
          <w:fldChar w:fldCharType="end"/>
        </w:r>
      </w:hyperlink>
    </w:p>
    <w:p w14:paraId="105DFCAD" w14:textId="18E3315B" w:rsidR="00144ED6" w:rsidRDefault="00144ED6">
      <w:pPr>
        <w:pStyle w:val="TOC3"/>
        <w:rPr>
          <w:rFonts w:asciiTheme="minorHAnsi" w:eastAsiaTheme="minorEastAsia" w:hAnsiTheme="minorHAnsi" w:cstheme="minorBidi"/>
          <w:color w:val="auto"/>
          <w:kern w:val="2"/>
          <w:sz w:val="22"/>
          <w14:ligatures w14:val="standardContextual"/>
        </w:rPr>
      </w:pPr>
      <w:hyperlink w:anchor="_Toc216186547" w:history="1">
        <w:r w:rsidRPr="005F4D3C">
          <w:rPr>
            <w:rStyle w:val="afc"/>
            <w:rFonts w:hint="eastAsia"/>
          </w:rPr>
          <w:t>5.1.2.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Prior medical history/surgical history/current medical history</w:t>
        </w:r>
        <w:r>
          <w:rPr>
            <w:rFonts w:hint="eastAsia"/>
            <w:webHidden/>
          </w:rPr>
          <w:tab/>
        </w:r>
        <w:r>
          <w:rPr>
            <w:rFonts w:hint="eastAsia"/>
            <w:webHidden/>
          </w:rPr>
          <w:fldChar w:fldCharType="begin"/>
        </w:r>
        <w:r>
          <w:rPr>
            <w:rFonts w:hint="eastAsia"/>
            <w:webHidden/>
          </w:rPr>
          <w:instrText xml:space="preserve"> </w:instrText>
        </w:r>
        <w:r>
          <w:rPr>
            <w:webHidden/>
          </w:rPr>
          <w:instrText>PAGEREF _Toc216186547 \h</w:instrText>
        </w:r>
        <w:r>
          <w:rPr>
            <w:rFonts w:hint="eastAsia"/>
            <w:webHidden/>
          </w:rPr>
          <w:instrText xml:space="preserve"> </w:instrText>
        </w:r>
        <w:r>
          <w:rPr>
            <w:rFonts w:hint="eastAsia"/>
            <w:webHidden/>
          </w:rPr>
        </w:r>
        <w:r>
          <w:rPr>
            <w:rFonts w:hint="eastAsia"/>
            <w:webHidden/>
          </w:rPr>
          <w:fldChar w:fldCharType="separate"/>
        </w:r>
        <w:r>
          <w:rPr>
            <w:webHidden/>
          </w:rPr>
          <w:t>25</w:t>
        </w:r>
        <w:r>
          <w:rPr>
            <w:rFonts w:hint="eastAsia"/>
            <w:webHidden/>
          </w:rPr>
          <w:fldChar w:fldCharType="end"/>
        </w:r>
      </w:hyperlink>
    </w:p>
    <w:p w14:paraId="00B33372" w14:textId="30B1B431" w:rsidR="00144ED6" w:rsidRDefault="00144ED6">
      <w:pPr>
        <w:pStyle w:val="TOC3"/>
        <w:rPr>
          <w:rFonts w:asciiTheme="minorHAnsi" w:eastAsiaTheme="minorEastAsia" w:hAnsiTheme="minorHAnsi" w:cstheme="minorBidi"/>
          <w:color w:val="auto"/>
          <w:kern w:val="2"/>
          <w:sz w:val="22"/>
          <w14:ligatures w14:val="standardContextual"/>
        </w:rPr>
      </w:pPr>
      <w:hyperlink w:anchor="_Toc216186548" w:history="1">
        <w:r w:rsidRPr="005F4D3C">
          <w:rPr>
            <w:rStyle w:val="afc"/>
            <w:rFonts w:hint="eastAsia"/>
          </w:rPr>
          <w:t>5.1.3.</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Prior/concomitant medications and non-drug therapies</w:t>
        </w:r>
        <w:r>
          <w:rPr>
            <w:rFonts w:hint="eastAsia"/>
            <w:webHidden/>
          </w:rPr>
          <w:tab/>
        </w:r>
        <w:r>
          <w:rPr>
            <w:rFonts w:hint="eastAsia"/>
            <w:webHidden/>
          </w:rPr>
          <w:fldChar w:fldCharType="begin"/>
        </w:r>
        <w:r>
          <w:rPr>
            <w:rFonts w:hint="eastAsia"/>
            <w:webHidden/>
          </w:rPr>
          <w:instrText xml:space="preserve"> </w:instrText>
        </w:r>
        <w:r>
          <w:rPr>
            <w:webHidden/>
          </w:rPr>
          <w:instrText>PAGEREF _Toc216186548 \h</w:instrText>
        </w:r>
        <w:r>
          <w:rPr>
            <w:rFonts w:hint="eastAsia"/>
            <w:webHidden/>
          </w:rPr>
          <w:instrText xml:space="preserve"> </w:instrText>
        </w:r>
        <w:r>
          <w:rPr>
            <w:rFonts w:hint="eastAsia"/>
            <w:webHidden/>
          </w:rPr>
        </w:r>
        <w:r>
          <w:rPr>
            <w:rFonts w:hint="eastAsia"/>
            <w:webHidden/>
          </w:rPr>
          <w:fldChar w:fldCharType="separate"/>
        </w:r>
        <w:r>
          <w:rPr>
            <w:webHidden/>
          </w:rPr>
          <w:t>25</w:t>
        </w:r>
        <w:r>
          <w:rPr>
            <w:rFonts w:hint="eastAsia"/>
            <w:webHidden/>
          </w:rPr>
          <w:fldChar w:fldCharType="end"/>
        </w:r>
      </w:hyperlink>
    </w:p>
    <w:p w14:paraId="75C95189" w14:textId="2AC3DF66" w:rsidR="00144ED6" w:rsidRDefault="00144ED6">
      <w:pPr>
        <w:pStyle w:val="TOC3"/>
        <w:rPr>
          <w:rFonts w:asciiTheme="minorHAnsi" w:eastAsiaTheme="minorEastAsia" w:hAnsiTheme="minorHAnsi" w:cstheme="minorBidi"/>
          <w:color w:val="auto"/>
          <w:kern w:val="2"/>
          <w:sz w:val="22"/>
          <w14:ligatures w14:val="standardContextual"/>
        </w:rPr>
      </w:pPr>
      <w:hyperlink w:anchor="_Toc216186549" w:history="1">
        <w:r w:rsidRPr="005F4D3C">
          <w:rPr>
            <w:rStyle w:val="afc"/>
            <w:rFonts w:hint="eastAsia"/>
          </w:rPr>
          <w:t>5.1.4.</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Drug exposure and compliance</w:t>
        </w:r>
        <w:r>
          <w:rPr>
            <w:rFonts w:hint="eastAsia"/>
            <w:webHidden/>
          </w:rPr>
          <w:tab/>
        </w:r>
        <w:r>
          <w:rPr>
            <w:rFonts w:hint="eastAsia"/>
            <w:webHidden/>
          </w:rPr>
          <w:fldChar w:fldCharType="begin"/>
        </w:r>
        <w:r>
          <w:rPr>
            <w:rFonts w:hint="eastAsia"/>
            <w:webHidden/>
          </w:rPr>
          <w:instrText xml:space="preserve"> </w:instrText>
        </w:r>
        <w:r>
          <w:rPr>
            <w:webHidden/>
          </w:rPr>
          <w:instrText>PAGEREF _Toc216186549 \h</w:instrText>
        </w:r>
        <w:r>
          <w:rPr>
            <w:rFonts w:hint="eastAsia"/>
            <w:webHidden/>
          </w:rPr>
          <w:instrText xml:space="preserve"> </w:instrText>
        </w:r>
        <w:r>
          <w:rPr>
            <w:rFonts w:hint="eastAsia"/>
            <w:webHidden/>
          </w:rPr>
        </w:r>
        <w:r>
          <w:rPr>
            <w:rFonts w:hint="eastAsia"/>
            <w:webHidden/>
          </w:rPr>
          <w:fldChar w:fldCharType="separate"/>
        </w:r>
        <w:r>
          <w:rPr>
            <w:webHidden/>
          </w:rPr>
          <w:t>25</w:t>
        </w:r>
        <w:r>
          <w:rPr>
            <w:rFonts w:hint="eastAsia"/>
            <w:webHidden/>
          </w:rPr>
          <w:fldChar w:fldCharType="end"/>
        </w:r>
      </w:hyperlink>
    </w:p>
    <w:p w14:paraId="4749ECA8" w14:textId="2DD2E28D"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50" w:history="1">
        <w:r w:rsidRPr="005F4D3C">
          <w:rPr>
            <w:rStyle w:val="afc"/>
            <w:rFonts w:hint="eastAsia"/>
          </w:rPr>
          <w:t>5.2.</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Safety Evaluation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_Toc216186550 \h</w:instrText>
        </w:r>
        <w:r>
          <w:rPr>
            <w:rFonts w:hint="eastAsia"/>
            <w:webHidden/>
          </w:rPr>
          <w:instrText xml:space="preserve"> </w:instrText>
        </w:r>
        <w:r>
          <w:rPr>
            <w:rFonts w:hint="eastAsia"/>
            <w:webHidden/>
          </w:rPr>
        </w:r>
        <w:r>
          <w:rPr>
            <w:rFonts w:hint="eastAsia"/>
            <w:webHidden/>
          </w:rPr>
          <w:fldChar w:fldCharType="separate"/>
        </w:r>
        <w:r>
          <w:rPr>
            <w:webHidden/>
          </w:rPr>
          <w:t>26</w:t>
        </w:r>
        <w:r>
          <w:rPr>
            <w:rFonts w:hint="eastAsia"/>
            <w:webHidden/>
          </w:rPr>
          <w:fldChar w:fldCharType="end"/>
        </w:r>
      </w:hyperlink>
    </w:p>
    <w:p w14:paraId="7A08C005" w14:textId="49C0C7E0"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51" w:history="1">
        <w:r w:rsidRPr="005F4D3C">
          <w:rPr>
            <w:rStyle w:val="afc"/>
            <w:rFonts w:hint="eastAsia"/>
          </w:rPr>
          <w:t>5.3.</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Efficacy Evaluation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_Toc216186551 \h</w:instrText>
        </w:r>
        <w:r>
          <w:rPr>
            <w:rFonts w:hint="eastAsia"/>
            <w:webHidden/>
          </w:rPr>
          <w:instrText xml:space="preserve"> </w:instrText>
        </w:r>
        <w:r>
          <w:rPr>
            <w:rFonts w:hint="eastAsia"/>
            <w:webHidden/>
          </w:rPr>
        </w:r>
        <w:r>
          <w:rPr>
            <w:rFonts w:hint="eastAsia"/>
            <w:webHidden/>
          </w:rPr>
          <w:fldChar w:fldCharType="separate"/>
        </w:r>
        <w:r>
          <w:rPr>
            <w:webHidden/>
          </w:rPr>
          <w:t>27</w:t>
        </w:r>
        <w:r>
          <w:rPr>
            <w:rFonts w:hint="eastAsia"/>
            <w:webHidden/>
          </w:rPr>
          <w:fldChar w:fldCharType="end"/>
        </w:r>
      </w:hyperlink>
    </w:p>
    <w:p w14:paraId="3CBB7B99" w14:textId="11CADCC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52" w:history="1">
        <w:r w:rsidRPr="005F4D3C">
          <w:rPr>
            <w:rStyle w:val="afc"/>
            <w:rFonts w:hint="eastAsia"/>
          </w:rPr>
          <w:t>5.3.1.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Primary endpoint</w:t>
        </w:r>
        <w:r>
          <w:rPr>
            <w:rFonts w:hint="eastAsia"/>
            <w:webHidden/>
          </w:rPr>
          <w:tab/>
        </w:r>
        <w:r>
          <w:rPr>
            <w:rFonts w:hint="eastAsia"/>
            <w:webHidden/>
          </w:rPr>
          <w:fldChar w:fldCharType="begin"/>
        </w:r>
        <w:r>
          <w:rPr>
            <w:rFonts w:hint="eastAsia"/>
            <w:webHidden/>
          </w:rPr>
          <w:instrText xml:space="preserve"> </w:instrText>
        </w:r>
        <w:r>
          <w:rPr>
            <w:webHidden/>
          </w:rPr>
          <w:instrText>PAGEREF _Toc216186552 \h</w:instrText>
        </w:r>
        <w:r>
          <w:rPr>
            <w:rFonts w:hint="eastAsia"/>
            <w:webHidden/>
          </w:rPr>
          <w:instrText xml:space="preserve"> </w:instrText>
        </w:r>
        <w:r>
          <w:rPr>
            <w:rFonts w:hint="eastAsia"/>
            <w:webHidden/>
          </w:rPr>
        </w:r>
        <w:r>
          <w:rPr>
            <w:rFonts w:hint="eastAsia"/>
            <w:webHidden/>
          </w:rPr>
          <w:fldChar w:fldCharType="separate"/>
        </w:r>
        <w:r>
          <w:rPr>
            <w:webHidden/>
          </w:rPr>
          <w:t>27</w:t>
        </w:r>
        <w:r>
          <w:rPr>
            <w:rFonts w:hint="eastAsia"/>
            <w:webHidden/>
          </w:rPr>
          <w:fldChar w:fldCharType="end"/>
        </w:r>
      </w:hyperlink>
    </w:p>
    <w:p w14:paraId="7F81791D" w14:textId="38C01AF4" w:rsidR="00144ED6" w:rsidRDefault="00144ED6">
      <w:pPr>
        <w:pStyle w:val="TOC3"/>
        <w:rPr>
          <w:rFonts w:asciiTheme="minorHAnsi" w:eastAsiaTheme="minorEastAsia" w:hAnsiTheme="minorHAnsi" w:cstheme="minorBidi"/>
          <w:color w:val="auto"/>
          <w:kern w:val="2"/>
          <w:sz w:val="22"/>
          <w14:ligatures w14:val="standardContextual"/>
        </w:rPr>
      </w:pPr>
      <w:hyperlink w:anchor="_Toc216186553" w:history="1">
        <w:r w:rsidRPr="005F4D3C">
          <w:rPr>
            <w:rStyle w:val="afc"/>
            <w:rFonts w:hint="eastAsia"/>
          </w:rPr>
          <w:t>5.3.2.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Secondary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_Toc216186553 \h</w:instrText>
        </w:r>
        <w:r>
          <w:rPr>
            <w:rFonts w:hint="eastAsia"/>
            <w:webHidden/>
          </w:rPr>
          <w:instrText xml:space="preserve"> </w:instrText>
        </w:r>
        <w:r>
          <w:rPr>
            <w:rFonts w:hint="eastAsia"/>
            <w:webHidden/>
          </w:rPr>
        </w:r>
        <w:r>
          <w:rPr>
            <w:rFonts w:hint="eastAsia"/>
            <w:webHidden/>
          </w:rPr>
          <w:fldChar w:fldCharType="separate"/>
        </w:r>
        <w:r>
          <w:rPr>
            <w:webHidden/>
          </w:rPr>
          <w:t>27</w:t>
        </w:r>
        <w:r>
          <w:rPr>
            <w:rFonts w:hint="eastAsia"/>
            <w:webHidden/>
          </w:rPr>
          <w:fldChar w:fldCharType="end"/>
        </w:r>
      </w:hyperlink>
    </w:p>
    <w:p w14:paraId="25105A41" w14:textId="163A75DF"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54" w:history="1">
        <w:r w:rsidRPr="005F4D3C">
          <w:rPr>
            <w:rStyle w:val="afc"/>
            <w:rFonts w:hint="eastAsia"/>
          </w:rPr>
          <w:t>5.4.</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Pharmacokinetic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_Toc216186554 \h</w:instrText>
        </w:r>
        <w:r>
          <w:rPr>
            <w:rFonts w:hint="eastAsia"/>
            <w:webHidden/>
          </w:rPr>
          <w:instrText xml:space="preserve"> </w:instrText>
        </w:r>
        <w:r>
          <w:rPr>
            <w:rFonts w:hint="eastAsia"/>
            <w:webHidden/>
          </w:rPr>
        </w:r>
        <w:r>
          <w:rPr>
            <w:rFonts w:hint="eastAsia"/>
            <w:webHidden/>
          </w:rPr>
          <w:fldChar w:fldCharType="separate"/>
        </w:r>
        <w:r>
          <w:rPr>
            <w:webHidden/>
          </w:rPr>
          <w:t>28</w:t>
        </w:r>
        <w:r>
          <w:rPr>
            <w:rFonts w:hint="eastAsia"/>
            <w:webHidden/>
          </w:rPr>
          <w:fldChar w:fldCharType="end"/>
        </w:r>
      </w:hyperlink>
    </w:p>
    <w:p w14:paraId="7F6327E2" w14:textId="3D5010EA"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55" w:history="1">
        <w:r w:rsidRPr="005F4D3C">
          <w:rPr>
            <w:rStyle w:val="afc"/>
            <w:rFonts w:hint="eastAsia"/>
          </w:rPr>
          <w:t>5.5.</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Immunogenicity Endpoints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_Toc216186555 \h</w:instrText>
        </w:r>
        <w:r>
          <w:rPr>
            <w:rFonts w:hint="eastAsia"/>
            <w:webHidden/>
          </w:rPr>
          <w:instrText xml:space="preserve"> </w:instrText>
        </w:r>
        <w:r>
          <w:rPr>
            <w:rFonts w:hint="eastAsia"/>
            <w:webHidden/>
          </w:rPr>
        </w:r>
        <w:r>
          <w:rPr>
            <w:rFonts w:hint="eastAsia"/>
            <w:webHidden/>
          </w:rPr>
          <w:fldChar w:fldCharType="separate"/>
        </w:r>
        <w:r>
          <w:rPr>
            <w:webHidden/>
          </w:rPr>
          <w:t>30</w:t>
        </w:r>
        <w:r>
          <w:rPr>
            <w:rFonts w:hint="eastAsia"/>
            <w:webHidden/>
          </w:rPr>
          <w:fldChar w:fldCharType="end"/>
        </w:r>
      </w:hyperlink>
    </w:p>
    <w:p w14:paraId="19FDF2C1" w14:textId="489081E8"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56" w:history="1">
        <w:r w:rsidRPr="005F4D3C">
          <w:rPr>
            <w:rStyle w:val="afc"/>
            <w:rFonts w:hint="eastAsia"/>
          </w:rPr>
          <w:t>6.</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STATISTICAL ANALYSIS METHODS</w:t>
        </w:r>
        <w:r>
          <w:rPr>
            <w:rFonts w:hint="eastAsia"/>
            <w:webHidden/>
          </w:rPr>
          <w:tab/>
        </w:r>
        <w:r>
          <w:rPr>
            <w:rFonts w:hint="eastAsia"/>
            <w:webHidden/>
          </w:rPr>
          <w:fldChar w:fldCharType="begin"/>
        </w:r>
        <w:r>
          <w:rPr>
            <w:rFonts w:hint="eastAsia"/>
            <w:webHidden/>
          </w:rPr>
          <w:instrText xml:space="preserve"> </w:instrText>
        </w:r>
        <w:r>
          <w:rPr>
            <w:webHidden/>
          </w:rPr>
          <w:instrText>PAGEREF _Toc216186556 \h</w:instrText>
        </w:r>
        <w:r>
          <w:rPr>
            <w:rFonts w:hint="eastAsia"/>
            <w:webHidden/>
          </w:rPr>
          <w:instrText xml:space="preserve"> </w:instrText>
        </w:r>
        <w:r>
          <w:rPr>
            <w:rFonts w:hint="eastAsia"/>
            <w:webHidden/>
          </w:rPr>
        </w:r>
        <w:r>
          <w:rPr>
            <w:rFonts w:hint="eastAsia"/>
            <w:webHidden/>
          </w:rPr>
          <w:fldChar w:fldCharType="separate"/>
        </w:r>
        <w:r>
          <w:rPr>
            <w:webHidden/>
          </w:rPr>
          <w:t>30</w:t>
        </w:r>
        <w:r>
          <w:rPr>
            <w:rFonts w:hint="eastAsia"/>
            <w:webHidden/>
          </w:rPr>
          <w:fldChar w:fldCharType="end"/>
        </w:r>
      </w:hyperlink>
    </w:p>
    <w:p w14:paraId="3E568E16" w14:textId="7772642D"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57" w:history="1">
        <w:r w:rsidRPr="005F4D3C">
          <w:rPr>
            <w:rStyle w:val="afc"/>
            <w:rFonts w:hint="eastAsia"/>
          </w:rPr>
          <w:t>6.1.</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General Description of Statistical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_Toc216186557 \h</w:instrText>
        </w:r>
        <w:r>
          <w:rPr>
            <w:rFonts w:hint="eastAsia"/>
            <w:webHidden/>
          </w:rPr>
          <w:instrText xml:space="preserve"> </w:instrText>
        </w:r>
        <w:r>
          <w:rPr>
            <w:rFonts w:hint="eastAsia"/>
            <w:webHidden/>
          </w:rPr>
        </w:r>
        <w:r>
          <w:rPr>
            <w:rFonts w:hint="eastAsia"/>
            <w:webHidden/>
          </w:rPr>
          <w:fldChar w:fldCharType="separate"/>
        </w:r>
        <w:r>
          <w:rPr>
            <w:webHidden/>
          </w:rPr>
          <w:t>30</w:t>
        </w:r>
        <w:r>
          <w:rPr>
            <w:rFonts w:hint="eastAsia"/>
            <w:webHidden/>
          </w:rPr>
          <w:fldChar w:fldCharType="end"/>
        </w:r>
      </w:hyperlink>
    </w:p>
    <w:p w14:paraId="1995AFC5" w14:textId="37E18013" w:rsidR="00144ED6" w:rsidRDefault="00144ED6">
      <w:pPr>
        <w:pStyle w:val="TOC3"/>
        <w:rPr>
          <w:rFonts w:asciiTheme="minorHAnsi" w:eastAsiaTheme="minorEastAsia" w:hAnsiTheme="minorHAnsi" w:cstheme="minorBidi"/>
          <w:color w:val="auto"/>
          <w:kern w:val="2"/>
          <w:sz w:val="22"/>
          <w14:ligatures w14:val="standardContextual"/>
        </w:rPr>
      </w:pPr>
      <w:hyperlink w:anchor="_Toc216186558" w:history="1">
        <w:r w:rsidRPr="005F4D3C">
          <w:rPr>
            <w:rStyle w:val="afc"/>
            <w:rFonts w:hint="eastAsia"/>
          </w:rPr>
          <w:t>6.1.1.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General principles</w:t>
        </w:r>
        <w:r>
          <w:rPr>
            <w:rFonts w:hint="eastAsia"/>
            <w:webHidden/>
          </w:rPr>
          <w:tab/>
        </w:r>
        <w:r>
          <w:rPr>
            <w:rFonts w:hint="eastAsia"/>
            <w:webHidden/>
          </w:rPr>
          <w:fldChar w:fldCharType="begin"/>
        </w:r>
        <w:r>
          <w:rPr>
            <w:rFonts w:hint="eastAsia"/>
            <w:webHidden/>
          </w:rPr>
          <w:instrText xml:space="preserve"> </w:instrText>
        </w:r>
        <w:r>
          <w:rPr>
            <w:webHidden/>
          </w:rPr>
          <w:instrText>PAGEREF _Toc216186558 \h</w:instrText>
        </w:r>
        <w:r>
          <w:rPr>
            <w:rFonts w:hint="eastAsia"/>
            <w:webHidden/>
          </w:rPr>
          <w:instrText xml:space="preserve"> </w:instrText>
        </w:r>
        <w:r>
          <w:rPr>
            <w:rFonts w:hint="eastAsia"/>
            <w:webHidden/>
          </w:rPr>
        </w:r>
        <w:r>
          <w:rPr>
            <w:rFonts w:hint="eastAsia"/>
            <w:webHidden/>
          </w:rPr>
          <w:fldChar w:fldCharType="separate"/>
        </w:r>
        <w:r>
          <w:rPr>
            <w:webHidden/>
          </w:rPr>
          <w:t>30</w:t>
        </w:r>
        <w:r>
          <w:rPr>
            <w:rFonts w:hint="eastAsia"/>
            <w:webHidden/>
          </w:rPr>
          <w:fldChar w:fldCharType="end"/>
        </w:r>
      </w:hyperlink>
    </w:p>
    <w:p w14:paraId="1E84E0E0" w14:textId="1E668540" w:rsidR="00144ED6" w:rsidRDefault="00144ED6">
      <w:pPr>
        <w:pStyle w:val="TOC3"/>
        <w:rPr>
          <w:rFonts w:asciiTheme="minorHAnsi" w:eastAsiaTheme="minorEastAsia" w:hAnsiTheme="minorHAnsi" w:cstheme="minorBidi"/>
          <w:color w:val="auto"/>
          <w:kern w:val="2"/>
          <w:sz w:val="22"/>
          <w14:ligatures w14:val="standardContextual"/>
        </w:rPr>
      </w:pPr>
      <w:hyperlink w:anchor="_Toc216186559" w:history="1">
        <w:r w:rsidRPr="005F4D3C">
          <w:rPr>
            <w:rStyle w:val="afc"/>
            <w:rFonts w:hint="eastAsia"/>
          </w:rPr>
          <w:t>6.1.2.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Baseline value</w:t>
        </w:r>
        <w:r>
          <w:rPr>
            <w:rFonts w:hint="eastAsia"/>
            <w:webHidden/>
          </w:rPr>
          <w:tab/>
        </w:r>
        <w:r>
          <w:rPr>
            <w:rFonts w:hint="eastAsia"/>
            <w:webHidden/>
          </w:rPr>
          <w:fldChar w:fldCharType="begin"/>
        </w:r>
        <w:r>
          <w:rPr>
            <w:rFonts w:hint="eastAsia"/>
            <w:webHidden/>
          </w:rPr>
          <w:instrText xml:space="preserve"> </w:instrText>
        </w:r>
        <w:r>
          <w:rPr>
            <w:webHidden/>
          </w:rPr>
          <w:instrText>PAGEREF _Toc216186559 \h</w:instrText>
        </w:r>
        <w:r>
          <w:rPr>
            <w:rFonts w:hint="eastAsia"/>
            <w:webHidden/>
          </w:rPr>
          <w:instrText xml:space="preserve"> </w:instrText>
        </w:r>
        <w:r>
          <w:rPr>
            <w:rFonts w:hint="eastAsia"/>
            <w:webHidden/>
          </w:rPr>
        </w:r>
        <w:r>
          <w:rPr>
            <w:rFonts w:hint="eastAsia"/>
            <w:webHidden/>
          </w:rPr>
          <w:fldChar w:fldCharType="separate"/>
        </w:r>
        <w:r>
          <w:rPr>
            <w:webHidden/>
          </w:rPr>
          <w:t>31</w:t>
        </w:r>
        <w:r>
          <w:rPr>
            <w:rFonts w:hint="eastAsia"/>
            <w:webHidden/>
          </w:rPr>
          <w:fldChar w:fldCharType="end"/>
        </w:r>
      </w:hyperlink>
    </w:p>
    <w:p w14:paraId="6AB3AFB7" w14:textId="0F2B8F5C" w:rsidR="00144ED6" w:rsidRDefault="00144ED6">
      <w:pPr>
        <w:pStyle w:val="TOC3"/>
        <w:rPr>
          <w:rFonts w:asciiTheme="minorHAnsi" w:eastAsiaTheme="minorEastAsia" w:hAnsiTheme="minorHAnsi" w:cstheme="minorBidi"/>
          <w:color w:val="auto"/>
          <w:kern w:val="2"/>
          <w:sz w:val="22"/>
          <w14:ligatures w14:val="standardContextual"/>
        </w:rPr>
      </w:pPr>
      <w:hyperlink w:anchor="_Toc216186560" w:history="1">
        <w:r w:rsidRPr="005F4D3C">
          <w:rPr>
            <w:rStyle w:val="afc"/>
            <w:rFonts w:hint="eastAsia"/>
          </w:rPr>
          <w:t>6.1.3.</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Definition of study day</w:t>
        </w:r>
        <w:r>
          <w:rPr>
            <w:rFonts w:hint="eastAsia"/>
            <w:webHidden/>
          </w:rPr>
          <w:tab/>
        </w:r>
        <w:r>
          <w:rPr>
            <w:rFonts w:hint="eastAsia"/>
            <w:webHidden/>
          </w:rPr>
          <w:fldChar w:fldCharType="begin"/>
        </w:r>
        <w:r>
          <w:rPr>
            <w:rFonts w:hint="eastAsia"/>
            <w:webHidden/>
          </w:rPr>
          <w:instrText xml:space="preserve"> </w:instrText>
        </w:r>
        <w:r>
          <w:rPr>
            <w:webHidden/>
          </w:rPr>
          <w:instrText>PAGEREF _Toc216186560 \h</w:instrText>
        </w:r>
        <w:r>
          <w:rPr>
            <w:rFonts w:hint="eastAsia"/>
            <w:webHidden/>
          </w:rPr>
          <w:instrText xml:space="preserve"> </w:instrText>
        </w:r>
        <w:r>
          <w:rPr>
            <w:rFonts w:hint="eastAsia"/>
            <w:webHidden/>
          </w:rPr>
        </w:r>
        <w:r>
          <w:rPr>
            <w:rFonts w:hint="eastAsia"/>
            <w:webHidden/>
          </w:rPr>
          <w:fldChar w:fldCharType="separate"/>
        </w:r>
        <w:r>
          <w:rPr>
            <w:webHidden/>
          </w:rPr>
          <w:t>32</w:t>
        </w:r>
        <w:r>
          <w:rPr>
            <w:rFonts w:hint="eastAsia"/>
            <w:webHidden/>
          </w:rPr>
          <w:fldChar w:fldCharType="end"/>
        </w:r>
      </w:hyperlink>
    </w:p>
    <w:p w14:paraId="0A68DE1E" w14:textId="273002E1"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61" w:history="1">
        <w:r w:rsidRPr="005F4D3C">
          <w:rPr>
            <w:rStyle w:val="afc"/>
            <w:rFonts w:hint="eastAsia"/>
            <w:bCs/>
            <w:noProof/>
          </w:rPr>
          <w:t>6.1.3.1.</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Time interval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741DE82E" w14:textId="185D82D6" w:rsidR="00144ED6" w:rsidRDefault="00144ED6">
      <w:pPr>
        <w:pStyle w:val="TOC3"/>
        <w:rPr>
          <w:rFonts w:asciiTheme="minorHAnsi" w:eastAsiaTheme="minorEastAsia" w:hAnsiTheme="minorHAnsi" w:cstheme="minorBidi"/>
          <w:color w:val="auto"/>
          <w:kern w:val="2"/>
          <w:sz w:val="22"/>
          <w14:ligatures w14:val="standardContextual"/>
        </w:rPr>
      </w:pPr>
      <w:hyperlink w:anchor="_Toc216186562" w:history="1">
        <w:r w:rsidRPr="005F4D3C">
          <w:rPr>
            <w:rStyle w:val="afc"/>
            <w:rFonts w:hint="eastAsia"/>
          </w:rPr>
          <w:t>6.1.4.</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Analysis Visit</w:t>
        </w:r>
        <w:r>
          <w:rPr>
            <w:rFonts w:hint="eastAsia"/>
            <w:webHidden/>
          </w:rPr>
          <w:tab/>
        </w:r>
        <w:r>
          <w:rPr>
            <w:rFonts w:hint="eastAsia"/>
            <w:webHidden/>
          </w:rPr>
          <w:fldChar w:fldCharType="begin"/>
        </w:r>
        <w:r>
          <w:rPr>
            <w:rFonts w:hint="eastAsia"/>
            <w:webHidden/>
          </w:rPr>
          <w:instrText xml:space="preserve"> </w:instrText>
        </w:r>
        <w:r>
          <w:rPr>
            <w:webHidden/>
          </w:rPr>
          <w:instrText>PAGEREF _Toc216186562 \h</w:instrText>
        </w:r>
        <w:r>
          <w:rPr>
            <w:rFonts w:hint="eastAsia"/>
            <w:webHidden/>
          </w:rPr>
          <w:instrText xml:space="preserve"> </w:instrText>
        </w:r>
        <w:r>
          <w:rPr>
            <w:rFonts w:hint="eastAsia"/>
            <w:webHidden/>
          </w:rPr>
        </w:r>
        <w:r>
          <w:rPr>
            <w:rFonts w:hint="eastAsia"/>
            <w:webHidden/>
          </w:rPr>
          <w:fldChar w:fldCharType="separate"/>
        </w:r>
        <w:r>
          <w:rPr>
            <w:webHidden/>
          </w:rPr>
          <w:t>32</w:t>
        </w:r>
        <w:r>
          <w:rPr>
            <w:rFonts w:hint="eastAsia"/>
            <w:webHidden/>
          </w:rPr>
          <w:fldChar w:fldCharType="end"/>
        </w:r>
      </w:hyperlink>
    </w:p>
    <w:p w14:paraId="3A613142" w14:textId="4BAAAE9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63" w:history="1">
        <w:r w:rsidRPr="005F4D3C">
          <w:rPr>
            <w:rStyle w:val="afc"/>
            <w:rFonts w:hint="eastAsia"/>
          </w:rPr>
          <w:t>6.1.5.</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Handling of missing data</w:t>
        </w:r>
        <w:r>
          <w:rPr>
            <w:rFonts w:hint="eastAsia"/>
            <w:webHidden/>
          </w:rPr>
          <w:tab/>
        </w:r>
        <w:r>
          <w:rPr>
            <w:rFonts w:hint="eastAsia"/>
            <w:webHidden/>
          </w:rPr>
          <w:fldChar w:fldCharType="begin"/>
        </w:r>
        <w:r>
          <w:rPr>
            <w:rFonts w:hint="eastAsia"/>
            <w:webHidden/>
          </w:rPr>
          <w:instrText xml:space="preserve"> </w:instrText>
        </w:r>
        <w:r>
          <w:rPr>
            <w:webHidden/>
          </w:rPr>
          <w:instrText>PAGEREF _Toc216186563 \h</w:instrText>
        </w:r>
        <w:r>
          <w:rPr>
            <w:rFonts w:hint="eastAsia"/>
            <w:webHidden/>
          </w:rPr>
          <w:instrText xml:space="preserve"> </w:instrText>
        </w:r>
        <w:r>
          <w:rPr>
            <w:rFonts w:hint="eastAsia"/>
            <w:webHidden/>
          </w:rPr>
        </w:r>
        <w:r>
          <w:rPr>
            <w:rFonts w:hint="eastAsia"/>
            <w:webHidden/>
          </w:rPr>
          <w:fldChar w:fldCharType="separate"/>
        </w:r>
        <w:r>
          <w:rPr>
            <w:webHidden/>
          </w:rPr>
          <w:t>32</w:t>
        </w:r>
        <w:r>
          <w:rPr>
            <w:rFonts w:hint="eastAsia"/>
            <w:webHidden/>
          </w:rPr>
          <w:fldChar w:fldCharType="end"/>
        </w:r>
      </w:hyperlink>
    </w:p>
    <w:p w14:paraId="3DAB9741" w14:textId="02B4BA35"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64" w:history="1">
        <w:r w:rsidRPr="005F4D3C">
          <w:rPr>
            <w:rStyle w:val="afc"/>
            <w:rFonts w:hint="eastAsia"/>
            <w:bCs/>
            <w:noProof/>
          </w:rPr>
          <w:t>6.1.5.1.</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Handling of missing efficacy data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7AD67020" w14:textId="527B152A"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65" w:history="1">
        <w:r w:rsidRPr="005F4D3C">
          <w:rPr>
            <w:rStyle w:val="afc"/>
            <w:rFonts w:hint="eastAsia"/>
            <w:bCs/>
            <w:noProof/>
          </w:rPr>
          <w:t>6.1.5.2.</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Processing of missing dates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0F9881D3" w14:textId="137F6C14"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66" w:history="1">
        <w:r w:rsidRPr="005F4D3C">
          <w:rPr>
            <w:rStyle w:val="afc"/>
            <w:rFonts w:hint="eastAsia"/>
          </w:rPr>
          <w:t>6.2.</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Subject Characteristics</w:t>
        </w:r>
        <w:r>
          <w:rPr>
            <w:rFonts w:hint="eastAsia"/>
            <w:webHidden/>
          </w:rPr>
          <w:tab/>
        </w:r>
        <w:r>
          <w:rPr>
            <w:rFonts w:hint="eastAsia"/>
            <w:webHidden/>
          </w:rPr>
          <w:fldChar w:fldCharType="begin"/>
        </w:r>
        <w:r>
          <w:rPr>
            <w:rFonts w:hint="eastAsia"/>
            <w:webHidden/>
          </w:rPr>
          <w:instrText xml:space="preserve"> </w:instrText>
        </w:r>
        <w:r>
          <w:rPr>
            <w:webHidden/>
          </w:rPr>
          <w:instrText>PAGEREF _Toc216186566 \h</w:instrText>
        </w:r>
        <w:r>
          <w:rPr>
            <w:rFonts w:hint="eastAsia"/>
            <w:webHidden/>
          </w:rPr>
          <w:instrText xml:space="preserve"> </w:instrText>
        </w:r>
        <w:r>
          <w:rPr>
            <w:rFonts w:hint="eastAsia"/>
            <w:webHidden/>
          </w:rPr>
        </w:r>
        <w:r>
          <w:rPr>
            <w:rFonts w:hint="eastAsia"/>
            <w:webHidden/>
          </w:rPr>
          <w:fldChar w:fldCharType="separate"/>
        </w:r>
        <w:r>
          <w:rPr>
            <w:webHidden/>
          </w:rPr>
          <w:t>34</w:t>
        </w:r>
        <w:r>
          <w:rPr>
            <w:rFonts w:hint="eastAsia"/>
            <w:webHidden/>
          </w:rPr>
          <w:fldChar w:fldCharType="end"/>
        </w:r>
      </w:hyperlink>
    </w:p>
    <w:p w14:paraId="68B93B6A" w14:textId="3A5E5D34" w:rsidR="00144ED6" w:rsidRDefault="00144ED6">
      <w:pPr>
        <w:pStyle w:val="TOC3"/>
        <w:rPr>
          <w:rFonts w:asciiTheme="minorHAnsi" w:eastAsiaTheme="minorEastAsia" w:hAnsiTheme="minorHAnsi" w:cstheme="minorBidi"/>
          <w:color w:val="auto"/>
          <w:kern w:val="2"/>
          <w:sz w:val="22"/>
          <w14:ligatures w14:val="standardContextual"/>
        </w:rPr>
      </w:pPr>
      <w:hyperlink w:anchor="_Toc216186567" w:history="1">
        <w:r w:rsidRPr="005F4D3C">
          <w:rPr>
            <w:rStyle w:val="afc"/>
            <w:rFonts w:hint="eastAsia"/>
          </w:rPr>
          <w:t>6.2.1.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Subject disposition</w:t>
        </w:r>
        <w:r>
          <w:rPr>
            <w:rFonts w:hint="eastAsia"/>
            <w:webHidden/>
          </w:rPr>
          <w:tab/>
        </w:r>
        <w:r>
          <w:rPr>
            <w:rFonts w:hint="eastAsia"/>
            <w:webHidden/>
          </w:rPr>
          <w:fldChar w:fldCharType="begin"/>
        </w:r>
        <w:r>
          <w:rPr>
            <w:rFonts w:hint="eastAsia"/>
            <w:webHidden/>
          </w:rPr>
          <w:instrText xml:space="preserve"> </w:instrText>
        </w:r>
        <w:r>
          <w:rPr>
            <w:webHidden/>
          </w:rPr>
          <w:instrText>PAGEREF _Toc216186567 \h</w:instrText>
        </w:r>
        <w:r>
          <w:rPr>
            <w:rFonts w:hint="eastAsia"/>
            <w:webHidden/>
          </w:rPr>
          <w:instrText xml:space="preserve"> </w:instrText>
        </w:r>
        <w:r>
          <w:rPr>
            <w:rFonts w:hint="eastAsia"/>
            <w:webHidden/>
          </w:rPr>
        </w:r>
        <w:r>
          <w:rPr>
            <w:rFonts w:hint="eastAsia"/>
            <w:webHidden/>
          </w:rPr>
          <w:fldChar w:fldCharType="separate"/>
        </w:r>
        <w:r>
          <w:rPr>
            <w:webHidden/>
          </w:rPr>
          <w:t>34</w:t>
        </w:r>
        <w:r>
          <w:rPr>
            <w:rFonts w:hint="eastAsia"/>
            <w:webHidden/>
          </w:rPr>
          <w:fldChar w:fldCharType="end"/>
        </w:r>
      </w:hyperlink>
    </w:p>
    <w:p w14:paraId="25294174" w14:textId="6441CAC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68" w:history="1">
        <w:r w:rsidRPr="005F4D3C">
          <w:rPr>
            <w:rStyle w:val="afc"/>
            <w:rFonts w:hint="eastAsia"/>
          </w:rPr>
          <w:t>6.2.2.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Protocol deviations</w:t>
        </w:r>
        <w:r>
          <w:rPr>
            <w:rFonts w:hint="eastAsia"/>
            <w:webHidden/>
          </w:rPr>
          <w:tab/>
        </w:r>
        <w:r>
          <w:rPr>
            <w:rFonts w:hint="eastAsia"/>
            <w:webHidden/>
          </w:rPr>
          <w:fldChar w:fldCharType="begin"/>
        </w:r>
        <w:r>
          <w:rPr>
            <w:rFonts w:hint="eastAsia"/>
            <w:webHidden/>
          </w:rPr>
          <w:instrText xml:space="preserve"> </w:instrText>
        </w:r>
        <w:r>
          <w:rPr>
            <w:webHidden/>
          </w:rPr>
          <w:instrText>PAGEREF _Toc216186568 \h</w:instrText>
        </w:r>
        <w:r>
          <w:rPr>
            <w:rFonts w:hint="eastAsia"/>
            <w:webHidden/>
          </w:rPr>
          <w:instrText xml:space="preserve"> </w:instrText>
        </w:r>
        <w:r>
          <w:rPr>
            <w:rFonts w:hint="eastAsia"/>
            <w:webHidden/>
          </w:rPr>
        </w:r>
        <w:r>
          <w:rPr>
            <w:rFonts w:hint="eastAsia"/>
            <w:webHidden/>
          </w:rPr>
          <w:fldChar w:fldCharType="separate"/>
        </w:r>
        <w:r>
          <w:rPr>
            <w:webHidden/>
          </w:rPr>
          <w:t>34</w:t>
        </w:r>
        <w:r>
          <w:rPr>
            <w:rFonts w:hint="eastAsia"/>
            <w:webHidden/>
          </w:rPr>
          <w:fldChar w:fldCharType="end"/>
        </w:r>
      </w:hyperlink>
    </w:p>
    <w:p w14:paraId="3AC0C0DA" w14:textId="5B469160" w:rsidR="00144ED6" w:rsidRDefault="00144ED6">
      <w:pPr>
        <w:pStyle w:val="TOC3"/>
        <w:rPr>
          <w:rFonts w:asciiTheme="minorHAnsi" w:eastAsiaTheme="minorEastAsia" w:hAnsiTheme="minorHAnsi" w:cstheme="minorBidi"/>
          <w:color w:val="auto"/>
          <w:kern w:val="2"/>
          <w:sz w:val="22"/>
          <w14:ligatures w14:val="standardContextual"/>
        </w:rPr>
      </w:pPr>
      <w:hyperlink w:anchor="_Toc216186569" w:history="1">
        <w:r w:rsidRPr="005F4D3C">
          <w:rPr>
            <w:rStyle w:val="afc"/>
            <w:rFonts w:hint="eastAsia"/>
          </w:rPr>
          <w:t>6.2.3.</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Demographic data and baseline characteristics</w:t>
        </w:r>
        <w:r>
          <w:rPr>
            <w:rFonts w:hint="eastAsia"/>
            <w:webHidden/>
          </w:rPr>
          <w:tab/>
        </w:r>
        <w:r>
          <w:rPr>
            <w:rFonts w:hint="eastAsia"/>
            <w:webHidden/>
          </w:rPr>
          <w:fldChar w:fldCharType="begin"/>
        </w:r>
        <w:r>
          <w:rPr>
            <w:rFonts w:hint="eastAsia"/>
            <w:webHidden/>
          </w:rPr>
          <w:instrText xml:space="preserve"> </w:instrText>
        </w:r>
        <w:r>
          <w:rPr>
            <w:webHidden/>
          </w:rPr>
          <w:instrText>PAGEREF _Toc216186569 \h</w:instrText>
        </w:r>
        <w:r>
          <w:rPr>
            <w:rFonts w:hint="eastAsia"/>
            <w:webHidden/>
          </w:rPr>
          <w:instrText xml:space="preserve"> </w:instrText>
        </w:r>
        <w:r>
          <w:rPr>
            <w:rFonts w:hint="eastAsia"/>
            <w:webHidden/>
          </w:rPr>
        </w:r>
        <w:r>
          <w:rPr>
            <w:rFonts w:hint="eastAsia"/>
            <w:webHidden/>
          </w:rPr>
          <w:fldChar w:fldCharType="separate"/>
        </w:r>
        <w:r>
          <w:rPr>
            <w:webHidden/>
          </w:rPr>
          <w:t>34</w:t>
        </w:r>
        <w:r>
          <w:rPr>
            <w:rFonts w:hint="eastAsia"/>
            <w:webHidden/>
          </w:rPr>
          <w:fldChar w:fldCharType="end"/>
        </w:r>
      </w:hyperlink>
    </w:p>
    <w:p w14:paraId="0FB35080" w14:textId="744CA1EA"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70" w:history="1">
        <w:r w:rsidRPr="005F4D3C">
          <w:rPr>
            <w:rStyle w:val="afc"/>
            <w:rFonts w:hint="eastAsia"/>
            <w:bCs/>
            <w:noProof/>
          </w:rPr>
          <w:t>6.2.3.1.</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Demographics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6D240827" w14:textId="1C894870"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71" w:history="1">
        <w:r w:rsidRPr="005F4D3C">
          <w:rPr>
            <w:rStyle w:val="afc"/>
            <w:rFonts w:hint="eastAsia"/>
            <w:bCs/>
            <w:noProof/>
          </w:rPr>
          <w:t>6.2.3.2.</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Other baseline characteristics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1A59AF37" w14:textId="5175B62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72" w:history="1">
        <w:r w:rsidRPr="005F4D3C">
          <w:rPr>
            <w:rStyle w:val="afc"/>
            <w:rFonts w:hint="eastAsia"/>
          </w:rPr>
          <w:t>6.2.4.</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Prior medical history/surgical history/current medical history</w:t>
        </w:r>
        <w:r>
          <w:rPr>
            <w:rFonts w:hint="eastAsia"/>
            <w:webHidden/>
          </w:rPr>
          <w:tab/>
        </w:r>
        <w:r>
          <w:rPr>
            <w:rFonts w:hint="eastAsia"/>
            <w:webHidden/>
          </w:rPr>
          <w:fldChar w:fldCharType="begin"/>
        </w:r>
        <w:r>
          <w:rPr>
            <w:rFonts w:hint="eastAsia"/>
            <w:webHidden/>
          </w:rPr>
          <w:instrText xml:space="preserve"> </w:instrText>
        </w:r>
        <w:r>
          <w:rPr>
            <w:webHidden/>
          </w:rPr>
          <w:instrText>PAGEREF _Toc216186572 \h</w:instrText>
        </w:r>
        <w:r>
          <w:rPr>
            <w:rFonts w:hint="eastAsia"/>
            <w:webHidden/>
          </w:rPr>
          <w:instrText xml:space="preserve"> </w:instrText>
        </w:r>
        <w:r>
          <w:rPr>
            <w:rFonts w:hint="eastAsia"/>
            <w:webHidden/>
          </w:rPr>
        </w:r>
        <w:r>
          <w:rPr>
            <w:rFonts w:hint="eastAsia"/>
            <w:webHidden/>
          </w:rPr>
          <w:fldChar w:fldCharType="separate"/>
        </w:r>
        <w:r>
          <w:rPr>
            <w:webHidden/>
          </w:rPr>
          <w:t>35</w:t>
        </w:r>
        <w:r>
          <w:rPr>
            <w:rFonts w:hint="eastAsia"/>
            <w:webHidden/>
          </w:rPr>
          <w:fldChar w:fldCharType="end"/>
        </w:r>
      </w:hyperlink>
    </w:p>
    <w:p w14:paraId="7DA38BF2" w14:textId="68201A64" w:rsidR="00144ED6" w:rsidRDefault="00144ED6">
      <w:pPr>
        <w:pStyle w:val="TOC3"/>
        <w:rPr>
          <w:rFonts w:asciiTheme="minorHAnsi" w:eastAsiaTheme="minorEastAsia" w:hAnsiTheme="minorHAnsi" w:cstheme="minorBidi"/>
          <w:color w:val="auto"/>
          <w:kern w:val="2"/>
          <w:sz w:val="22"/>
          <w14:ligatures w14:val="standardContextual"/>
        </w:rPr>
      </w:pPr>
      <w:hyperlink w:anchor="_Toc216186573" w:history="1">
        <w:r w:rsidRPr="005F4D3C">
          <w:rPr>
            <w:rStyle w:val="afc"/>
            <w:rFonts w:hint="eastAsia"/>
          </w:rPr>
          <w:t>6.2.5.</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Prior/concomitant medications and non-drug therapies</w:t>
        </w:r>
        <w:r>
          <w:rPr>
            <w:rFonts w:hint="eastAsia"/>
            <w:webHidden/>
          </w:rPr>
          <w:tab/>
        </w:r>
        <w:r>
          <w:rPr>
            <w:rFonts w:hint="eastAsia"/>
            <w:webHidden/>
          </w:rPr>
          <w:fldChar w:fldCharType="begin"/>
        </w:r>
        <w:r>
          <w:rPr>
            <w:rFonts w:hint="eastAsia"/>
            <w:webHidden/>
          </w:rPr>
          <w:instrText xml:space="preserve"> </w:instrText>
        </w:r>
        <w:r>
          <w:rPr>
            <w:webHidden/>
          </w:rPr>
          <w:instrText>PAGEREF _Toc216186573 \h</w:instrText>
        </w:r>
        <w:r>
          <w:rPr>
            <w:rFonts w:hint="eastAsia"/>
            <w:webHidden/>
          </w:rPr>
          <w:instrText xml:space="preserve"> </w:instrText>
        </w:r>
        <w:r>
          <w:rPr>
            <w:rFonts w:hint="eastAsia"/>
            <w:webHidden/>
          </w:rPr>
        </w:r>
        <w:r>
          <w:rPr>
            <w:rFonts w:hint="eastAsia"/>
            <w:webHidden/>
          </w:rPr>
          <w:fldChar w:fldCharType="separate"/>
        </w:r>
        <w:r>
          <w:rPr>
            <w:webHidden/>
          </w:rPr>
          <w:t>35</w:t>
        </w:r>
        <w:r>
          <w:rPr>
            <w:rFonts w:hint="eastAsia"/>
            <w:webHidden/>
          </w:rPr>
          <w:fldChar w:fldCharType="end"/>
        </w:r>
      </w:hyperlink>
    </w:p>
    <w:p w14:paraId="063CC13F" w14:textId="73FAE185"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74" w:history="1">
        <w:r w:rsidRPr="005F4D3C">
          <w:rPr>
            <w:rStyle w:val="afc"/>
            <w:rFonts w:hint="eastAsia"/>
            <w:bCs/>
            <w:noProof/>
          </w:rPr>
          <w:t>6.2.5.1.</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Prior/concomitant medications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63CE4AF4" w14:textId="7C6F6DEE"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75" w:history="1">
        <w:r w:rsidRPr="005F4D3C">
          <w:rPr>
            <w:rStyle w:val="afc"/>
            <w:rFonts w:hint="eastAsia"/>
            <w:bCs/>
            <w:noProof/>
          </w:rPr>
          <w:t>6.2.5.2.</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Prior/concomitant non-drug therapies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7C1E4DE6" w14:textId="7EEEA38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76" w:history="1">
        <w:r w:rsidRPr="005F4D3C">
          <w:rPr>
            <w:rStyle w:val="afc"/>
            <w:rFonts w:hint="eastAsia"/>
          </w:rPr>
          <w:t>6.2.6.</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Drug exposure and compliance</w:t>
        </w:r>
        <w:r>
          <w:rPr>
            <w:rFonts w:hint="eastAsia"/>
            <w:webHidden/>
          </w:rPr>
          <w:tab/>
        </w:r>
        <w:r>
          <w:rPr>
            <w:rFonts w:hint="eastAsia"/>
            <w:webHidden/>
          </w:rPr>
          <w:fldChar w:fldCharType="begin"/>
        </w:r>
        <w:r>
          <w:rPr>
            <w:rFonts w:hint="eastAsia"/>
            <w:webHidden/>
          </w:rPr>
          <w:instrText xml:space="preserve"> </w:instrText>
        </w:r>
        <w:r>
          <w:rPr>
            <w:webHidden/>
          </w:rPr>
          <w:instrText>PAGEREF _Toc216186576 \h</w:instrText>
        </w:r>
        <w:r>
          <w:rPr>
            <w:rFonts w:hint="eastAsia"/>
            <w:webHidden/>
          </w:rPr>
          <w:instrText xml:space="preserve"> </w:instrText>
        </w:r>
        <w:r>
          <w:rPr>
            <w:rFonts w:hint="eastAsia"/>
            <w:webHidden/>
          </w:rPr>
        </w:r>
        <w:r>
          <w:rPr>
            <w:rFonts w:hint="eastAsia"/>
            <w:webHidden/>
          </w:rPr>
          <w:fldChar w:fldCharType="separate"/>
        </w:r>
        <w:r>
          <w:rPr>
            <w:webHidden/>
          </w:rPr>
          <w:t>36</w:t>
        </w:r>
        <w:r>
          <w:rPr>
            <w:rFonts w:hint="eastAsia"/>
            <w:webHidden/>
          </w:rPr>
          <w:fldChar w:fldCharType="end"/>
        </w:r>
      </w:hyperlink>
    </w:p>
    <w:p w14:paraId="319F79E6" w14:textId="654A4656"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77" w:history="1">
        <w:r w:rsidRPr="005F4D3C">
          <w:rPr>
            <w:rStyle w:val="afc"/>
            <w:rFonts w:hint="eastAsia"/>
          </w:rPr>
          <w:t>6.3.</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Safety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_Toc216186577 \h</w:instrText>
        </w:r>
        <w:r>
          <w:rPr>
            <w:rFonts w:hint="eastAsia"/>
            <w:webHidden/>
          </w:rPr>
          <w:instrText xml:space="preserve"> </w:instrText>
        </w:r>
        <w:r>
          <w:rPr>
            <w:rFonts w:hint="eastAsia"/>
            <w:webHidden/>
          </w:rPr>
        </w:r>
        <w:r>
          <w:rPr>
            <w:rFonts w:hint="eastAsia"/>
            <w:webHidden/>
          </w:rPr>
          <w:fldChar w:fldCharType="separate"/>
        </w:r>
        <w:r>
          <w:rPr>
            <w:webHidden/>
          </w:rPr>
          <w:t>36</w:t>
        </w:r>
        <w:r>
          <w:rPr>
            <w:rFonts w:hint="eastAsia"/>
            <w:webHidden/>
          </w:rPr>
          <w:fldChar w:fldCharType="end"/>
        </w:r>
      </w:hyperlink>
    </w:p>
    <w:p w14:paraId="4E144472" w14:textId="60B8054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78" w:history="1">
        <w:r w:rsidRPr="005F4D3C">
          <w:rPr>
            <w:rStyle w:val="afc"/>
            <w:rFonts w:hint="eastAsia"/>
          </w:rPr>
          <w:t>6.3.1.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Adverse events</w:t>
        </w:r>
        <w:r>
          <w:rPr>
            <w:rFonts w:hint="eastAsia"/>
            <w:webHidden/>
          </w:rPr>
          <w:tab/>
        </w:r>
        <w:r>
          <w:rPr>
            <w:rFonts w:hint="eastAsia"/>
            <w:webHidden/>
          </w:rPr>
          <w:fldChar w:fldCharType="begin"/>
        </w:r>
        <w:r>
          <w:rPr>
            <w:rFonts w:hint="eastAsia"/>
            <w:webHidden/>
          </w:rPr>
          <w:instrText xml:space="preserve"> </w:instrText>
        </w:r>
        <w:r>
          <w:rPr>
            <w:webHidden/>
          </w:rPr>
          <w:instrText>PAGEREF _Toc216186578 \h</w:instrText>
        </w:r>
        <w:r>
          <w:rPr>
            <w:rFonts w:hint="eastAsia"/>
            <w:webHidden/>
          </w:rPr>
          <w:instrText xml:space="preserve"> </w:instrText>
        </w:r>
        <w:r>
          <w:rPr>
            <w:rFonts w:hint="eastAsia"/>
            <w:webHidden/>
          </w:rPr>
        </w:r>
        <w:r>
          <w:rPr>
            <w:rFonts w:hint="eastAsia"/>
            <w:webHidden/>
          </w:rPr>
          <w:fldChar w:fldCharType="separate"/>
        </w:r>
        <w:r>
          <w:rPr>
            <w:webHidden/>
          </w:rPr>
          <w:t>36</w:t>
        </w:r>
        <w:r>
          <w:rPr>
            <w:rFonts w:hint="eastAsia"/>
            <w:webHidden/>
          </w:rPr>
          <w:fldChar w:fldCharType="end"/>
        </w:r>
      </w:hyperlink>
    </w:p>
    <w:p w14:paraId="7A92A5B9" w14:textId="038017BC"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79" w:history="1">
        <w:r w:rsidRPr="005F4D3C">
          <w:rPr>
            <w:rStyle w:val="afc"/>
            <w:rFonts w:hint="eastAsia"/>
            <w:bCs/>
            <w:noProof/>
          </w:rPr>
          <w:t>6.3.1.1.</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Summary table of all AEs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66ECA204" w14:textId="0223A132"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80" w:history="1">
        <w:r w:rsidRPr="005F4D3C">
          <w:rPr>
            <w:rStyle w:val="afc"/>
            <w:rFonts w:hint="eastAsia"/>
            <w:bCs/>
            <w:noProof/>
          </w:rPr>
          <w:t>6.3.1.2.</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Summary of adverse events by SOC and PT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1F105E61" w14:textId="4C41DCB6"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81" w:history="1">
        <w:r w:rsidRPr="005F4D3C">
          <w:rPr>
            <w:rStyle w:val="afc"/>
            <w:rFonts w:hint="eastAsia"/>
            <w:bCs/>
            <w:noProof/>
          </w:rPr>
          <w:t>6.3.1.3.</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 xml:space="preserve">Summary of adverse events by SOC, PT, and </w:t>
        </w:r>
        <w:r>
          <w:rPr>
            <w:rStyle w:val="afc"/>
            <w:noProof/>
          </w:rPr>
          <w:br/>
        </w:r>
        <w:r w:rsidRPr="005F4D3C">
          <w:rPr>
            <w:rStyle w:val="afc"/>
            <w:rFonts w:hint="eastAsia"/>
            <w:noProof/>
          </w:rPr>
          <w:t>CTCAE grade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52016A6E" w14:textId="15BD1207"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82" w:history="1">
        <w:r w:rsidRPr="005F4D3C">
          <w:rPr>
            <w:rStyle w:val="afc"/>
            <w:rFonts w:hint="eastAsia"/>
            <w:bCs/>
            <w:noProof/>
          </w:rPr>
          <w:t>6.3.1.4.</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 xml:space="preserve">Summary of adverse events by SOC, PT, and </w:t>
        </w:r>
        <w:r>
          <w:rPr>
            <w:rStyle w:val="afc"/>
            <w:noProof/>
          </w:rPr>
          <w:br/>
        </w:r>
        <w:r w:rsidRPr="005F4D3C">
          <w:rPr>
            <w:rStyle w:val="afc"/>
            <w:rFonts w:hint="eastAsia"/>
            <w:noProof/>
          </w:rPr>
          <w:t>other variables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1B5CEAD6" w14:textId="247F6A5B" w:rsidR="00144ED6" w:rsidRDefault="00144ED6">
      <w:pPr>
        <w:pStyle w:val="TOC4"/>
        <w:rPr>
          <w:rFonts w:asciiTheme="minorHAnsi" w:eastAsiaTheme="minorEastAsia" w:hAnsiTheme="minorHAnsi" w:cstheme="minorBidi"/>
          <w:noProof/>
          <w:color w:val="auto"/>
          <w:kern w:val="2"/>
          <w:sz w:val="22"/>
          <w14:ligatures w14:val="standardContextual"/>
        </w:rPr>
      </w:pPr>
      <w:hyperlink w:anchor="_Toc216186583" w:history="1">
        <w:r w:rsidRPr="005F4D3C">
          <w:rPr>
            <w:rStyle w:val="afc"/>
            <w:rFonts w:hint="eastAsia"/>
            <w:bCs/>
            <w:noProof/>
          </w:rPr>
          <w:t>6.3.1.5.</w:t>
        </w:r>
        <w:r>
          <w:rPr>
            <w:rFonts w:asciiTheme="minorHAnsi" w:eastAsiaTheme="minorEastAsia" w:hAnsiTheme="minorHAnsi" w:cstheme="minorBidi" w:hint="eastAsia"/>
            <w:noProof/>
            <w:color w:val="auto"/>
            <w:kern w:val="2"/>
            <w:sz w:val="22"/>
            <w14:ligatures w14:val="standardContextual"/>
          </w:rPr>
          <w:tab/>
        </w:r>
        <w:r w:rsidRPr="005F4D3C">
          <w:rPr>
            <w:rStyle w:val="afc"/>
            <w:rFonts w:hint="eastAsia"/>
            <w:noProof/>
          </w:rPr>
          <w:t>Gastrointestinal adverse events/reactions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_Toc216186583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56A9C44B" w14:textId="312F32FA" w:rsidR="00144ED6" w:rsidRDefault="00144ED6">
      <w:pPr>
        <w:pStyle w:val="TOC3"/>
        <w:rPr>
          <w:rFonts w:asciiTheme="minorHAnsi" w:eastAsiaTheme="minorEastAsia" w:hAnsiTheme="minorHAnsi" w:cstheme="minorBidi"/>
          <w:color w:val="auto"/>
          <w:kern w:val="2"/>
          <w:sz w:val="22"/>
          <w14:ligatures w14:val="standardContextual"/>
        </w:rPr>
      </w:pPr>
      <w:hyperlink w:anchor="_Toc216186584" w:history="1">
        <w:r w:rsidRPr="005F4D3C">
          <w:rPr>
            <w:rStyle w:val="afc"/>
            <w:rFonts w:hint="eastAsia"/>
          </w:rPr>
          <w:t>6.3.2.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Laboratory tests</w:t>
        </w:r>
        <w:r>
          <w:rPr>
            <w:rFonts w:hint="eastAsia"/>
            <w:webHidden/>
          </w:rPr>
          <w:tab/>
        </w:r>
        <w:r>
          <w:rPr>
            <w:rFonts w:hint="eastAsia"/>
            <w:webHidden/>
          </w:rPr>
          <w:fldChar w:fldCharType="begin"/>
        </w:r>
        <w:r>
          <w:rPr>
            <w:rFonts w:hint="eastAsia"/>
            <w:webHidden/>
          </w:rPr>
          <w:instrText xml:space="preserve"> </w:instrText>
        </w:r>
        <w:r>
          <w:rPr>
            <w:webHidden/>
          </w:rPr>
          <w:instrText>PAGEREF _Toc216186584 \h</w:instrText>
        </w:r>
        <w:r>
          <w:rPr>
            <w:rFonts w:hint="eastAsia"/>
            <w:webHidden/>
          </w:rPr>
          <w:instrText xml:space="preserve"> </w:instrText>
        </w:r>
        <w:r>
          <w:rPr>
            <w:rFonts w:hint="eastAsia"/>
            <w:webHidden/>
          </w:rPr>
        </w:r>
        <w:r>
          <w:rPr>
            <w:rFonts w:hint="eastAsia"/>
            <w:webHidden/>
          </w:rPr>
          <w:fldChar w:fldCharType="separate"/>
        </w:r>
        <w:r>
          <w:rPr>
            <w:webHidden/>
          </w:rPr>
          <w:t>40</w:t>
        </w:r>
        <w:r>
          <w:rPr>
            <w:rFonts w:hint="eastAsia"/>
            <w:webHidden/>
          </w:rPr>
          <w:fldChar w:fldCharType="end"/>
        </w:r>
      </w:hyperlink>
    </w:p>
    <w:p w14:paraId="49DC660F" w14:textId="38DDD036" w:rsidR="00144ED6" w:rsidRDefault="00144ED6">
      <w:pPr>
        <w:pStyle w:val="TOC3"/>
        <w:rPr>
          <w:rFonts w:asciiTheme="minorHAnsi" w:eastAsiaTheme="minorEastAsia" w:hAnsiTheme="minorHAnsi" w:cstheme="minorBidi"/>
          <w:color w:val="auto"/>
          <w:kern w:val="2"/>
          <w:sz w:val="22"/>
          <w14:ligatures w14:val="standardContextual"/>
        </w:rPr>
      </w:pPr>
      <w:hyperlink w:anchor="_Toc216186585" w:history="1">
        <w:r w:rsidRPr="005F4D3C">
          <w:rPr>
            <w:rStyle w:val="afc"/>
            <w:rFonts w:hint="eastAsia"/>
          </w:rPr>
          <w:t>6.3.3.</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Vital signs</w:t>
        </w:r>
        <w:r>
          <w:rPr>
            <w:rFonts w:hint="eastAsia"/>
            <w:webHidden/>
          </w:rPr>
          <w:tab/>
        </w:r>
        <w:r>
          <w:rPr>
            <w:rFonts w:hint="eastAsia"/>
            <w:webHidden/>
          </w:rPr>
          <w:fldChar w:fldCharType="begin"/>
        </w:r>
        <w:r>
          <w:rPr>
            <w:rFonts w:hint="eastAsia"/>
            <w:webHidden/>
          </w:rPr>
          <w:instrText xml:space="preserve"> </w:instrText>
        </w:r>
        <w:r>
          <w:rPr>
            <w:webHidden/>
          </w:rPr>
          <w:instrText>PAGEREF _Toc216186585 \h</w:instrText>
        </w:r>
        <w:r>
          <w:rPr>
            <w:rFonts w:hint="eastAsia"/>
            <w:webHidden/>
          </w:rPr>
          <w:instrText xml:space="preserve"> </w:instrText>
        </w:r>
        <w:r>
          <w:rPr>
            <w:rFonts w:hint="eastAsia"/>
            <w:webHidden/>
          </w:rPr>
        </w:r>
        <w:r>
          <w:rPr>
            <w:rFonts w:hint="eastAsia"/>
            <w:webHidden/>
          </w:rPr>
          <w:fldChar w:fldCharType="separate"/>
        </w:r>
        <w:r>
          <w:rPr>
            <w:webHidden/>
          </w:rPr>
          <w:t>42</w:t>
        </w:r>
        <w:r>
          <w:rPr>
            <w:rFonts w:hint="eastAsia"/>
            <w:webHidden/>
          </w:rPr>
          <w:fldChar w:fldCharType="end"/>
        </w:r>
      </w:hyperlink>
    </w:p>
    <w:p w14:paraId="27442E1C" w14:textId="27ED2385" w:rsidR="00144ED6" w:rsidRDefault="00144ED6">
      <w:pPr>
        <w:pStyle w:val="TOC3"/>
        <w:rPr>
          <w:rFonts w:asciiTheme="minorHAnsi" w:eastAsiaTheme="minorEastAsia" w:hAnsiTheme="minorHAnsi" w:cstheme="minorBidi"/>
          <w:color w:val="auto"/>
          <w:kern w:val="2"/>
          <w:sz w:val="22"/>
          <w14:ligatures w14:val="standardContextual"/>
        </w:rPr>
      </w:pPr>
      <w:hyperlink w:anchor="_Toc216186586" w:history="1">
        <w:r w:rsidRPr="005F4D3C">
          <w:rPr>
            <w:rStyle w:val="afc"/>
            <w:rFonts w:hint="eastAsia"/>
          </w:rPr>
          <w:t>6.3.4.</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Physical examination</w:t>
        </w:r>
        <w:r>
          <w:rPr>
            <w:rFonts w:hint="eastAsia"/>
            <w:webHidden/>
          </w:rPr>
          <w:tab/>
        </w:r>
        <w:r>
          <w:rPr>
            <w:rFonts w:hint="eastAsia"/>
            <w:webHidden/>
          </w:rPr>
          <w:fldChar w:fldCharType="begin"/>
        </w:r>
        <w:r>
          <w:rPr>
            <w:rFonts w:hint="eastAsia"/>
            <w:webHidden/>
          </w:rPr>
          <w:instrText xml:space="preserve"> </w:instrText>
        </w:r>
        <w:r>
          <w:rPr>
            <w:webHidden/>
          </w:rPr>
          <w:instrText>PAGEREF _Toc216186586 \h</w:instrText>
        </w:r>
        <w:r>
          <w:rPr>
            <w:rFonts w:hint="eastAsia"/>
            <w:webHidden/>
          </w:rPr>
          <w:instrText xml:space="preserve"> </w:instrText>
        </w:r>
        <w:r>
          <w:rPr>
            <w:rFonts w:hint="eastAsia"/>
            <w:webHidden/>
          </w:rPr>
        </w:r>
        <w:r>
          <w:rPr>
            <w:rFonts w:hint="eastAsia"/>
            <w:webHidden/>
          </w:rPr>
          <w:fldChar w:fldCharType="separate"/>
        </w:r>
        <w:r>
          <w:rPr>
            <w:webHidden/>
          </w:rPr>
          <w:t>42</w:t>
        </w:r>
        <w:r>
          <w:rPr>
            <w:rFonts w:hint="eastAsia"/>
            <w:webHidden/>
          </w:rPr>
          <w:fldChar w:fldCharType="end"/>
        </w:r>
      </w:hyperlink>
    </w:p>
    <w:p w14:paraId="7DA9A7C8" w14:textId="5ABEC9B4" w:rsidR="00144ED6" w:rsidRDefault="00144ED6">
      <w:pPr>
        <w:pStyle w:val="TOC3"/>
        <w:rPr>
          <w:rFonts w:asciiTheme="minorHAnsi" w:eastAsiaTheme="minorEastAsia" w:hAnsiTheme="minorHAnsi" w:cstheme="minorBidi"/>
          <w:color w:val="auto"/>
          <w:kern w:val="2"/>
          <w:sz w:val="22"/>
          <w14:ligatures w14:val="standardContextual"/>
        </w:rPr>
      </w:pPr>
      <w:hyperlink w:anchor="_Toc216186587" w:history="1">
        <w:r w:rsidRPr="005F4D3C">
          <w:rPr>
            <w:rStyle w:val="afc"/>
            <w:rFonts w:hint="eastAsia"/>
          </w:rPr>
          <w:t>6.3.5.</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12-lead ECG</w:t>
        </w:r>
        <w:r>
          <w:rPr>
            <w:rFonts w:hint="eastAsia"/>
            <w:webHidden/>
          </w:rPr>
          <w:tab/>
        </w:r>
        <w:r>
          <w:rPr>
            <w:rFonts w:hint="eastAsia"/>
            <w:webHidden/>
          </w:rPr>
          <w:fldChar w:fldCharType="begin"/>
        </w:r>
        <w:r>
          <w:rPr>
            <w:rFonts w:hint="eastAsia"/>
            <w:webHidden/>
          </w:rPr>
          <w:instrText xml:space="preserve"> </w:instrText>
        </w:r>
        <w:r>
          <w:rPr>
            <w:webHidden/>
          </w:rPr>
          <w:instrText>PAGEREF _Toc216186587 \h</w:instrText>
        </w:r>
        <w:r>
          <w:rPr>
            <w:rFonts w:hint="eastAsia"/>
            <w:webHidden/>
          </w:rPr>
          <w:instrText xml:space="preserve"> </w:instrText>
        </w:r>
        <w:r>
          <w:rPr>
            <w:rFonts w:hint="eastAsia"/>
            <w:webHidden/>
          </w:rPr>
        </w:r>
        <w:r>
          <w:rPr>
            <w:rFonts w:hint="eastAsia"/>
            <w:webHidden/>
          </w:rPr>
          <w:fldChar w:fldCharType="separate"/>
        </w:r>
        <w:r>
          <w:rPr>
            <w:webHidden/>
          </w:rPr>
          <w:t>43</w:t>
        </w:r>
        <w:r>
          <w:rPr>
            <w:rFonts w:hint="eastAsia"/>
            <w:webHidden/>
          </w:rPr>
          <w:fldChar w:fldCharType="end"/>
        </w:r>
      </w:hyperlink>
    </w:p>
    <w:p w14:paraId="7096AC06" w14:textId="76F87419" w:rsidR="00144ED6" w:rsidRDefault="00144ED6">
      <w:pPr>
        <w:pStyle w:val="TOC3"/>
        <w:rPr>
          <w:rFonts w:asciiTheme="minorHAnsi" w:eastAsiaTheme="minorEastAsia" w:hAnsiTheme="minorHAnsi" w:cstheme="minorBidi"/>
          <w:color w:val="auto"/>
          <w:kern w:val="2"/>
          <w:sz w:val="22"/>
          <w14:ligatures w14:val="standardContextual"/>
        </w:rPr>
      </w:pPr>
      <w:hyperlink w:anchor="_Toc216186588" w:history="1">
        <w:r w:rsidRPr="005F4D3C">
          <w:rPr>
            <w:rStyle w:val="afc"/>
            <w:rFonts w:hint="eastAsia"/>
          </w:rPr>
          <w:t>6.3.6.</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Pregnancy test</w:t>
        </w:r>
        <w:r>
          <w:rPr>
            <w:rFonts w:hint="eastAsia"/>
            <w:webHidden/>
          </w:rPr>
          <w:tab/>
        </w:r>
        <w:r>
          <w:rPr>
            <w:rFonts w:hint="eastAsia"/>
            <w:webHidden/>
          </w:rPr>
          <w:fldChar w:fldCharType="begin"/>
        </w:r>
        <w:r>
          <w:rPr>
            <w:rFonts w:hint="eastAsia"/>
            <w:webHidden/>
          </w:rPr>
          <w:instrText xml:space="preserve"> </w:instrText>
        </w:r>
        <w:r>
          <w:rPr>
            <w:webHidden/>
          </w:rPr>
          <w:instrText>PAGEREF _Toc216186588 \h</w:instrText>
        </w:r>
        <w:r>
          <w:rPr>
            <w:rFonts w:hint="eastAsia"/>
            <w:webHidden/>
          </w:rPr>
          <w:instrText xml:space="preserve"> </w:instrText>
        </w:r>
        <w:r>
          <w:rPr>
            <w:rFonts w:hint="eastAsia"/>
            <w:webHidden/>
          </w:rPr>
        </w:r>
        <w:r>
          <w:rPr>
            <w:rFonts w:hint="eastAsia"/>
            <w:webHidden/>
          </w:rPr>
          <w:fldChar w:fldCharType="separate"/>
        </w:r>
        <w:r>
          <w:rPr>
            <w:webHidden/>
          </w:rPr>
          <w:t>43</w:t>
        </w:r>
        <w:r>
          <w:rPr>
            <w:rFonts w:hint="eastAsia"/>
            <w:webHidden/>
          </w:rPr>
          <w:fldChar w:fldCharType="end"/>
        </w:r>
      </w:hyperlink>
    </w:p>
    <w:p w14:paraId="5F52527F" w14:textId="4CF99364" w:rsidR="00144ED6" w:rsidRDefault="00144ED6">
      <w:pPr>
        <w:pStyle w:val="TOC3"/>
        <w:rPr>
          <w:rFonts w:asciiTheme="minorHAnsi" w:eastAsiaTheme="minorEastAsia" w:hAnsiTheme="minorHAnsi" w:cstheme="minorBidi"/>
          <w:color w:val="auto"/>
          <w:kern w:val="2"/>
          <w:sz w:val="22"/>
          <w14:ligatures w14:val="standardContextual"/>
        </w:rPr>
      </w:pPr>
      <w:hyperlink w:anchor="_Toc216186589" w:history="1">
        <w:r w:rsidRPr="005F4D3C">
          <w:rPr>
            <w:rStyle w:val="afc"/>
            <w:rFonts w:hint="eastAsia"/>
          </w:rPr>
          <w:t>6.3.7.</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Patient Health Questionnaire (PHQ)-9</w:t>
        </w:r>
        <w:r>
          <w:rPr>
            <w:rFonts w:hint="eastAsia"/>
            <w:webHidden/>
          </w:rPr>
          <w:tab/>
        </w:r>
        <w:r>
          <w:rPr>
            <w:rFonts w:hint="eastAsia"/>
            <w:webHidden/>
          </w:rPr>
          <w:fldChar w:fldCharType="begin"/>
        </w:r>
        <w:r>
          <w:rPr>
            <w:rFonts w:hint="eastAsia"/>
            <w:webHidden/>
          </w:rPr>
          <w:instrText xml:space="preserve"> </w:instrText>
        </w:r>
        <w:r>
          <w:rPr>
            <w:webHidden/>
          </w:rPr>
          <w:instrText>PAGEREF _Toc216186589 \h</w:instrText>
        </w:r>
        <w:r>
          <w:rPr>
            <w:rFonts w:hint="eastAsia"/>
            <w:webHidden/>
          </w:rPr>
          <w:instrText xml:space="preserve"> </w:instrText>
        </w:r>
        <w:r>
          <w:rPr>
            <w:rFonts w:hint="eastAsia"/>
            <w:webHidden/>
          </w:rPr>
        </w:r>
        <w:r>
          <w:rPr>
            <w:rFonts w:hint="eastAsia"/>
            <w:webHidden/>
          </w:rPr>
          <w:fldChar w:fldCharType="separate"/>
        </w:r>
        <w:r>
          <w:rPr>
            <w:webHidden/>
          </w:rPr>
          <w:t>43</w:t>
        </w:r>
        <w:r>
          <w:rPr>
            <w:rFonts w:hint="eastAsia"/>
            <w:webHidden/>
          </w:rPr>
          <w:fldChar w:fldCharType="end"/>
        </w:r>
      </w:hyperlink>
    </w:p>
    <w:p w14:paraId="7433B6C3" w14:textId="73AED4F4"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90" w:history="1">
        <w:r w:rsidRPr="005F4D3C">
          <w:rPr>
            <w:rStyle w:val="afc"/>
            <w:rFonts w:hint="eastAsia"/>
          </w:rPr>
          <w:t>6.4.</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Efficacy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_Toc216186590 \h</w:instrText>
        </w:r>
        <w:r>
          <w:rPr>
            <w:rFonts w:hint="eastAsia"/>
            <w:webHidden/>
          </w:rPr>
          <w:instrText xml:space="preserve"> </w:instrText>
        </w:r>
        <w:r>
          <w:rPr>
            <w:rFonts w:hint="eastAsia"/>
            <w:webHidden/>
          </w:rPr>
        </w:r>
        <w:r>
          <w:rPr>
            <w:rFonts w:hint="eastAsia"/>
            <w:webHidden/>
          </w:rPr>
          <w:fldChar w:fldCharType="separate"/>
        </w:r>
        <w:r>
          <w:rPr>
            <w:webHidden/>
          </w:rPr>
          <w:t>44</w:t>
        </w:r>
        <w:r>
          <w:rPr>
            <w:rFonts w:hint="eastAsia"/>
            <w:webHidden/>
          </w:rPr>
          <w:fldChar w:fldCharType="end"/>
        </w:r>
      </w:hyperlink>
    </w:p>
    <w:p w14:paraId="7EF754DE" w14:textId="6B680801" w:rsidR="00144ED6" w:rsidRDefault="00144ED6">
      <w:pPr>
        <w:pStyle w:val="TOC3"/>
        <w:rPr>
          <w:rFonts w:asciiTheme="minorHAnsi" w:eastAsiaTheme="minorEastAsia" w:hAnsiTheme="minorHAnsi" w:cstheme="minorBidi"/>
          <w:color w:val="auto"/>
          <w:kern w:val="2"/>
          <w:sz w:val="22"/>
          <w14:ligatures w14:val="standardContextual"/>
        </w:rPr>
      </w:pPr>
      <w:hyperlink w:anchor="_Toc216186591" w:history="1">
        <w:r w:rsidRPr="005F4D3C">
          <w:rPr>
            <w:rStyle w:val="afc"/>
            <w:rFonts w:hint="eastAsia"/>
          </w:rPr>
          <w:t>6.4.1.</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Primary efficacy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_Toc216186591 \h</w:instrText>
        </w:r>
        <w:r>
          <w:rPr>
            <w:rFonts w:hint="eastAsia"/>
            <w:webHidden/>
          </w:rPr>
          <w:instrText xml:space="preserve"> </w:instrText>
        </w:r>
        <w:r>
          <w:rPr>
            <w:rFonts w:hint="eastAsia"/>
            <w:webHidden/>
          </w:rPr>
        </w:r>
        <w:r>
          <w:rPr>
            <w:rFonts w:hint="eastAsia"/>
            <w:webHidden/>
          </w:rPr>
          <w:fldChar w:fldCharType="separate"/>
        </w:r>
        <w:r>
          <w:rPr>
            <w:webHidden/>
          </w:rPr>
          <w:t>44</w:t>
        </w:r>
        <w:r>
          <w:rPr>
            <w:rFonts w:hint="eastAsia"/>
            <w:webHidden/>
          </w:rPr>
          <w:fldChar w:fldCharType="end"/>
        </w:r>
      </w:hyperlink>
    </w:p>
    <w:p w14:paraId="717FB691" w14:textId="783B7B03" w:rsidR="00144ED6" w:rsidRDefault="00144ED6">
      <w:pPr>
        <w:pStyle w:val="TOC3"/>
        <w:rPr>
          <w:rFonts w:asciiTheme="minorHAnsi" w:eastAsiaTheme="minorEastAsia" w:hAnsiTheme="minorHAnsi" w:cstheme="minorBidi"/>
          <w:color w:val="auto"/>
          <w:kern w:val="2"/>
          <w:sz w:val="22"/>
          <w14:ligatures w14:val="standardContextual"/>
        </w:rPr>
      </w:pPr>
      <w:hyperlink w:anchor="_Toc216186592" w:history="1">
        <w:r w:rsidRPr="005F4D3C">
          <w:rPr>
            <w:rStyle w:val="afc"/>
            <w:rFonts w:hint="eastAsia"/>
          </w:rPr>
          <w:t>6.4.2.</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Secondary efficacy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_Toc216186592 \h</w:instrText>
        </w:r>
        <w:r>
          <w:rPr>
            <w:rFonts w:hint="eastAsia"/>
            <w:webHidden/>
          </w:rPr>
          <w:instrText xml:space="preserve"> </w:instrText>
        </w:r>
        <w:r>
          <w:rPr>
            <w:rFonts w:hint="eastAsia"/>
            <w:webHidden/>
          </w:rPr>
        </w:r>
        <w:r>
          <w:rPr>
            <w:rFonts w:hint="eastAsia"/>
            <w:webHidden/>
          </w:rPr>
          <w:fldChar w:fldCharType="separate"/>
        </w:r>
        <w:r>
          <w:rPr>
            <w:webHidden/>
          </w:rPr>
          <w:t>47</w:t>
        </w:r>
        <w:r>
          <w:rPr>
            <w:rFonts w:hint="eastAsia"/>
            <w:webHidden/>
          </w:rPr>
          <w:fldChar w:fldCharType="end"/>
        </w:r>
      </w:hyperlink>
    </w:p>
    <w:p w14:paraId="4B8BC47F" w14:textId="7F81B7C0" w:rsidR="00144ED6" w:rsidRDefault="00144ED6">
      <w:pPr>
        <w:pStyle w:val="TOC3"/>
        <w:rPr>
          <w:rFonts w:asciiTheme="minorHAnsi" w:eastAsiaTheme="minorEastAsia" w:hAnsiTheme="minorHAnsi" w:cstheme="minorBidi"/>
          <w:color w:val="auto"/>
          <w:kern w:val="2"/>
          <w:sz w:val="22"/>
          <w14:ligatures w14:val="standardContextual"/>
        </w:rPr>
      </w:pPr>
      <w:hyperlink w:anchor="_Toc216186593" w:history="1">
        <w:r w:rsidRPr="005F4D3C">
          <w:rPr>
            <w:rStyle w:val="afc"/>
            <w:rFonts w:hint="eastAsia"/>
          </w:rPr>
          <w:t>6.4.3.</w:t>
        </w:r>
        <w:r>
          <w:rPr>
            <w:rFonts w:asciiTheme="minorHAnsi" w:eastAsiaTheme="minorEastAsia" w:hAnsiTheme="minorHAnsi" w:cstheme="minorBidi" w:hint="eastAsia"/>
            <w:color w:val="auto"/>
            <w:kern w:val="2"/>
            <w:sz w:val="22"/>
            <w14:ligatures w14:val="standardContextual"/>
          </w:rPr>
          <w:tab/>
        </w:r>
        <w:r w:rsidRPr="005F4D3C">
          <w:rPr>
            <w:rStyle w:val="afc"/>
            <w:rFonts w:hint="eastAsia"/>
          </w:rPr>
          <w:t>Subgroup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_Toc216186593 \h</w:instrText>
        </w:r>
        <w:r>
          <w:rPr>
            <w:rFonts w:hint="eastAsia"/>
            <w:webHidden/>
          </w:rPr>
          <w:instrText xml:space="preserve"> </w:instrText>
        </w:r>
        <w:r>
          <w:rPr>
            <w:rFonts w:hint="eastAsia"/>
            <w:webHidden/>
          </w:rPr>
        </w:r>
        <w:r>
          <w:rPr>
            <w:rFonts w:hint="eastAsia"/>
            <w:webHidden/>
          </w:rPr>
          <w:fldChar w:fldCharType="separate"/>
        </w:r>
        <w:r>
          <w:rPr>
            <w:webHidden/>
          </w:rPr>
          <w:t>48</w:t>
        </w:r>
        <w:r>
          <w:rPr>
            <w:rFonts w:hint="eastAsia"/>
            <w:webHidden/>
          </w:rPr>
          <w:fldChar w:fldCharType="end"/>
        </w:r>
      </w:hyperlink>
    </w:p>
    <w:p w14:paraId="4BFE24A9" w14:textId="175039CD"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94" w:history="1">
        <w:r w:rsidRPr="005F4D3C">
          <w:rPr>
            <w:rStyle w:val="afc"/>
            <w:rFonts w:hint="eastAsia"/>
          </w:rPr>
          <w:t>6.5.</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Pharmacokinetic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_Toc216186594 \h</w:instrText>
        </w:r>
        <w:r>
          <w:rPr>
            <w:rFonts w:hint="eastAsia"/>
            <w:webHidden/>
          </w:rPr>
          <w:instrText xml:space="preserve"> </w:instrText>
        </w:r>
        <w:r>
          <w:rPr>
            <w:rFonts w:hint="eastAsia"/>
            <w:webHidden/>
          </w:rPr>
        </w:r>
        <w:r>
          <w:rPr>
            <w:rFonts w:hint="eastAsia"/>
            <w:webHidden/>
          </w:rPr>
          <w:fldChar w:fldCharType="separate"/>
        </w:r>
        <w:r>
          <w:rPr>
            <w:webHidden/>
          </w:rPr>
          <w:t>48</w:t>
        </w:r>
        <w:r>
          <w:rPr>
            <w:rFonts w:hint="eastAsia"/>
            <w:webHidden/>
          </w:rPr>
          <w:fldChar w:fldCharType="end"/>
        </w:r>
      </w:hyperlink>
    </w:p>
    <w:p w14:paraId="6FD15024" w14:textId="7BCDF1BB" w:rsidR="00144ED6" w:rsidRDefault="00144ED6">
      <w:pPr>
        <w:pStyle w:val="TOC2"/>
        <w:rPr>
          <w:rFonts w:asciiTheme="minorHAnsi" w:eastAsiaTheme="minorEastAsia" w:hAnsiTheme="minorHAnsi" w:cstheme="minorBidi"/>
          <w:bCs w:val="0"/>
          <w:color w:val="auto"/>
          <w:kern w:val="2"/>
          <w:sz w:val="22"/>
          <w:szCs w:val="24"/>
          <w14:ligatures w14:val="standardContextual"/>
        </w:rPr>
      </w:pPr>
      <w:hyperlink w:anchor="_Toc216186595" w:history="1">
        <w:r w:rsidRPr="005F4D3C">
          <w:rPr>
            <w:rStyle w:val="afc"/>
            <w:rFonts w:hint="eastAsia"/>
          </w:rPr>
          <w:t>6.6.</w:t>
        </w:r>
        <w:r>
          <w:rPr>
            <w:rFonts w:asciiTheme="minorHAnsi" w:eastAsiaTheme="minorEastAsia" w:hAnsiTheme="minorHAnsi" w:cstheme="minorBidi" w:hint="eastAsia"/>
            <w:bCs w:val="0"/>
            <w:color w:val="auto"/>
            <w:kern w:val="2"/>
            <w:sz w:val="22"/>
            <w:szCs w:val="24"/>
            <w14:ligatures w14:val="standardContextual"/>
          </w:rPr>
          <w:tab/>
        </w:r>
        <w:r w:rsidRPr="005F4D3C">
          <w:rPr>
            <w:rStyle w:val="afc"/>
            <w:rFonts w:hint="eastAsia"/>
          </w:rPr>
          <w:t>Immunogenicity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_Toc216186595 \h</w:instrText>
        </w:r>
        <w:r>
          <w:rPr>
            <w:rFonts w:hint="eastAsia"/>
            <w:webHidden/>
          </w:rPr>
          <w:instrText xml:space="preserve"> </w:instrText>
        </w:r>
        <w:r>
          <w:rPr>
            <w:rFonts w:hint="eastAsia"/>
            <w:webHidden/>
          </w:rPr>
        </w:r>
        <w:r>
          <w:rPr>
            <w:rFonts w:hint="eastAsia"/>
            <w:webHidden/>
          </w:rPr>
          <w:fldChar w:fldCharType="separate"/>
        </w:r>
        <w:r>
          <w:rPr>
            <w:webHidden/>
          </w:rPr>
          <w:t>50</w:t>
        </w:r>
        <w:r>
          <w:rPr>
            <w:rFonts w:hint="eastAsia"/>
            <w:webHidden/>
          </w:rPr>
          <w:fldChar w:fldCharType="end"/>
        </w:r>
      </w:hyperlink>
    </w:p>
    <w:p w14:paraId="4BFC72BC" w14:textId="1BA25850"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96" w:history="1">
        <w:r w:rsidRPr="005F4D3C">
          <w:rPr>
            <w:rStyle w:val="afc"/>
            <w:rFonts w:hint="eastAsia"/>
          </w:rPr>
          <w:t>7.</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INTERIM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_Toc216186596 \h</w:instrText>
        </w:r>
        <w:r>
          <w:rPr>
            <w:rFonts w:hint="eastAsia"/>
            <w:webHidden/>
          </w:rPr>
          <w:instrText xml:space="preserve"> </w:instrText>
        </w:r>
        <w:r>
          <w:rPr>
            <w:rFonts w:hint="eastAsia"/>
            <w:webHidden/>
          </w:rPr>
        </w:r>
        <w:r>
          <w:rPr>
            <w:rFonts w:hint="eastAsia"/>
            <w:webHidden/>
          </w:rPr>
          <w:fldChar w:fldCharType="separate"/>
        </w:r>
        <w:r>
          <w:rPr>
            <w:webHidden/>
          </w:rPr>
          <w:t>51</w:t>
        </w:r>
        <w:r>
          <w:rPr>
            <w:rFonts w:hint="eastAsia"/>
            <w:webHidden/>
          </w:rPr>
          <w:fldChar w:fldCharType="end"/>
        </w:r>
      </w:hyperlink>
    </w:p>
    <w:p w14:paraId="2ECA614D" w14:textId="554649AC"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97" w:history="1">
        <w:r w:rsidRPr="005F4D3C">
          <w:rPr>
            <w:rStyle w:val="afc"/>
            <w:rFonts w:hint="eastAsia"/>
          </w:rPr>
          <w:t>8.</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REFERENCES</w:t>
        </w:r>
        <w:r>
          <w:rPr>
            <w:rFonts w:hint="eastAsia"/>
            <w:webHidden/>
          </w:rPr>
          <w:tab/>
        </w:r>
        <w:r>
          <w:rPr>
            <w:rFonts w:hint="eastAsia"/>
            <w:webHidden/>
          </w:rPr>
          <w:fldChar w:fldCharType="begin"/>
        </w:r>
        <w:r>
          <w:rPr>
            <w:rFonts w:hint="eastAsia"/>
            <w:webHidden/>
          </w:rPr>
          <w:instrText xml:space="preserve"> </w:instrText>
        </w:r>
        <w:r>
          <w:rPr>
            <w:webHidden/>
          </w:rPr>
          <w:instrText>PAGEREF _Toc216186597 \h</w:instrText>
        </w:r>
        <w:r>
          <w:rPr>
            <w:rFonts w:hint="eastAsia"/>
            <w:webHidden/>
          </w:rPr>
          <w:instrText xml:space="preserve"> </w:instrText>
        </w:r>
        <w:r>
          <w:rPr>
            <w:rFonts w:hint="eastAsia"/>
            <w:webHidden/>
          </w:rPr>
        </w:r>
        <w:r>
          <w:rPr>
            <w:rFonts w:hint="eastAsia"/>
            <w:webHidden/>
          </w:rPr>
          <w:fldChar w:fldCharType="separate"/>
        </w:r>
        <w:r>
          <w:rPr>
            <w:webHidden/>
          </w:rPr>
          <w:t>52</w:t>
        </w:r>
        <w:r>
          <w:rPr>
            <w:rFonts w:hint="eastAsia"/>
            <w:webHidden/>
          </w:rPr>
          <w:fldChar w:fldCharType="end"/>
        </w:r>
      </w:hyperlink>
    </w:p>
    <w:p w14:paraId="250399FF" w14:textId="02B9558B" w:rsidR="00144ED6" w:rsidRDefault="00144ED6">
      <w:pPr>
        <w:pStyle w:val="TOC1"/>
        <w:rPr>
          <w:rFonts w:asciiTheme="minorHAnsi" w:eastAsiaTheme="minorEastAsia" w:hAnsiTheme="minorHAnsi" w:cstheme="minorBidi"/>
          <w:b w:val="0"/>
          <w:bCs w:val="0"/>
          <w:color w:val="auto"/>
          <w:kern w:val="2"/>
          <w:sz w:val="22"/>
          <w:szCs w:val="24"/>
          <w14:ligatures w14:val="standardContextual"/>
        </w:rPr>
      </w:pPr>
      <w:hyperlink w:anchor="_Toc216186598" w:history="1">
        <w:r w:rsidRPr="005F4D3C">
          <w:rPr>
            <w:rStyle w:val="afc"/>
            <w:rFonts w:hint="eastAsia"/>
          </w:rPr>
          <w:t>9.</w:t>
        </w:r>
        <w:r>
          <w:rPr>
            <w:rFonts w:asciiTheme="minorHAnsi" w:eastAsiaTheme="minorEastAsia" w:hAnsiTheme="minorHAnsi" w:cstheme="minorBidi" w:hint="eastAsia"/>
            <w:b w:val="0"/>
            <w:bCs w:val="0"/>
            <w:color w:val="auto"/>
            <w:kern w:val="2"/>
            <w:sz w:val="22"/>
            <w:szCs w:val="24"/>
            <w14:ligatures w14:val="standardContextual"/>
          </w:rPr>
          <w:tab/>
        </w:r>
        <w:r w:rsidRPr="005F4D3C">
          <w:rPr>
            <w:rStyle w:val="afc"/>
            <w:rFonts w:hint="eastAsia"/>
          </w:rPr>
          <w:t>DESCRIPTION OF INCONSISTENCY WITH THE PROTOCOL</w:t>
        </w:r>
        <w:r>
          <w:rPr>
            <w:rFonts w:hint="eastAsia"/>
            <w:webHidden/>
          </w:rPr>
          <w:tab/>
        </w:r>
        <w:r>
          <w:rPr>
            <w:rFonts w:hint="eastAsia"/>
            <w:webHidden/>
          </w:rPr>
          <w:fldChar w:fldCharType="begin"/>
        </w:r>
        <w:r>
          <w:rPr>
            <w:rFonts w:hint="eastAsia"/>
            <w:webHidden/>
          </w:rPr>
          <w:instrText xml:space="preserve"> </w:instrText>
        </w:r>
        <w:r>
          <w:rPr>
            <w:webHidden/>
          </w:rPr>
          <w:instrText>PAGEREF _Toc216186598 \h</w:instrText>
        </w:r>
        <w:r>
          <w:rPr>
            <w:rFonts w:hint="eastAsia"/>
            <w:webHidden/>
          </w:rPr>
          <w:instrText xml:space="preserve"> </w:instrText>
        </w:r>
        <w:r>
          <w:rPr>
            <w:rFonts w:hint="eastAsia"/>
            <w:webHidden/>
          </w:rPr>
        </w:r>
        <w:r>
          <w:rPr>
            <w:rFonts w:hint="eastAsia"/>
            <w:webHidden/>
          </w:rPr>
          <w:fldChar w:fldCharType="separate"/>
        </w:r>
        <w:r>
          <w:rPr>
            <w:webHidden/>
          </w:rPr>
          <w:t>52</w:t>
        </w:r>
        <w:r>
          <w:rPr>
            <w:rFonts w:hint="eastAsia"/>
            <w:webHidden/>
          </w:rPr>
          <w:fldChar w:fldCharType="end"/>
        </w:r>
      </w:hyperlink>
    </w:p>
    <w:p w14:paraId="6236F77F" w14:textId="16378902" w:rsidR="0005712D" w:rsidRPr="00F72DDB" w:rsidRDefault="00CF2A39"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pPr>
      <w:r w:rsidRPr="00F72DDB">
        <w:rPr>
          <w:rFonts w:cs="Times New Roman"/>
          <w:color w:val="000000" w:themeColor="text1"/>
          <w:sz w:val="24"/>
        </w:rPr>
        <w:fldChar w:fldCharType="end"/>
      </w:r>
    </w:p>
    <w:p w14:paraId="5FD04B14" w14:textId="77777777" w:rsidR="0005712D" w:rsidRPr="00F72DDB" w:rsidRDefault="0005712D" w:rsidP="00306959">
      <w:pPr>
        <w:pStyle w:val="a0"/>
        <w:overflowPunct w:val="0"/>
        <w:autoSpaceDE w:val="0"/>
        <w:autoSpaceDN w:val="0"/>
        <w:adjustRightInd w:val="0"/>
        <w:spacing w:beforeLines="50" w:afterLines="50" w:line="300" w:lineRule="auto"/>
        <w:jc w:val="left"/>
        <w:rPr>
          <w:rFonts w:cs="Times New Roman"/>
          <w:sz w:val="24"/>
          <w:szCs w:val="24"/>
        </w:rPr>
        <w:sectPr w:rsidR="0005712D" w:rsidRPr="00F72DDB" w:rsidSect="00F72DDB">
          <w:pgSz w:w="12242" w:h="15842" w:code="119"/>
          <w:pgMar w:top="1440" w:right="1440" w:bottom="1440" w:left="1440" w:header="720" w:footer="720" w:gutter="0"/>
          <w:cols w:space="425"/>
          <w:docGrid w:linePitch="312"/>
        </w:sectPr>
      </w:pPr>
    </w:p>
    <w:p w14:paraId="493CC17D" w14:textId="77777777" w:rsidR="0005712D" w:rsidRPr="004F1FD9" w:rsidRDefault="00CF2A39" w:rsidP="00101741">
      <w:pPr>
        <w:pStyle w:val="SAPH1LEVEL"/>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8"/>
          <w:szCs w:val="28"/>
        </w:rPr>
      </w:pPr>
      <w:bookmarkStart w:id="0" w:name="_Toc216186531"/>
      <w:r w:rsidRPr="004F1FD9">
        <w:rPr>
          <w:rFonts w:ascii="Times New Roman" w:hAnsi="Times New Roman" w:cs="Times New Roman"/>
          <w:color w:val="000000" w:themeColor="text1"/>
          <w:sz w:val="28"/>
          <w:szCs w:val="28"/>
        </w:rPr>
        <w:lastRenderedPageBreak/>
        <w:t>List of Abbreviations</w:t>
      </w:r>
      <w:bookmarkEnd w:id="0"/>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7717"/>
      </w:tblGrid>
      <w:tr w:rsidR="0005712D" w:rsidRPr="00101741" w14:paraId="7D4B4CB9" w14:textId="77777777" w:rsidTr="002F35A2">
        <w:trPr>
          <w:trHeight w:val="20"/>
          <w:tblHeader/>
        </w:trPr>
        <w:tc>
          <w:tcPr>
            <w:tcW w:w="928" w:type="pct"/>
            <w:tcMar>
              <w:top w:w="57" w:type="dxa"/>
              <w:left w:w="57" w:type="dxa"/>
              <w:bottom w:w="57" w:type="dxa"/>
              <w:right w:w="57" w:type="dxa"/>
            </w:tcMar>
          </w:tcPr>
          <w:p w14:paraId="7BF31EE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b/>
                <w:color w:val="auto"/>
                <w:kern w:val="0"/>
                <w:sz w:val="20"/>
                <w:szCs w:val="20"/>
              </w:rPr>
            </w:pPr>
            <w:r w:rsidRPr="00101741">
              <w:rPr>
                <w:rFonts w:cs="Times New Roman"/>
                <w:b/>
                <w:color w:val="auto"/>
                <w:kern w:val="0"/>
                <w:sz w:val="20"/>
                <w:szCs w:val="20"/>
              </w:rPr>
              <w:t>Abbreviation</w:t>
            </w:r>
          </w:p>
        </w:tc>
        <w:tc>
          <w:tcPr>
            <w:tcW w:w="4072" w:type="pct"/>
            <w:tcMar>
              <w:top w:w="57" w:type="dxa"/>
              <w:left w:w="57" w:type="dxa"/>
              <w:bottom w:w="57" w:type="dxa"/>
              <w:right w:w="57" w:type="dxa"/>
            </w:tcMar>
          </w:tcPr>
          <w:p w14:paraId="559CD95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b/>
                <w:color w:val="auto"/>
                <w:kern w:val="0"/>
                <w:sz w:val="20"/>
                <w:szCs w:val="20"/>
              </w:rPr>
            </w:pPr>
            <w:r w:rsidRPr="00101741">
              <w:rPr>
                <w:rFonts w:cs="Times New Roman"/>
                <w:b/>
                <w:color w:val="auto"/>
                <w:kern w:val="0"/>
                <w:sz w:val="20"/>
                <w:szCs w:val="20"/>
              </w:rPr>
              <w:t>Definition</w:t>
            </w:r>
          </w:p>
        </w:tc>
      </w:tr>
      <w:tr w:rsidR="0005712D" w:rsidRPr="00101741" w14:paraId="0484262E" w14:textId="77777777" w:rsidTr="002F35A2">
        <w:trPr>
          <w:trHeight w:val="20"/>
        </w:trPr>
        <w:tc>
          <w:tcPr>
            <w:tcW w:w="928" w:type="pct"/>
            <w:tcMar>
              <w:top w:w="57" w:type="dxa"/>
              <w:left w:w="57" w:type="dxa"/>
              <w:bottom w:w="57" w:type="dxa"/>
              <w:right w:w="57" w:type="dxa"/>
            </w:tcMar>
            <w:vAlign w:val="center"/>
          </w:tcPr>
          <w:p w14:paraId="3C4BF69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ADA</w:t>
            </w:r>
          </w:p>
        </w:tc>
        <w:tc>
          <w:tcPr>
            <w:tcW w:w="4072" w:type="pct"/>
            <w:tcMar>
              <w:top w:w="57" w:type="dxa"/>
              <w:left w:w="57" w:type="dxa"/>
              <w:bottom w:w="57" w:type="dxa"/>
              <w:right w:w="57" w:type="dxa"/>
            </w:tcMar>
            <w:vAlign w:val="center"/>
          </w:tcPr>
          <w:p w14:paraId="3590867C"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Anti-drug antibody</w:t>
            </w:r>
          </w:p>
        </w:tc>
      </w:tr>
      <w:tr w:rsidR="0005712D" w:rsidRPr="00101741" w14:paraId="126AC61F" w14:textId="77777777" w:rsidTr="002F35A2">
        <w:trPr>
          <w:trHeight w:val="20"/>
        </w:trPr>
        <w:tc>
          <w:tcPr>
            <w:tcW w:w="928" w:type="pct"/>
            <w:tcMar>
              <w:top w:w="57" w:type="dxa"/>
              <w:left w:w="57" w:type="dxa"/>
              <w:bottom w:w="57" w:type="dxa"/>
              <w:right w:w="57" w:type="dxa"/>
            </w:tcMar>
            <w:vAlign w:val="center"/>
          </w:tcPr>
          <w:p w14:paraId="67B3CF8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AE</w:t>
            </w:r>
          </w:p>
        </w:tc>
        <w:tc>
          <w:tcPr>
            <w:tcW w:w="4072" w:type="pct"/>
            <w:tcMar>
              <w:top w:w="57" w:type="dxa"/>
              <w:left w:w="57" w:type="dxa"/>
              <w:bottom w:w="57" w:type="dxa"/>
              <w:right w:w="57" w:type="dxa"/>
            </w:tcMar>
            <w:vAlign w:val="center"/>
          </w:tcPr>
          <w:p w14:paraId="25C85B7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Adverse event</w:t>
            </w:r>
          </w:p>
        </w:tc>
      </w:tr>
      <w:tr w:rsidR="0005712D" w:rsidRPr="00101741" w14:paraId="6D7669BB" w14:textId="77777777" w:rsidTr="002F35A2">
        <w:trPr>
          <w:trHeight w:val="20"/>
        </w:trPr>
        <w:tc>
          <w:tcPr>
            <w:tcW w:w="928" w:type="pct"/>
            <w:tcMar>
              <w:top w:w="57" w:type="dxa"/>
              <w:left w:w="57" w:type="dxa"/>
              <w:bottom w:w="57" w:type="dxa"/>
              <w:right w:w="57" w:type="dxa"/>
            </w:tcMar>
            <w:vAlign w:val="center"/>
          </w:tcPr>
          <w:p w14:paraId="253F427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Alb</w:t>
            </w:r>
          </w:p>
        </w:tc>
        <w:tc>
          <w:tcPr>
            <w:tcW w:w="4072" w:type="pct"/>
            <w:tcMar>
              <w:top w:w="57" w:type="dxa"/>
              <w:left w:w="57" w:type="dxa"/>
              <w:bottom w:w="57" w:type="dxa"/>
              <w:right w:w="57" w:type="dxa"/>
            </w:tcMar>
            <w:vAlign w:val="center"/>
          </w:tcPr>
          <w:p w14:paraId="36120C80"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Albumin</w:t>
            </w:r>
          </w:p>
        </w:tc>
      </w:tr>
      <w:tr w:rsidR="0005712D" w:rsidRPr="00101741" w14:paraId="388780F2" w14:textId="77777777" w:rsidTr="002F35A2">
        <w:trPr>
          <w:trHeight w:val="20"/>
        </w:trPr>
        <w:tc>
          <w:tcPr>
            <w:tcW w:w="928" w:type="pct"/>
            <w:tcMar>
              <w:top w:w="57" w:type="dxa"/>
              <w:left w:w="57" w:type="dxa"/>
              <w:bottom w:w="57" w:type="dxa"/>
              <w:right w:w="57" w:type="dxa"/>
            </w:tcMar>
            <w:vAlign w:val="center"/>
          </w:tcPr>
          <w:p w14:paraId="72C325F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A/G</w:t>
            </w:r>
          </w:p>
        </w:tc>
        <w:tc>
          <w:tcPr>
            <w:tcW w:w="4072" w:type="pct"/>
            <w:tcMar>
              <w:top w:w="57" w:type="dxa"/>
              <w:left w:w="57" w:type="dxa"/>
              <w:bottom w:w="57" w:type="dxa"/>
              <w:right w:w="57" w:type="dxa"/>
            </w:tcMar>
            <w:vAlign w:val="center"/>
          </w:tcPr>
          <w:p w14:paraId="2D1277B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Albumin/globulin</w:t>
            </w:r>
          </w:p>
        </w:tc>
      </w:tr>
      <w:tr w:rsidR="0005712D" w:rsidRPr="00101741" w14:paraId="2E18ABCD" w14:textId="77777777" w:rsidTr="002F35A2">
        <w:trPr>
          <w:trHeight w:val="20"/>
        </w:trPr>
        <w:tc>
          <w:tcPr>
            <w:tcW w:w="928" w:type="pct"/>
            <w:tcMar>
              <w:top w:w="57" w:type="dxa"/>
              <w:left w:w="57" w:type="dxa"/>
              <w:bottom w:w="57" w:type="dxa"/>
              <w:right w:w="57" w:type="dxa"/>
            </w:tcMar>
            <w:vAlign w:val="center"/>
          </w:tcPr>
          <w:p w14:paraId="416A991C"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ALT</w:t>
            </w:r>
          </w:p>
        </w:tc>
        <w:tc>
          <w:tcPr>
            <w:tcW w:w="4072" w:type="pct"/>
            <w:tcMar>
              <w:top w:w="57" w:type="dxa"/>
              <w:left w:w="57" w:type="dxa"/>
              <w:bottom w:w="57" w:type="dxa"/>
              <w:right w:w="57" w:type="dxa"/>
            </w:tcMar>
            <w:vAlign w:val="center"/>
          </w:tcPr>
          <w:p w14:paraId="2BF34130"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Alanine aminotransferase</w:t>
            </w:r>
          </w:p>
        </w:tc>
      </w:tr>
      <w:tr w:rsidR="0005712D" w:rsidRPr="00101741" w14:paraId="3A11CC02" w14:textId="77777777" w:rsidTr="002F35A2">
        <w:trPr>
          <w:trHeight w:val="20"/>
        </w:trPr>
        <w:tc>
          <w:tcPr>
            <w:tcW w:w="928" w:type="pct"/>
            <w:tcMar>
              <w:top w:w="57" w:type="dxa"/>
              <w:left w:w="57" w:type="dxa"/>
              <w:bottom w:w="57" w:type="dxa"/>
              <w:right w:w="57" w:type="dxa"/>
            </w:tcMar>
            <w:vAlign w:val="center"/>
          </w:tcPr>
          <w:p w14:paraId="0383976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AUC</w:t>
            </w:r>
          </w:p>
        </w:tc>
        <w:tc>
          <w:tcPr>
            <w:tcW w:w="4072" w:type="pct"/>
            <w:tcMar>
              <w:top w:w="57" w:type="dxa"/>
              <w:left w:w="57" w:type="dxa"/>
              <w:bottom w:w="57" w:type="dxa"/>
              <w:right w:w="57" w:type="dxa"/>
            </w:tcMar>
            <w:vAlign w:val="center"/>
          </w:tcPr>
          <w:p w14:paraId="21A7B68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Area under the concentration-time curve</w:t>
            </w:r>
          </w:p>
        </w:tc>
      </w:tr>
      <w:tr w:rsidR="0005712D" w:rsidRPr="00101741" w14:paraId="4C45B193" w14:textId="77777777" w:rsidTr="002F35A2">
        <w:trPr>
          <w:trHeight w:val="20"/>
        </w:trPr>
        <w:tc>
          <w:tcPr>
            <w:tcW w:w="928" w:type="pct"/>
            <w:tcMar>
              <w:top w:w="57" w:type="dxa"/>
              <w:left w:w="57" w:type="dxa"/>
              <w:bottom w:w="57" w:type="dxa"/>
              <w:right w:w="57" w:type="dxa"/>
            </w:tcMar>
            <w:vAlign w:val="center"/>
          </w:tcPr>
          <w:p w14:paraId="57CC2B5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AUC</w:t>
            </w:r>
            <w:r w:rsidRPr="00101741">
              <w:rPr>
                <w:rFonts w:cs="Times New Roman"/>
                <w:color w:val="auto"/>
                <w:kern w:val="0"/>
                <w:sz w:val="20"/>
                <w:szCs w:val="20"/>
                <w:vertAlign w:val="subscript"/>
              </w:rPr>
              <w:t>0-∞</w:t>
            </w:r>
          </w:p>
        </w:tc>
        <w:tc>
          <w:tcPr>
            <w:tcW w:w="4072" w:type="pct"/>
            <w:tcMar>
              <w:top w:w="57" w:type="dxa"/>
              <w:left w:w="57" w:type="dxa"/>
              <w:bottom w:w="57" w:type="dxa"/>
              <w:right w:w="57" w:type="dxa"/>
            </w:tcMar>
            <w:vAlign w:val="center"/>
          </w:tcPr>
          <w:p w14:paraId="0844A39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Area under the concentration-time curve from time 0 to infinity</w:t>
            </w:r>
          </w:p>
        </w:tc>
      </w:tr>
      <w:tr w:rsidR="0005712D" w:rsidRPr="00101741" w14:paraId="32C0FC24" w14:textId="77777777" w:rsidTr="002F35A2">
        <w:trPr>
          <w:trHeight w:val="20"/>
        </w:trPr>
        <w:tc>
          <w:tcPr>
            <w:tcW w:w="928" w:type="pct"/>
            <w:tcMar>
              <w:top w:w="57" w:type="dxa"/>
              <w:left w:w="57" w:type="dxa"/>
              <w:bottom w:w="57" w:type="dxa"/>
              <w:right w:w="57" w:type="dxa"/>
            </w:tcMar>
            <w:vAlign w:val="center"/>
          </w:tcPr>
          <w:p w14:paraId="28BA31B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AUC</w:t>
            </w:r>
            <w:r w:rsidRPr="00101741">
              <w:rPr>
                <w:rFonts w:cs="Times New Roman"/>
                <w:color w:val="auto"/>
                <w:kern w:val="0"/>
                <w:sz w:val="20"/>
                <w:szCs w:val="20"/>
                <w:vertAlign w:val="subscript"/>
              </w:rPr>
              <w:t>0-t</w:t>
            </w:r>
          </w:p>
        </w:tc>
        <w:tc>
          <w:tcPr>
            <w:tcW w:w="4072" w:type="pct"/>
            <w:tcMar>
              <w:top w:w="57" w:type="dxa"/>
              <w:left w:w="57" w:type="dxa"/>
              <w:bottom w:w="57" w:type="dxa"/>
              <w:right w:w="57" w:type="dxa"/>
            </w:tcMar>
            <w:vAlign w:val="center"/>
          </w:tcPr>
          <w:p w14:paraId="4B0FA88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Area under the concentration-time curve from time 0 to time t</w:t>
            </w:r>
          </w:p>
        </w:tc>
      </w:tr>
      <w:tr w:rsidR="0005712D" w:rsidRPr="00101741" w14:paraId="73556EF3" w14:textId="77777777" w:rsidTr="002F35A2">
        <w:trPr>
          <w:trHeight w:val="20"/>
        </w:trPr>
        <w:tc>
          <w:tcPr>
            <w:tcW w:w="928" w:type="pct"/>
            <w:tcMar>
              <w:top w:w="57" w:type="dxa"/>
              <w:left w:w="57" w:type="dxa"/>
              <w:bottom w:w="57" w:type="dxa"/>
              <w:right w:w="57" w:type="dxa"/>
            </w:tcMar>
            <w:vAlign w:val="center"/>
          </w:tcPr>
          <w:p w14:paraId="36EBFC7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lang w:eastAsia="zh-TW"/>
              </w:rPr>
              <w:t>AUC</w:t>
            </w:r>
            <w:r w:rsidRPr="00101741">
              <w:rPr>
                <w:rFonts w:cs="Times New Roman"/>
                <w:kern w:val="0"/>
                <w:sz w:val="20"/>
                <w:szCs w:val="20"/>
                <w:vertAlign w:val="subscript"/>
                <w:lang w:eastAsia="zh-TW"/>
              </w:rPr>
              <w:t>0-τ,ss</w:t>
            </w:r>
          </w:p>
        </w:tc>
        <w:tc>
          <w:tcPr>
            <w:tcW w:w="4072" w:type="pct"/>
            <w:tcMar>
              <w:top w:w="57" w:type="dxa"/>
              <w:left w:w="57" w:type="dxa"/>
              <w:bottom w:w="57" w:type="dxa"/>
              <w:right w:w="57" w:type="dxa"/>
            </w:tcMar>
            <w:vAlign w:val="center"/>
          </w:tcPr>
          <w:p w14:paraId="1641BF52"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Area under the plasma concentration-time curve within a given dosing interval at steady state</w:t>
            </w:r>
          </w:p>
        </w:tc>
      </w:tr>
      <w:tr w:rsidR="0005712D" w:rsidRPr="00101741" w14:paraId="7D33E97C" w14:textId="77777777" w:rsidTr="002F35A2">
        <w:trPr>
          <w:trHeight w:val="20"/>
        </w:trPr>
        <w:tc>
          <w:tcPr>
            <w:tcW w:w="928" w:type="pct"/>
            <w:tcMar>
              <w:top w:w="57" w:type="dxa"/>
              <w:left w:w="57" w:type="dxa"/>
              <w:bottom w:w="57" w:type="dxa"/>
              <w:right w:w="57" w:type="dxa"/>
            </w:tcMar>
            <w:vAlign w:val="center"/>
          </w:tcPr>
          <w:p w14:paraId="588C6469"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AUC</w:t>
            </w:r>
            <w:r w:rsidRPr="00101741">
              <w:rPr>
                <w:rFonts w:cs="Times New Roman"/>
                <w:kern w:val="0"/>
                <w:sz w:val="20"/>
                <w:szCs w:val="20"/>
                <w:vertAlign w:val="subscript"/>
              </w:rPr>
              <w:t>_%Extrap</w:t>
            </w:r>
          </w:p>
        </w:tc>
        <w:tc>
          <w:tcPr>
            <w:tcW w:w="4072" w:type="pct"/>
            <w:tcMar>
              <w:top w:w="57" w:type="dxa"/>
              <w:left w:w="57" w:type="dxa"/>
              <w:bottom w:w="57" w:type="dxa"/>
              <w:right w:w="57" w:type="dxa"/>
            </w:tcMar>
            <w:vAlign w:val="center"/>
          </w:tcPr>
          <w:p w14:paraId="1CF4FA52" w14:textId="4B1F977C" w:rsidR="0005712D" w:rsidRPr="00101741" w:rsidRDefault="00EB7508"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EB7508">
              <w:rPr>
                <w:rFonts w:cs="Times New Roman"/>
                <w:color w:val="auto"/>
                <w:kern w:val="0"/>
                <w:sz w:val="20"/>
                <w:szCs w:val="20"/>
              </w:rPr>
              <w:t>Percentage of the area under the curve extrapolated</w:t>
            </w:r>
          </w:p>
        </w:tc>
      </w:tr>
      <w:tr w:rsidR="0005712D" w:rsidRPr="00101741" w14:paraId="2F4C2D08" w14:textId="77777777" w:rsidTr="002F35A2">
        <w:trPr>
          <w:trHeight w:val="20"/>
        </w:trPr>
        <w:tc>
          <w:tcPr>
            <w:tcW w:w="928" w:type="pct"/>
            <w:tcMar>
              <w:top w:w="57" w:type="dxa"/>
              <w:left w:w="57" w:type="dxa"/>
              <w:bottom w:w="57" w:type="dxa"/>
              <w:right w:w="57" w:type="dxa"/>
            </w:tcMar>
            <w:vAlign w:val="center"/>
          </w:tcPr>
          <w:p w14:paraId="3095B44A"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BMI</w:t>
            </w:r>
          </w:p>
        </w:tc>
        <w:tc>
          <w:tcPr>
            <w:tcW w:w="4072" w:type="pct"/>
            <w:tcMar>
              <w:top w:w="57" w:type="dxa"/>
              <w:left w:w="57" w:type="dxa"/>
              <w:bottom w:w="57" w:type="dxa"/>
              <w:right w:w="57" w:type="dxa"/>
            </w:tcMar>
            <w:vAlign w:val="center"/>
          </w:tcPr>
          <w:p w14:paraId="7784736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Body mass index</w:t>
            </w:r>
          </w:p>
        </w:tc>
      </w:tr>
      <w:tr w:rsidR="0005712D" w:rsidRPr="00101741" w14:paraId="25C7808E" w14:textId="77777777" w:rsidTr="002F35A2">
        <w:trPr>
          <w:trHeight w:val="20"/>
        </w:trPr>
        <w:tc>
          <w:tcPr>
            <w:tcW w:w="928" w:type="pct"/>
            <w:tcMar>
              <w:top w:w="57" w:type="dxa"/>
              <w:left w:w="57" w:type="dxa"/>
              <w:bottom w:w="57" w:type="dxa"/>
              <w:right w:w="57" w:type="dxa"/>
            </w:tcMar>
            <w:vAlign w:val="center"/>
          </w:tcPr>
          <w:p w14:paraId="1868541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CL/F</w:t>
            </w:r>
          </w:p>
        </w:tc>
        <w:tc>
          <w:tcPr>
            <w:tcW w:w="4072" w:type="pct"/>
            <w:tcMar>
              <w:top w:w="57" w:type="dxa"/>
              <w:left w:w="57" w:type="dxa"/>
              <w:bottom w:w="57" w:type="dxa"/>
              <w:right w:w="57" w:type="dxa"/>
            </w:tcMar>
            <w:vAlign w:val="center"/>
          </w:tcPr>
          <w:p w14:paraId="0E81D4A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Apparent clearance</w:t>
            </w:r>
          </w:p>
        </w:tc>
      </w:tr>
      <w:tr w:rsidR="0005712D" w:rsidRPr="00101741" w14:paraId="0E7EA7DB" w14:textId="77777777" w:rsidTr="002F35A2">
        <w:trPr>
          <w:trHeight w:val="20"/>
        </w:trPr>
        <w:tc>
          <w:tcPr>
            <w:tcW w:w="928" w:type="pct"/>
            <w:tcMar>
              <w:top w:w="57" w:type="dxa"/>
              <w:left w:w="57" w:type="dxa"/>
              <w:bottom w:w="57" w:type="dxa"/>
              <w:right w:w="57" w:type="dxa"/>
            </w:tcMar>
            <w:vAlign w:val="center"/>
          </w:tcPr>
          <w:p w14:paraId="4CDC67B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Cav,ss</w:t>
            </w:r>
          </w:p>
        </w:tc>
        <w:tc>
          <w:tcPr>
            <w:tcW w:w="4072" w:type="pct"/>
            <w:tcMar>
              <w:top w:w="57" w:type="dxa"/>
              <w:left w:w="57" w:type="dxa"/>
              <w:bottom w:w="57" w:type="dxa"/>
              <w:right w:w="57" w:type="dxa"/>
            </w:tcMar>
            <w:vAlign w:val="center"/>
          </w:tcPr>
          <w:p w14:paraId="3E84FA2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Mean plasma concentration at steady state</w:t>
            </w:r>
          </w:p>
        </w:tc>
      </w:tr>
      <w:tr w:rsidR="0005712D" w:rsidRPr="00101741" w14:paraId="5C96C489" w14:textId="77777777" w:rsidTr="002F35A2">
        <w:trPr>
          <w:trHeight w:val="20"/>
        </w:trPr>
        <w:tc>
          <w:tcPr>
            <w:tcW w:w="928" w:type="pct"/>
            <w:tcMar>
              <w:top w:w="57" w:type="dxa"/>
              <w:left w:w="57" w:type="dxa"/>
              <w:bottom w:w="57" w:type="dxa"/>
              <w:right w:w="57" w:type="dxa"/>
            </w:tcMar>
            <w:vAlign w:val="center"/>
          </w:tcPr>
          <w:p w14:paraId="719B8D6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C</w:t>
            </w:r>
            <w:r w:rsidRPr="00101741">
              <w:rPr>
                <w:rFonts w:cs="Times New Roman"/>
                <w:color w:val="auto"/>
                <w:kern w:val="0"/>
                <w:sz w:val="20"/>
                <w:szCs w:val="20"/>
                <w:vertAlign w:val="subscript"/>
              </w:rPr>
              <w:t>max</w:t>
            </w:r>
          </w:p>
        </w:tc>
        <w:tc>
          <w:tcPr>
            <w:tcW w:w="4072" w:type="pct"/>
            <w:tcMar>
              <w:top w:w="57" w:type="dxa"/>
              <w:left w:w="57" w:type="dxa"/>
              <w:bottom w:w="57" w:type="dxa"/>
              <w:right w:w="57" w:type="dxa"/>
            </w:tcMar>
            <w:vAlign w:val="center"/>
          </w:tcPr>
          <w:p w14:paraId="7D1653B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Maximum concentration</w:t>
            </w:r>
          </w:p>
        </w:tc>
      </w:tr>
      <w:tr w:rsidR="0005712D" w:rsidRPr="00101741" w14:paraId="09060738" w14:textId="77777777" w:rsidTr="002F35A2">
        <w:trPr>
          <w:trHeight w:val="20"/>
        </w:trPr>
        <w:tc>
          <w:tcPr>
            <w:tcW w:w="928" w:type="pct"/>
            <w:tcMar>
              <w:top w:w="57" w:type="dxa"/>
              <w:left w:w="57" w:type="dxa"/>
              <w:bottom w:w="57" w:type="dxa"/>
              <w:right w:w="57" w:type="dxa"/>
            </w:tcMar>
            <w:vAlign w:val="center"/>
          </w:tcPr>
          <w:p w14:paraId="72AA6DD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C</w:t>
            </w:r>
            <w:r w:rsidRPr="00101741">
              <w:rPr>
                <w:rFonts w:cs="Times New Roman"/>
                <w:kern w:val="0"/>
                <w:sz w:val="20"/>
                <w:szCs w:val="20"/>
                <w:vertAlign w:val="subscript"/>
              </w:rPr>
              <w:t>max</w:t>
            </w:r>
            <w:r w:rsidRPr="00101741">
              <w:rPr>
                <w:rFonts w:cs="Times New Roman"/>
                <w:kern w:val="0"/>
                <w:sz w:val="20"/>
                <w:szCs w:val="20"/>
                <w:vertAlign w:val="subscript"/>
              </w:rPr>
              <w:t>，</w:t>
            </w:r>
            <w:r w:rsidRPr="00101741">
              <w:rPr>
                <w:rFonts w:cs="Times New Roman"/>
                <w:kern w:val="0"/>
                <w:sz w:val="20"/>
                <w:szCs w:val="20"/>
                <w:vertAlign w:val="subscript"/>
              </w:rPr>
              <w:t>ss</w:t>
            </w:r>
          </w:p>
        </w:tc>
        <w:tc>
          <w:tcPr>
            <w:tcW w:w="4072" w:type="pct"/>
            <w:tcMar>
              <w:top w:w="57" w:type="dxa"/>
              <w:left w:w="57" w:type="dxa"/>
              <w:bottom w:w="57" w:type="dxa"/>
              <w:right w:w="57" w:type="dxa"/>
            </w:tcMar>
            <w:vAlign w:val="center"/>
          </w:tcPr>
          <w:p w14:paraId="0F45EF9D"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Maximum concentration at steady state</w:t>
            </w:r>
          </w:p>
        </w:tc>
      </w:tr>
      <w:tr w:rsidR="0005712D" w:rsidRPr="00101741" w14:paraId="66FF1E5B" w14:textId="77777777" w:rsidTr="002F35A2">
        <w:trPr>
          <w:trHeight w:val="20"/>
        </w:trPr>
        <w:tc>
          <w:tcPr>
            <w:tcW w:w="928" w:type="pct"/>
            <w:tcMar>
              <w:top w:w="57" w:type="dxa"/>
              <w:left w:w="57" w:type="dxa"/>
              <w:bottom w:w="57" w:type="dxa"/>
              <w:right w:w="57" w:type="dxa"/>
            </w:tcMar>
            <w:vAlign w:val="center"/>
          </w:tcPr>
          <w:p w14:paraId="1EFE9E0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C</w:t>
            </w:r>
            <w:r w:rsidRPr="00101741">
              <w:rPr>
                <w:rFonts w:cs="Times New Roman"/>
                <w:kern w:val="0"/>
                <w:sz w:val="20"/>
                <w:szCs w:val="20"/>
                <w:vertAlign w:val="subscript"/>
              </w:rPr>
              <w:t>min</w:t>
            </w:r>
            <w:r w:rsidRPr="00101741">
              <w:rPr>
                <w:rFonts w:cs="Times New Roman"/>
                <w:kern w:val="0"/>
                <w:sz w:val="20"/>
                <w:szCs w:val="20"/>
                <w:vertAlign w:val="subscript"/>
              </w:rPr>
              <w:t>，</w:t>
            </w:r>
            <w:r w:rsidRPr="00101741">
              <w:rPr>
                <w:rFonts w:cs="Times New Roman"/>
                <w:kern w:val="0"/>
                <w:sz w:val="20"/>
                <w:szCs w:val="20"/>
                <w:vertAlign w:val="subscript"/>
              </w:rPr>
              <w:t>ss</w:t>
            </w:r>
          </w:p>
        </w:tc>
        <w:tc>
          <w:tcPr>
            <w:tcW w:w="4072" w:type="pct"/>
            <w:tcMar>
              <w:top w:w="57" w:type="dxa"/>
              <w:left w:w="57" w:type="dxa"/>
              <w:bottom w:w="57" w:type="dxa"/>
              <w:right w:w="57" w:type="dxa"/>
            </w:tcMar>
            <w:vAlign w:val="center"/>
          </w:tcPr>
          <w:p w14:paraId="0A5E841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Minimum concentration at steady state</w:t>
            </w:r>
          </w:p>
        </w:tc>
      </w:tr>
      <w:tr w:rsidR="0005712D" w:rsidRPr="00101741" w14:paraId="0386939C" w14:textId="77777777" w:rsidTr="002F35A2">
        <w:trPr>
          <w:trHeight w:val="20"/>
        </w:trPr>
        <w:tc>
          <w:tcPr>
            <w:tcW w:w="928" w:type="pct"/>
            <w:tcMar>
              <w:top w:w="57" w:type="dxa"/>
              <w:left w:w="57" w:type="dxa"/>
              <w:bottom w:w="57" w:type="dxa"/>
              <w:right w:w="57" w:type="dxa"/>
            </w:tcMar>
            <w:vAlign w:val="center"/>
          </w:tcPr>
          <w:p w14:paraId="72E6778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kern w:val="0"/>
                <w:sz w:val="20"/>
                <w:szCs w:val="20"/>
              </w:rPr>
            </w:pPr>
            <w:r w:rsidRPr="00101741">
              <w:rPr>
                <w:rFonts w:cs="Times New Roman"/>
                <w:kern w:val="0"/>
                <w:sz w:val="20"/>
                <w:szCs w:val="20"/>
              </w:rPr>
              <w:t>C</w:t>
            </w:r>
            <w:r w:rsidRPr="00101741">
              <w:rPr>
                <w:rFonts w:cs="Times New Roman"/>
                <w:kern w:val="0"/>
                <w:sz w:val="20"/>
                <w:szCs w:val="20"/>
                <w:vertAlign w:val="subscript"/>
              </w:rPr>
              <w:t>trough,ss</w:t>
            </w:r>
          </w:p>
        </w:tc>
        <w:tc>
          <w:tcPr>
            <w:tcW w:w="4072" w:type="pct"/>
            <w:tcMar>
              <w:top w:w="57" w:type="dxa"/>
              <w:left w:w="57" w:type="dxa"/>
              <w:bottom w:w="57" w:type="dxa"/>
              <w:right w:w="57" w:type="dxa"/>
            </w:tcMar>
            <w:vAlign w:val="center"/>
          </w:tcPr>
          <w:p w14:paraId="0E84463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kern w:val="0"/>
                <w:sz w:val="20"/>
                <w:szCs w:val="20"/>
              </w:rPr>
            </w:pPr>
            <w:r w:rsidRPr="00101741">
              <w:rPr>
                <w:rFonts w:cs="Times New Roman"/>
                <w:kern w:val="0"/>
                <w:sz w:val="20"/>
                <w:szCs w:val="20"/>
              </w:rPr>
              <w:t>Trough concentration at steady state</w:t>
            </w:r>
          </w:p>
        </w:tc>
      </w:tr>
      <w:tr w:rsidR="0005712D" w:rsidRPr="00101741" w14:paraId="4F5C0214" w14:textId="77777777" w:rsidTr="002F35A2">
        <w:trPr>
          <w:trHeight w:val="20"/>
        </w:trPr>
        <w:tc>
          <w:tcPr>
            <w:tcW w:w="928" w:type="pct"/>
            <w:tcMar>
              <w:top w:w="57" w:type="dxa"/>
              <w:left w:w="57" w:type="dxa"/>
              <w:bottom w:w="57" w:type="dxa"/>
              <w:right w:w="57" w:type="dxa"/>
            </w:tcMar>
            <w:vAlign w:val="center"/>
          </w:tcPr>
          <w:p w14:paraId="4A45E4D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CTCAE</w:t>
            </w:r>
          </w:p>
        </w:tc>
        <w:tc>
          <w:tcPr>
            <w:tcW w:w="4072" w:type="pct"/>
            <w:tcMar>
              <w:top w:w="57" w:type="dxa"/>
              <w:left w:w="57" w:type="dxa"/>
              <w:bottom w:w="57" w:type="dxa"/>
              <w:right w:w="57" w:type="dxa"/>
            </w:tcMar>
            <w:vAlign w:val="center"/>
          </w:tcPr>
          <w:p w14:paraId="2BBB669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Common Terminology Criteria for Adverse Events</w:t>
            </w:r>
          </w:p>
        </w:tc>
      </w:tr>
      <w:tr w:rsidR="0005712D" w:rsidRPr="00101741" w14:paraId="4F2167CA" w14:textId="77777777" w:rsidTr="002F35A2">
        <w:trPr>
          <w:trHeight w:val="20"/>
        </w:trPr>
        <w:tc>
          <w:tcPr>
            <w:tcW w:w="928" w:type="pct"/>
            <w:tcMar>
              <w:top w:w="57" w:type="dxa"/>
              <w:left w:w="57" w:type="dxa"/>
              <w:bottom w:w="57" w:type="dxa"/>
              <w:right w:w="57" w:type="dxa"/>
            </w:tcMar>
            <w:vAlign w:val="center"/>
          </w:tcPr>
          <w:p w14:paraId="17C894D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DF</w:t>
            </w:r>
          </w:p>
        </w:tc>
        <w:tc>
          <w:tcPr>
            <w:tcW w:w="4072" w:type="pct"/>
            <w:tcMar>
              <w:top w:w="57" w:type="dxa"/>
              <w:left w:w="57" w:type="dxa"/>
              <w:bottom w:w="57" w:type="dxa"/>
              <w:right w:w="57" w:type="dxa"/>
            </w:tcMar>
            <w:vAlign w:val="center"/>
          </w:tcPr>
          <w:p w14:paraId="47637F8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bookmarkStart w:id="1" w:name="OLE_LINK60"/>
            <w:bookmarkStart w:id="2" w:name="OLE_LINK57"/>
            <w:r w:rsidRPr="00101741">
              <w:rPr>
                <w:rFonts w:cs="Times New Roman"/>
                <w:color w:val="auto"/>
                <w:kern w:val="0"/>
                <w:sz w:val="20"/>
                <w:szCs w:val="20"/>
              </w:rPr>
              <w:t>Degree of fluctuation</w:t>
            </w:r>
            <w:bookmarkEnd w:id="1"/>
            <w:bookmarkEnd w:id="2"/>
          </w:p>
        </w:tc>
      </w:tr>
      <w:tr w:rsidR="0005712D" w:rsidRPr="00101741" w14:paraId="3EC8B539" w14:textId="77777777" w:rsidTr="002F35A2">
        <w:trPr>
          <w:trHeight w:val="20"/>
        </w:trPr>
        <w:tc>
          <w:tcPr>
            <w:tcW w:w="928" w:type="pct"/>
            <w:tcMar>
              <w:top w:w="57" w:type="dxa"/>
              <w:left w:w="57" w:type="dxa"/>
              <w:bottom w:w="57" w:type="dxa"/>
              <w:right w:w="57" w:type="dxa"/>
            </w:tcMar>
            <w:vAlign w:val="center"/>
          </w:tcPr>
          <w:p w14:paraId="3D4E4DA9"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eCRF</w:t>
            </w:r>
          </w:p>
        </w:tc>
        <w:tc>
          <w:tcPr>
            <w:tcW w:w="4072" w:type="pct"/>
            <w:tcMar>
              <w:top w:w="57" w:type="dxa"/>
              <w:left w:w="57" w:type="dxa"/>
              <w:bottom w:w="57" w:type="dxa"/>
              <w:right w:w="57" w:type="dxa"/>
            </w:tcMar>
            <w:vAlign w:val="center"/>
          </w:tcPr>
          <w:p w14:paraId="0879AC03"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Electronic case report form</w:t>
            </w:r>
          </w:p>
        </w:tc>
      </w:tr>
      <w:tr w:rsidR="0005712D" w:rsidRPr="00101741" w14:paraId="2A4B8879" w14:textId="77777777" w:rsidTr="002F35A2">
        <w:trPr>
          <w:trHeight w:val="20"/>
        </w:trPr>
        <w:tc>
          <w:tcPr>
            <w:tcW w:w="928" w:type="pct"/>
            <w:tcMar>
              <w:top w:w="57" w:type="dxa"/>
              <w:left w:w="57" w:type="dxa"/>
              <w:bottom w:w="57" w:type="dxa"/>
              <w:right w:w="57" w:type="dxa"/>
            </w:tcMar>
            <w:vAlign w:val="center"/>
          </w:tcPr>
          <w:p w14:paraId="66B043E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eGFR</w:t>
            </w:r>
          </w:p>
        </w:tc>
        <w:tc>
          <w:tcPr>
            <w:tcW w:w="4072" w:type="pct"/>
            <w:tcMar>
              <w:top w:w="57" w:type="dxa"/>
              <w:left w:w="57" w:type="dxa"/>
              <w:bottom w:w="57" w:type="dxa"/>
              <w:right w:w="57" w:type="dxa"/>
            </w:tcMar>
            <w:vAlign w:val="center"/>
          </w:tcPr>
          <w:p w14:paraId="3BBBAF9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Estimated glomerular filtration rate</w:t>
            </w:r>
          </w:p>
        </w:tc>
      </w:tr>
      <w:tr w:rsidR="0005712D" w:rsidRPr="00101741" w14:paraId="78164D17" w14:textId="77777777" w:rsidTr="002F35A2">
        <w:trPr>
          <w:trHeight w:val="20"/>
        </w:trPr>
        <w:tc>
          <w:tcPr>
            <w:tcW w:w="928" w:type="pct"/>
            <w:tcMar>
              <w:top w:w="57" w:type="dxa"/>
              <w:left w:w="57" w:type="dxa"/>
              <w:bottom w:w="57" w:type="dxa"/>
              <w:right w:w="57" w:type="dxa"/>
            </w:tcMar>
            <w:vAlign w:val="center"/>
          </w:tcPr>
          <w:p w14:paraId="2EBF5D4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FAS</w:t>
            </w:r>
          </w:p>
        </w:tc>
        <w:tc>
          <w:tcPr>
            <w:tcW w:w="4072" w:type="pct"/>
            <w:tcMar>
              <w:top w:w="57" w:type="dxa"/>
              <w:left w:w="57" w:type="dxa"/>
              <w:bottom w:w="57" w:type="dxa"/>
              <w:right w:w="57" w:type="dxa"/>
            </w:tcMar>
            <w:vAlign w:val="center"/>
          </w:tcPr>
          <w:p w14:paraId="4E0D878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Full analysis set</w:t>
            </w:r>
          </w:p>
        </w:tc>
      </w:tr>
      <w:tr w:rsidR="0005712D" w:rsidRPr="00101741" w14:paraId="5A46FF71" w14:textId="77777777" w:rsidTr="002F35A2">
        <w:trPr>
          <w:trHeight w:val="20"/>
        </w:trPr>
        <w:tc>
          <w:tcPr>
            <w:tcW w:w="928" w:type="pct"/>
            <w:tcMar>
              <w:top w:w="57" w:type="dxa"/>
              <w:left w:w="57" w:type="dxa"/>
              <w:bottom w:w="57" w:type="dxa"/>
              <w:right w:w="57" w:type="dxa"/>
            </w:tcMar>
            <w:vAlign w:val="center"/>
          </w:tcPr>
          <w:p w14:paraId="1E8D6F9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GIP</w:t>
            </w:r>
          </w:p>
        </w:tc>
        <w:tc>
          <w:tcPr>
            <w:tcW w:w="4072" w:type="pct"/>
            <w:tcMar>
              <w:top w:w="57" w:type="dxa"/>
              <w:left w:w="57" w:type="dxa"/>
              <w:bottom w:w="57" w:type="dxa"/>
              <w:right w:w="57" w:type="dxa"/>
            </w:tcMar>
            <w:vAlign w:val="center"/>
          </w:tcPr>
          <w:p w14:paraId="4E602A63"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Glucose-dependent insulinotropic polypeptide</w:t>
            </w:r>
          </w:p>
        </w:tc>
      </w:tr>
      <w:tr w:rsidR="0005712D" w:rsidRPr="00101741" w14:paraId="06A596FC" w14:textId="77777777" w:rsidTr="002F35A2">
        <w:trPr>
          <w:trHeight w:val="20"/>
        </w:trPr>
        <w:tc>
          <w:tcPr>
            <w:tcW w:w="928" w:type="pct"/>
            <w:tcMar>
              <w:top w:w="57" w:type="dxa"/>
              <w:left w:w="57" w:type="dxa"/>
              <w:bottom w:w="57" w:type="dxa"/>
              <w:right w:w="57" w:type="dxa"/>
            </w:tcMar>
            <w:vAlign w:val="center"/>
          </w:tcPr>
          <w:p w14:paraId="70C265F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GLP-1</w:t>
            </w:r>
          </w:p>
        </w:tc>
        <w:tc>
          <w:tcPr>
            <w:tcW w:w="4072" w:type="pct"/>
            <w:tcMar>
              <w:top w:w="57" w:type="dxa"/>
              <w:left w:w="57" w:type="dxa"/>
              <w:bottom w:w="57" w:type="dxa"/>
              <w:right w:w="57" w:type="dxa"/>
            </w:tcMar>
            <w:vAlign w:val="center"/>
          </w:tcPr>
          <w:p w14:paraId="5383E99A"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Glucagon-like peptide-1</w:t>
            </w:r>
          </w:p>
        </w:tc>
      </w:tr>
      <w:tr w:rsidR="0005712D" w:rsidRPr="00101741" w14:paraId="345F2076" w14:textId="77777777" w:rsidTr="002F35A2">
        <w:trPr>
          <w:trHeight w:val="20"/>
        </w:trPr>
        <w:tc>
          <w:tcPr>
            <w:tcW w:w="928" w:type="pct"/>
            <w:tcMar>
              <w:top w:w="57" w:type="dxa"/>
              <w:left w:w="57" w:type="dxa"/>
              <w:bottom w:w="57" w:type="dxa"/>
              <w:right w:w="57" w:type="dxa"/>
            </w:tcMar>
            <w:vAlign w:val="center"/>
          </w:tcPr>
          <w:p w14:paraId="199DF37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HbA1c</w:t>
            </w:r>
          </w:p>
        </w:tc>
        <w:tc>
          <w:tcPr>
            <w:tcW w:w="4072" w:type="pct"/>
            <w:tcMar>
              <w:top w:w="57" w:type="dxa"/>
              <w:left w:w="57" w:type="dxa"/>
              <w:bottom w:w="57" w:type="dxa"/>
              <w:right w:w="57" w:type="dxa"/>
            </w:tcMar>
            <w:vAlign w:val="center"/>
          </w:tcPr>
          <w:p w14:paraId="7272ACE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Glycosylated hemoglobin</w:t>
            </w:r>
          </w:p>
        </w:tc>
      </w:tr>
      <w:tr w:rsidR="0005712D" w:rsidRPr="00101741" w14:paraId="7C3D108D" w14:textId="77777777" w:rsidTr="002F35A2">
        <w:trPr>
          <w:trHeight w:val="20"/>
        </w:trPr>
        <w:tc>
          <w:tcPr>
            <w:tcW w:w="928" w:type="pct"/>
            <w:tcMar>
              <w:top w:w="57" w:type="dxa"/>
              <w:left w:w="57" w:type="dxa"/>
              <w:bottom w:w="57" w:type="dxa"/>
              <w:right w:w="57" w:type="dxa"/>
            </w:tcMar>
            <w:vAlign w:val="center"/>
          </w:tcPr>
          <w:p w14:paraId="4136EAD0"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HDL-C</w:t>
            </w:r>
          </w:p>
        </w:tc>
        <w:tc>
          <w:tcPr>
            <w:tcW w:w="4072" w:type="pct"/>
            <w:tcMar>
              <w:top w:w="57" w:type="dxa"/>
              <w:left w:w="57" w:type="dxa"/>
              <w:bottom w:w="57" w:type="dxa"/>
              <w:right w:w="57" w:type="dxa"/>
            </w:tcMar>
            <w:vAlign w:val="center"/>
          </w:tcPr>
          <w:p w14:paraId="576FEF52"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High-density lipoprotein cholesterol</w:t>
            </w:r>
          </w:p>
        </w:tc>
      </w:tr>
      <w:tr w:rsidR="0005712D" w:rsidRPr="00101741" w14:paraId="3FE5B7C8" w14:textId="77777777" w:rsidTr="002F35A2">
        <w:trPr>
          <w:trHeight w:val="20"/>
        </w:trPr>
        <w:tc>
          <w:tcPr>
            <w:tcW w:w="928" w:type="pct"/>
            <w:tcMar>
              <w:top w:w="57" w:type="dxa"/>
              <w:left w:w="57" w:type="dxa"/>
              <w:bottom w:w="57" w:type="dxa"/>
              <w:right w:w="57" w:type="dxa"/>
            </w:tcMar>
            <w:vAlign w:val="center"/>
          </w:tcPr>
          <w:p w14:paraId="235CB58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LDL-C</w:t>
            </w:r>
          </w:p>
        </w:tc>
        <w:tc>
          <w:tcPr>
            <w:tcW w:w="4072" w:type="pct"/>
            <w:tcMar>
              <w:top w:w="57" w:type="dxa"/>
              <w:left w:w="57" w:type="dxa"/>
              <w:bottom w:w="57" w:type="dxa"/>
              <w:right w:w="57" w:type="dxa"/>
            </w:tcMar>
            <w:vAlign w:val="center"/>
          </w:tcPr>
          <w:p w14:paraId="114FDD33"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Low-density lipoprotein cholesterol</w:t>
            </w:r>
          </w:p>
        </w:tc>
      </w:tr>
      <w:tr w:rsidR="0005712D" w:rsidRPr="00101741" w14:paraId="4636C78F" w14:textId="77777777" w:rsidTr="002F35A2">
        <w:trPr>
          <w:trHeight w:val="20"/>
        </w:trPr>
        <w:tc>
          <w:tcPr>
            <w:tcW w:w="928" w:type="pct"/>
            <w:tcMar>
              <w:top w:w="57" w:type="dxa"/>
              <w:left w:w="57" w:type="dxa"/>
              <w:bottom w:w="57" w:type="dxa"/>
              <w:right w:w="57" w:type="dxa"/>
            </w:tcMar>
            <w:vAlign w:val="center"/>
          </w:tcPr>
          <w:p w14:paraId="6AC84DB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MedDRA</w:t>
            </w:r>
          </w:p>
        </w:tc>
        <w:tc>
          <w:tcPr>
            <w:tcW w:w="4072" w:type="pct"/>
            <w:tcMar>
              <w:top w:w="57" w:type="dxa"/>
              <w:left w:w="57" w:type="dxa"/>
              <w:bottom w:w="57" w:type="dxa"/>
              <w:right w:w="57" w:type="dxa"/>
            </w:tcMar>
            <w:vAlign w:val="center"/>
          </w:tcPr>
          <w:p w14:paraId="25E4665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Medical Dictionary for Regulatory Activities</w:t>
            </w:r>
          </w:p>
        </w:tc>
      </w:tr>
      <w:tr w:rsidR="0005712D" w:rsidRPr="00101741" w14:paraId="7E190421" w14:textId="77777777" w:rsidTr="002F35A2">
        <w:trPr>
          <w:trHeight w:val="20"/>
        </w:trPr>
        <w:tc>
          <w:tcPr>
            <w:tcW w:w="928" w:type="pct"/>
            <w:tcMar>
              <w:top w:w="57" w:type="dxa"/>
              <w:left w:w="57" w:type="dxa"/>
              <w:bottom w:w="57" w:type="dxa"/>
              <w:right w:w="57" w:type="dxa"/>
            </w:tcMar>
            <w:vAlign w:val="center"/>
          </w:tcPr>
          <w:p w14:paraId="2DB91AD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MMRM</w:t>
            </w:r>
          </w:p>
        </w:tc>
        <w:tc>
          <w:tcPr>
            <w:tcW w:w="4072" w:type="pct"/>
            <w:tcMar>
              <w:top w:w="57" w:type="dxa"/>
              <w:left w:w="57" w:type="dxa"/>
              <w:bottom w:w="57" w:type="dxa"/>
              <w:right w:w="57" w:type="dxa"/>
            </w:tcMar>
            <w:vAlign w:val="center"/>
          </w:tcPr>
          <w:p w14:paraId="24B991B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Mixed-effects model using repeated measures</w:t>
            </w:r>
          </w:p>
        </w:tc>
      </w:tr>
      <w:tr w:rsidR="0005712D" w:rsidRPr="00101741" w14:paraId="723F110A" w14:textId="77777777" w:rsidTr="002F35A2">
        <w:trPr>
          <w:trHeight w:val="20"/>
        </w:trPr>
        <w:tc>
          <w:tcPr>
            <w:tcW w:w="928" w:type="pct"/>
            <w:tcMar>
              <w:top w:w="57" w:type="dxa"/>
              <w:left w:w="57" w:type="dxa"/>
              <w:bottom w:w="57" w:type="dxa"/>
              <w:right w:w="57" w:type="dxa"/>
            </w:tcMar>
            <w:vAlign w:val="center"/>
          </w:tcPr>
          <w:p w14:paraId="1DAE5679"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MRT</w:t>
            </w:r>
          </w:p>
        </w:tc>
        <w:tc>
          <w:tcPr>
            <w:tcW w:w="4072" w:type="pct"/>
            <w:tcMar>
              <w:top w:w="57" w:type="dxa"/>
              <w:left w:w="57" w:type="dxa"/>
              <w:bottom w:w="57" w:type="dxa"/>
              <w:right w:w="57" w:type="dxa"/>
            </w:tcMar>
            <w:vAlign w:val="center"/>
          </w:tcPr>
          <w:p w14:paraId="3B56210F" w14:textId="0CBED2A3"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bCs/>
                <w:color w:val="auto"/>
                <w:kern w:val="0"/>
                <w:sz w:val="20"/>
                <w:szCs w:val="20"/>
              </w:rPr>
            </w:pPr>
            <w:r w:rsidRPr="00101741">
              <w:rPr>
                <w:rFonts w:cs="Times New Roman"/>
                <w:bCs/>
                <w:color w:val="auto"/>
                <w:kern w:val="0"/>
                <w:sz w:val="20"/>
                <w:szCs w:val="20"/>
              </w:rPr>
              <w:t>Mean r</w:t>
            </w:r>
            <w:r w:rsidR="00CF284E" w:rsidRPr="00CF284E">
              <w:rPr>
                <w:rFonts w:cs="Times New Roman"/>
                <w:bCs/>
                <w:color w:val="auto"/>
                <w:kern w:val="0"/>
                <w:sz w:val="20"/>
                <w:szCs w:val="20"/>
              </w:rPr>
              <w:t>esidence</w:t>
            </w:r>
            <w:r w:rsidRPr="00101741">
              <w:rPr>
                <w:rFonts w:cs="Times New Roman"/>
                <w:bCs/>
                <w:color w:val="auto"/>
                <w:kern w:val="0"/>
                <w:sz w:val="20"/>
                <w:szCs w:val="20"/>
              </w:rPr>
              <w:t xml:space="preserve"> time</w:t>
            </w:r>
          </w:p>
        </w:tc>
      </w:tr>
      <w:tr w:rsidR="0005712D" w:rsidRPr="00101741" w14:paraId="573FA618" w14:textId="77777777" w:rsidTr="002F35A2">
        <w:trPr>
          <w:trHeight w:val="20"/>
        </w:trPr>
        <w:tc>
          <w:tcPr>
            <w:tcW w:w="928" w:type="pct"/>
            <w:tcMar>
              <w:top w:w="57" w:type="dxa"/>
              <w:left w:w="57" w:type="dxa"/>
              <w:bottom w:w="57" w:type="dxa"/>
              <w:right w:w="57" w:type="dxa"/>
            </w:tcMar>
            <w:vAlign w:val="center"/>
          </w:tcPr>
          <w:p w14:paraId="08BE0DF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Nab</w:t>
            </w:r>
          </w:p>
        </w:tc>
        <w:tc>
          <w:tcPr>
            <w:tcW w:w="4072" w:type="pct"/>
            <w:tcMar>
              <w:top w:w="57" w:type="dxa"/>
              <w:left w:w="57" w:type="dxa"/>
              <w:bottom w:w="57" w:type="dxa"/>
              <w:right w:w="57" w:type="dxa"/>
            </w:tcMar>
            <w:vAlign w:val="center"/>
          </w:tcPr>
          <w:p w14:paraId="3055663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Neutralizing antibody</w:t>
            </w:r>
          </w:p>
        </w:tc>
      </w:tr>
      <w:tr w:rsidR="0005712D" w:rsidRPr="00101741" w14:paraId="69F9F4DD" w14:textId="77777777" w:rsidTr="002F35A2">
        <w:trPr>
          <w:trHeight w:val="20"/>
        </w:trPr>
        <w:tc>
          <w:tcPr>
            <w:tcW w:w="928" w:type="pct"/>
            <w:tcMar>
              <w:top w:w="57" w:type="dxa"/>
              <w:left w:w="57" w:type="dxa"/>
              <w:bottom w:w="57" w:type="dxa"/>
              <w:right w:w="57" w:type="dxa"/>
            </w:tcMar>
            <w:vAlign w:val="center"/>
          </w:tcPr>
          <w:p w14:paraId="3FD3DD8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NMPA</w:t>
            </w:r>
          </w:p>
        </w:tc>
        <w:tc>
          <w:tcPr>
            <w:tcW w:w="4072" w:type="pct"/>
            <w:tcMar>
              <w:top w:w="57" w:type="dxa"/>
              <w:left w:w="57" w:type="dxa"/>
              <w:bottom w:w="57" w:type="dxa"/>
              <w:right w:w="57" w:type="dxa"/>
            </w:tcMar>
            <w:vAlign w:val="center"/>
          </w:tcPr>
          <w:p w14:paraId="726363D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National Medical Products Administration</w:t>
            </w:r>
          </w:p>
        </w:tc>
      </w:tr>
      <w:tr w:rsidR="0005712D" w:rsidRPr="00101741" w14:paraId="0BDCC84F" w14:textId="77777777" w:rsidTr="002F35A2">
        <w:trPr>
          <w:trHeight w:val="20"/>
        </w:trPr>
        <w:tc>
          <w:tcPr>
            <w:tcW w:w="928" w:type="pct"/>
            <w:tcMar>
              <w:top w:w="57" w:type="dxa"/>
              <w:left w:w="57" w:type="dxa"/>
              <w:bottom w:w="57" w:type="dxa"/>
              <w:right w:w="57" w:type="dxa"/>
            </w:tcMar>
            <w:vAlign w:val="center"/>
          </w:tcPr>
          <w:p w14:paraId="281B9E3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PK</w:t>
            </w:r>
          </w:p>
        </w:tc>
        <w:tc>
          <w:tcPr>
            <w:tcW w:w="4072" w:type="pct"/>
            <w:tcMar>
              <w:top w:w="57" w:type="dxa"/>
              <w:left w:w="57" w:type="dxa"/>
              <w:bottom w:w="57" w:type="dxa"/>
              <w:right w:w="57" w:type="dxa"/>
            </w:tcMar>
            <w:vAlign w:val="center"/>
          </w:tcPr>
          <w:p w14:paraId="573E4B5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Pharmacokinetics</w:t>
            </w:r>
          </w:p>
        </w:tc>
      </w:tr>
      <w:tr w:rsidR="0005712D" w:rsidRPr="00101741" w14:paraId="5A253ADD" w14:textId="77777777" w:rsidTr="002F35A2">
        <w:trPr>
          <w:trHeight w:val="20"/>
        </w:trPr>
        <w:tc>
          <w:tcPr>
            <w:tcW w:w="928" w:type="pct"/>
            <w:tcMar>
              <w:top w:w="57" w:type="dxa"/>
              <w:left w:w="57" w:type="dxa"/>
              <w:bottom w:w="57" w:type="dxa"/>
              <w:right w:w="57" w:type="dxa"/>
            </w:tcMar>
            <w:vAlign w:val="center"/>
          </w:tcPr>
          <w:p w14:paraId="2FFD3CA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lastRenderedPageBreak/>
              <w:t>PKCS</w:t>
            </w:r>
          </w:p>
        </w:tc>
        <w:tc>
          <w:tcPr>
            <w:tcW w:w="4072" w:type="pct"/>
            <w:tcMar>
              <w:top w:w="57" w:type="dxa"/>
              <w:left w:w="57" w:type="dxa"/>
              <w:bottom w:w="57" w:type="dxa"/>
              <w:right w:w="57" w:type="dxa"/>
            </w:tcMar>
            <w:vAlign w:val="center"/>
          </w:tcPr>
          <w:p w14:paraId="10C113E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Pharmacokinetic concentration set</w:t>
            </w:r>
          </w:p>
        </w:tc>
      </w:tr>
      <w:tr w:rsidR="0005712D" w:rsidRPr="00101741" w14:paraId="6E6B8EB1" w14:textId="77777777" w:rsidTr="002F35A2">
        <w:trPr>
          <w:trHeight w:val="20"/>
        </w:trPr>
        <w:tc>
          <w:tcPr>
            <w:tcW w:w="928" w:type="pct"/>
            <w:tcMar>
              <w:top w:w="57" w:type="dxa"/>
              <w:left w:w="57" w:type="dxa"/>
              <w:bottom w:w="57" w:type="dxa"/>
              <w:right w:w="57" w:type="dxa"/>
            </w:tcMar>
            <w:vAlign w:val="center"/>
          </w:tcPr>
          <w:p w14:paraId="1EB672E9"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PKPS</w:t>
            </w:r>
          </w:p>
        </w:tc>
        <w:tc>
          <w:tcPr>
            <w:tcW w:w="4072" w:type="pct"/>
            <w:tcMar>
              <w:top w:w="57" w:type="dxa"/>
              <w:left w:w="57" w:type="dxa"/>
              <w:bottom w:w="57" w:type="dxa"/>
              <w:right w:w="57" w:type="dxa"/>
            </w:tcMar>
            <w:vAlign w:val="center"/>
          </w:tcPr>
          <w:p w14:paraId="5863241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Pharmacokinetic parameter set</w:t>
            </w:r>
          </w:p>
        </w:tc>
      </w:tr>
      <w:tr w:rsidR="0005712D" w:rsidRPr="00101741" w14:paraId="4443BF55" w14:textId="77777777" w:rsidTr="002F35A2">
        <w:trPr>
          <w:trHeight w:val="20"/>
        </w:trPr>
        <w:tc>
          <w:tcPr>
            <w:tcW w:w="928" w:type="pct"/>
            <w:tcMar>
              <w:top w:w="57" w:type="dxa"/>
              <w:left w:w="57" w:type="dxa"/>
              <w:bottom w:w="57" w:type="dxa"/>
              <w:right w:w="57" w:type="dxa"/>
            </w:tcMar>
            <w:vAlign w:val="center"/>
          </w:tcPr>
          <w:p w14:paraId="6150281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PT</w:t>
            </w:r>
          </w:p>
        </w:tc>
        <w:tc>
          <w:tcPr>
            <w:tcW w:w="4072" w:type="pct"/>
            <w:tcMar>
              <w:top w:w="57" w:type="dxa"/>
              <w:left w:w="57" w:type="dxa"/>
              <w:bottom w:w="57" w:type="dxa"/>
              <w:right w:w="57" w:type="dxa"/>
            </w:tcMar>
            <w:vAlign w:val="center"/>
          </w:tcPr>
          <w:p w14:paraId="510B9443"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Preferred term</w:t>
            </w:r>
          </w:p>
        </w:tc>
      </w:tr>
      <w:tr w:rsidR="0005712D" w:rsidRPr="00101741" w14:paraId="24AF146D" w14:textId="77777777" w:rsidTr="002F35A2">
        <w:trPr>
          <w:trHeight w:val="20"/>
        </w:trPr>
        <w:tc>
          <w:tcPr>
            <w:tcW w:w="928" w:type="pct"/>
            <w:tcMar>
              <w:top w:w="57" w:type="dxa"/>
              <w:left w:w="57" w:type="dxa"/>
              <w:bottom w:w="57" w:type="dxa"/>
              <w:right w:w="57" w:type="dxa"/>
            </w:tcMar>
            <w:vAlign w:val="center"/>
          </w:tcPr>
          <w:p w14:paraId="32F53B4D"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Q1</w:t>
            </w:r>
          </w:p>
        </w:tc>
        <w:tc>
          <w:tcPr>
            <w:tcW w:w="4072" w:type="pct"/>
            <w:tcMar>
              <w:top w:w="57" w:type="dxa"/>
              <w:left w:w="57" w:type="dxa"/>
              <w:bottom w:w="57" w:type="dxa"/>
              <w:right w:w="57" w:type="dxa"/>
            </w:tcMar>
            <w:vAlign w:val="center"/>
          </w:tcPr>
          <w:p w14:paraId="04F0CB2C"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Lower quartile</w:t>
            </w:r>
          </w:p>
        </w:tc>
      </w:tr>
      <w:tr w:rsidR="0005712D" w:rsidRPr="00101741" w14:paraId="1CD884F3" w14:textId="77777777" w:rsidTr="002F35A2">
        <w:trPr>
          <w:trHeight w:val="20"/>
        </w:trPr>
        <w:tc>
          <w:tcPr>
            <w:tcW w:w="928" w:type="pct"/>
            <w:tcMar>
              <w:top w:w="57" w:type="dxa"/>
              <w:left w:w="57" w:type="dxa"/>
              <w:bottom w:w="57" w:type="dxa"/>
              <w:right w:w="57" w:type="dxa"/>
            </w:tcMar>
            <w:vAlign w:val="center"/>
          </w:tcPr>
          <w:p w14:paraId="2AC6BDB0"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Q3</w:t>
            </w:r>
          </w:p>
        </w:tc>
        <w:tc>
          <w:tcPr>
            <w:tcW w:w="4072" w:type="pct"/>
            <w:tcMar>
              <w:top w:w="57" w:type="dxa"/>
              <w:left w:w="57" w:type="dxa"/>
              <w:bottom w:w="57" w:type="dxa"/>
              <w:right w:w="57" w:type="dxa"/>
            </w:tcMar>
            <w:vAlign w:val="center"/>
          </w:tcPr>
          <w:p w14:paraId="2567DEB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Upper quartile</w:t>
            </w:r>
          </w:p>
        </w:tc>
      </w:tr>
      <w:tr w:rsidR="0005712D" w:rsidRPr="00101741" w14:paraId="7724EADA" w14:textId="77777777" w:rsidTr="002F35A2">
        <w:trPr>
          <w:trHeight w:val="20"/>
        </w:trPr>
        <w:tc>
          <w:tcPr>
            <w:tcW w:w="928" w:type="pct"/>
            <w:tcMar>
              <w:top w:w="57" w:type="dxa"/>
              <w:left w:w="57" w:type="dxa"/>
              <w:bottom w:w="57" w:type="dxa"/>
              <w:right w:w="57" w:type="dxa"/>
            </w:tcMar>
            <w:vAlign w:val="center"/>
          </w:tcPr>
          <w:p w14:paraId="7CC00575"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SAE</w:t>
            </w:r>
          </w:p>
        </w:tc>
        <w:tc>
          <w:tcPr>
            <w:tcW w:w="4072" w:type="pct"/>
            <w:tcMar>
              <w:top w:w="57" w:type="dxa"/>
              <w:left w:w="57" w:type="dxa"/>
              <w:bottom w:w="57" w:type="dxa"/>
              <w:right w:w="57" w:type="dxa"/>
            </w:tcMar>
            <w:vAlign w:val="center"/>
          </w:tcPr>
          <w:p w14:paraId="70909EB1"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Serious adverse event</w:t>
            </w:r>
          </w:p>
        </w:tc>
      </w:tr>
      <w:tr w:rsidR="0005712D" w:rsidRPr="00101741" w14:paraId="090182FE" w14:textId="77777777" w:rsidTr="002F35A2">
        <w:trPr>
          <w:trHeight w:val="20"/>
        </w:trPr>
        <w:tc>
          <w:tcPr>
            <w:tcW w:w="928" w:type="pct"/>
            <w:tcMar>
              <w:top w:w="57" w:type="dxa"/>
              <w:left w:w="57" w:type="dxa"/>
              <w:bottom w:w="57" w:type="dxa"/>
              <w:right w:w="57" w:type="dxa"/>
            </w:tcMar>
            <w:vAlign w:val="center"/>
          </w:tcPr>
          <w:p w14:paraId="5E52A57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SAP</w:t>
            </w:r>
          </w:p>
        </w:tc>
        <w:tc>
          <w:tcPr>
            <w:tcW w:w="4072" w:type="pct"/>
            <w:tcMar>
              <w:top w:w="57" w:type="dxa"/>
              <w:left w:w="57" w:type="dxa"/>
              <w:bottom w:w="57" w:type="dxa"/>
              <w:right w:w="57" w:type="dxa"/>
            </w:tcMar>
            <w:vAlign w:val="center"/>
          </w:tcPr>
          <w:p w14:paraId="22B8076C"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Statistical analysis plan</w:t>
            </w:r>
          </w:p>
        </w:tc>
      </w:tr>
      <w:tr w:rsidR="0005712D" w:rsidRPr="00101741" w14:paraId="09D20715" w14:textId="77777777" w:rsidTr="002F35A2">
        <w:trPr>
          <w:trHeight w:val="20"/>
        </w:trPr>
        <w:tc>
          <w:tcPr>
            <w:tcW w:w="928" w:type="pct"/>
            <w:tcMar>
              <w:top w:w="57" w:type="dxa"/>
              <w:left w:w="57" w:type="dxa"/>
              <w:bottom w:w="57" w:type="dxa"/>
              <w:right w:w="57" w:type="dxa"/>
            </w:tcMar>
            <w:vAlign w:val="center"/>
          </w:tcPr>
          <w:p w14:paraId="1A0B0C10" w14:textId="2CBA9CC1"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bookmarkStart w:id="3" w:name="OLE_LINK87"/>
            <w:r w:rsidRPr="00101741">
              <w:rPr>
                <w:rFonts w:cs="Times New Roman"/>
                <w:color w:val="auto"/>
                <w:kern w:val="0"/>
                <w:sz w:val="20"/>
                <w:szCs w:val="20"/>
              </w:rPr>
              <w:t>SAS</w:t>
            </w:r>
            <w:bookmarkEnd w:id="3"/>
          </w:p>
        </w:tc>
        <w:tc>
          <w:tcPr>
            <w:tcW w:w="4072" w:type="pct"/>
            <w:tcMar>
              <w:top w:w="57" w:type="dxa"/>
              <w:left w:w="57" w:type="dxa"/>
              <w:bottom w:w="57" w:type="dxa"/>
              <w:right w:w="57" w:type="dxa"/>
            </w:tcMar>
            <w:vAlign w:val="center"/>
          </w:tcPr>
          <w:p w14:paraId="3E9589B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Statistical analysis system</w:t>
            </w:r>
          </w:p>
        </w:tc>
      </w:tr>
      <w:tr w:rsidR="0005712D" w:rsidRPr="00101741" w14:paraId="01D74279" w14:textId="77777777" w:rsidTr="002F35A2">
        <w:trPr>
          <w:trHeight w:val="20"/>
        </w:trPr>
        <w:tc>
          <w:tcPr>
            <w:tcW w:w="928" w:type="pct"/>
            <w:tcMar>
              <w:top w:w="57" w:type="dxa"/>
              <w:left w:w="57" w:type="dxa"/>
              <w:bottom w:w="57" w:type="dxa"/>
              <w:right w:w="57" w:type="dxa"/>
            </w:tcMar>
            <w:vAlign w:val="center"/>
          </w:tcPr>
          <w:p w14:paraId="596667ED"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SD</w:t>
            </w:r>
          </w:p>
        </w:tc>
        <w:tc>
          <w:tcPr>
            <w:tcW w:w="4072" w:type="pct"/>
            <w:tcMar>
              <w:top w:w="57" w:type="dxa"/>
              <w:left w:w="57" w:type="dxa"/>
              <w:bottom w:w="57" w:type="dxa"/>
              <w:right w:w="57" w:type="dxa"/>
            </w:tcMar>
            <w:vAlign w:val="center"/>
          </w:tcPr>
          <w:p w14:paraId="4E4D2D7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Standard deviation</w:t>
            </w:r>
          </w:p>
        </w:tc>
      </w:tr>
      <w:tr w:rsidR="0005712D" w:rsidRPr="00101741" w14:paraId="204CA400" w14:textId="77777777" w:rsidTr="002F35A2">
        <w:trPr>
          <w:trHeight w:val="20"/>
        </w:trPr>
        <w:tc>
          <w:tcPr>
            <w:tcW w:w="928" w:type="pct"/>
            <w:tcMar>
              <w:top w:w="57" w:type="dxa"/>
              <w:left w:w="57" w:type="dxa"/>
              <w:bottom w:w="57" w:type="dxa"/>
              <w:right w:w="57" w:type="dxa"/>
            </w:tcMar>
            <w:vAlign w:val="center"/>
          </w:tcPr>
          <w:p w14:paraId="3A1DCD8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SOC</w:t>
            </w:r>
          </w:p>
        </w:tc>
        <w:tc>
          <w:tcPr>
            <w:tcW w:w="4072" w:type="pct"/>
            <w:tcMar>
              <w:top w:w="57" w:type="dxa"/>
              <w:left w:w="57" w:type="dxa"/>
              <w:bottom w:w="57" w:type="dxa"/>
              <w:right w:w="57" w:type="dxa"/>
            </w:tcMar>
            <w:vAlign w:val="center"/>
          </w:tcPr>
          <w:p w14:paraId="23521DC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bookmarkStart w:id="4" w:name="OLE_LINK88"/>
            <w:bookmarkStart w:id="5" w:name="OLE_LINK89"/>
            <w:r w:rsidRPr="00101741">
              <w:rPr>
                <w:rFonts w:cs="Times New Roman"/>
                <w:kern w:val="0"/>
                <w:sz w:val="20"/>
                <w:szCs w:val="20"/>
              </w:rPr>
              <w:t>System organ class</w:t>
            </w:r>
            <w:bookmarkEnd w:id="4"/>
            <w:bookmarkEnd w:id="5"/>
          </w:p>
        </w:tc>
      </w:tr>
      <w:tr w:rsidR="0005712D" w:rsidRPr="00101741" w14:paraId="2359207D" w14:textId="77777777" w:rsidTr="002F35A2">
        <w:trPr>
          <w:trHeight w:val="20"/>
        </w:trPr>
        <w:tc>
          <w:tcPr>
            <w:tcW w:w="928" w:type="pct"/>
            <w:tcMar>
              <w:top w:w="57" w:type="dxa"/>
              <w:left w:w="57" w:type="dxa"/>
              <w:bottom w:w="57" w:type="dxa"/>
              <w:right w:w="57" w:type="dxa"/>
            </w:tcMar>
            <w:vAlign w:val="center"/>
          </w:tcPr>
          <w:p w14:paraId="6936DFB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SS</w:t>
            </w:r>
          </w:p>
        </w:tc>
        <w:tc>
          <w:tcPr>
            <w:tcW w:w="4072" w:type="pct"/>
            <w:tcMar>
              <w:top w:w="57" w:type="dxa"/>
              <w:left w:w="57" w:type="dxa"/>
              <w:bottom w:w="57" w:type="dxa"/>
              <w:right w:w="57" w:type="dxa"/>
            </w:tcMar>
            <w:vAlign w:val="center"/>
          </w:tcPr>
          <w:p w14:paraId="650F9F2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Safety set</w:t>
            </w:r>
          </w:p>
        </w:tc>
      </w:tr>
      <w:tr w:rsidR="0005712D" w:rsidRPr="00101741" w14:paraId="36647EBB" w14:textId="77777777" w:rsidTr="002F35A2">
        <w:trPr>
          <w:trHeight w:val="20"/>
        </w:trPr>
        <w:tc>
          <w:tcPr>
            <w:tcW w:w="928" w:type="pct"/>
            <w:tcMar>
              <w:top w:w="57" w:type="dxa"/>
              <w:left w:w="57" w:type="dxa"/>
              <w:bottom w:w="57" w:type="dxa"/>
              <w:right w:w="57" w:type="dxa"/>
            </w:tcMar>
            <w:vAlign w:val="center"/>
          </w:tcPr>
          <w:p w14:paraId="4FDFF16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w:t>
            </w:r>
            <w:r w:rsidRPr="00101741">
              <w:rPr>
                <w:rFonts w:cs="Times New Roman"/>
                <w:color w:val="auto"/>
                <w:kern w:val="0"/>
                <w:sz w:val="20"/>
                <w:szCs w:val="20"/>
                <w:vertAlign w:val="subscript"/>
              </w:rPr>
              <w:t>1/2</w:t>
            </w:r>
          </w:p>
        </w:tc>
        <w:tc>
          <w:tcPr>
            <w:tcW w:w="4072" w:type="pct"/>
            <w:tcMar>
              <w:top w:w="57" w:type="dxa"/>
              <w:left w:w="57" w:type="dxa"/>
              <w:bottom w:w="57" w:type="dxa"/>
              <w:right w:w="57" w:type="dxa"/>
            </w:tcMar>
            <w:vAlign w:val="center"/>
          </w:tcPr>
          <w:p w14:paraId="7150734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Elimination half-life</w:t>
            </w:r>
          </w:p>
        </w:tc>
      </w:tr>
      <w:tr w:rsidR="0005712D" w:rsidRPr="00101741" w14:paraId="1A4F8011" w14:textId="77777777" w:rsidTr="002F35A2">
        <w:trPr>
          <w:trHeight w:val="20"/>
        </w:trPr>
        <w:tc>
          <w:tcPr>
            <w:tcW w:w="928" w:type="pct"/>
            <w:tcMar>
              <w:top w:w="57" w:type="dxa"/>
              <w:left w:w="57" w:type="dxa"/>
              <w:bottom w:w="57" w:type="dxa"/>
              <w:right w:w="57" w:type="dxa"/>
            </w:tcMar>
            <w:vAlign w:val="center"/>
          </w:tcPr>
          <w:p w14:paraId="485EAE7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T2DM</w:t>
            </w:r>
          </w:p>
        </w:tc>
        <w:tc>
          <w:tcPr>
            <w:tcW w:w="4072" w:type="pct"/>
            <w:tcMar>
              <w:top w:w="57" w:type="dxa"/>
              <w:left w:w="57" w:type="dxa"/>
              <w:bottom w:w="57" w:type="dxa"/>
              <w:right w:w="57" w:type="dxa"/>
            </w:tcMar>
            <w:vAlign w:val="center"/>
          </w:tcPr>
          <w:p w14:paraId="0D29DEA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Type 2 diabetes mellitus</w:t>
            </w:r>
          </w:p>
        </w:tc>
      </w:tr>
      <w:tr w:rsidR="0005712D" w:rsidRPr="00101741" w14:paraId="2199F2F8" w14:textId="77777777" w:rsidTr="002F35A2">
        <w:trPr>
          <w:trHeight w:val="20"/>
        </w:trPr>
        <w:tc>
          <w:tcPr>
            <w:tcW w:w="928" w:type="pct"/>
            <w:tcMar>
              <w:top w:w="57" w:type="dxa"/>
              <w:left w:w="57" w:type="dxa"/>
              <w:bottom w:w="57" w:type="dxa"/>
              <w:right w:w="57" w:type="dxa"/>
            </w:tcMar>
            <w:vAlign w:val="center"/>
          </w:tcPr>
          <w:p w14:paraId="76F0C60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T3</w:t>
            </w:r>
          </w:p>
        </w:tc>
        <w:tc>
          <w:tcPr>
            <w:tcW w:w="4072" w:type="pct"/>
            <w:tcMar>
              <w:top w:w="57" w:type="dxa"/>
              <w:left w:w="57" w:type="dxa"/>
              <w:bottom w:w="57" w:type="dxa"/>
              <w:right w:w="57" w:type="dxa"/>
            </w:tcMar>
            <w:vAlign w:val="center"/>
          </w:tcPr>
          <w:p w14:paraId="54537AC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Triiodothyronine</w:t>
            </w:r>
          </w:p>
        </w:tc>
      </w:tr>
      <w:tr w:rsidR="0005712D" w:rsidRPr="00101741" w14:paraId="2DEF1C8D" w14:textId="77777777" w:rsidTr="002F35A2">
        <w:trPr>
          <w:trHeight w:val="20"/>
        </w:trPr>
        <w:tc>
          <w:tcPr>
            <w:tcW w:w="928" w:type="pct"/>
            <w:tcMar>
              <w:top w:w="57" w:type="dxa"/>
              <w:left w:w="57" w:type="dxa"/>
              <w:bottom w:w="57" w:type="dxa"/>
              <w:right w:w="57" w:type="dxa"/>
            </w:tcMar>
            <w:vAlign w:val="center"/>
          </w:tcPr>
          <w:p w14:paraId="2A0AE34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T4</w:t>
            </w:r>
          </w:p>
        </w:tc>
        <w:tc>
          <w:tcPr>
            <w:tcW w:w="4072" w:type="pct"/>
            <w:tcMar>
              <w:top w:w="57" w:type="dxa"/>
              <w:left w:w="57" w:type="dxa"/>
              <w:bottom w:w="57" w:type="dxa"/>
              <w:right w:w="57" w:type="dxa"/>
            </w:tcMar>
            <w:vAlign w:val="center"/>
          </w:tcPr>
          <w:p w14:paraId="6F55140D"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Thyroxine</w:t>
            </w:r>
          </w:p>
        </w:tc>
      </w:tr>
      <w:tr w:rsidR="0005712D" w:rsidRPr="00101741" w14:paraId="51FDAF94" w14:textId="77777777" w:rsidTr="002F35A2">
        <w:trPr>
          <w:trHeight w:val="20"/>
        </w:trPr>
        <w:tc>
          <w:tcPr>
            <w:tcW w:w="928" w:type="pct"/>
            <w:tcMar>
              <w:top w:w="57" w:type="dxa"/>
              <w:left w:w="57" w:type="dxa"/>
              <w:bottom w:w="57" w:type="dxa"/>
              <w:right w:w="57" w:type="dxa"/>
            </w:tcMar>
            <w:vAlign w:val="center"/>
          </w:tcPr>
          <w:p w14:paraId="4927215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TEAE</w:t>
            </w:r>
          </w:p>
        </w:tc>
        <w:tc>
          <w:tcPr>
            <w:tcW w:w="4072" w:type="pct"/>
            <w:tcMar>
              <w:top w:w="57" w:type="dxa"/>
              <w:left w:w="57" w:type="dxa"/>
              <w:bottom w:w="57" w:type="dxa"/>
              <w:right w:w="57" w:type="dxa"/>
            </w:tcMar>
            <w:vAlign w:val="center"/>
          </w:tcPr>
          <w:p w14:paraId="657198B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Treatment-emergent adverse event</w:t>
            </w:r>
          </w:p>
        </w:tc>
      </w:tr>
      <w:tr w:rsidR="0005712D" w:rsidRPr="00101741" w14:paraId="452DD2EE" w14:textId="77777777" w:rsidTr="002F35A2">
        <w:trPr>
          <w:trHeight w:val="20"/>
        </w:trPr>
        <w:tc>
          <w:tcPr>
            <w:tcW w:w="928" w:type="pct"/>
            <w:tcMar>
              <w:top w:w="57" w:type="dxa"/>
              <w:left w:w="57" w:type="dxa"/>
              <w:bottom w:w="57" w:type="dxa"/>
              <w:right w:w="57" w:type="dxa"/>
            </w:tcMar>
            <w:vAlign w:val="center"/>
          </w:tcPr>
          <w:p w14:paraId="0C45929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TG</w:t>
            </w:r>
          </w:p>
        </w:tc>
        <w:tc>
          <w:tcPr>
            <w:tcW w:w="4072" w:type="pct"/>
            <w:tcMar>
              <w:top w:w="57" w:type="dxa"/>
              <w:left w:w="57" w:type="dxa"/>
              <w:bottom w:w="57" w:type="dxa"/>
              <w:right w:w="57" w:type="dxa"/>
            </w:tcMar>
            <w:vAlign w:val="center"/>
          </w:tcPr>
          <w:p w14:paraId="24D61D4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Triglyceride</w:t>
            </w:r>
          </w:p>
        </w:tc>
      </w:tr>
      <w:tr w:rsidR="0005712D" w:rsidRPr="00101741" w14:paraId="1F47185A" w14:textId="77777777" w:rsidTr="002F35A2">
        <w:trPr>
          <w:trHeight w:val="20"/>
        </w:trPr>
        <w:tc>
          <w:tcPr>
            <w:tcW w:w="928" w:type="pct"/>
            <w:tcMar>
              <w:top w:w="57" w:type="dxa"/>
              <w:left w:w="57" w:type="dxa"/>
              <w:bottom w:w="57" w:type="dxa"/>
              <w:right w:w="57" w:type="dxa"/>
            </w:tcMar>
            <w:vAlign w:val="center"/>
          </w:tcPr>
          <w:p w14:paraId="6047DA58"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T</w:t>
            </w:r>
            <w:r w:rsidRPr="00101741">
              <w:rPr>
                <w:rFonts w:cs="Times New Roman"/>
                <w:kern w:val="0"/>
                <w:sz w:val="20"/>
                <w:szCs w:val="20"/>
                <w:vertAlign w:val="subscript"/>
              </w:rPr>
              <w:t>lag</w:t>
            </w:r>
          </w:p>
        </w:tc>
        <w:tc>
          <w:tcPr>
            <w:tcW w:w="4072" w:type="pct"/>
            <w:tcMar>
              <w:top w:w="57" w:type="dxa"/>
              <w:left w:w="57" w:type="dxa"/>
              <w:bottom w:w="57" w:type="dxa"/>
              <w:right w:w="57" w:type="dxa"/>
            </w:tcMar>
            <w:vAlign w:val="center"/>
          </w:tcPr>
          <w:p w14:paraId="3F90562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Lag time</w:t>
            </w:r>
          </w:p>
        </w:tc>
      </w:tr>
      <w:tr w:rsidR="0005712D" w:rsidRPr="00101741" w14:paraId="174E6A5A" w14:textId="77777777" w:rsidTr="002F35A2">
        <w:trPr>
          <w:trHeight w:val="20"/>
        </w:trPr>
        <w:tc>
          <w:tcPr>
            <w:tcW w:w="928" w:type="pct"/>
            <w:tcMar>
              <w:top w:w="57" w:type="dxa"/>
              <w:left w:w="57" w:type="dxa"/>
              <w:bottom w:w="57" w:type="dxa"/>
              <w:right w:w="57" w:type="dxa"/>
            </w:tcMar>
            <w:vAlign w:val="center"/>
          </w:tcPr>
          <w:p w14:paraId="0A01DFC3"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w:t>
            </w:r>
            <w:r w:rsidRPr="00101741">
              <w:rPr>
                <w:rFonts w:cs="Times New Roman"/>
                <w:color w:val="auto"/>
                <w:kern w:val="0"/>
                <w:sz w:val="20"/>
                <w:szCs w:val="20"/>
                <w:vertAlign w:val="subscript"/>
              </w:rPr>
              <w:t>max</w:t>
            </w:r>
          </w:p>
        </w:tc>
        <w:tc>
          <w:tcPr>
            <w:tcW w:w="4072" w:type="pct"/>
            <w:tcMar>
              <w:top w:w="57" w:type="dxa"/>
              <w:left w:w="57" w:type="dxa"/>
              <w:bottom w:w="57" w:type="dxa"/>
              <w:right w:w="57" w:type="dxa"/>
            </w:tcMar>
            <w:vAlign w:val="center"/>
          </w:tcPr>
          <w:p w14:paraId="5117C0DB"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Time to maximum drug concentration</w:t>
            </w:r>
          </w:p>
        </w:tc>
      </w:tr>
      <w:tr w:rsidR="0005712D" w:rsidRPr="00101741" w14:paraId="1C5EAE47" w14:textId="77777777" w:rsidTr="002F35A2">
        <w:trPr>
          <w:trHeight w:val="20"/>
        </w:trPr>
        <w:tc>
          <w:tcPr>
            <w:tcW w:w="928" w:type="pct"/>
            <w:tcMar>
              <w:top w:w="57" w:type="dxa"/>
              <w:left w:w="57" w:type="dxa"/>
              <w:bottom w:w="57" w:type="dxa"/>
              <w:right w:w="57" w:type="dxa"/>
            </w:tcMar>
            <w:vAlign w:val="center"/>
          </w:tcPr>
          <w:p w14:paraId="7790A1BE"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TSH</w:t>
            </w:r>
          </w:p>
        </w:tc>
        <w:tc>
          <w:tcPr>
            <w:tcW w:w="4072" w:type="pct"/>
            <w:tcMar>
              <w:top w:w="57" w:type="dxa"/>
              <w:left w:w="57" w:type="dxa"/>
              <w:bottom w:w="57" w:type="dxa"/>
              <w:right w:w="57" w:type="dxa"/>
            </w:tcMar>
            <w:vAlign w:val="center"/>
          </w:tcPr>
          <w:p w14:paraId="64A801EC"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Thyroid-stimulating hormone</w:t>
            </w:r>
          </w:p>
        </w:tc>
      </w:tr>
      <w:tr w:rsidR="0005712D" w:rsidRPr="00101741" w14:paraId="513A5D78" w14:textId="77777777" w:rsidTr="002F35A2">
        <w:trPr>
          <w:trHeight w:val="20"/>
        </w:trPr>
        <w:tc>
          <w:tcPr>
            <w:tcW w:w="928" w:type="pct"/>
            <w:tcMar>
              <w:top w:w="57" w:type="dxa"/>
              <w:left w:w="57" w:type="dxa"/>
              <w:bottom w:w="57" w:type="dxa"/>
              <w:right w:w="57" w:type="dxa"/>
            </w:tcMar>
            <w:vAlign w:val="center"/>
          </w:tcPr>
          <w:p w14:paraId="7750A7B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UACR</w:t>
            </w:r>
          </w:p>
        </w:tc>
        <w:tc>
          <w:tcPr>
            <w:tcW w:w="4072" w:type="pct"/>
            <w:tcMar>
              <w:top w:w="57" w:type="dxa"/>
              <w:left w:w="57" w:type="dxa"/>
              <w:bottom w:w="57" w:type="dxa"/>
              <w:right w:w="57" w:type="dxa"/>
            </w:tcMar>
            <w:vAlign w:val="center"/>
          </w:tcPr>
          <w:p w14:paraId="4AF26C87"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Urine albumin/creatinine ratio</w:t>
            </w:r>
          </w:p>
        </w:tc>
      </w:tr>
      <w:tr w:rsidR="0005712D" w:rsidRPr="00101741" w14:paraId="7E489B32" w14:textId="77777777" w:rsidTr="002F35A2">
        <w:trPr>
          <w:trHeight w:val="20"/>
        </w:trPr>
        <w:tc>
          <w:tcPr>
            <w:tcW w:w="928" w:type="pct"/>
            <w:tcMar>
              <w:top w:w="57" w:type="dxa"/>
              <w:left w:w="57" w:type="dxa"/>
              <w:bottom w:w="57" w:type="dxa"/>
              <w:right w:w="57" w:type="dxa"/>
            </w:tcMar>
            <w:vAlign w:val="center"/>
          </w:tcPr>
          <w:p w14:paraId="4720AA0C"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ULN</w:t>
            </w:r>
          </w:p>
        </w:tc>
        <w:tc>
          <w:tcPr>
            <w:tcW w:w="4072" w:type="pct"/>
            <w:tcMar>
              <w:top w:w="57" w:type="dxa"/>
              <w:left w:w="57" w:type="dxa"/>
              <w:bottom w:w="57" w:type="dxa"/>
              <w:right w:w="57" w:type="dxa"/>
            </w:tcMar>
            <w:vAlign w:val="center"/>
          </w:tcPr>
          <w:p w14:paraId="67DC021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Upper limit of normal</w:t>
            </w:r>
          </w:p>
        </w:tc>
      </w:tr>
      <w:tr w:rsidR="0005712D" w:rsidRPr="00101741" w14:paraId="0E0BF461" w14:textId="77777777" w:rsidTr="002F35A2">
        <w:trPr>
          <w:trHeight w:val="20"/>
        </w:trPr>
        <w:tc>
          <w:tcPr>
            <w:tcW w:w="928" w:type="pct"/>
            <w:tcMar>
              <w:top w:w="57" w:type="dxa"/>
              <w:left w:w="57" w:type="dxa"/>
              <w:bottom w:w="57" w:type="dxa"/>
              <w:right w:w="57" w:type="dxa"/>
            </w:tcMar>
            <w:vAlign w:val="center"/>
          </w:tcPr>
          <w:p w14:paraId="4276B683" w14:textId="04A85BEA"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bookmarkStart w:id="6" w:name="OLE_LINK91"/>
            <w:bookmarkStart w:id="7" w:name="OLE_LINK90"/>
            <w:r w:rsidRPr="00101741">
              <w:rPr>
                <w:rFonts w:cs="Times New Roman"/>
                <w:kern w:val="0"/>
                <w:sz w:val="20"/>
                <w:szCs w:val="20"/>
              </w:rPr>
              <w:t>V</w:t>
            </w:r>
            <w:r w:rsidRPr="00101741">
              <w:rPr>
                <w:rFonts w:cs="Times New Roman"/>
                <w:color w:val="000000" w:themeColor="text1"/>
                <w:kern w:val="0"/>
                <w:sz w:val="20"/>
                <w:szCs w:val="20"/>
                <w:vertAlign w:val="subscript"/>
              </w:rPr>
              <w:t>z</w:t>
            </w:r>
            <w:r w:rsidRPr="00101741">
              <w:rPr>
                <w:rFonts w:cs="Times New Roman"/>
                <w:kern w:val="0"/>
                <w:sz w:val="20"/>
                <w:szCs w:val="20"/>
              </w:rPr>
              <w:t>/F</w:t>
            </w:r>
            <w:bookmarkEnd w:id="6"/>
            <w:bookmarkEnd w:id="7"/>
          </w:p>
        </w:tc>
        <w:tc>
          <w:tcPr>
            <w:tcW w:w="4072" w:type="pct"/>
            <w:tcMar>
              <w:top w:w="57" w:type="dxa"/>
              <w:left w:w="57" w:type="dxa"/>
              <w:bottom w:w="57" w:type="dxa"/>
              <w:right w:w="57" w:type="dxa"/>
            </w:tcMar>
            <w:vAlign w:val="center"/>
          </w:tcPr>
          <w:p w14:paraId="67FDC8C4"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color w:val="auto"/>
                <w:kern w:val="0"/>
                <w:sz w:val="20"/>
                <w:szCs w:val="20"/>
              </w:rPr>
              <w:t>Apparent volume of distribution</w:t>
            </w:r>
          </w:p>
        </w:tc>
      </w:tr>
      <w:tr w:rsidR="0005712D" w:rsidRPr="00101741" w14:paraId="402BB808" w14:textId="77777777" w:rsidTr="002F35A2">
        <w:trPr>
          <w:trHeight w:val="20"/>
        </w:trPr>
        <w:tc>
          <w:tcPr>
            <w:tcW w:w="928" w:type="pct"/>
            <w:tcMar>
              <w:top w:w="57" w:type="dxa"/>
              <w:left w:w="57" w:type="dxa"/>
              <w:bottom w:w="57" w:type="dxa"/>
              <w:right w:w="57" w:type="dxa"/>
            </w:tcMar>
            <w:vAlign w:val="center"/>
          </w:tcPr>
          <w:p w14:paraId="6C6F86C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kern w:val="0"/>
                <w:sz w:val="20"/>
                <w:szCs w:val="20"/>
              </w:rPr>
            </w:pPr>
            <w:r w:rsidRPr="00101741">
              <w:rPr>
                <w:rFonts w:cs="Times New Roman"/>
                <w:kern w:val="0"/>
                <w:sz w:val="20"/>
                <w:szCs w:val="20"/>
              </w:rPr>
              <w:t>WHODrug</w:t>
            </w:r>
          </w:p>
        </w:tc>
        <w:tc>
          <w:tcPr>
            <w:tcW w:w="4072" w:type="pct"/>
            <w:tcMar>
              <w:top w:w="57" w:type="dxa"/>
              <w:left w:w="57" w:type="dxa"/>
              <w:bottom w:w="57" w:type="dxa"/>
              <w:right w:w="57" w:type="dxa"/>
            </w:tcMar>
            <w:vAlign w:val="center"/>
          </w:tcPr>
          <w:p w14:paraId="0D9249F3"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World Health Organization Drug Dictionary</w:t>
            </w:r>
          </w:p>
        </w:tc>
      </w:tr>
      <w:tr w:rsidR="0005712D" w:rsidRPr="00101741" w14:paraId="42E7971C" w14:textId="77777777" w:rsidTr="002F35A2">
        <w:trPr>
          <w:trHeight w:val="20"/>
        </w:trPr>
        <w:tc>
          <w:tcPr>
            <w:tcW w:w="928" w:type="pct"/>
            <w:tcMar>
              <w:top w:w="57" w:type="dxa"/>
              <w:left w:w="57" w:type="dxa"/>
              <w:bottom w:w="57" w:type="dxa"/>
              <w:right w:w="57" w:type="dxa"/>
            </w:tcMar>
            <w:vAlign w:val="center"/>
          </w:tcPr>
          <w:p w14:paraId="07EA2AF6"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kern w:val="0"/>
                <w:sz w:val="20"/>
                <w:szCs w:val="20"/>
              </w:rPr>
            </w:pPr>
            <w:r w:rsidRPr="00101741">
              <w:rPr>
                <w:rFonts w:cs="Times New Roman"/>
                <w:kern w:val="0"/>
                <w:sz w:val="20"/>
                <w:szCs w:val="20"/>
              </w:rPr>
              <w:t>λ</w:t>
            </w:r>
            <w:r w:rsidRPr="00101741">
              <w:rPr>
                <w:rFonts w:cs="Times New Roman"/>
                <w:kern w:val="0"/>
                <w:sz w:val="20"/>
                <w:szCs w:val="20"/>
                <w:vertAlign w:val="subscript"/>
              </w:rPr>
              <w:t>z</w:t>
            </w:r>
          </w:p>
        </w:tc>
        <w:tc>
          <w:tcPr>
            <w:tcW w:w="4072" w:type="pct"/>
            <w:tcMar>
              <w:top w:w="57" w:type="dxa"/>
              <w:left w:w="57" w:type="dxa"/>
              <w:bottom w:w="57" w:type="dxa"/>
              <w:right w:w="57" w:type="dxa"/>
            </w:tcMar>
            <w:vAlign w:val="center"/>
          </w:tcPr>
          <w:p w14:paraId="3D7EC20F" w14:textId="77777777" w:rsidR="0005712D" w:rsidRPr="00101741" w:rsidRDefault="00CF2A39" w:rsidP="00101741">
            <w:pPr>
              <w:pStyle w:val="Aff3"/>
              <w:widowControl/>
              <w:overflowPunct w:val="0"/>
              <w:autoSpaceDE w:val="0"/>
              <w:autoSpaceDN w:val="0"/>
              <w:adjustRightInd w:val="0"/>
              <w:snapToGrid w:val="0"/>
              <w:spacing w:line="240" w:lineRule="auto"/>
              <w:ind w:firstLineChars="0" w:firstLine="0"/>
              <w:jc w:val="center"/>
              <w:rPr>
                <w:rFonts w:cs="Times New Roman"/>
                <w:color w:val="auto"/>
                <w:kern w:val="0"/>
                <w:sz w:val="20"/>
                <w:szCs w:val="20"/>
              </w:rPr>
            </w:pPr>
            <w:r w:rsidRPr="00101741">
              <w:rPr>
                <w:rFonts w:cs="Times New Roman"/>
                <w:kern w:val="0"/>
                <w:sz w:val="20"/>
                <w:szCs w:val="20"/>
              </w:rPr>
              <w:t>Elimination rate constant</w:t>
            </w:r>
          </w:p>
        </w:tc>
      </w:tr>
    </w:tbl>
    <w:p w14:paraId="3623C6A8" w14:textId="77777777" w:rsidR="0005712D" w:rsidRPr="00F72DDB"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pPr>
    </w:p>
    <w:p w14:paraId="18BE2A55" w14:textId="77777777" w:rsidR="0005712D" w:rsidRPr="00F72DDB" w:rsidRDefault="0005712D" w:rsidP="00306959">
      <w:pPr>
        <w:overflowPunct w:val="0"/>
        <w:autoSpaceDE w:val="0"/>
        <w:autoSpaceDN w:val="0"/>
        <w:adjustRightInd w:val="0"/>
        <w:snapToGrid w:val="0"/>
        <w:spacing w:beforeLines="50" w:before="120" w:afterLines="50" w:after="120" w:line="300" w:lineRule="auto"/>
        <w:jc w:val="left"/>
        <w:rPr>
          <w:rFonts w:cs="Times New Roman"/>
          <w:color w:val="000000" w:themeColor="text1"/>
          <w:sz w:val="24"/>
        </w:rPr>
        <w:sectPr w:rsidR="0005712D" w:rsidRPr="00F72DDB" w:rsidSect="00F72DDB">
          <w:pgSz w:w="12242" w:h="15842" w:code="119"/>
          <w:pgMar w:top="1440" w:right="1440" w:bottom="1440" w:left="1440" w:header="720" w:footer="720" w:gutter="0"/>
          <w:cols w:space="425"/>
          <w:docGrid w:linePitch="312"/>
        </w:sectPr>
      </w:pPr>
    </w:p>
    <w:p w14:paraId="4975715C"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8"/>
          <w:szCs w:val="28"/>
        </w:rPr>
      </w:pPr>
      <w:bookmarkStart w:id="8" w:name="_Toc216186532"/>
      <w:r w:rsidRPr="004F1FD9">
        <w:rPr>
          <w:rFonts w:ascii="Times New Roman" w:hAnsi="Times New Roman" w:cs="Times New Roman"/>
          <w:color w:val="000000" w:themeColor="text1"/>
          <w:sz w:val="28"/>
          <w:szCs w:val="28"/>
        </w:rPr>
        <w:lastRenderedPageBreak/>
        <w:t>INTRODUCTION</w:t>
      </w:r>
      <w:bookmarkEnd w:id="8"/>
    </w:p>
    <w:p w14:paraId="1AEAE4D2"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9" w:name="_Toc216186533"/>
      <w:r w:rsidRPr="00F72DDB">
        <w:rPr>
          <w:rFonts w:ascii="Times New Roman" w:hAnsi="Times New Roman" w:cs="Times New Roman"/>
          <w:color w:val="000000" w:themeColor="text1"/>
          <w:sz w:val="24"/>
          <w:szCs w:val="24"/>
        </w:rPr>
        <w:t>Objective</w:t>
      </w:r>
      <w:bookmarkEnd w:id="9"/>
    </w:p>
    <w:p w14:paraId="5903FEB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This is a detailed statistical analysis plan based on the study protocol (Protocol No.: RAY1225-23-03, protocol version/date: V1.1/Jan. 26, 2024), "A Multicenter, Randomized, Double-blind, Placebo-controlled Phase II Clinical Study Evaluating the Safety, Tolerability, and Efficacy of RAY1225 Injection in Patients with Type 2 Diabetes Mellitus", and the electronic case report form (eCRF) (eCRF version/date: V2.0/Mar. 28, 2024).</w:t>
      </w:r>
    </w:p>
    <w:p w14:paraId="094FE3D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 xml:space="preserve">This statistical analysis plan (SAP) describes the analysis rules for efficacy and safety as specified in the protocol, and provides a detailed description of the data and variables to be summarized and analyzed, as well as the statistical methods to be used, to ensure that the statistical methods used for the generation of tables, figures, and listings are complete and appropriate. </w:t>
      </w:r>
      <w:r w:rsidRPr="00F72DDB">
        <w:rPr>
          <w:rFonts w:cs="Times New Roman"/>
          <w:sz w:val="24"/>
        </w:rPr>
        <w:t>The statistical analyses and summaries described in the SAP shall adhere to the Statistical Principles for Clinical Trials of International Conference of Harmonization (ICH-E9), and the structure and framework of tables, figures, and listings shall adhere to the Structure and Content of Clinical Study Reports of the ICH (ICH-E3).</w:t>
      </w:r>
    </w:p>
    <w:p w14:paraId="40591F8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This SAP will be signed and finalized prior to the database lock and will be submitted to the National Medical Products Administration (NMPA) or other regulatory authorities as part of the registration dossier. Any described or unscheduled analyses that are not specified in this SAP but are included in the Clinical Study Report (CSR) will be specified in the CSR.</w:t>
      </w:r>
    </w:p>
    <w:p w14:paraId="4C17904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The templates for tables, figures, and listings (TFL shells) will be provided as an appendix to this SAP in a separate document. Minor adjustments to the presentation format of tables, figures, and listings may be made at the time of analysis.</w:t>
      </w:r>
    </w:p>
    <w:p w14:paraId="361B9D0B"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10" w:name="_Toc216186534"/>
      <w:r w:rsidRPr="00F72DDB">
        <w:rPr>
          <w:rFonts w:ascii="Times New Roman" w:hAnsi="Times New Roman" w:cs="Times New Roman"/>
          <w:color w:val="000000" w:themeColor="text1"/>
          <w:sz w:val="24"/>
          <w:szCs w:val="24"/>
        </w:rPr>
        <w:t>Responsibilities</w:t>
      </w:r>
      <w:bookmarkEnd w:id="10"/>
    </w:p>
    <w:p w14:paraId="2D31987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Beijing ClinFunction Co., Ltd. will perform all statistical analyses specified in this SAP and will be responsible for the generation and quality control of all tables, figures, and listings.</w:t>
      </w:r>
    </w:p>
    <w:p w14:paraId="059EE77A"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11" w:name="_Toc216186535"/>
      <w:r w:rsidRPr="004F1FD9">
        <w:rPr>
          <w:rFonts w:ascii="Times New Roman" w:hAnsi="Times New Roman" w:cs="Times New Roman"/>
          <w:sz w:val="28"/>
          <w:szCs w:val="28"/>
        </w:rPr>
        <w:t>STUDY OVERVIEW</w:t>
      </w:r>
      <w:bookmarkEnd w:id="11"/>
    </w:p>
    <w:p w14:paraId="7B78BF7A"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12" w:name="_Toc216186536"/>
      <w:r w:rsidRPr="00F72DDB">
        <w:rPr>
          <w:rFonts w:ascii="Times New Roman" w:hAnsi="Times New Roman" w:cs="Times New Roman"/>
          <w:sz w:val="24"/>
          <w:szCs w:val="24"/>
        </w:rPr>
        <w:t>Study Objectives and Endpoints</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8"/>
        <w:gridCol w:w="4738"/>
      </w:tblGrid>
      <w:tr w:rsidR="0005712D" w:rsidRPr="00101741" w14:paraId="2D1D1AC4" w14:textId="77777777" w:rsidTr="002F35A2">
        <w:tc>
          <w:tcPr>
            <w:tcW w:w="2500" w:type="pct"/>
            <w:tcMar>
              <w:top w:w="57" w:type="dxa"/>
              <w:left w:w="57" w:type="dxa"/>
              <w:bottom w:w="57" w:type="dxa"/>
              <w:right w:w="57" w:type="dxa"/>
            </w:tcMar>
          </w:tcPr>
          <w:p w14:paraId="555DBA25" w14:textId="77777777" w:rsidR="0005712D" w:rsidRPr="00101741" w:rsidRDefault="00CF2A39" w:rsidP="00101741">
            <w:pPr>
              <w:overflowPunct w:val="0"/>
              <w:autoSpaceDE w:val="0"/>
              <w:autoSpaceDN w:val="0"/>
              <w:adjustRightInd w:val="0"/>
              <w:snapToGrid w:val="0"/>
              <w:spacing w:before="0" w:after="0" w:line="240" w:lineRule="auto"/>
              <w:ind w:firstLine="482"/>
              <w:jc w:val="center"/>
              <w:rPr>
                <w:rFonts w:cs="Times New Roman"/>
                <w:b/>
                <w:bCs/>
                <w:sz w:val="20"/>
                <w:szCs w:val="20"/>
              </w:rPr>
            </w:pPr>
            <w:r w:rsidRPr="00101741">
              <w:rPr>
                <w:rFonts w:cs="Times New Roman"/>
                <w:b/>
                <w:bCs/>
                <w:sz w:val="20"/>
                <w:szCs w:val="20"/>
              </w:rPr>
              <w:t>Study objectives</w:t>
            </w:r>
          </w:p>
        </w:tc>
        <w:tc>
          <w:tcPr>
            <w:tcW w:w="2500" w:type="pct"/>
            <w:tcMar>
              <w:top w:w="57" w:type="dxa"/>
              <w:left w:w="57" w:type="dxa"/>
              <w:bottom w:w="57" w:type="dxa"/>
              <w:right w:w="57" w:type="dxa"/>
            </w:tcMar>
          </w:tcPr>
          <w:p w14:paraId="07BB078B" w14:textId="77777777" w:rsidR="0005712D" w:rsidRPr="00101741" w:rsidRDefault="00CF2A39" w:rsidP="00101741">
            <w:pPr>
              <w:overflowPunct w:val="0"/>
              <w:autoSpaceDE w:val="0"/>
              <w:autoSpaceDN w:val="0"/>
              <w:adjustRightInd w:val="0"/>
              <w:snapToGrid w:val="0"/>
              <w:spacing w:before="0" w:after="0" w:line="240" w:lineRule="auto"/>
              <w:ind w:firstLine="482"/>
              <w:jc w:val="center"/>
              <w:rPr>
                <w:rFonts w:cs="Times New Roman"/>
                <w:b/>
                <w:bCs/>
                <w:sz w:val="20"/>
                <w:szCs w:val="20"/>
              </w:rPr>
            </w:pPr>
            <w:r w:rsidRPr="00101741">
              <w:rPr>
                <w:rFonts w:cs="Times New Roman"/>
                <w:b/>
                <w:bCs/>
                <w:sz w:val="20"/>
                <w:szCs w:val="20"/>
              </w:rPr>
              <w:t>Study endpoints</w:t>
            </w:r>
          </w:p>
        </w:tc>
      </w:tr>
      <w:tr w:rsidR="0005712D" w:rsidRPr="00101741" w14:paraId="14CCB78E" w14:textId="77777777" w:rsidTr="002F35A2">
        <w:tc>
          <w:tcPr>
            <w:tcW w:w="2500" w:type="pct"/>
            <w:shd w:val="clear" w:color="auto" w:fill="D9D9D9"/>
            <w:tcMar>
              <w:top w:w="57" w:type="dxa"/>
              <w:left w:w="57" w:type="dxa"/>
              <w:bottom w:w="57" w:type="dxa"/>
              <w:right w:w="57" w:type="dxa"/>
            </w:tcMar>
          </w:tcPr>
          <w:p w14:paraId="50989EAE"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t>Primary objectives</w:t>
            </w:r>
          </w:p>
        </w:tc>
        <w:tc>
          <w:tcPr>
            <w:tcW w:w="2500" w:type="pct"/>
            <w:shd w:val="clear" w:color="auto" w:fill="D9D9D9"/>
            <w:tcMar>
              <w:top w:w="57" w:type="dxa"/>
              <w:left w:w="57" w:type="dxa"/>
              <w:bottom w:w="57" w:type="dxa"/>
              <w:right w:w="57" w:type="dxa"/>
            </w:tcMar>
          </w:tcPr>
          <w:p w14:paraId="0A0C4C03"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t>Primary endpoints</w:t>
            </w:r>
          </w:p>
        </w:tc>
      </w:tr>
      <w:tr w:rsidR="0005712D" w:rsidRPr="00101741" w14:paraId="09C7D9DF" w14:textId="77777777" w:rsidTr="002F35A2">
        <w:tc>
          <w:tcPr>
            <w:tcW w:w="2500" w:type="pct"/>
            <w:tcMar>
              <w:top w:w="57" w:type="dxa"/>
              <w:left w:w="57" w:type="dxa"/>
              <w:bottom w:w="57" w:type="dxa"/>
              <w:right w:w="57" w:type="dxa"/>
            </w:tcMar>
          </w:tcPr>
          <w:p w14:paraId="0CAA795D" w14:textId="77777777" w:rsidR="0005712D" w:rsidRPr="00101741" w:rsidRDefault="00CF2A39" w:rsidP="00306959">
            <w:pPr>
              <w:pStyle w:val="Aff3"/>
              <w:numPr>
                <w:ilvl w:val="0"/>
                <w:numId w:val="10"/>
              </w:numPr>
              <w:overflowPunct w:val="0"/>
              <w:autoSpaceDE w:val="0"/>
              <w:autoSpaceDN w:val="0"/>
              <w:adjustRightInd w:val="0"/>
              <w:snapToGrid w:val="0"/>
              <w:spacing w:line="240" w:lineRule="auto"/>
              <w:ind w:firstLineChars="0"/>
              <w:jc w:val="left"/>
              <w:rPr>
                <w:rFonts w:cs="Times New Roman"/>
                <w:color w:val="auto"/>
                <w:sz w:val="20"/>
                <w:szCs w:val="20"/>
              </w:rPr>
            </w:pPr>
            <w:r w:rsidRPr="00101741">
              <w:rPr>
                <w:rFonts w:cs="Times New Roman"/>
                <w:color w:val="auto"/>
                <w:sz w:val="20"/>
                <w:szCs w:val="20"/>
              </w:rPr>
              <w:t>To evaluate the tolerability of RAY1225 injection in patients with type 2 diabetes mellitus;</w:t>
            </w:r>
          </w:p>
          <w:p w14:paraId="02FE8FCC"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To evaluate the efficacy of RAY1225 injection in patients with type 2 diabetes mellitus by analyzing the changes in glycosylated hemoglobin.</w:t>
            </w:r>
          </w:p>
        </w:tc>
        <w:tc>
          <w:tcPr>
            <w:tcW w:w="2500" w:type="pct"/>
            <w:tcMar>
              <w:top w:w="57" w:type="dxa"/>
              <w:left w:w="57" w:type="dxa"/>
              <w:bottom w:w="57" w:type="dxa"/>
              <w:right w:w="57" w:type="dxa"/>
            </w:tcMar>
          </w:tcPr>
          <w:p w14:paraId="7ADF429F" w14:textId="77777777" w:rsidR="0005712D" w:rsidRPr="00101741" w:rsidRDefault="00CF2A39" w:rsidP="00306959">
            <w:pPr>
              <w:pStyle w:val="Aff3"/>
              <w:numPr>
                <w:ilvl w:val="0"/>
                <w:numId w:val="10"/>
              </w:numPr>
              <w:overflowPunct w:val="0"/>
              <w:autoSpaceDE w:val="0"/>
              <w:autoSpaceDN w:val="0"/>
              <w:adjustRightInd w:val="0"/>
              <w:snapToGrid w:val="0"/>
              <w:spacing w:line="240" w:lineRule="auto"/>
              <w:ind w:firstLineChars="0"/>
              <w:jc w:val="left"/>
              <w:rPr>
                <w:rFonts w:cs="Times New Roman"/>
                <w:color w:val="auto"/>
                <w:sz w:val="20"/>
                <w:szCs w:val="20"/>
              </w:rPr>
            </w:pPr>
            <w:r w:rsidRPr="00101741">
              <w:rPr>
                <w:rFonts w:cs="Times New Roman"/>
                <w:color w:val="auto"/>
                <w:sz w:val="20"/>
                <w:szCs w:val="20"/>
              </w:rPr>
              <w:t>Treatment-emergent adverse events;</w:t>
            </w:r>
          </w:p>
          <w:p w14:paraId="7AA43D12" w14:textId="6CD7AB8A" w:rsidR="0005712D" w:rsidRPr="002F35A2" w:rsidRDefault="00CF2A39" w:rsidP="00306959">
            <w:pPr>
              <w:pStyle w:val="Aff3"/>
              <w:numPr>
                <w:ilvl w:val="0"/>
                <w:numId w:val="10"/>
              </w:numPr>
              <w:overflowPunct w:val="0"/>
              <w:autoSpaceDE w:val="0"/>
              <w:autoSpaceDN w:val="0"/>
              <w:adjustRightInd w:val="0"/>
              <w:snapToGrid w:val="0"/>
              <w:spacing w:line="240" w:lineRule="auto"/>
              <w:ind w:firstLineChars="0"/>
              <w:jc w:val="left"/>
              <w:rPr>
                <w:rFonts w:cs="Times New Roman"/>
                <w:color w:val="auto"/>
                <w:sz w:val="20"/>
                <w:szCs w:val="20"/>
              </w:rPr>
            </w:pPr>
            <w:r w:rsidRPr="00101741">
              <w:rPr>
                <w:rFonts w:cs="Times New Roman"/>
                <w:color w:val="auto"/>
                <w:sz w:val="20"/>
                <w:szCs w:val="20"/>
              </w:rPr>
              <w:t>Change from baseline in glycosylated hemoglobin (HbA1c)</w:t>
            </w:r>
            <w:r w:rsidR="00530623" w:rsidRPr="00101741">
              <w:rPr>
                <w:rFonts w:cs="Times New Roman" w:hint="eastAsia"/>
                <w:color w:val="auto"/>
                <w:sz w:val="20"/>
                <w:szCs w:val="20"/>
              </w:rPr>
              <w:t>.</w:t>
            </w:r>
          </w:p>
        </w:tc>
      </w:tr>
      <w:tr w:rsidR="0005712D" w:rsidRPr="00101741" w14:paraId="3A73F506" w14:textId="77777777" w:rsidTr="002F35A2">
        <w:tc>
          <w:tcPr>
            <w:tcW w:w="2500" w:type="pct"/>
            <w:shd w:val="clear" w:color="auto" w:fill="D9D9D9"/>
            <w:tcMar>
              <w:top w:w="57" w:type="dxa"/>
              <w:left w:w="57" w:type="dxa"/>
              <w:bottom w:w="57" w:type="dxa"/>
              <w:right w:w="57" w:type="dxa"/>
            </w:tcMar>
          </w:tcPr>
          <w:p w14:paraId="52FDFD14"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lastRenderedPageBreak/>
              <w:t>Secondary objectives</w:t>
            </w:r>
          </w:p>
        </w:tc>
        <w:tc>
          <w:tcPr>
            <w:tcW w:w="2500" w:type="pct"/>
            <w:shd w:val="clear" w:color="auto" w:fill="D9D9D9"/>
            <w:tcMar>
              <w:top w:w="57" w:type="dxa"/>
              <w:left w:w="57" w:type="dxa"/>
              <w:bottom w:w="57" w:type="dxa"/>
              <w:right w:w="57" w:type="dxa"/>
            </w:tcMar>
          </w:tcPr>
          <w:p w14:paraId="74E2C386"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t>Secondary endpoints</w:t>
            </w:r>
          </w:p>
        </w:tc>
      </w:tr>
      <w:tr w:rsidR="0005712D" w:rsidRPr="00101741" w14:paraId="6123B8D5" w14:textId="77777777" w:rsidTr="002F35A2">
        <w:tc>
          <w:tcPr>
            <w:tcW w:w="2500" w:type="pct"/>
            <w:tcMar>
              <w:top w:w="57" w:type="dxa"/>
              <w:left w:w="57" w:type="dxa"/>
              <w:bottom w:w="57" w:type="dxa"/>
              <w:right w:w="57" w:type="dxa"/>
            </w:tcMar>
          </w:tcPr>
          <w:p w14:paraId="0D8BBF13" w14:textId="77777777" w:rsidR="0005712D" w:rsidRPr="00101741" w:rsidRDefault="00CF2A39" w:rsidP="00306959">
            <w:pPr>
              <w:pStyle w:val="Aff3"/>
              <w:numPr>
                <w:ilvl w:val="0"/>
                <w:numId w:val="10"/>
              </w:numPr>
              <w:overflowPunct w:val="0"/>
              <w:autoSpaceDE w:val="0"/>
              <w:autoSpaceDN w:val="0"/>
              <w:adjustRightInd w:val="0"/>
              <w:snapToGrid w:val="0"/>
              <w:spacing w:line="240" w:lineRule="auto"/>
              <w:ind w:firstLineChars="0"/>
              <w:jc w:val="left"/>
              <w:rPr>
                <w:rFonts w:cs="Times New Roman"/>
                <w:color w:val="auto"/>
                <w:sz w:val="20"/>
                <w:szCs w:val="20"/>
              </w:rPr>
            </w:pPr>
            <w:r w:rsidRPr="00101741">
              <w:rPr>
                <w:rFonts w:cs="Times New Roman"/>
                <w:color w:val="auto"/>
                <w:sz w:val="20"/>
                <w:szCs w:val="20"/>
              </w:rPr>
              <w:t>To evaluate the efficacy of RAY1225 injection in patients with type 2 diabetes mellitus by analyzing the changes in other efficacy endpoints;</w:t>
            </w:r>
          </w:p>
          <w:p w14:paraId="452DF1DA" w14:textId="77777777" w:rsidR="0005712D" w:rsidRPr="00101741" w:rsidRDefault="00CF2A39" w:rsidP="00306959">
            <w:pPr>
              <w:pStyle w:val="Aff3"/>
              <w:numPr>
                <w:ilvl w:val="0"/>
                <w:numId w:val="10"/>
              </w:numPr>
              <w:overflowPunct w:val="0"/>
              <w:autoSpaceDE w:val="0"/>
              <w:autoSpaceDN w:val="0"/>
              <w:adjustRightInd w:val="0"/>
              <w:snapToGrid w:val="0"/>
              <w:spacing w:line="240" w:lineRule="auto"/>
              <w:ind w:firstLineChars="0"/>
              <w:jc w:val="left"/>
              <w:rPr>
                <w:rFonts w:cs="Times New Roman"/>
                <w:color w:val="auto"/>
                <w:sz w:val="20"/>
                <w:szCs w:val="20"/>
              </w:rPr>
            </w:pPr>
            <w:r w:rsidRPr="00101741">
              <w:rPr>
                <w:rFonts w:cs="Times New Roman"/>
                <w:color w:val="auto"/>
                <w:sz w:val="20"/>
                <w:szCs w:val="20"/>
              </w:rPr>
              <w:t>To evaluate the safety of RAY1225 injection in patients with type 2 diabetes mellitus;</w:t>
            </w:r>
          </w:p>
          <w:p w14:paraId="0EA409A5" w14:textId="77777777" w:rsidR="0005712D" w:rsidRPr="00101741" w:rsidRDefault="00CF2A39" w:rsidP="00306959">
            <w:pPr>
              <w:pStyle w:val="Aff3"/>
              <w:numPr>
                <w:ilvl w:val="0"/>
                <w:numId w:val="10"/>
              </w:numPr>
              <w:overflowPunct w:val="0"/>
              <w:autoSpaceDE w:val="0"/>
              <w:autoSpaceDN w:val="0"/>
              <w:adjustRightInd w:val="0"/>
              <w:snapToGrid w:val="0"/>
              <w:spacing w:line="240" w:lineRule="auto"/>
              <w:ind w:firstLineChars="0"/>
              <w:jc w:val="left"/>
              <w:rPr>
                <w:rFonts w:cs="Times New Roman"/>
                <w:color w:val="auto"/>
                <w:sz w:val="20"/>
                <w:szCs w:val="20"/>
              </w:rPr>
            </w:pPr>
            <w:r w:rsidRPr="00101741">
              <w:rPr>
                <w:rFonts w:cs="Times New Roman"/>
                <w:color w:val="auto"/>
                <w:sz w:val="20"/>
                <w:szCs w:val="20"/>
              </w:rPr>
              <w:t>To evaluate the pharmacokinetic profile of RAY1225 injection in patients with type 2 diabetes mellitus.</w:t>
            </w:r>
          </w:p>
        </w:tc>
        <w:tc>
          <w:tcPr>
            <w:tcW w:w="2500" w:type="pct"/>
            <w:tcMar>
              <w:top w:w="57" w:type="dxa"/>
              <w:left w:w="57" w:type="dxa"/>
              <w:bottom w:w="57" w:type="dxa"/>
              <w:right w:w="57" w:type="dxa"/>
            </w:tcMar>
          </w:tcPr>
          <w:p w14:paraId="4612C36D"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t>Other efficacy endpoints</w:t>
            </w:r>
            <w:r w:rsidRPr="00101741">
              <w:rPr>
                <w:rFonts w:cs="Times New Roman" w:hint="eastAsia"/>
                <w:b/>
                <w:bCs/>
                <w:sz w:val="20"/>
                <w:szCs w:val="20"/>
              </w:rPr>
              <w:t>:</w:t>
            </w:r>
          </w:p>
          <w:p w14:paraId="58E0072F" w14:textId="430B7028"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 xml:space="preserve">Percentages of subjects with HbA1c &lt; 7%, HbA1c ≤ 6.5%, and HbA1c </w:t>
            </w:r>
            <w:r w:rsidR="00530623" w:rsidRPr="00101741">
              <w:rPr>
                <w:rFonts w:cs="Times New Roman"/>
                <w:sz w:val="20"/>
                <w:szCs w:val="20"/>
              </w:rPr>
              <w:t>≤</w:t>
            </w:r>
            <w:r w:rsidRPr="00101741">
              <w:rPr>
                <w:rFonts w:cs="Times New Roman"/>
                <w:sz w:val="20"/>
                <w:szCs w:val="20"/>
              </w:rPr>
              <w:t xml:space="preserve"> 5.7%;</w:t>
            </w:r>
          </w:p>
          <w:p w14:paraId="25808711"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Change from baseline in fasting plasma glucose;</w:t>
            </w:r>
          </w:p>
          <w:p w14:paraId="4ECA6DB8"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Changes from baseline in lipids;</w:t>
            </w:r>
          </w:p>
          <w:p w14:paraId="46DFFDD1"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Change from baseline in body weight, waist circumference, waist-to-hip ratio, and BMI;</w:t>
            </w:r>
          </w:p>
          <w:p w14:paraId="1A1909D4"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Change from baseline in blood pressure (diastolic versus systolic).</w:t>
            </w:r>
          </w:p>
          <w:p w14:paraId="4D9AC7C2" w14:textId="77777777" w:rsidR="0005712D" w:rsidRPr="00101741" w:rsidRDefault="00CF2A39" w:rsidP="00306959">
            <w:pPr>
              <w:pStyle w:val="a9"/>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t>Safety endpoints:</w:t>
            </w:r>
          </w:p>
          <w:p w14:paraId="45EE2ABA"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Treatment-emergent adverse events, vital signs, physical examinations, laboratory tests, 12-lead ECG, etc.;</w:t>
            </w:r>
          </w:p>
          <w:p w14:paraId="5CEA05D3"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Incidence of anti-drug antibody (ADA) and neutralizing antibody (Nab).</w:t>
            </w:r>
          </w:p>
          <w:p w14:paraId="18EE4AD8" w14:textId="77777777" w:rsidR="0005712D" w:rsidRPr="00101741" w:rsidRDefault="00CF2A39" w:rsidP="00306959">
            <w:pPr>
              <w:pStyle w:val="a9"/>
              <w:overflowPunct w:val="0"/>
              <w:autoSpaceDE w:val="0"/>
              <w:autoSpaceDN w:val="0"/>
              <w:adjustRightInd w:val="0"/>
              <w:snapToGrid w:val="0"/>
              <w:spacing w:before="0" w:after="0" w:line="240" w:lineRule="auto"/>
              <w:jc w:val="left"/>
              <w:rPr>
                <w:rFonts w:cs="Times New Roman"/>
                <w:b/>
                <w:bCs/>
                <w:sz w:val="20"/>
                <w:szCs w:val="20"/>
              </w:rPr>
            </w:pPr>
            <w:r w:rsidRPr="00101741">
              <w:rPr>
                <w:rFonts w:cs="Times New Roman"/>
                <w:b/>
                <w:bCs/>
                <w:sz w:val="20"/>
                <w:szCs w:val="20"/>
              </w:rPr>
              <w:t>PK endpoints:</w:t>
            </w:r>
          </w:p>
          <w:p w14:paraId="08B9F61F" w14:textId="77777777" w:rsidR="0005712D" w:rsidRPr="00101741" w:rsidRDefault="00CF2A39" w:rsidP="00306959">
            <w:pPr>
              <w:numPr>
                <w:ilvl w:val="0"/>
                <w:numId w:val="10"/>
              </w:num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PK parameters.</w:t>
            </w:r>
          </w:p>
        </w:tc>
      </w:tr>
    </w:tbl>
    <w:p w14:paraId="4E828E90"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13" w:name="_Toc216186537"/>
      <w:r w:rsidRPr="00F72DDB">
        <w:rPr>
          <w:rFonts w:ascii="Times New Roman" w:hAnsi="Times New Roman" w:cs="Times New Roman"/>
          <w:color w:val="000000" w:themeColor="text1"/>
          <w:sz w:val="24"/>
          <w:szCs w:val="24"/>
        </w:rPr>
        <w:t>Study Design</w:t>
      </w:r>
      <w:bookmarkEnd w:id="13"/>
    </w:p>
    <w:p w14:paraId="5C154D42"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bookmarkStart w:id="14" w:name="_Hlk155187238"/>
      <w:bookmarkEnd w:id="14"/>
      <w:r w:rsidRPr="00F72DDB">
        <w:rPr>
          <w:rFonts w:cs="Times New Roman"/>
          <w:sz w:val="24"/>
        </w:rPr>
        <w:t xml:space="preserve">This is a multi-center, randomized, double-blind, placebo-controlled phase II clinical study, mainly consisting of two parts, i.e., Part A (parallel study) and Part B (dose escalation and expansion study). </w:t>
      </w:r>
      <w:r w:rsidRPr="00F72DDB">
        <w:rPr>
          <w:rFonts w:cs="Times New Roman"/>
          <w:color w:val="000000" w:themeColor="text1"/>
          <w:sz w:val="24"/>
        </w:rPr>
        <w:t>The study aims to evaluate the safety, tolerability, efficacy, and PK profile of RAY1225 injection following subcutaneous administration in patients with type 2 diabetes mellitus. Each subject will participate in only one part of the study.</w:t>
      </w:r>
    </w:p>
    <w:p w14:paraId="6AE011F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This study includes a screening period of 2 weeks, a treatment period of 24 weeks, and a follow-up period of 4 or 6 weeks after the last dose. Subjects will receive guidance on a healthy lifestyle from the screening period until the end of study. All subjects will receive a 24-week treatment by titration dosing, with subcutaneous injection once every two weeks for a total of 12 consecutive doses, with a dose volume of 0.5 mL per dose.</w:t>
      </w:r>
    </w:p>
    <w:p w14:paraId="254EA750"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color w:val="000000" w:themeColor="text1"/>
          <w:sz w:val="24"/>
        </w:rPr>
      </w:pPr>
      <w:r w:rsidRPr="00F72DDB">
        <w:rPr>
          <w:rFonts w:cs="Times New Roman"/>
          <w:b/>
          <w:bCs/>
          <w:color w:val="000000" w:themeColor="text1"/>
          <w:sz w:val="24"/>
        </w:rPr>
        <w:t>Part A: Parallel study</w:t>
      </w:r>
    </w:p>
    <w:p w14:paraId="257DCA66"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bookmarkStart w:id="15" w:name="_Hlk155099454"/>
      <w:bookmarkEnd w:id="15"/>
      <w:r w:rsidRPr="00F72DDB">
        <w:rPr>
          <w:rFonts w:cs="Times New Roman"/>
          <w:sz w:val="24"/>
        </w:rPr>
        <w:t>Eligible subjects will be stratified and randomized by diabetes mellitus treatment status (treatment-naive or treatment-experienced), and assigned to 2 RAY1225 target dose groups (3 mg and 6 mg) or the placebo group in a 1:1:1 ratio, with 40 subjects in each group.</w:t>
      </w:r>
    </w:p>
    <w:p w14:paraId="2A97AD1E"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color w:val="000000" w:themeColor="text1"/>
          <w:sz w:val="24"/>
        </w:rPr>
      </w:pPr>
      <w:r w:rsidRPr="00F72DDB">
        <w:rPr>
          <w:rFonts w:cs="Times New Roman"/>
          <w:b/>
          <w:bCs/>
          <w:color w:val="000000" w:themeColor="text1"/>
          <w:sz w:val="24"/>
        </w:rPr>
        <w:t>Part B: Dose escalation study</w:t>
      </w:r>
    </w:p>
    <w:p w14:paraId="2D3CD4FB"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 xml:space="preserve">For this part of the study, up to 3 dose groups will be set, with the maximum drug dose not exceeding 20 mg. Eligible subjects will be randomized in a 4:1 ratio to the RAY1225 injection group or the placebo group. A total of 10 subjects will be included in each dose group, with 8 subjects receiving investigational drug and 2 subjects receiving placebo. The next planned target dose for escalation is 9 mg, which may be initiated concurrently with Part A. Tolerability evaluation will be performed 14 days after the first administration of the target dose for each </w:t>
      </w:r>
      <w:r w:rsidRPr="00F72DDB">
        <w:rPr>
          <w:rFonts w:cs="Times New Roman"/>
          <w:color w:val="000000" w:themeColor="text1"/>
          <w:sz w:val="24"/>
        </w:rPr>
        <w:lastRenderedPageBreak/>
        <w:t>group, and the dose, if tolerated, will be escalated to the next higher target dose. The investigator and the sponsor will determine the target dose and titration regimen for subsequent dose groups based on the available PK and tolerability results.</w:t>
      </w:r>
    </w:p>
    <w:p w14:paraId="46237350"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 xml:space="preserve">The effect of gastric emptying will be investigated in dose escalation group 1. Subjects will take acetaminophen twice (0.5 g per dose) and receive intensive blood sampling. </w:t>
      </w:r>
      <w:bookmarkStart w:id="16" w:name="_Hlk156079765"/>
      <w:bookmarkEnd w:id="16"/>
      <w:r w:rsidRPr="00F72DDB">
        <w:rPr>
          <w:rFonts w:cs="Times New Roman"/>
          <w:sz w:val="24"/>
        </w:rPr>
        <w:t>The first dose of acetaminophen and PK blood sampling (up to 24 h post-dose) will be completed before the first dose of RAY1225; the second dose of acetaminophen will be given at 24 ± 2 h after the second dose of 5 mg RAY1225 injection, and PK blood sampling will be performed up to 24 h post-dose. The plasma concentration of acetaminophen will be measured to investigate the effect of RAY1225 on gastric emptying.</w:t>
      </w:r>
    </w:p>
    <w:p w14:paraId="30533A7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color w:val="000000" w:themeColor="text1"/>
          <w:sz w:val="24"/>
        </w:rPr>
      </w:pPr>
      <w:r w:rsidRPr="00F72DDB">
        <w:rPr>
          <w:rFonts w:cs="Times New Roman"/>
          <w:b/>
          <w:bCs/>
          <w:color w:val="000000" w:themeColor="text1"/>
          <w:sz w:val="24"/>
        </w:rPr>
        <w:t>Part B: expansion study</w:t>
      </w:r>
    </w:p>
    <w:p w14:paraId="782D8161"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The expansion study will begin once the investigational drug is assessed as tolerable following tolerability evaluations in the target dose groups of the dose escalation study. Modifications are allowed for the target dose and the titration regimen, provided that the target dose does not exceed the maximum tolerated dose determined in the dose escalation study. A total of 40 subjects will be enrolled in each dose group, stratified by diabetes mellitus treatment status (treatment-naive or treatment-experienced), and randomized in a 4:1 ratio, with 32 subjects receiving the investigational drug and 8 subjects receiving the placebo.</w:t>
      </w:r>
    </w:p>
    <w:p w14:paraId="0D7BF25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color w:val="000000" w:themeColor="text1"/>
          <w:sz w:val="24"/>
        </w:rPr>
      </w:pPr>
      <w:r w:rsidRPr="00F72DDB">
        <w:rPr>
          <w:rFonts w:cs="Times New Roman"/>
          <w:b/>
          <w:bCs/>
          <w:color w:val="000000" w:themeColor="text1"/>
          <w:sz w:val="24"/>
        </w:rPr>
        <w:t>The study flowchart is designed as follows:</w:t>
      </w:r>
    </w:p>
    <w:p w14:paraId="7B4E1A34" w14:textId="77777777" w:rsidR="0005712D" w:rsidRPr="00F72DDB" w:rsidRDefault="00CF2A39" w:rsidP="00306959">
      <w:pPr>
        <w:pStyle w:val="a9"/>
        <w:overflowPunct w:val="0"/>
        <w:autoSpaceDE w:val="0"/>
        <w:autoSpaceDN w:val="0"/>
        <w:adjustRightInd w:val="0"/>
        <w:snapToGrid w:val="0"/>
        <w:spacing w:beforeLines="50" w:before="120" w:afterLines="50" w:line="300" w:lineRule="auto"/>
        <w:jc w:val="left"/>
        <w:rPr>
          <w:rFonts w:cs="Times New Roman"/>
          <w:sz w:val="24"/>
        </w:rPr>
      </w:pPr>
      <w:r w:rsidRPr="00F72DDB">
        <w:rPr>
          <w:rFonts w:cs="Times New Roman"/>
          <w:noProof/>
          <w:sz w:val="24"/>
          <w:lang w:bidi="th-TH"/>
        </w:rPr>
        <mc:AlternateContent>
          <mc:Choice Requires="wpg">
            <w:drawing>
              <wp:anchor distT="0" distB="0" distL="114300" distR="114300" simplePos="0" relativeHeight="251653632" behindDoc="0" locked="0" layoutInCell="1" allowOverlap="1" wp14:anchorId="41462D89" wp14:editId="399D06CD">
                <wp:simplePos x="0" y="0"/>
                <wp:positionH relativeFrom="column">
                  <wp:posOffset>241540</wp:posOffset>
                </wp:positionH>
                <wp:positionV relativeFrom="paragraph">
                  <wp:posOffset>87858</wp:posOffset>
                </wp:positionV>
                <wp:extent cx="5494020" cy="3094006"/>
                <wp:effectExtent l="0" t="0" r="0" b="0"/>
                <wp:wrapNone/>
                <wp:docPr id="1" name="组合 1"/>
                <wp:cNvGraphicFramePr/>
                <a:graphic xmlns:a="http://schemas.openxmlformats.org/drawingml/2006/main">
                  <a:graphicData uri="http://schemas.microsoft.com/office/word/2010/wordprocessingGroup">
                    <wpg:wgp>
                      <wpg:cNvGrpSpPr/>
                      <wpg:grpSpPr>
                        <a:xfrm>
                          <a:off x="0" y="0"/>
                          <a:ext cx="5494020" cy="3094006"/>
                          <a:chOff x="0" y="-1"/>
                          <a:chExt cx="5494020" cy="3094006"/>
                        </a:xfrm>
                      </wpg:grpSpPr>
                      <wps:wsp>
                        <wps:cNvPr id="4" name="文本框 4"/>
                        <wps:cNvSpPr txBox="1"/>
                        <wps:spPr>
                          <a:xfrm>
                            <a:off x="292100" y="-1"/>
                            <a:ext cx="4585970" cy="2127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D6AF59" w14:textId="77777777" w:rsidR="0005712D" w:rsidRDefault="00CF2A39">
                              <w:pPr>
                                <w:adjustRightInd w:val="0"/>
                                <w:snapToGrid w:val="0"/>
                                <w:spacing w:before="0" w:after="0" w:line="240" w:lineRule="auto"/>
                                <w:jc w:val="center"/>
                                <w:rPr>
                                  <w:rFonts w:cs="Times New Roman"/>
                                  <w:b/>
                                  <w:bCs/>
                                  <w:sz w:val="20"/>
                                  <w:szCs w:val="20"/>
                                </w:rPr>
                              </w:pPr>
                              <w:r>
                                <w:rPr>
                                  <w:b/>
                                  <w:bCs/>
                                  <w:sz w:val="20"/>
                                  <w:szCs w:val="20"/>
                                </w:rPr>
                                <w:t>Flowchart of study design for Part A</w:t>
                              </w:r>
                            </w:p>
                          </w:txbxContent>
                        </wps:txbx>
                        <wps:bodyPr rot="0" spcFirstLastPara="0" vertOverflow="overflow" horzOverflow="overflow" vert="horz" wrap="square" lIns="0" tIns="0" rIns="0" bIns="0" numCol="1" spcCol="0" rtlCol="0" fromWordArt="0" anchor="ctr" anchorCtr="0" forceAA="0" compatLnSpc="1">
                          <a:noAutofit/>
                        </wps:bodyPr>
                      </wps:wsp>
                      <wps:wsp>
                        <wps:cNvPr id="5" name="文本框 5"/>
                        <wps:cNvSpPr txBox="1"/>
                        <wps:spPr>
                          <a:xfrm>
                            <a:off x="704850" y="356199"/>
                            <a:ext cx="3753485" cy="190139"/>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D80DB"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Group A-1: placebo group</w:t>
                              </w:r>
                            </w:p>
                          </w:txbxContent>
                        </wps:txbx>
                        <wps:bodyPr rot="0" spcFirstLastPara="0" vertOverflow="overflow" horzOverflow="overflow" vert="horz" wrap="square" lIns="0" tIns="0" rIns="0" bIns="0" numCol="1" spcCol="0" rtlCol="0" fromWordArt="0" anchor="ctr" anchorCtr="0" forceAA="0" compatLnSpc="1">
                          <a:noAutofit/>
                        </wps:bodyPr>
                      </wps:wsp>
                      <wps:wsp>
                        <wps:cNvPr id="6" name="文本框 6"/>
                        <wps:cNvSpPr txBox="1"/>
                        <wps:spPr>
                          <a:xfrm>
                            <a:off x="704850" y="903857"/>
                            <a:ext cx="3754755" cy="19113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0A68F9"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Group A-2: RAY1225 3 mg</w:t>
                              </w:r>
                            </w:p>
                          </w:txbxContent>
                        </wps:txbx>
                        <wps:bodyPr rot="0" spcFirstLastPara="0" vertOverflow="overflow" horzOverflow="overflow" vert="horz" wrap="square" lIns="0" tIns="0" rIns="0" bIns="0" numCol="1" spcCol="0" rtlCol="0" fromWordArt="0" anchor="ctr" anchorCtr="0" forceAA="0" compatLnSpc="1">
                          <a:noAutofit/>
                        </wps:bodyPr>
                      </wps:wsp>
                      <wps:wsp>
                        <wps:cNvPr id="7" name="文本框 7"/>
                        <wps:cNvSpPr txBox="1"/>
                        <wps:spPr>
                          <a:xfrm>
                            <a:off x="704850" y="1475956"/>
                            <a:ext cx="3753485" cy="20510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92E10A"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Group A-3: RAY1225 6 mg</w:t>
                              </w:r>
                            </w:p>
                          </w:txbxContent>
                        </wps:txbx>
                        <wps:bodyPr rot="0" spcFirstLastPara="0" vertOverflow="overflow" horzOverflow="overflow" vert="horz" wrap="square" lIns="0" tIns="0" rIns="0" bIns="0" numCol="1" spcCol="0" rtlCol="0" fromWordArt="0" anchor="ctr" anchorCtr="0" forceAA="0" compatLnSpc="1">
                          <a:noAutofit/>
                        </wps:bodyPr>
                      </wps:wsp>
                      <wps:wsp>
                        <wps:cNvPr id="8" name="文本框 8"/>
                        <wps:cNvSpPr txBox="1"/>
                        <wps:spPr>
                          <a:xfrm>
                            <a:off x="704850" y="1999649"/>
                            <a:ext cx="3754120" cy="243217"/>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09229"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24-week treatment period, subcutaneous injection, Q2W</w:t>
                              </w:r>
                            </w:p>
                          </w:txbxContent>
                        </wps:txbx>
                        <wps:bodyPr rot="0" spcFirstLastPara="0" vertOverflow="overflow" horzOverflow="overflow" vert="horz" wrap="square" lIns="0" tIns="0" rIns="0" bIns="0" numCol="1" spcCol="0" rtlCol="0" fromWordArt="0" anchor="ctr" anchorCtr="0" forceAA="0" compatLnSpc="1">
                          <a:noAutofit/>
                        </wps:bodyPr>
                      </wps:wsp>
                      <wps:wsp>
                        <wps:cNvPr id="10" name="文本框 10"/>
                        <wps:cNvSpPr txBox="1"/>
                        <wps:spPr>
                          <a:xfrm>
                            <a:off x="0" y="2895598"/>
                            <a:ext cx="764540" cy="198407"/>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C6DEC9" w14:textId="77777777" w:rsidR="0005712D" w:rsidRDefault="00CF2A39">
                              <w:pPr>
                                <w:adjustRightInd w:val="0"/>
                                <w:snapToGrid w:val="0"/>
                                <w:spacing w:before="0" w:after="0" w:line="240" w:lineRule="auto"/>
                                <w:jc w:val="center"/>
                                <w:rPr>
                                  <w:rFonts w:cs="Times New Roman"/>
                                  <w:b/>
                                  <w:bCs/>
                                  <w:sz w:val="16"/>
                                  <w:szCs w:val="16"/>
                                </w:rPr>
                              </w:pPr>
                              <w:r>
                                <w:rPr>
                                  <w:b/>
                                  <w:bCs/>
                                  <w:sz w:val="16"/>
                                  <w:szCs w:val="16"/>
                                </w:rPr>
                                <w:t>First dose</w:t>
                              </w:r>
                            </w:p>
                          </w:txbxContent>
                        </wps:txbx>
                        <wps:bodyPr rot="0" spcFirstLastPara="0" vertOverflow="overflow" horzOverflow="overflow" vert="horz" wrap="square" lIns="0" tIns="0" rIns="0" bIns="0" numCol="1" spcCol="0" rtlCol="0" fromWordArt="0" anchor="ctr" anchorCtr="0" forceAA="0" compatLnSpc="1">
                          <a:noAutofit/>
                        </wps:bodyPr>
                      </wps:wsp>
                      <wps:wsp>
                        <wps:cNvPr id="11" name="文本框 11"/>
                        <wps:cNvSpPr txBox="1"/>
                        <wps:spPr>
                          <a:xfrm>
                            <a:off x="3975100" y="2895332"/>
                            <a:ext cx="680720" cy="198387"/>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6B34B7" w14:textId="77777777" w:rsidR="0005712D" w:rsidRDefault="00CF2A39">
                              <w:pPr>
                                <w:adjustRightInd w:val="0"/>
                                <w:snapToGrid w:val="0"/>
                                <w:spacing w:before="0" w:after="0" w:line="240" w:lineRule="auto"/>
                                <w:jc w:val="center"/>
                                <w:rPr>
                                  <w:rFonts w:cs="Times New Roman"/>
                                  <w:b/>
                                  <w:bCs/>
                                  <w:sz w:val="16"/>
                                  <w:szCs w:val="16"/>
                                </w:rPr>
                              </w:pPr>
                              <w:r>
                                <w:rPr>
                                  <w:b/>
                                  <w:bCs/>
                                  <w:sz w:val="16"/>
                                  <w:szCs w:val="16"/>
                                </w:rPr>
                                <w:t>Last dose</w:t>
                              </w:r>
                            </w:p>
                          </w:txbxContent>
                        </wps:txbx>
                        <wps:bodyPr rot="0" spcFirstLastPara="0" vertOverflow="overflow" horzOverflow="overflow" vert="horz" wrap="square" lIns="0" tIns="0" rIns="0" bIns="0" numCol="1" spcCol="0" rtlCol="0" fromWordArt="0" anchor="ctr" anchorCtr="0" forceAA="0" compatLnSpc="1">
                          <a:noAutofit/>
                        </wps:bodyPr>
                      </wps:wsp>
                      <wps:wsp>
                        <wps:cNvPr id="12" name="文本框 12"/>
                        <wps:cNvSpPr txBox="1"/>
                        <wps:spPr>
                          <a:xfrm>
                            <a:off x="4813300" y="2895332"/>
                            <a:ext cx="680720" cy="19810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E34BB5" w14:textId="77777777" w:rsidR="0005712D" w:rsidRDefault="00CF2A39">
                              <w:pPr>
                                <w:adjustRightInd w:val="0"/>
                                <w:snapToGrid w:val="0"/>
                                <w:spacing w:before="0" w:after="0" w:line="240" w:lineRule="auto"/>
                                <w:jc w:val="center"/>
                                <w:rPr>
                                  <w:rFonts w:cs="Times New Roman"/>
                                  <w:b/>
                                  <w:bCs/>
                                  <w:sz w:val="16"/>
                                  <w:szCs w:val="16"/>
                                </w:rPr>
                              </w:pPr>
                              <w:r>
                                <w:rPr>
                                  <w:b/>
                                  <w:bCs/>
                                  <w:sz w:val="16"/>
                                  <w:szCs w:val="16"/>
                                </w:rPr>
                                <w:t>Last visit</w:t>
                              </w:r>
                            </w:p>
                          </w:txbxContent>
                        </wps:txbx>
                        <wps:bodyPr rot="0" spcFirstLastPara="0" vertOverflow="overflow" horzOverflow="overflow" vert="horz" wrap="square" lIns="0" tIns="0" rIns="0" bIns="0" numCol="1" spcCol="0" rtlCol="0" fromWordArt="0" anchor="ctr" anchorCtr="0" forceAA="0" compatLnSpc="1">
                          <a:noAutofit/>
                        </wps:bodyPr>
                      </wps:wsp>
                    </wpg:wgp>
                  </a:graphicData>
                </a:graphic>
                <wp14:sizeRelV relativeFrom="margin">
                  <wp14:pctHeight>0</wp14:pctHeight>
                </wp14:sizeRelV>
              </wp:anchor>
            </w:drawing>
          </mc:Choice>
          <mc:Fallback>
            <w:pict>
              <v:group w14:anchorId="41462D89" id="组合 1" o:spid="_x0000_s1026" style="position:absolute;margin-left:19pt;margin-top:6.9pt;width:432.6pt;height:243.6pt;z-index:251653632;mso-height-relative:margin" coordorigin="" coordsize="54940,3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">
                <v:shapetype id="_x0000_t202" coordsize="21600,21600" o:spt="202" path="m,l,21600r21600,l21600,xe">
                  <v:stroke joinstyle="miter"/>
                  <v:path gradientshapeok="t" o:connecttype="rect"/>
                </v:shapetype>
                <v:shape id="文本框 4" o:spid="_x0000_s1027" type="#_x0000_t202" style="position:absolute;left:2921;width:45859;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" fillcolor="white [3212]" stroked="f" strokeweight=".5pt">
                  <v:textbox inset="0,0,0,0">
                    <w:txbxContent>
                      <w:p w14:paraId="42D6AF59" w14:textId="77777777" w:rsidR="0005712D" w:rsidRDefault="00CF2A39">
                        <w:pPr>
                          <w:adjustRightInd w:val="0"/>
                          <w:snapToGrid w:val="0"/>
                          <w:spacing w:before="0" w:after="0" w:line="240" w:lineRule="auto"/>
                          <w:jc w:val="center"/>
                          <w:rPr>
                            <w:rFonts w:cs="Times New Roman"/>
                            <w:b/>
                            <w:bCs/>
                            <w:sz w:val="20"/>
                            <w:szCs w:val="20"/>
                          </w:rPr>
                        </w:pPr>
                        <w:r>
                          <w:rPr>
                            <w:b/>
                            <w:bCs/>
                            <w:sz w:val="20"/>
                            <w:szCs w:val="20"/>
                          </w:rPr>
                          <w:t>Flowchart of study design for Part A</w:t>
                        </w:r>
                      </w:p>
                    </w:txbxContent>
                  </v:textbox>
                </v:shape>
                <v:shape id="文本框 5" o:spid="_x0000_s1028" type="#_x0000_t202" style="position:absolute;left:7048;top:3561;width:37535;height:1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" fillcolor="white [3212]" stroked="f" strokeweight=".5pt">
                  <v:textbox inset="0,0,0,0">
                    <w:txbxContent>
                      <w:p w14:paraId="5EAD80DB"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Group A-1: placebo group</w:t>
                        </w:r>
                      </w:p>
                    </w:txbxContent>
                  </v:textbox>
                </v:shape>
                <v:shape id="文本框 6" o:spid="_x0000_s1029" type="#_x0000_t202" style="position:absolute;left:7048;top:9038;width:37548;height:1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" fillcolor="white [3212]" stroked="f" strokeweight=".5pt">
                  <v:textbox inset="0,0,0,0">
                    <w:txbxContent>
                      <w:p w14:paraId="340A68F9"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Group A-2: RAY1225 3 mg</w:t>
                        </w:r>
                      </w:p>
                    </w:txbxContent>
                  </v:textbox>
                </v:shape>
                <v:shape id="文本框 7" o:spid="_x0000_s1030" type="#_x0000_t202" style="position:absolute;left:7048;top:14759;width:37535;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" fillcolor="white [3212]" stroked="f" strokeweight=".5pt">
                  <v:textbox inset="0,0,0,0">
                    <w:txbxContent>
                      <w:p w14:paraId="0E92E10A"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Group A-3: RAY1225 6 mg</w:t>
                        </w:r>
                      </w:p>
                    </w:txbxContent>
                  </v:textbox>
                </v:shape>
                <v:shape id="文本框 8" o:spid="_x0000_s1031" type="#_x0000_t202" style="position:absolute;left:7048;top:19996;width:37541;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" fillcolor="white [3212]" stroked="f" strokeweight=".5pt">
                  <v:textbox inset="0,0,0,0">
                    <w:txbxContent>
                      <w:p w14:paraId="4B609229" w14:textId="77777777" w:rsidR="0005712D" w:rsidRDefault="00CF2A39">
                        <w:pPr>
                          <w:adjustRightInd w:val="0"/>
                          <w:snapToGrid w:val="0"/>
                          <w:spacing w:before="0" w:after="0" w:line="240" w:lineRule="auto"/>
                          <w:jc w:val="center"/>
                          <w:rPr>
                            <w:rFonts w:cs="Times New Roman"/>
                            <w:b/>
                            <w:bCs/>
                            <w:sz w:val="18"/>
                            <w:szCs w:val="18"/>
                          </w:rPr>
                        </w:pPr>
                        <w:r>
                          <w:rPr>
                            <w:b/>
                            <w:bCs/>
                            <w:sz w:val="18"/>
                            <w:szCs w:val="18"/>
                          </w:rPr>
                          <w:t>24-week treatment period, subcutaneous injection, Q2W</w:t>
                        </w:r>
                      </w:p>
                    </w:txbxContent>
                  </v:textbox>
                </v:shape>
                <v:shape id="文本框 10" o:spid="_x0000_s1032" type="#_x0000_t202" style="position:absolute;top:28955;width:7645;height:1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" fillcolor="white [3212]" stroked="f" strokeweight=".5pt">
                  <v:textbox inset="0,0,0,0">
                    <w:txbxContent>
                      <w:p w14:paraId="2EC6DEC9" w14:textId="77777777" w:rsidR="0005712D" w:rsidRDefault="00CF2A39">
                        <w:pPr>
                          <w:adjustRightInd w:val="0"/>
                          <w:snapToGrid w:val="0"/>
                          <w:spacing w:before="0" w:after="0" w:line="240" w:lineRule="auto"/>
                          <w:jc w:val="center"/>
                          <w:rPr>
                            <w:rFonts w:cs="Times New Roman"/>
                            <w:b/>
                            <w:bCs/>
                            <w:sz w:val="16"/>
                            <w:szCs w:val="16"/>
                          </w:rPr>
                        </w:pPr>
                        <w:r>
                          <w:rPr>
                            <w:b/>
                            <w:bCs/>
                            <w:sz w:val="16"/>
                            <w:szCs w:val="16"/>
                          </w:rPr>
                          <w:t>First dose</w:t>
                        </w:r>
                      </w:p>
                    </w:txbxContent>
                  </v:textbox>
                </v:shape>
                <v:shape id="文本框 11" o:spid="_x0000_s1033" type="#_x0000_t202" style="position:absolute;left:39751;top:28953;width:6807;height:1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" fillcolor="white [3212]" stroked="f" strokeweight=".5pt">
                  <v:textbox inset="0,0,0,0">
                    <w:txbxContent>
                      <w:p w14:paraId="056B34B7" w14:textId="77777777" w:rsidR="0005712D" w:rsidRDefault="00CF2A39">
                        <w:pPr>
                          <w:adjustRightInd w:val="0"/>
                          <w:snapToGrid w:val="0"/>
                          <w:spacing w:before="0" w:after="0" w:line="240" w:lineRule="auto"/>
                          <w:jc w:val="center"/>
                          <w:rPr>
                            <w:rFonts w:cs="Times New Roman"/>
                            <w:b/>
                            <w:bCs/>
                            <w:sz w:val="16"/>
                            <w:szCs w:val="16"/>
                          </w:rPr>
                        </w:pPr>
                        <w:r>
                          <w:rPr>
                            <w:b/>
                            <w:bCs/>
                            <w:sz w:val="16"/>
                            <w:szCs w:val="16"/>
                          </w:rPr>
                          <w:t>Last dose</w:t>
                        </w:r>
                      </w:p>
                    </w:txbxContent>
                  </v:textbox>
                </v:shape>
                <v:shape id="文本框 12" o:spid="_x0000_s1034" type="#_x0000_t202" style="position:absolute;left:48133;top:28953;width:6807;height:1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" fillcolor="white [3212]" stroked="f" strokeweight=".5pt">
                  <v:textbox inset="0,0,0,0">
                    <w:txbxContent>
                      <w:p w14:paraId="1EE34BB5" w14:textId="77777777" w:rsidR="0005712D" w:rsidRDefault="00CF2A39">
                        <w:pPr>
                          <w:adjustRightInd w:val="0"/>
                          <w:snapToGrid w:val="0"/>
                          <w:spacing w:before="0" w:after="0" w:line="240" w:lineRule="auto"/>
                          <w:jc w:val="center"/>
                          <w:rPr>
                            <w:rFonts w:cs="Times New Roman"/>
                            <w:b/>
                            <w:bCs/>
                            <w:sz w:val="16"/>
                            <w:szCs w:val="16"/>
                          </w:rPr>
                        </w:pPr>
                        <w:r>
                          <w:rPr>
                            <w:b/>
                            <w:bCs/>
                            <w:sz w:val="16"/>
                            <w:szCs w:val="16"/>
                          </w:rPr>
                          <w:t>Last visit</w:t>
                        </w:r>
                      </w:p>
                    </w:txbxContent>
                  </v:textbox>
                </v:shape>
              </v:group>
            </w:pict>
          </mc:Fallback>
        </mc:AlternateContent>
      </w:r>
      <w:r w:rsidRPr="00F72DDB">
        <w:rPr>
          <w:rFonts w:cs="Times New Roman"/>
          <w:noProof/>
          <w:sz w:val="24"/>
          <w:lang w:bidi="th-TH"/>
        </w:rPr>
        <w:drawing>
          <wp:inline distT="0" distB="0" distL="0" distR="0" wp14:anchorId="0E6CB3CB" wp14:editId="7B3A2F5C">
            <wp:extent cx="5731510" cy="3392170"/>
            <wp:effectExtent l="0" t="0" r="2540" b="0"/>
            <wp:docPr id="7719881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988155" name="图片 1"/>
                    <pic:cNvPicPr>
                      <a:picLocks noChangeAspect="1"/>
                    </pic:cNvPicPr>
                  </pic:nvPicPr>
                  <pic:blipFill>
                    <a:blip r:embed="rId15"/>
                    <a:stretch>
                      <a:fillRect/>
                    </a:stretch>
                  </pic:blipFill>
                  <pic:spPr>
                    <a:xfrm>
                      <a:off x="0" y="0"/>
                      <a:ext cx="5731510" cy="3392170"/>
                    </a:xfrm>
                    <a:prstGeom prst="rect">
                      <a:avLst/>
                    </a:prstGeom>
                  </pic:spPr>
                </pic:pic>
              </a:graphicData>
            </a:graphic>
          </wp:inline>
        </w:drawing>
      </w:r>
    </w:p>
    <w:p w14:paraId="601D0F16" w14:textId="77777777" w:rsidR="0005712D" w:rsidRPr="00F72DDB" w:rsidRDefault="00CF2A39" w:rsidP="00306959">
      <w:pPr>
        <w:pStyle w:val="a9"/>
        <w:overflowPunct w:val="0"/>
        <w:autoSpaceDE w:val="0"/>
        <w:autoSpaceDN w:val="0"/>
        <w:adjustRightInd w:val="0"/>
        <w:snapToGrid w:val="0"/>
        <w:spacing w:beforeLines="50" w:before="120" w:afterLines="50" w:line="300" w:lineRule="auto"/>
        <w:jc w:val="left"/>
        <w:rPr>
          <w:rFonts w:cs="Times New Roman"/>
          <w:sz w:val="24"/>
        </w:rPr>
      </w:pPr>
      <w:r w:rsidRPr="00F72DDB">
        <w:rPr>
          <w:rFonts w:cs="Times New Roman"/>
          <w:noProof/>
          <w:sz w:val="24"/>
          <w:lang w:bidi="th-TH"/>
        </w:rPr>
        <w:lastRenderedPageBreak/>
        <mc:AlternateContent>
          <mc:Choice Requires="wpg">
            <w:drawing>
              <wp:anchor distT="0" distB="0" distL="114300" distR="114300" simplePos="0" relativeHeight="251663872" behindDoc="0" locked="0" layoutInCell="1" allowOverlap="1" wp14:anchorId="0237DA9B" wp14:editId="33CA1B4A">
                <wp:simplePos x="0" y="0"/>
                <wp:positionH relativeFrom="column">
                  <wp:posOffset>139700</wp:posOffset>
                </wp:positionH>
                <wp:positionV relativeFrom="paragraph">
                  <wp:posOffset>729615</wp:posOffset>
                </wp:positionV>
                <wp:extent cx="5295900" cy="2051050"/>
                <wp:effectExtent l="0" t="0" r="0" b="6350"/>
                <wp:wrapNone/>
                <wp:docPr id="20" name="组合 20"/>
                <wp:cNvGraphicFramePr/>
                <a:graphic xmlns:a="http://schemas.openxmlformats.org/drawingml/2006/main">
                  <a:graphicData uri="http://schemas.microsoft.com/office/word/2010/wordprocessingGroup">
                    <wpg:wgp>
                      <wpg:cNvGrpSpPr/>
                      <wpg:grpSpPr>
                        <a:xfrm>
                          <a:off x="0" y="0"/>
                          <a:ext cx="5295900" cy="2051050"/>
                          <a:chOff x="0" y="0"/>
                          <a:chExt cx="5295900" cy="2051050"/>
                        </a:xfrm>
                        <a:noFill/>
                      </wpg:grpSpPr>
                      <wps:wsp>
                        <wps:cNvPr id="9" name="文本框 9"/>
                        <wps:cNvSpPr txBox="1"/>
                        <wps:spPr>
                          <a:xfrm>
                            <a:off x="0" y="939800"/>
                            <a:ext cx="1130300" cy="3937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5150B"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Escalation group (Group B-1)*: 9 mg, 8A + 2P</w:t>
                              </w:r>
                            </w:p>
                          </w:txbxContent>
                        </wps:txbx>
                        <wps:bodyPr rot="0" spcFirstLastPara="0" vertOverflow="overflow" horzOverflow="overflow" vert="horz" wrap="square" lIns="0" tIns="0" rIns="0" bIns="0" numCol="1" spcCol="0" rtlCol="0" fromWordArt="0" anchor="ctr" anchorCtr="0" forceAA="0" compatLnSpc="1">
                          <a:noAutofit/>
                        </wps:bodyPr>
                      </wps:wsp>
                      <wps:wsp>
                        <wps:cNvPr id="14" name="文本框 14"/>
                        <wps:cNvSpPr txBox="1"/>
                        <wps:spPr>
                          <a:xfrm>
                            <a:off x="1377950" y="457200"/>
                            <a:ext cx="1130300" cy="3492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0DB4B"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Escalation group (Group B-2): X</w:t>
                              </w:r>
                              <w:r w:rsidRPr="002F35A2">
                                <w:rPr>
                                  <w:sz w:val="16"/>
                                  <w:szCs w:val="16"/>
                                  <w:vertAlign w:val="subscript"/>
                                </w:rPr>
                                <w:t>1</w:t>
                              </w:r>
                              <w:r w:rsidRPr="002F35A2">
                                <w:rPr>
                                  <w:sz w:val="16"/>
                                  <w:szCs w:val="16"/>
                                </w:rPr>
                                <w:t xml:space="preserve"> mg, 8A + 2P</w:t>
                              </w:r>
                            </w:p>
                          </w:txbxContent>
                        </wps:txbx>
                        <wps:bodyPr rot="0" spcFirstLastPara="0" vertOverflow="overflow" horzOverflow="overflow" vert="horz" wrap="square" lIns="0" tIns="0" rIns="0" bIns="0" numCol="1" spcCol="0" rtlCol="0" fromWordArt="0" anchor="ctr" anchorCtr="0" forceAA="0" compatLnSpc="1">
                          <a:noAutofit/>
                        </wps:bodyPr>
                      </wps:wsp>
                      <wps:wsp>
                        <wps:cNvPr id="15" name="文本框 15"/>
                        <wps:cNvSpPr txBox="1"/>
                        <wps:spPr>
                          <a:xfrm>
                            <a:off x="2787650" y="0"/>
                            <a:ext cx="1130300" cy="3492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5B144EF9"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Escalation group (Group B-3): X</w:t>
                              </w:r>
                              <w:r w:rsidRPr="002F35A2">
                                <w:rPr>
                                  <w:sz w:val="16"/>
                                  <w:szCs w:val="16"/>
                                  <w:vertAlign w:val="subscript"/>
                                </w:rPr>
                                <w:t>2</w:t>
                              </w:r>
                              <w:r w:rsidRPr="002F35A2">
                                <w:rPr>
                                  <w:sz w:val="16"/>
                                  <w:szCs w:val="16"/>
                                </w:rPr>
                                <w:t xml:space="preserve"> mg, 8A + 2P</w:t>
                              </w:r>
                            </w:p>
                          </w:txbxContent>
                        </wps:txbx>
                        <wps:bodyPr rot="0" spcFirstLastPara="0" vertOverflow="overflow" horzOverflow="overflow" vert="horz" wrap="square" lIns="0" tIns="0" rIns="0" bIns="0" numCol="1" spcCol="0" rtlCol="0" fromWordArt="0" anchor="ctr" anchorCtr="0" forceAA="0" compatLnSpc="1">
                          <a:noAutofit/>
                        </wps:bodyPr>
                      </wps:wsp>
                      <wps:wsp>
                        <wps:cNvPr id="16" name="文本框 16"/>
                        <wps:cNvSpPr txBox="1"/>
                        <wps:spPr>
                          <a:xfrm>
                            <a:off x="4133850" y="0"/>
                            <a:ext cx="1130300" cy="3492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52CB2226"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Expansion group (Group K-3): X</w:t>
                              </w:r>
                              <w:r w:rsidRPr="002F35A2">
                                <w:rPr>
                                  <w:sz w:val="16"/>
                                  <w:szCs w:val="16"/>
                                  <w:vertAlign w:val="subscript"/>
                                </w:rPr>
                                <w:t>2</w:t>
                              </w:r>
                              <w:r w:rsidRPr="002F35A2">
                                <w:rPr>
                                  <w:sz w:val="16"/>
                                  <w:szCs w:val="16"/>
                                </w:rPr>
                                <w:t xml:space="preserve"> mg, 32A + 8P</w:t>
                              </w:r>
                            </w:p>
                          </w:txbxContent>
                        </wps:txbx>
                        <wps:bodyPr rot="0" spcFirstLastPara="0" vertOverflow="overflow" horzOverflow="overflow" vert="horz" wrap="square" lIns="0" tIns="0" rIns="0" bIns="0" numCol="1" spcCol="0" rtlCol="0" fromWordArt="0" anchor="ctr" anchorCtr="0" forceAA="0" compatLnSpc="1">
                          <a:noAutofit/>
                        </wps:bodyPr>
                      </wps:wsp>
                      <wps:wsp>
                        <wps:cNvPr id="17" name="文本框 17"/>
                        <wps:cNvSpPr txBox="1"/>
                        <wps:spPr>
                          <a:xfrm>
                            <a:off x="2781300" y="469900"/>
                            <a:ext cx="1130300" cy="3492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0E30A41B"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Expansion group (Group K-2): X</w:t>
                              </w:r>
                              <w:r w:rsidRPr="002F35A2">
                                <w:rPr>
                                  <w:sz w:val="16"/>
                                  <w:szCs w:val="16"/>
                                  <w:vertAlign w:val="subscript"/>
                                </w:rPr>
                                <w:t>1</w:t>
                              </w:r>
                              <w:r w:rsidRPr="002F35A2">
                                <w:rPr>
                                  <w:sz w:val="16"/>
                                  <w:szCs w:val="16"/>
                                </w:rPr>
                                <w:t xml:space="preserve"> mg, 32A + 8P</w:t>
                              </w:r>
                            </w:p>
                          </w:txbxContent>
                        </wps:txbx>
                        <wps:bodyPr rot="0" spcFirstLastPara="0" vertOverflow="overflow" horzOverflow="overflow" vert="horz" wrap="square" lIns="0" tIns="0" rIns="0" bIns="0" numCol="1" spcCol="0" rtlCol="0" fromWordArt="0" anchor="ctr" anchorCtr="0" forceAA="0" compatLnSpc="1">
                          <a:noAutofit/>
                        </wps:bodyPr>
                      </wps:wsp>
                      <wps:wsp>
                        <wps:cNvPr id="18" name="文本框 18"/>
                        <wps:cNvSpPr txBox="1"/>
                        <wps:spPr>
                          <a:xfrm>
                            <a:off x="1377950" y="952500"/>
                            <a:ext cx="1130300" cy="3746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BBA91"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Expansion group (Group K-1): 9 mg, 32A + 8P</w:t>
                              </w:r>
                            </w:p>
                          </w:txbxContent>
                        </wps:txbx>
                        <wps:bodyPr rot="0" spcFirstLastPara="0" vertOverflow="overflow" horzOverflow="overflow" vert="horz" wrap="square" lIns="0" tIns="0" rIns="0" bIns="0" numCol="1" spcCol="0" rtlCol="0" fromWordArt="0" anchor="ctr" anchorCtr="0" forceAA="0" compatLnSpc="1">
                          <a:noAutofit/>
                        </wps:bodyPr>
                      </wps:wsp>
                      <wps:wsp>
                        <wps:cNvPr id="19" name="文本框 19"/>
                        <wps:cNvSpPr txBox="1"/>
                        <wps:spPr>
                          <a:xfrm>
                            <a:off x="31750" y="1441450"/>
                            <a:ext cx="5264150" cy="6096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12008" w14:textId="2F60F7E1" w:rsidR="0005712D" w:rsidRPr="002F35A2" w:rsidRDefault="00CF2A39" w:rsidP="00306959">
                              <w:pPr>
                                <w:adjustRightInd w:val="0"/>
                                <w:snapToGrid w:val="0"/>
                                <w:spacing w:before="0" w:after="0" w:line="240" w:lineRule="auto"/>
                                <w:ind w:left="333" w:hangingChars="208" w:hanging="333"/>
                                <w:jc w:val="left"/>
                                <w:rPr>
                                  <w:sz w:val="16"/>
                                  <w:szCs w:val="16"/>
                                </w:rPr>
                              </w:pPr>
                              <w:r w:rsidRPr="002F35A2">
                                <w:rPr>
                                  <w:sz w:val="16"/>
                                  <w:szCs w:val="16"/>
                                </w:rPr>
                                <w:t>•</w:t>
                              </w:r>
                              <w:r w:rsidRPr="002F35A2">
                                <w:rPr>
                                  <w:sz w:val="16"/>
                                  <w:szCs w:val="16"/>
                                </w:rPr>
                                <w:tab/>
                                <w:t>Dose escalation group: Tolerability evaluation will be performed 14 days after the first administration of the target dose for each group, and the dose, if tolerated, will be escalated to the next higher target dose</w:t>
                              </w:r>
                              <w:r w:rsidRPr="002F35A2">
                                <w:rPr>
                                  <w:rFonts w:hint="eastAsia"/>
                                  <w:sz w:val="16"/>
                                  <w:szCs w:val="16"/>
                                </w:rPr>
                                <w:t>;</w:t>
                              </w:r>
                            </w:p>
                            <w:p w14:paraId="5D569E0F" w14:textId="3612495B" w:rsidR="0005712D" w:rsidRPr="002F35A2" w:rsidRDefault="00CF2A39" w:rsidP="00306959">
                              <w:pPr>
                                <w:adjustRightInd w:val="0"/>
                                <w:snapToGrid w:val="0"/>
                                <w:spacing w:before="0" w:after="0" w:line="240" w:lineRule="auto"/>
                                <w:ind w:left="333" w:hangingChars="208" w:hanging="333"/>
                                <w:jc w:val="left"/>
                                <w:rPr>
                                  <w:sz w:val="16"/>
                                  <w:szCs w:val="16"/>
                                </w:rPr>
                              </w:pPr>
                              <w:r w:rsidRPr="002F35A2">
                                <w:rPr>
                                  <w:sz w:val="16"/>
                                  <w:szCs w:val="16"/>
                                </w:rPr>
                                <w:t>•</w:t>
                              </w:r>
                              <w:r w:rsidRPr="002F35A2">
                                <w:rPr>
                                  <w:sz w:val="16"/>
                                  <w:szCs w:val="16"/>
                                </w:rPr>
                                <w:tab/>
                                <w:t>Expansion group: The expansion study will begin once the investigational drug is assessed as tolerable following tolerability evaluations in the target dose groups of the dose escalation study</w:t>
                              </w:r>
                              <w:r w:rsidRPr="002F35A2">
                                <w:rPr>
                                  <w:rFonts w:hint="eastAsia"/>
                                  <w:sz w:val="16"/>
                                  <w:szCs w:val="16"/>
                                </w:rPr>
                                <w:t>;</w:t>
                              </w:r>
                            </w:p>
                            <w:p w14:paraId="211D6FDE" w14:textId="77777777" w:rsidR="0005712D" w:rsidRPr="002F35A2" w:rsidRDefault="00CF2A39">
                              <w:pPr>
                                <w:adjustRightInd w:val="0"/>
                                <w:snapToGrid w:val="0"/>
                                <w:spacing w:before="0" w:after="0" w:line="240" w:lineRule="auto"/>
                                <w:ind w:left="333" w:hangingChars="208" w:hanging="333"/>
                                <w:jc w:val="left"/>
                                <w:rPr>
                                  <w:rFonts w:cs="Times New Roman"/>
                                  <w:sz w:val="16"/>
                                  <w:szCs w:val="16"/>
                                </w:rPr>
                              </w:pPr>
                              <w:r w:rsidRPr="002F35A2">
                                <w:rPr>
                                  <w:sz w:val="16"/>
                                  <w:szCs w:val="16"/>
                                </w:rPr>
                                <w:t>•</w:t>
                              </w:r>
                              <w:r w:rsidRPr="002F35A2">
                                <w:rPr>
                                  <w:sz w:val="16"/>
                                  <w:szCs w:val="16"/>
                                </w:rPr>
                                <w:tab/>
                                <w:t>In Part B escalation study, the gastric emptying effect study will be conducted concurrently with dose escalation group 1.</w:t>
                              </w:r>
                            </w:p>
                          </w:txbxContent>
                        </wps:txbx>
                        <wps:bodyPr rot="0" spcFirstLastPara="0" vertOverflow="overflow" horzOverflow="overflow" vert="horz" wrap="square" lIns="0" tIns="0" rIns="0" bIns="0" numCol="1" spcCol="0" rtlCol="0" fromWordArt="0" anchor="ctr" anchorCtr="0" forceAA="0" compatLnSpc="1">
                          <a:noAutofit/>
                        </wps:bodyPr>
                      </wps:wsp>
                    </wpg:wgp>
                  </a:graphicData>
                </a:graphic>
              </wp:anchor>
            </w:drawing>
          </mc:Choice>
          <mc:Fallback>
            <w:pict>
              <v:group w14:anchorId="0237DA9B" id="组合 20" o:spid="_x0000_s1035" style="position:absolute;margin-left:11pt;margin-top:57.45pt;width:417pt;height:161.5pt;z-index:251663872" coordsize="52959,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">
                <v:shape id="文本框 9" o:spid="_x0000_s1036" type="#_x0000_t202" style="position:absolute;top:9398;width:11303;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" filled="f" stroked="f" strokeweight=".5pt">
                  <v:textbox inset="0,0,0,0">
                    <w:txbxContent>
                      <w:p w14:paraId="41A5150B"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Escalation group (Group B-1)*: 9 mg, 8A + 2P</w:t>
                        </w:r>
                      </w:p>
                    </w:txbxContent>
                  </v:textbox>
                </v:shape>
                <v:shape id="文本框 14" o:spid="_x0000_s1037" type="#_x0000_t202" style="position:absolute;left:13779;top:4572;width:11303;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" filled="f" stroked="f" strokeweight=".5pt">
                  <v:textbox inset="0,0,0,0">
                    <w:txbxContent>
                      <w:p w14:paraId="4BD0DB4B"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Escalation group (Group B-2): X</w:t>
                        </w:r>
                        <w:r w:rsidRPr="002F35A2">
                          <w:rPr>
                            <w:sz w:val="16"/>
                            <w:szCs w:val="16"/>
                            <w:vertAlign w:val="subscript"/>
                          </w:rPr>
                          <w:t>1</w:t>
                        </w:r>
                        <w:r w:rsidRPr="002F35A2">
                          <w:rPr>
                            <w:sz w:val="16"/>
                            <w:szCs w:val="16"/>
                          </w:rPr>
                          <w:t xml:space="preserve"> mg, 8A + 2P</w:t>
                        </w:r>
                      </w:p>
                    </w:txbxContent>
                  </v:textbox>
                </v:shape>
                <v:shape id="文本框 15" o:spid="_x0000_s1038" type="#_x0000_t202" style="position:absolute;left:27876;width:11303;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" filled="f" stroked="f" strokeweight=".5pt">
                  <v:textbox inset="0,0,0,0">
                    <w:txbxContent>
                      <w:p w14:paraId="5B144EF9"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Escalation group (Group B-3): X</w:t>
                        </w:r>
                        <w:r w:rsidRPr="002F35A2">
                          <w:rPr>
                            <w:sz w:val="16"/>
                            <w:szCs w:val="16"/>
                            <w:vertAlign w:val="subscript"/>
                          </w:rPr>
                          <w:t>2</w:t>
                        </w:r>
                        <w:r w:rsidRPr="002F35A2">
                          <w:rPr>
                            <w:sz w:val="16"/>
                            <w:szCs w:val="16"/>
                          </w:rPr>
                          <w:t xml:space="preserve"> mg, 8A + 2P</w:t>
                        </w:r>
                      </w:p>
                    </w:txbxContent>
                  </v:textbox>
                </v:shape>
                <v:shape id="文本框 16" o:spid="_x0000_s1039" type="#_x0000_t202" style="position:absolute;left:41338;width:11303;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" filled="f" stroked="f" strokeweight=".5pt">
                  <v:textbox inset="0,0,0,0">
                    <w:txbxContent>
                      <w:p w14:paraId="52CB2226"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Expansion group (Group K-3): X</w:t>
                        </w:r>
                        <w:r w:rsidRPr="002F35A2">
                          <w:rPr>
                            <w:sz w:val="16"/>
                            <w:szCs w:val="16"/>
                            <w:vertAlign w:val="subscript"/>
                          </w:rPr>
                          <w:t>2</w:t>
                        </w:r>
                        <w:r w:rsidRPr="002F35A2">
                          <w:rPr>
                            <w:sz w:val="16"/>
                            <w:szCs w:val="16"/>
                          </w:rPr>
                          <w:t xml:space="preserve"> mg, 32A + 8P</w:t>
                        </w:r>
                      </w:p>
                    </w:txbxContent>
                  </v:textbox>
                </v:shape>
                <v:shape id="文本框 17" o:spid="_x0000_s1040" type="#_x0000_t202" style="position:absolute;left:27813;top:4699;width:11303;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" filled="f" stroked="f" strokeweight=".5pt">
                  <v:textbox inset="0,0,0,0">
                    <w:txbxContent>
                      <w:p w14:paraId="0E30A41B"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Expansion group (Group K-2): X</w:t>
                        </w:r>
                        <w:r w:rsidRPr="002F35A2">
                          <w:rPr>
                            <w:sz w:val="16"/>
                            <w:szCs w:val="16"/>
                            <w:vertAlign w:val="subscript"/>
                          </w:rPr>
                          <w:t>1</w:t>
                        </w:r>
                        <w:r w:rsidRPr="002F35A2">
                          <w:rPr>
                            <w:sz w:val="16"/>
                            <w:szCs w:val="16"/>
                          </w:rPr>
                          <w:t xml:space="preserve"> mg, 32A + 8P</w:t>
                        </w:r>
                      </w:p>
                    </w:txbxContent>
                  </v:textbox>
                </v:shape>
                <v:shape id="文本框 18" o:spid="_x0000_s1041" type="#_x0000_t202" style="position:absolute;left:13779;top:9525;width:11303;height:3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" filled="f" stroked="f" strokeweight=".5pt">
                  <v:textbox inset="0,0,0,0">
                    <w:txbxContent>
                      <w:p w14:paraId="7CFBBA91" w14:textId="77777777" w:rsidR="0005712D" w:rsidRPr="002F35A2" w:rsidRDefault="00CF2A39">
                        <w:pPr>
                          <w:adjustRightInd w:val="0"/>
                          <w:snapToGrid w:val="0"/>
                          <w:spacing w:before="0" w:after="0" w:line="240" w:lineRule="auto"/>
                          <w:jc w:val="center"/>
                          <w:rPr>
                            <w:rFonts w:cs="Times New Roman"/>
                            <w:sz w:val="16"/>
                            <w:szCs w:val="16"/>
                          </w:rPr>
                        </w:pPr>
                        <w:r w:rsidRPr="002F35A2">
                          <w:rPr>
                            <w:sz w:val="16"/>
                            <w:szCs w:val="16"/>
                          </w:rPr>
                          <w:t>Expansion group (Group K-1): 9 mg, 32A + 8P</w:t>
                        </w:r>
                      </w:p>
                    </w:txbxContent>
                  </v:textbox>
                </v:shape>
                <v:shape id="文本框 19" o:spid="_x0000_s1042" type="#_x0000_t202" style="position:absolute;left:317;top:14414;width:52642;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" filled="f" stroked="f" strokeweight=".5pt">
                  <v:textbox inset="0,0,0,0">
                    <w:txbxContent>
                      <w:p w14:paraId="41A12008" w14:textId="2F60F7E1" w:rsidR="0005712D" w:rsidRPr="002F35A2" w:rsidRDefault="00CF2A39" w:rsidP="00306959">
                        <w:pPr>
                          <w:adjustRightInd w:val="0"/>
                          <w:snapToGrid w:val="0"/>
                          <w:spacing w:before="0" w:after="0" w:line="240" w:lineRule="auto"/>
                          <w:ind w:left="333" w:hangingChars="208" w:hanging="333"/>
                          <w:jc w:val="left"/>
                          <w:rPr>
                            <w:sz w:val="16"/>
                            <w:szCs w:val="16"/>
                          </w:rPr>
                        </w:pPr>
                        <w:r w:rsidRPr="002F35A2">
                          <w:rPr>
                            <w:sz w:val="16"/>
                            <w:szCs w:val="16"/>
                          </w:rPr>
                          <w:t>•</w:t>
                        </w:r>
                        <w:r w:rsidRPr="002F35A2">
                          <w:rPr>
                            <w:sz w:val="16"/>
                            <w:szCs w:val="16"/>
                          </w:rPr>
                          <w:tab/>
                          <w:t>Dose escalation group: Tolerability evaluation will be performed 14 days after the first administration of the target dose for each group, and the dose, if tolerated, will be escalated to the next higher target dose</w:t>
                        </w:r>
                        <w:r w:rsidRPr="002F35A2">
                          <w:rPr>
                            <w:rFonts w:hint="eastAsia"/>
                            <w:sz w:val="16"/>
                            <w:szCs w:val="16"/>
                          </w:rPr>
                          <w:t>;</w:t>
                        </w:r>
                      </w:p>
                      <w:p w14:paraId="5D569E0F" w14:textId="3612495B" w:rsidR="0005712D" w:rsidRPr="002F35A2" w:rsidRDefault="00CF2A39" w:rsidP="00306959">
                        <w:pPr>
                          <w:adjustRightInd w:val="0"/>
                          <w:snapToGrid w:val="0"/>
                          <w:spacing w:before="0" w:after="0" w:line="240" w:lineRule="auto"/>
                          <w:ind w:left="333" w:hangingChars="208" w:hanging="333"/>
                          <w:jc w:val="left"/>
                          <w:rPr>
                            <w:sz w:val="16"/>
                            <w:szCs w:val="16"/>
                          </w:rPr>
                        </w:pPr>
                        <w:r w:rsidRPr="002F35A2">
                          <w:rPr>
                            <w:sz w:val="16"/>
                            <w:szCs w:val="16"/>
                          </w:rPr>
                          <w:t>•</w:t>
                        </w:r>
                        <w:r w:rsidRPr="002F35A2">
                          <w:rPr>
                            <w:sz w:val="16"/>
                            <w:szCs w:val="16"/>
                          </w:rPr>
                          <w:tab/>
                          <w:t>Expansion group: The expansion study will begin once the investigational drug is assessed as tolerable following tolerability evaluations in the target dose groups of the dose escalation study</w:t>
                        </w:r>
                        <w:r w:rsidRPr="002F35A2">
                          <w:rPr>
                            <w:rFonts w:hint="eastAsia"/>
                            <w:sz w:val="16"/>
                            <w:szCs w:val="16"/>
                          </w:rPr>
                          <w:t>;</w:t>
                        </w:r>
                      </w:p>
                      <w:p w14:paraId="211D6FDE" w14:textId="77777777" w:rsidR="0005712D" w:rsidRPr="002F35A2" w:rsidRDefault="00CF2A39">
                        <w:pPr>
                          <w:adjustRightInd w:val="0"/>
                          <w:snapToGrid w:val="0"/>
                          <w:spacing w:before="0" w:after="0" w:line="240" w:lineRule="auto"/>
                          <w:ind w:left="333" w:hangingChars="208" w:hanging="333"/>
                          <w:jc w:val="left"/>
                          <w:rPr>
                            <w:rFonts w:cs="Times New Roman"/>
                            <w:sz w:val="16"/>
                            <w:szCs w:val="16"/>
                          </w:rPr>
                        </w:pPr>
                        <w:r w:rsidRPr="002F35A2">
                          <w:rPr>
                            <w:sz w:val="16"/>
                            <w:szCs w:val="16"/>
                          </w:rPr>
                          <w:t>•</w:t>
                        </w:r>
                        <w:r w:rsidRPr="002F35A2">
                          <w:rPr>
                            <w:sz w:val="16"/>
                            <w:szCs w:val="16"/>
                          </w:rPr>
                          <w:tab/>
                          <w:t>In Part B escalation study, the gastric emptying effect study will be conducted concurrently with dose escalation group 1.</w:t>
                        </w:r>
                      </w:p>
                    </w:txbxContent>
                  </v:textbox>
                </v:shape>
              </v:group>
            </w:pict>
          </mc:Fallback>
        </mc:AlternateContent>
      </w:r>
      <w:r w:rsidRPr="00F72DDB">
        <w:rPr>
          <w:rFonts w:cs="Times New Roman"/>
          <w:noProof/>
          <w:sz w:val="24"/>
          <w:lang w:bidi="th-TH"/>
        </w:rPr>
        <mc:AlternateContent>
          <mc:Choice Requires="wps">
            <w:drawing>
              <wp:anchor distT="0" distB="0" distL="114300" distR="114300" simplePos="0" relativeHeight="251658752" behindDoc="0" locked="0" layoutInCell="1" allowOverlap="1" wp14:anchorId="6B85BB73" wp14:editId="04752C42">
                <wp:simplePos x="0" y="0"/>
                <wp:positionH relativeFrom="column">
                  <wp:posOffset>139700</wp:posOffset>
                </wp:positionH>
                <wp:positionV relativeFrom="paragraph">
                  <wp:posOffset>221615</wp:posOffset>
                </wp:positionV>
                <wp:extent cx="5295900" cy="222250"/>
                <wp:effectExtent l="0" t="0" r="0" b="6350"/>
                <wp:wrapNone/>
                <wp:docPr id="3" name="文本框 3"/>
                <wp:cNvGraphicFramePr/>
                <a:graphic xmlns:a="http://schemas.openxmlformats.org/drawingml/2006/main">
                  <a:graphicData uri="http://schemas.microsoft.com/office/word/2010/wordprocessingShape">
                    <wps:wsp>
                      <wps:cNvSpPr txBox="1"/>
                      <wps:spPr>
                        <a:xfrm>
                          <a:off x="0" y="0"/>
                          <a:ext cx="5295900" cy="222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5BAB3B" w14:textId="77777777" w:rsidR="0005712D" w:rsidRDefault="00CF2A39">
                            <w:pPr>
                              <w:adjustRightInd w:val="0"/>
                              <w:snapToGrid w:val="0"/>
                              <w:spacing w:before="0" w:after="0" w:line="240" w:lineRule="auto"/>
                              <w:jc w:val="center"/>
                              <w:rPr>
                                <w:rFonts w:cs="Times New Roman"/>
                                <w:b/>
                                <w:bCs/>
                                <w:sz w:val="22"/>
                                <w:szCs w:val="22"/>
                              </w:rPr>
                            </w:pPr>
                            <w:r>
                              <w:rPr>
                                <w:b/>
                                <w:bCs/>
                                <w:sz w:val="22"/>
                                <w:szCs w:val="22"/>
                              </w:rPr>
                              <w:t>Flowchart of study design for Part B</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w14:anchorId="6B85BB73" id="文本框 3" o:spid="_x0000_s1043" type="#_x0000_t202" style="position:absolute;margin-left:11pt;margin-top:17.45pt;width:417pt;height:1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" filled="f" stroked="f" strokeweight=".5pt">
                <v:textbox inset="0,0,0,0">
                  <w:txbxContent>
                    <w:p w14:paraId="0F5BAB3B" w14:textId="77777777" w:rsidR="0005712D" w:rsidRDefault="00CF2A39">
                      <w:pPr>
                        <w:adjustRightInd w:val="0"/>
                        <w:snapToGrid w:val="0"/>
                        <w:spacing w:before="0" w:after="0" w:line="240" w:lineRule="auto"/>
                        <w:jc w:val="center"/>
                        <w:rPr>
                          <w:rFonts w:cs="Times New Roman"/>
                          <w:b/>
                          <w:bCs/>
                          <w:sz w:val="22"/>
                          <w:szCs w:val="22"/>
                        </w:rPr>
                      </w:pPr>
                      <w:r>
                        <w:rPr>
                          <w:b/>
                          <w:bCs/>
                          <w:sz w:val="22"/>
                          <w:szCs w:val="22"/>
                        </w:rPr>
                        <w:t>Flowchart of study design for Part B</w:t>
                      </w:r>
                    </w:p>
                  </w:txbxContent>
                </v:textbox>
              </v:shape>
            </w:pict>
          </mc:Fallback>
        </mc:AlternateContent>
      </w:r>
      <w:r w:rsidRPr="00F72DDB">
        <w:rPr>
          <w:rFonts w:cs="Times New Roman"/>
          <w:noProof/>
          <w:sz w:val="24"/>
          <w:lang w:bidi="th-TH"/>
        </w:rPr>
        <w:drawing>
          <wp:inline distT="0" distB="0" distL="0" distR="0" wp14:anchorId="1E2F8EA9" wp14:editId="2180A317">
            <wp:extent cx="5730875" cy="2954655"/>
            <wp:effectExtent l="0" t="0" r="3175" b="0"/>
            <wp:docPr id="7200064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06425" name="图片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1318" cy="2954655"/>
                    </a:xfrm>
                    <a:prstGeom prst="rect">
                      <a:avLst/>
                    </a:prstGeom>
                  </pic:spPr>
                </pic:pic>
              </a:graphicData>
            </a:graphic>
          </wp:inline>
        </w:drawing>
      </w:r>
    </w:p>
    <w:p w14:paraId="1FD1ABF0"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17" w:name="_Toc122538533"/>
      <w:bookmarkStart w:id="18" w:name="_Toc122533475"/>
      <w:bookmarkStart w:id="19" w:name="_Toc122533476"/>
      <w:bookmarkStart w:id="20" w:name="_Toc125069360"/>
      <w:bookmarkStart w:id="21" w:name="_Toc125118534"/>
      <w:bookmarkStart w:id="22" w:name="_Toc123721062"/>
      <w:bookmarkStart w:id="23" w:name="_Toc126522235"/>
      <w:bookmarkStart w:id="24" w:name="_Toc125069240"/>
      <w:bookmarkStart w:id="25" w:name="_Toc125702828"/>
      <w:bookmarkStart w:id="26" w:name="_Toc126527390"/>
      <w:bookmarkStart w:id="27" w:name="_Toc126436507"/>
      <w:bookmarkStart w:id="28" w:name="_Toc126444742"/>
      <w:bookmarkStart w:id="29" w:name="_Toc126436508"/>
      <w:bookmarkStart w:id="30" w:name="_Toc125055776"/>
      <w:bookmarkStart w:id="31" w:name="_Toc125070442"/>
      <w:bookmarkStart w:id="32" w:name="_Toc125070443"/>
      <w:bookmarkStart w:id="33" w:name="_Toc125118164"/>
      <w:bookmarkStart w:id="34" w:name="_Toc126569361"/>
      <w:bookmarkStart w:id="35" w:name="_Toc125055658"/>
      <w:bookmarkStart w:id="36" w:name="_Toc125055659"/>
      <w:bookmarkStart w:id="37" w:name="_Toc125069239"/>
      <w:bookmarkStart w:id="38" w:name="_Toc122538534"/>
      <w:bookmarkStart w:id="39" w:name="_Toc126569362"/>
      <w:bookmarkStart w:id="40" w:name="_Toc126522802"/>
      <w:bookmarkStart w:id="41" w:name="_Toc126527391"/>
      <w:bookmarkStart w:id="42" w:name="_Toc125118533"/>
      <w:bookmarkStart w:id="43" w:name="_Toc125702827"/>
      <w:bookmarkStart w:id="44" w:name="_Toc125066967"/>
      <w:bookmarkStart w:id="45" w:name="_Toc126522236"/>
      <w:bookmarkStart w:id="46" w:name="_Toc126532997"/>
      <w:bookmarkStart w:id="47" w:name="_Toc126444741"/>
      <w:bookmarkStart w:id="48" w:name="_Toc126532996"/>
      <w:bookmarkStart w:id="49" w:name="_Toc125066968"/>
      <w:bookmarkStart w:id="50" w:name="_Toc125069359"/>
      <w:bookmarkStart w:id="51" w:name="_Toc123721063"/>
      <w:bookmarkStart w:id="52" w:name="_Toc125055777"/>
      <w:bookmarkStart w:id="53" w:name="_Toc125118163"/>
      <w:bookmarkStart w:id="54" w:name="_Toc126522803"/>
      <w:bookmarkStart w:id="55" w:name="_Toc216186538"/>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F72DDB">
        <w:rPr>
          <w:rFonts w:ascii="Times New Roman" w:hAnsi="Times New Roman" w:cs="Times New Roman"/>
          <w:color w:val="000000" w:themeColor="text1"/>
          <w:sz w:val="24"/>
          <w:szCs w:val="24"/>
        </w:rPr>
        <w:t>Randomization and Blinding</w:t>
      </w:r>
      <w:bookmarkEnd w:id="55"/>
    </w:p>
    <w:p w14:paraId="0FE97F2F"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56" w:name="_Toc216186539"/>
      <w:r w:rsidRPr="00F72DDB">
        <w:rPr>
          <w:rFonts w:ascii="Times New Roman" w:hAnsi="Times New Roman" w:cs="Times New Roman"/>
          <w:szCs w:val="24"/>
        </w:rPr>
        <w:t>Randomization</w:t>
      </w:r>
      <w:bookmarkEnd w:id="56"/>
    </w:p>
    <w:p w14:paraId="2918EAD1"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After the subject has signed the informed consent form and before any study-related assessments are performed, a 5-digit screening number (Sxxxxx) will be assigned to each subject: "S" denotes screening, the first two digits are the site number, and the last three digits are the subject's screening sequence number.</w:t>
      </w:r>
    </w:p>
    <w:p w14:paraId="3BF5279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The randomization schedule will be generated by an unblinded statistician using SAS v9.4 or later. Subjects in Part A and the Part B extension study will be randomized using stratified block randomization according to diabetes mellitus treatment status (treatment-naive or treatment-experienced), and subjects in the Part B dose escalation study will be randomized using block randomization. Separate randomization schedules for each of the following will be generated independently by an unblinded statistician: each dose group in Part A, each dose group in the Part B dose escalation study, and each dose group in the Part B extension study. In Part A, subjects will be randomized in a 1:1:1 ratio to the RAY1225 injection 3 mg group, the 6 mg group, or the placebo group; in each dose group of Part B, subjects will be randomized in a 4:1 ratio to the corresponding RAY1225 injection dose group or placebo group. The randomization schedule containing subject randomization numbers and treatment assignment will be uploaded to the central randomization system (IWRS). After confirmation that a subject has passed screening, the investigator or authorized personnel will log into the IWRS to perform randomization.</w:t>
      </w:r>
    </w:p>
    <w:p w14:paraId="46FDD47B" w14:textId="77777777" w:rsidR="0005712D" w:rsidRPr="00F72DDB" w:rsidRDefault="00CF2A39" w:rsidP="00A34AC5">
      <w:pPr>
        <w:pStyle w:val="Normal2"/>
        <w:pageBreakBefore/>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bookmarkStart w:id="57" w:name="_Hlk155643247"/>
      <w:r w:rsidRPr="00F72DDB">
        <w:rPr>
          <w:rFonts w:cs="Times New Roman"/>
          <w:color w:val="000000" w:themeColor="text1"/>
          <w:sz w:val="24"/>
        </w:rPr>
        <w:lastRenderedPageBreak/>
        <w:t>The randomization number for Part A will consist of the study code (A) and a 4-digit sequence number, e.g., A0001 represents Subject 0001 in Part A. Randomization numbers for Part B will consist of the study code for each part + group number + sequence number. The study code includes B (denoting the Part B dose escalation study) and K (denoting the Part B extension study); the group number consists of 1 digit and the sequence number consists of 3 digits. For example, B2002 represents Subject 002 in group 2 of the dose escalation study, and K2003 represents Subject 003 in Group 2 of the extension study.</w:t>
      </w:r>
    </w:p>
    <w:p w14:paraId="12CD44BC"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bookmarkStart w:id="58" w:name="OLE_LINK12"/>
      <w:bookmarkEnd w:id="57"/>
      <w:r w:rsidRPr="00F72DDB">
        <w:rPr>
          <w:rFonts w:cs="Times New Roman"/>
          <w:color w:val="000000" w:themeColor="text1"/>
          <w:sz w:val="24"/>
        </w:rPr>
        <w:t xml:space="preserve">If a subject who has already been assigned a randomization number withdraws from the study before the first dose, the same number of subjects will be replaced. </w:t>
      </w:r>
      <w:bookmarkEnd w:id="58"/>
      <w:r w:rsidRPr="00F72DDB">
        <w:rPr>
          <w:rFonts w:cs="Times New Roman"/>
          <w:color w:val="000000" w:themeColor="text1"/>
          <w:sz w:val="24"/>
        </w:rPr>
        <w:t>For Part A, the replacement randomization number will be generated by adding "1000" to the original randomization number, e.g., the replacement randomization number for A0001 will be A1001. For Part B, the replacement randomization number will be generated by adding "100" to the original randomization number, e.g., the replacement randomization number for B1001 will be B1101.</w:t>
      </w:r>
    </w:p>
    <w:p w14:paraId="2F64C1AE"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After subject randomization, the drug preparation personnel will log into the IWRS at each dispensing visit to obtain the investigational medicinal product corresponding to the assigned group and perform drug preparation.</w:t>
      </w:r>
    </w:p>
    <w:p w14:paraId="618FE40F"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59" w:name="_Toc216186540"/>
      <w:r w:rsidRPr="00F72DDB">
        <w:rPr>
          <w:rFonts w:ascii="Times New Roman" w:hAnsi="Times New Roman" w:cs="Times New Roman"/>
          <w:szCs w:val="24"/>
        </w:rPr>
        <w:t>Blinding</w:t>
      </w:r>
      <w:bookmarkEnd w:id="59"/>
    </w:p>
    <w:p w14:paraId="6E9B91A1"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bCs/>
          <w:sz w:val="24"/>
        </w:rPr>
      </w:pPr>
      <w:r w:rsidRPr="00F72DDB">
        <w:rPr>
          <w:rFonts w:cs="Times New Roman"/>
          <w:color w:val="000000" w:themeColor="text1"/>
          <w:sz w:val="24"/>
        </w:rPr>
        <w:t xml:space="preserve">This study will be conducted in a double-blind manner. During the treatment period, personnel responsible for drug preparation and administration will be unblinded (accessing unblinded information via IWRS permission settings), while the investigators and subjects will remain blinded. The biological sample detection and analysis personnel may obtain a blind code to support sample detection (the blood samples of subjects treated with the simulant will not be detected) and perform secondary coding to provide the detection data to the PK analysis personnel and project team of this study in a blind manner. The investigational drug and investigational drug simulant will be provided by the sponsor to ensure that the smell, shape, volume, color, and clarity of the investigational drug simulant are </w:t>
      </w:r>
      <w:proofErr w:type="gramStart"/>
      <w:r w:rsidRPr="00F72DDB">
        <w:rPr>
          <w:rFonts w:cs="Times New Roman"/>
          <w:color w:val="000000" w:themeColor="text1"/>
          <w:sz w:val="24"/>
        </w:rPr>
        <w:t>similar to</w:t>
      </w:r>
      <w:proofErr w:type="gramEnd"/>
      <w:r w:rsidRPr="00F72DDB">
        <w:rPr>
          <w:rFonts w:cs="Times New Roman"/>
          <w:color w:val="000000" w:themeColor="text1"/>
          <w:sz w:val="24"/>
        </w:rPr>
        <w:t xml:space="preserve"> those of the investigational drug. Blinding codes for each treatment will be prepared by designated unblinded personnel at the statistical unit. </w:t>
      </w:r>
      <w:r w:rsidRPr="00F72DDB">
        <w:rPr>
          <w:rFonts w:cs="Times New Roman"/>
          <w:sz w:val="24"/>
        </w:rPr>
        <w:t>Randomization schedules for each dose group will be generated by an unblinded statistician using SAS v9.4 or later.</w:t>
      </w:r>
    </w:p>
    <w:p w14:paraId="595C4ECE" w14:textId="54368BFD" w:rsidR="0005712D" w:rsidRPr="00F72DDB" w:rsidRDefault="00CF2A39" w:rsidP="00A34AC5">
      <w:pPr>
        <w:overflowPunct w:val="0"/>
        <w:autoSpaceDE w:val="0"/>
        <w:autoSpaceDN w:val="0"/>
        <w:adjustRightInd w:val="0"/>
        <w:snapToGrid w:val="0"/>
        <w:spacing w:beforeLines="50" w:before="120" w:afterLines="50" w:after="120" w:line="300" w:lineRule="auto"/>
        <w:jc w:val="left"/>
        <w:rPr>
          <w:rFonts w:cs="Times New Roman"/>
          <w:b/>
          <w:bCs/>
          <w:sz w:val="24"/>
        </w:rPr>
      </w:pPr>
      <w:r w:rsidRPr="00F72DDB">
        <w:rPr>
          <w:rFonts w:cs="Times New Roman"/>
          <w:color w:val="000000" w:themeColor="text1"/>
          <w:sz w:val="24"/>
        </w:rPr>
        <w:t xml:space="preserve">All unblinded information for this study will be retained by the unblinded statistician. To facilitate sample testing by bioanalytical personnel (who will not test blood samples from subjects receiving </w:t>
      </w:r>
      <w:r w:rsidR="002B1B15" w:rsidRPr="00F72DDB">
        <w:rPr>
          <w:rFonts w:cs="Times New Roman"/>
          <w:color w:val="000000" w:themeColor="text1"/>
          <w:sz w:val="24"/>
        </w:rPr>
        <w:t>simulant</w:t>
      </w:r>
      <w:r w:rsidRPr="00F72DDB">
        <w:rPr>
          <w:rFonts w:cs="Times New Roman"/>
          <w:color w:val="000000" w:themeColor="text1"/>
          <w:sz w:val="24"/>
        </w:rPr>
        <w:t>), treatment allocation information will be sent as blinded information to designated personnel at the testing laboratory. The specific method of transmission will be described in detail in the data transfer agreement.</w:t>
      </w:r>
    </w:p>
    <w:p w14:paraId="7B6A7344" w14:textId="77777777" w:rsidR="0005712D" w:rsidRPr="00F72DDB" w:rsidRDefault="0005712D"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sectPr w:rsidR="0005712D" w:rsidRPr="00F72DDB" w:rsidSect="00F72DDB">
          <w:pgSz w:w="12242" w:h="15842" w:code="119"/>
          <w:pgMar w:top="1440" w:right="1440" w:bottom="1440" w:left="1440" w:header="720" w:footer="720" w:gutter="0"/>
          <w:cols w:space="425"/>
          <w:docGrid w:linePitch="312"/>
        </w:sectPr>
      </w:pPr>
    </w:p>
    <w:p w14:paraId="241F5D36"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60" w:name="_Toc216186541"/>
      <w:r w:rsidRPr="00F72DDB">
        <w:rPr>
          <w:rFonts w:ascii="Times New Roman" w:hAnsi="Times New Roman" w:cs="Times New Roman"/>
          <w:sz w:val="24"/>
          <w:szCs w:val="24"/>
        </w:rPr>
        <w:lastRenderedPageBreak/>
        <w:t>Schedule of Activities</w:t>
      </w:r>
      <w:bookmarkEnd w:id="60"/>
    </w:p>
    <w:p w14:paraId="1686F1B0" w14:textId="77777777" w:rsidR="0005712D" w:rsidRPr="00F72DDB" w:rsidRDefault="00CF2A39" w:rsidP="00101741">
      <w:pPr>
        <w:pStyle w:val="a0"/>
        <w:numPr>
          <w:ilvl w:val="0"/>
          <w:numId w:val="0"/>
        </w:numPr>
        <w:overflowPunct w:val="0"/>
        <w:autoSpaceDE w:val="0"/>
        <w:autoSpaceDN w:val="0"/>
        <w:adjustRightInd w:val="0"/>
        <w:spacing w:beforeLines="50" w:afterLines="50" w:line="300" w:lineRule="auto"/>
        <w:ind w:left="420"/>
        <w:jc w:val="center"/>
        <w:rPr>
          <w:rFonts w:cs="Times New Roman"/>
          <w:b/>
          <w:sz w:val="24"/>
          <w:szCs w:val="24"/>
        </w:rPr>
      </w:pPr>
      <w:r w:rsidRPr="00F72DDB">
        <w:rPr>
          <w:rFonts w:cs="Times New Roman"/>
          <w:b/>
          <w:sz w:val="24"/>
          <w:szCs w:val="24"/>
        </w:rPr>
        <w:t>Schedule of activities for Part A and Part B expansion 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3"/>
        <w:gridCol w:w="959"/>
        <w:gridCol w:w="524"/>
        <w:gridCol w:w="524"/>
        <w:gridCol w:w="526"/>
        <w:gridCol w:w="524"/>
        <w:gridCol w:w="526"/>
        <w:gridCol w:w="525"/>
        <w:gridCol w:w="527"/>
        <w:gridCol w:w="525"/>
        <w:gridCol w:w="527"/>
        <w:gridCol w:w="525"/>
        <w:gridCol w:w="527"/>
        <w:gridCol w:w="525"/>
        <w:gridCol w:w="527"/>
        <w:gridCol w:w="525"/>
        <w:gridCol w:w="527"/>
        <w:gridCol w:w="1500"/>
      </w:tblGrid>
      <w:tr w:rsidR="0005712D" w:rsidRPr="00101741" w14:paraId="09D8BB8E" w14:textId="77777777" w:rsidTr="00A34AC5">
        <w:trPr>
          <w:tblHeader/>
        </w:trPr>
        <w:tc>
          <w:tcPr>
            <w:tcW w:w="1049" w:type="pct"/>
            <w:tcMar>
              <w:top w:w="57" w:type="dxa"/>
              <w:left w:w="57" w:type="dxa"/>
              <w:bottom w:w="57" w:type="dxa"/>
              <w:right w:w="57" w:type="dxa"/>
            </w:tcMar>
            <w:vAlign w:val="center"/>
          </w:tcPr>
          <w:p w14:paraId="2DF17AE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bookmarkStart w:id="61" w:name="_Hlk154584481"/>
            <w:r w:rsidRPr="00101741">
              <w:rPr>
                <w:rFonts w:cs="Times New Roman"/>
                <w:b/>
                <w:bCs/>
                <w:sz w:val="20"/>
                <w:szCs w:val="20"/>
              </w:rPr>
              <w:t>Study procedure</w:t>
            </w:r>
          </w:p>
        </w:tc>
        <w:tc>
          <w:tcPr>
            <w:tcW w:w="307" w:type="pct"/>
            <w:tcMar>
              <w:top w:w="57" w:type="dxa"/>
              <w:left w:w="57" w:type="dxa"/>
              <w:bottom w:w="57" w:type="dxa"/>
              <w:right w:w="57" w:type="dxa"/>
            </w:tcMar>
            <w:vAlign w:val="center"/>
          </w:tcPr>
          <w:p w14:paraId="24051F2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Screening period</w:t>
            </w:r>
            <w:r w:rsidRPr="00101741">
              <w:rPr>
                <w:rFonts w:cs="Times New Roman"/>
                <w:b/>
                <w:bCs/>
                <w:sz w:val="20"/>
                <w:szCs w:val="20"/>
                <w:vertAlign w:val="superscript"/>
              </w:rPr>
              <w:t>1</w:t>
            </w:r>
          </w:p>
        </w:tc>
        <w:tc>
          <w:tcPr>
            <w:tcW w:w="3645" w:type="pct"/>
            <w:gridSpan w:val="16"/>
            <w:tcMar>
              <w:top w:w="57" w:type="dxa"/>
              <w:left w:w="57" w:type="dxa"/>
              <w:bottom w:w="57" w:type="dxa"/>
              <w:right w:w="57" w:type="dxa"/>
            </w:tcMar>
            <w:vAlign w:val="center"/>
          </w:tcPr>
          <w:p w14:paraId="7389D5B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Treatment and observation period</w:t>
            </w:r>
          </w:p>
        </w:tc>
      </w:tr>
      <w:tr w:rsidR="0005712D" w:rsidRPr="00101741" w14:paraId="1305DE31" w14:textId="77777777" w:rsidTr="00A34AC5">
        <w:trPr>
          <w:tblHeader/>
        </w:trPr>
        <w:tc>
          <w:tcPr>
            <w:tcW w:w="1049" w:type="pct"/>
            <w:tcMar>
              <w:top w:w="57" w:type="dxa"/>
              <w:left w:w="57" w:type="dxa"/>
              <w:bottom w:w="57" w:type="dxa"/>
              <w:right w:w="57" w:type="dxa"/>
            </w:tcMar>
            <w:vAlign w:val="center"/>
          </w:tcPr>
          <w:p w14:paraId="5A9FE39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Visit</w:t>
            </w:r>
          </w:p>
        </w:tc>
        <w:tc>
          <w:tcPr>
            <w:tcW w:w="307" w:type="pct"/>
            <w:shd w:val="clear" w:color="auto" w:fill="F2F2F2"/>
            <w:tcMar>
              <w:top w:w="57" w:type="dxa"/>
              <w:left w:w="57" w:type="dxa"/>
              <w:bottom w:w="57" w:type="dxa"/>
              <w:right w:w="57" w:type="dxa"/>
            </w:tcMar>
            <w:vAlign w:val="center"/>
          </w:tcPr>
          <w:p w14:paraId="42EC049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w:t>
            </w:r>
          </w:p>
        </w:tc>
        <w:tc>
          <w:tcPr>
            <w:tcW w:w="204" w:type="pct"/>
            <w:shd w:val="clear" w:color="auto" w:fill="F2F2F2"/>
            <w:tcMar>
              <w:top w:w="57" w:type="dxa"/>
              <w:left w:w="57" w:type="dxa"/>
              <w:bottom w:w="57" w:type="dxa"/>
              <w:right w:w="57" w:type="dxa"/>
            </w:tcMar>
            <w:vAlign w:val="center"/>
          </w:tcPr>
          <w:p w14:paraId="737990D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V2</w:t>
            </w:r>
          </w:p>
        </w:tc>
        <w:tc>
          <w:tcPr>
            <w:tcW w:w="204" w:type="pct"/>
            <w:shd w:val="clear" w:color="auto" w:fill="F2F2F2"/>
            <w:tcMar>
              <w:top w:w="57" w:type="dxa"/>
              <w:left w:w="57" w:type="dxa"/>
              <w:bottom w:w="57" w:type="dxa"/>
              <w:right w:w="57" w:type="dxa"/>
            </w:tcMar>
            <w:vAlign w:val="center"/>
          </w:tcPr>
          <w:p w14:paraId="19B65C7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V3</w:t>
            </w:r>
          </w:p>
        </w:tc>
        <w:tc>
          <w:tcPr>
            <w:tcW w:w="205" w:type="pct"/>
            <w:shd w:val="clear" w:color="auto" w:fill="F2F2F2"/>
            <w:tcMar>
              <w:top w:w="57" w:type="dxa"/>
              <w:left w:w="57" w:type="dxa"/>
              <w:bottom w:w="57" w:type="dxa"/>
              <w:right w:w="57" w:type="dxa"/>
            </w:tcMar>
            <w:vAlign w:val="center"/>
          </w:tcPr>
          <w:p w14:paraId="04067C2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V4</w:t>
            </w:r>
          </w:p>
        </w:tc>
        <w:tc>
          <w:tcPr>
            <w:tcW w:w="204" w:type="pct"/>
            <w:shd w:val="clear" w:color="auto" w:fill="F2F2F2"/>
            <w:tcMar>
              <w:top w:w="57" w:type="dxa"/>
              <w:left w:w="57" w:type="dxa"/>
              <w:bottom w:w="57" w:type="dxa"/>
              <w:right w:w="57" w:type="dxa"/>
            </w:tcMar>
            <w:vAlign w:val="center"/>
          </w:tcPr>
          <w:p w14:paraId="07D6AB9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V5</w:t>
            </w:r>
          </w:p>
        </w:tc>
        <w:tc>
          <w:tcPr>
            <w:tcW w:w="205" w:type="pct"/>
            <w:shd w:val="clear" w:color="auto" w:fill="F2F2F2"/>
            <w:tcMar>
              <w:top w:w="57" w:type="dxa"/>
              <w:left w:w="57" w:type="dxa"/>
              <w:bottom w:w="57" w:type="dxa"/>
              <w:right w:w="57" w:type="dxa"/>
            </w:tcMar>
            <w:vAlign w:val="center"/>
          </w:tcPr>
          <w:p w14:paraId="51822A4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V6</w:t>
            </w:r>
          </w:p>
        </w:tc>
        <w:tc>
          <w:tcPr>
            <w:tcW w:w="204" w:type="pct"/>
            <w:shd w:val="clear" w:color="auto" w:fill="F2F2F2"/>
            <w:tcMar>
              <w:top w:w="57" w:type="dxa"/>
              <w:left w:w="57" w:type="dxa"/>
              <w:bottom w:w="57" w:type="dxa"/>
              <w:right w:w="57" w:type="dxa"/>
            </w:tcMar>
            <w:vAlign w:val="center"/>
          </w:tcPr>
          <w:p w14:paraId="099DD9B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V7</w:t>
            </w:r>
          </w:p>
        </w:tc>
        <w:tc>
          <w:tcPr>
            <w:tcW w:w="205" w:type="pct"/>
            <w:shd w:val="clear" w:color="auto" w:fill="F2F2F2"/>
            <w:tcMar>
              <w:top w:w="57" w:type="dxa"/>
              <w:left w:w="57" w:type="dxa"/>
              <w:bottom w:w="57" w:type="dxa"/>
              <w:right w:w="57" w:type="dxa"/>
            </w:tcMar>
            <w:vAlign w:val="center"/>
          </w:tcPr>
          <w:p w14:paraId="07B6F49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V8</w:t>
            </w:r>
          </w:p>
        </w:tc>
        <w:tc>
          <w:tcPr>
            <w:tcW w:w="204" w:type="pct"/>
            <w:shd w:val="clear" w:color="auto" w:fill="F2F2F2"/>
            <w:tcMar>
              <w:top w:w="57" w:type="dxa"/>
              <w:left w:w="57" w:type="dxa"/>
              <w:bottom w:w="57" w:type="dxa"/>
              <w:right w:w="57" w:type="dxa"/>
            </w:tcMar>
            <w:vAlign w:val="center"/>
          </w:tcPr>
          <w:p w14:paraId="10D2F36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V9</w:t>
            </w:r>
          </w:p>
        </w:tc>
        <w:tc>
          <w:tcPr>
            <w:tcW w:w="205" w:type="pct"/>
            <w:shd w:val="clear" w:color="auto" w:fill="F2F2F2"/>
            <w:tcMar>
              <w:top w:w="57" w:type="dxa"/>
              <w:left w:w="57" w:type="dxa"/>
              <w:bottom w:w="57" w:type="dxa"/>
              <w:right w:w="57" w:type="dxa"/>
            </w:tcMar>
            <w:vAlign w:val="center"/>
          </w:tcPr>
          <w:p w14:paraId="07D1152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V10</w:t>
            </w:r>
          </w:p>
        </w:tc>
        <w:tc>
          <w:tcPr>
            <w:tcW w:w="204" w:type="pct"/>
            <w:shd w:val="clear" w:color="auto" w:fill="F2F2F2"/>
            <w:tcMar>
              <w:top w:w="57" w:type="dxa"/>
              <w:left w:w="57" w:type="dxa"/>
              <w:bottom w:w="57" w:type="dxa"/>
              <w:right w:w="57" w:type="dxa"/>
            </w:tcMar>
            <w:vAlign w:val="center"/>
          </w:tcPr>
          <w:p w14:paraId="7B26603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V11</w:t>
            </w:r>
          </w:p>
        </w:tc>
        <w:tc>
          <w:tcPr>
            <w:tcW w:w="205" w:type="pct"/>
            <w:shd w:val="clear" w:color="auto" w:fill="F2F2F2"/>
            <w:tcMar>
              <w:top w:w="57" w:type="dxa"/>
              <w:left w:w="57" w:type="dxa"/>
              <w:bottom w:w="57" w:type="dxa"/>
              <w:right w:w="57" w:type="dxa"/>
            </w:tcMar>
            <w:vAlign w:val="center"/>
          </w:tcPr>
          <w:p w14:paraId="0A4654B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V12</w:t>
            </w:r>
          </w:p>
        </w:tc>
        <w:tc>
          <w:tcPr>
            <w:tcW w:w="204" w:type="pct"/>
            <w:shd w:val="clear" w:color="auto" w:fill="F2F2F2"/>
            <w:tcMar>
              <w:top w:w="57" w:type="dxa"/>
              <w:left w:w="57" w:type="dxa"/>
              <w:bottom w:w="57" w:type="dxa"/>
              <w:right w:w="57" w:type="dxa"/>
            </w:tcMar>
            <w:vAlign w:val="center"/>
          </w:tcPr>
          <w:p w14:paraId="472D64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V13</w:t>
            </w:r>
          </w:p>
        </w:tc>
        <w:tc>
          <w:tcPr>
            <w:tcW w:w="205" w:type="pct"/>
            <w:tcMar>
              <w:top w:w="57" w:type="dxa"/>
              <w:left w:w="57" w:type="dxa"/>
              <w:bottom w:w="57" w:type="dxa"/>
              <w:right w:w="57" w:type="dxa"/>
            </w:tcMar>
            <w:vAlign w:val="center"/>
          </w:tcPr>
          <w:p w14:paraId="337BF30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V14</w:t>
            </w:r>
          </w:p>
        </w:tc>
        <w:tc>
          <w:tcPr>
            <w:tcW w:w="204" w:type="pct"/>
            <w:tcMar>
              <w:top w:w="57" w:type="dxa"/>
              <w:left w:w="57" w:type="dxa"/>
              <w:bottom w:w="57" w:type="dxa"/>
              <w:right w:w="57" w:type="dxa"/>
            </w:tcMar>
            <w:vAlign w:val="center"/>
          </w:tcPr>
          <w:p w14:paraId="3528080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V15</w:t>
            </w:r>
          </w:p>
        </w:tc>
        <w:tc>
          <w:tcPr>
            <w:tcW w:w="205" w:type="pct"/>
            <w:tcMar>
              <w:top w:w="57" w:type="dxa"/>
              <w:left w:w="57" w:type="dxa"/>
              <w:bottom w:w="57" w:type="dxa"/>
              <w:right w:w="57" w:type="dxa"/>
            </w:tcMar>
            <w:vAlign w:val="center"/>
          </w:tcPr>
          <w:p w14:paraId="5BC8A0E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V16</w:t>
            </w:r>
          </w:p>
        </w:tc>
        <w:tc>
          <w:tcPr>
            <w:tcW w:w="577" w:type="pct"/>
            <w:tcMar>
              <w:top w:w="57" w:type="dxa"/>
              <w:left w:w="57" w:type="dxa"/>
              <w:bottom w:w="57" w:type="dxa"/>
              <w:right w:w="57" w:type="dxa"/>
            </w:tcMar>
            <w:vAlign w:val="center"/>
          </w:tcPr>
          <w:p w14:paraId="3AD185C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V17</w:t>
            </w:r>
          </w:p>
        </w:tc>
      </w:tr>
      <w:tr w:rsidR="0005712D" w:rsidRPr="00101741" w14:paraId="2E83FF3E" w14:textId="77777777" w:rsidTr="00A34AC5">
        <w:trPr>
          <w:tblHeader/>
        </w:trPr>
        <w:tc>
          <w:tcPr>
            <w:tcW w:w="1049" w:type="pct"/>
            <w:tcMar>
              <w:top w:w="57" w:type="dxa"/>
              <w:left w:w="57" w:type="dxa"/>
              <w:bottom w:w="57" w:type="dxa"/>
              <w:right w:w="57" w:type="dxa"/>
            </w:tcMar>
            <w:vAlign w:val="center"/>
          </w:tcPr>
          <w:p w14:paraId="6329A86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Visit (week)</w:t>
            </w:r>
          </w:p>
        </w:tc>
        <w:tc>
          <w:tcPr>
            <w:tcW w:w="307" w:type="pct"/>
            <w:shd w:val="clear" w:color="auto" w:fill="F2F2F2"/>
            <w:tcMar>
              <w:top w:w="57" w:type="dxa"/>
              <w:left w:w="57" w:type="dxa"/>
              <w:bottom w:w="57" w:type="dxa"/>
              <w:right w:w="57" w:type="dxa"/>
            </w:tcMar>
            <w:vAlign w:val="center"/>
          </w:tcPr>
          <w:p w14:paraId="502F91B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w:t>
            </w:r>
          </w:p>
        </w:tc>
        <w:tc>
          <w:tcPr>
            <w:tcW w:w="204" w:type="pct"/>
            <w:shd w:val="clear" w:color="auto" w:fill="F2F2F2"/>
            <w:tcMar>
              <w:top w:w="57" w:type="dxa"/>
              <w:left w:w="57" w:type="dxa"/>
              <w:bottom w:w="57" w:type="dxa"/>
              <w:right w:w="57" w:type="dxa"/>
            </w:tcMar>
            <w:vAlign w:val="center"/>
          </w:tcPr>
          <w:p w14:paraId="4BF6598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0</w:t>
            </w:r>
          </w:p>
        </w:tc>
        <w:tc>
          <w:tcPr>
            <w:tcW w:w="204" w:type="pct"/>
            <w:shd w:val="clear" w:color="auto" w:fill="F2F2F2"/>
            <w:tcMar>
              <w:top w:w="57" w:type="dxa"/>
              <w:left w:w="57" w:type="dxa"/>
              <w:bottom w:w="57" w:type="dxa"/>
              <w:right w:w="57" w:type="dxa"/>
            </w:tcMar>
            <w:vAlign w:val="center"/>
          </w:tcPr>
          <w:p w14:paraId="44D5320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w:t>
            </w:r>
          </w:p>
        </w:tc>
        <w:tc>
          <w:tcPr>
            <w:tcW w:w="205" w:type="pct"/>
            <w:shd w:val="clear" w:color="auto" w:fill="F2F2F2"/>
            <w:tcMar>
              <w:top w:w="57" w:type="dxa"/>
              <w:left w:w="57" w:type="dxa"/>
              <w:bottom w:w="57" w:type="dxa"/>
              <w:right w:w="57" w:type="dxa"/>
            </w:tcMar>
            <w:vAlign w:val="center"/>
          </w:tcPr>
          <w:p w14:paraId="41EE551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4</w:t>
            </w:r>
          </w:p>
        </w:tc>
        <w:tc>
          <w:tcPr>
            <w:tcW w:w="204" w:type="pct"/>
            <w:shd w:val="clear" w:color="auto" w:fill="F2F2F2"/>
            <w:tcMar>
              <w:top w:w="57" w:type="dxa"/>
              <w:left w:w="57" w:type="dxa"/>
              <w:bottom w:w="57" w:type="dxa"/>
              <w:right w:w="57" w:type="dxa"/>
            </w:tcMar>
            <w:vAlign w:val="center"/>
          </w:tcPr>
          <w:p w14:paraId="6F4460C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6</w:t>
            </w:r>
          </w:p>
        </w:tc>
        <w:tc>
          <w:tcPr>
            <w:tcW w:w="205" w:type="pct"/>
            <w:shd w:val="clear" w:color="auto" w:fill="F2F2F2"/>
            <w:tcMar>
              <w:top w:w="57" w:type="dxa"/>
              <w:left w:w="57" w:type="dxa"/>
              <w:bottom w:w="57" w:type="dxa"/>
              <w:right w:w="57" w:type="dxa"/>
            </w:tcMar>
            <w:vAlign w:val="center"/>
          </w:tcPr>
          <w:p w14:paraId="2D4175F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8</w:t>
            </w:r>
          </w:p>
        </w:tc>
        <w:tc>
          <w:tcPr>
            <w:tcW w:w="204" w:type="pct"/>
            <w:shd w:val="clear" w:color="auto" w:fill="F2F2F2"/>
            <w:tcMar>
              <w:top w:w="57" w:type="dxa"/>
              <w:left w:w="57" w:type="dxa"/>
              <w:bottom w:w="57" w:type="dxa"/>
              <w:right w:w="57" w:type="dxa"/>
            </w:tcMar>
            <w:vAlign w:val="center"/>
          </w:tcPr>
          <w:p w14:paraId="4356EC6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10</w:t>
            </w:r>
          </w:p>
        </w:tc>
        <w:tc>
          <w:tcPr>
            <w:tcW w:w="205" w:type="pct"/>
            <w:shd w:val="clear" w:color="auto" w:fill="F2F2F2"/>
            <w:tcMar>
              <w:top w:w="57" w:type="dxa"/>
              <w:left w:w="57" w:type="dxa"/>
              <w:bottom w:w="57" w:type="dxa"/>
              <w:right w:w="57" w:type="dxa"/>
            </w:tcMar>
            <w:vAlign w:val="center"/>
          </w:tcPr>
          <w:p w14:paraId="78B71DC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12</w:t>
            </w:r>
          </w:p>
        </w:tc>
        <w:tc>
          <w:tcPr>
            <w:tcW w:w="204" w:type="pct"/>
            <w:shd w:val="clear" w:color="auto" w:fill="F2F2F2"/>
            <w:tcMar>
              <w:top w:w="57" w:type="dxa"/>
              <w:left w:w="57" w:type="dxa"/>
              <w:bottom w:w="57" w:type="dxa"/>
              <w:right w:w="57" w:type="dxa"/>
            </w:tcMar>
            <w:vAlign w:val="center"/>
          </w:tcPr>
          <w:p w14:paraId="23FF362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w:t>
            </w:r>
          </w:p>
        </w:tc>
        <w:tc>
          <w:tcPr>
            <w:tcW w:w="205" w:type="pct"/>
            <w:shd w:val="clear" w:color="auto" w:fill="F2F2F2"/>
            <w:tcMar>
              <w:top w:w="57" w:type="dxa"/>
              <w:left w:w="57" w:type="dxa"/>
              <w:bottom w:w="57" w:type="dxa"/>
              <w:right w:w="57" w:type="dxa"/>
            </w:tcMar>
            <w:vAlign w:val="center"/>
          </w:tcPr>
          <w:p w14:paraId="10CCAF8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16</w:t>
            </w:r>
          </w:p>
        </w:tc>
        <w:tc>
          <w:tcPr>
            <w:tcW w:w="204" w:type="pct"/>
            <w:shd w:val="clear" w:color="auto" w:fill="F2F2F2"/>
            <w:tcMar>
              <w:top w:w="57" w:type="dxa"/>
              <w:left w:w="57" w:type="dxa"/>
              <w:bottom w:w="57" w:type="dxa"/>
              <w:right w:w="57" w:type="dxa"/>
            </w:tcMar>
            <w:vAlign w:val="center"/>
          </w:tcPr>
          <w:p w14:paraId="1776036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18</w:t>
            </w:r>
          </w:p>
        </w:tc>
        <w:tc>
          <w:tcPr>
            <w:tcW w:w="205" w:type="pct"/>
            <w:shd w:val="clear" w:color="auto" w:fill="F2F2F2"/>
            <w:tcMar>
              <w:top w:w="57" w:type="dxa"/>
              <w:left w:w="57" w:type="dxa"/>
              <w:bottom w:w="57" w:type="dxa"/>
              <w:right w:w="57" w:type="dxa"/>
            </w:tcMar>
            <w:vAlign w:val="center"/>
          </w:tcPr>
          <w:p w14:paraId="256DD6A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20</w:t>
            </w:r>
          </w:p>
        </w:tc>
        <w:tc>
          <w:tcPr>
            <w:tcW w:w="204" w:type="pct"/>
            <w:shd w:val="clear" w:color="auto" w:fill="F2F2F2"/>
            <w:tcMar>
              <w:top w:w="57" w:type="dxa"/>
              <w:left w:w="57" w:type="dxa"/>
              <w:bottom w:w="57" w:type="dxa"/>
              <w:right w:w="57" w:type="dxa"/>
            </w:tcMar>
            <w:vAlign w:val="center"/>
          </w:tcPr>
          <w:p w14:paraId="01D0495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22</w:t>
            </w:r>
          </w:p>
        </w:tc>
        <w:tc>
          <w:tcPr>
            <w:tcW w:w="205" w:type="pct"/>
            <w:tcMar>
              <w:top w:w="57" w:type="dxa"/>
              <w:left w:w="57" w:type="dxa"/>
              <w:bottom w:w="57" w:type="dxa"/>
              <w:right w:w="57" w:type="dxa"/>
            </w:tcMar>
            <w:vAlign w:val="center"/>
          </w:tcPr>
          <w:p w14:paraId="2E9965F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4" w:type="pct"/>
            <w:tcMar>
              <w:top w:w="57" w:type="dxa"/>
              <w:left w:w="57" w:type="dxa"/>
              <w:bottom w:w="57" w:type="dxa"/>
              <w:right w:w="57" w:type="dxa"/>
            </w:tcMar>
            <w:vAlign w:val="center"/>
          </w:tcPr>
          <w:p w14:paraId="4DE8AD4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5" w:type="pct"/>
            <w:tcMar>
              <w:top w:w="57" w:type="dxa"/>
              <w:left w:w="57" w:type="dxa"/>
              <w:bottom w:w="57" w:type="dxa"/>
              <w:right w:w="57" w:type="dxa"/>
            </w:tcMar>
            <w:vAlign w:val="center"/>
          </w:tcPr>
          <w:p w14:paraId="724BC49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24</w:t>
            </w:r>
          </w:p>
        </w:tc>
        <w:tc>
          <w:tcPr>
            <w:tcW w:w="577" w:type="pct"/>
            <w:tcMar>
              <w:top w:w="57" w:type="dxa"/>
              <w:left w:w="57" w:type="dxa"/>
              <w:bottom w:w="57" w:type="dxa"/>
              <w:right w:w="57" w:type="dxa"/>
            </w:tcMar>
            <w:vAlign w:val="center"/>
          </w:tcPr>
          <w:p w14:paraId="5FC1F29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26</w:t>
            </w:r>
          </w:p>
        </w:tc>
      </w:tr>
      <w:tr w:rsidR="0005712D" w:rsidRPr="00101741" w14:paraId="495E5F1C" w14:textId="77777777" w:rsidTr="00A34AC5">
        <w:trPr>
          <w:tblHeader/>
        </w:trPr>
        <w:tc>
          <w:tcPr>
            <w:tcW w:w="1049" w:type="pct"/>
            <w:tcMar>
              <w:top w:w="57" w:type="dxa"/>
              <w:left w:w="57" w:type="dxa"/>
              <w:bottom w:w="57" w:type="dxa"/>
              <w:right w:w="57" w:type="dxa"/>
            </w:tcMar>
            <w:vAlign w:val="center"/>
          </w:tcPr>
          <w:p w14:paraId="18E3C17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Visit (day)</w:t>
            </w:r>
          </w:p>
        </w:tc>
        <w:tc>
          <w:tcPr>
            <w:tcW w:w="307" w:type="pct"/>
            <w:tcMar>
              <w:top w:w="57" w:type="dxa"/>
              <w:left w:w="57" w:type="dxa"/>
              <w:bottom w:w="57" w:type="dxa"/>
              <w:right w:w="57" w:type="dxa"/>
            </w:tcMar>
            <w:vAlign w:val="center"/>
          </w:tcPr>
          <w:p w14:paraId="7480F6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-14~-1</w:t>
            </w:r>
          </w:p>
        </w:tc>
        <w:tc>
          <w:tcPr>
            <w:tcW w:w="204" w:type="pct"/>
            <w:shd w:val="clear" w:color="auto" w:fill="F2F2F2"/>
            <w:tcMar>
              <w:top w:w="57" w:type="dxa"/>
              <w:left w:w="57" w:type="dxa"/>
              <w:bottom w:w="57" w:type="dxa"/>
              <w:right w:w="57" w:type="dxa"/>
            </w:tcMar>
            <w:vAlign w:val="center"/>
          </w:tcPr>
          <w:p w14:paraId="1284108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0</w:t>
            </w:r>
          </w:p>
        </w:tc>
        <w:tc>
          <w:tcPr>
            <w:tcW w:w="204" w:type="pct"/>
            <w:shd w:val="clear" w:color="auto" w:fill="F2F2F2"/>
            <w:tcMar>
              <w:top w:w="57" w:type="dxa"/>
              <w:left w:w="57" w:type="dxa"/>
              <w:bottom w:w="57" w:type="dxa"/>
              <w:right w:w="57" w:type="dxa"/>
            </w:tcMar>
            <w:vAlign w:val="center"/>
          </w:tcPr>
          <w:p w14:paraId="6F7B088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w:t>
            </w:r>
          </w:p>
        </w:tc>
        <w:tc>
          <w:tcPr>
            <w:tcW w:w="205" w:type="pct"/>
            <w:shd w:val="clear" w:color="auto" w:fill="F2F2F2"/>
            <w:tcMar>
              <w:top w:w="57" w:type="dxa"/>
              <w:left w:w="57" w:type="dxa"/>
              <w:bottom w:w="57" w:type="dxa"/>
              <w:right w:w="57" w:type="dxa"/>
            </w:tcMar>
            <w:vAlign w:val="center"/>
          </w:tcPr>
          <w:p w14:paraId="5E03C63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28</w:t>
            </w:r>
          </w:p>
        </w:tc>
        <w:tc>
          <w:tcPr>
            <w:tcW w:w="204" w:type="pct"/>
            <w:shd w:val="clear" w:color="auto" w:fill="F2F2F2"/>
            <w:tcMar>
              <w:top w:w="57" w:type="dxa"/>
              <w:left w:w="57" w:type="dxa"/>
              <w:bottom w:w="57" w:type="dxa"/>
              <w:right w:w="57" w:type="dxa"/>
            </w:tcMar>
            <w:vAlign w:val="center"/>
          </w:tcPr>
          <w:p w14:paraId="51D8006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42</w:t>
            </w:r>
          </w:p>
        </w:tc>
        <w:tc>
          <w:tcPr>
            <w:tcW w:w="205" w:type="pct"/>
            <w:shd w:val="clear" w:color="auto" w:fill="F2F2F2"/>
            <w:tcMar>
              <w:top w:w="57" w:type="dxa"/>
              <w:left w:w="57" w:type="dxa"/>
              <w:bottom w:w="57" w:type="dxa"/>
              <w:right w:w="57" w:type="dxa"/>
            </w:tcMar>
            <w:vAlign w:val="center"/>
          </w:tcPr>
          <w:p w14:paraId="6695244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56</w:t>
            </w:r>
          </w:p>
        </w:tc>
        <w:tc>
          <w:tcPr>
            <w:tcW w:w="204" w:type="pct"/>
            <w:shd w:val="clear" w:color="auto" w:fill="F2F2F2"/>
            <w:tcMar>
              <w:top w:w="57" w:type="dxa"/>
              <w:left w:w="57" w:type="dxa"/>
              <w:bottom w:w="57" w:type="dxa"/>
              <w:right w:w="57" w:type="dxa"/>
            </w:tcMar>
            <w:vAlign w:val="center"/>
          </w:tcPr>
          <w:p w14:paraId="029D60A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70</w:t>
            </w:r>
          </w:p>
        </w:tc>
        <w:tc>
          <w:tcPr>
            <w:tcW w:w="205" w:type="pct"/>
            <w:shd w:val="clear" w:color="auto" w:fill="F2F2F2"/>
            <w:tcMar>
              <w:top w:w="57" w:type="dxa"/>
              <w:left w:w="57" w:type="dxa"/>
              <w:bottom w:w="57" w:type="dxa"/>
              <w:right w:w="57" w:type="dxa"/>
            </w:tcMar>
            <w:vAlign w:val="center"/>
          </w:tcPr>
          <w:p w14:paraId="6A90DA1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84</w:t>
            </w:r>
          </w:p>
        </w:tc>
        <w:tc>
          <w:tcPr>
            <w:tcW w:w="204" w:type="pct"/>
            <w:shd w:val="clear" w:color="auto" w:fill="F2F2F2"/>
            <w:tcMar>
              <w:top w:w="57" w:type="dxa"/>
              <w:left w:w="57" w:type="dxa"/>
              <w:bottom w:w="57" w:type="dxa"/>
              <w:right w:w="57" w:type="dxa"/>
            </w:tcMar>
            <w:vAlign w:val="center"/>
          </w:tcPr>
          <w:p w14:paraId="520BFA9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98</w:t>
            </w:r>
          </w:p>
        </w:tc>
        <w:tc>
          <w:tcPr>
            <w:tcW w:w="205" w:type="pct"/>
            <w:shd w:val="clear" w:color="auto" w:fill="F2F2F2"/>
            <w:tcMar>
              <w:top w:w="57" w:type="dxa"/>
              <w:left w:w="57" w:type="dxa"/>
              <w:bottom w:w="57" w:type="dxa"/>
              <w:right w:w="57" w:type="dxa"/>
            </w:tcMar>
            <w:vAlign w:val="center"/>
          </w:tcPr>
          <w:p w14:paraId="3098D62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112</w:t>
            </w:r>
          </w:p>
        </w:tc>
        <w:tc>
          <w:tcPr>
            <w:tcW w:w="204" w:type="pct"/>
            <w:shd w:val="clear" w:color="auto" w:fill="F2F2F2"/>
            <w:tcMar>
              <w:top w:w="57" w:type="dxa"/>
              <w:left w:w="57" w:type="dxa"/>
              <w:bottom w:w="57" w:type="dxa"/>
              <w:right w:w="57" w:type="dxa"/>
            </w:tcMar>
            <w:vAlign w:val="center"/>
          </w:tcPr>
          <w:p w14:paraId="725CA6E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126</w:t>
            </w:r>
          </w:p>
        </w:tc>
        <w:tc>
          <w:tcPr>
            <w:tcW w:w="205" w:type="pct"/>
            <w:shd w:val="clear" w:color="auto" w:fill="F2F2F2"/>
            <w:tcMar>
              <w:top w:w="57" w:type="dxa"/>
              <w:left w:w="57" w:type="dxa"/>
              <w:bottom w:w="57" w:type="dxa"/>
              <w:right w:w="57" w:type="dxa"/>
            </w:tcMar>
            <w:vAlign w:val="center"/>
          </w:tcPr>
          <w:p w14:paraId="677CCF9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140</w:t>
            </w:r>
          </w:p>
        </w:tc>
        <w:tc>
          <w:tcPr>
            <w:tcW w:w="204" w:type="pct"/>
            <w:shd w:val="clear" w:color="auto" w:fill="F2F2F2"/>
            <w:tcMar>
              <w:top w:w="57" w:type="dxa"/>
              <w:left w:w="57" w:type="dxa"/>
              <w:bottom w:w="57" w:type="dxa"/>
              <w:right w:w="57" w:type="dxa"/>
            </w:tcMar>
            <w:vAlign w:val="center"/>
          </w:tcPr>
          <w:p w14:paraId="3A352A6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154</w:t>
            </w:r>
          </w:p>
        </w:tc>
        <w:tc>
          <w:tcPr>
            <w:tcW w:w="205" w:type="pct"/>
            <w:tcMar>
              <w:top w:w="57" w:type="dxa"/>
              <w:left w:w="57" w:type="dxa"/>
              <w:bottom w:w="57" w:type="dxa"/>
              <w:right w:w="57" w:type="dxa"/>
            </w:tcMar>
            <w:vAlign w:val="center"/>
          </w:tcPr>
          <w:p w14:paraId="24A7802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4" w:type="pct"/>
            <w:tcMar>
              <w:top w:w="57" w:type="dxa"/>
              <w:left w:w="57" w:type="dxa"/>
              <w:bottom w:w="57" w:type="dxa"/>
              <w:right w:w="57" w:type="dxa"/>
            </w:tcMar>
            <w:vAlign w:val="center"/>
          </w:tcPr>
          <w:p w14:paraId="48EBA1B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5" w:type="pct"/>
            <w:tcMar>
              <w:top w:w="57" w:type="dxa"/>
              <w:left w:w="57" w:type="dxa"/>
              <w:bottom w:w="57" w:type="dxa"/>
              <w:right w:w="57" w:type="dxa"/>
            </w:tcMar>
            <w:vAlign w:val="center"/>
          </w:tcPr>
          <w:p w14:paraId="12A7017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168</w:t>
            </w:r>
          </w:p>
        </w:tc>
        <w:tc>
          <w:tcPr>
            <w:tcW w:w="577" w:type="pct"/>
            <w:tcMar>
              <w:top w:w="57" w:type="dxa"/>
              <w:left w:w="57" w:type="dxa"/>
              <w:bottom w:w="57" w:type="dxa"/>
              <w:right w:w="57" w:type="dxa"/>
            </w:tcMar>
            <w:vAlign w:val="center"/>
          </w:tcPr>
          <w:p w14:paraId="2BF0A10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182/early withdrawal</w:t>
            </w:r>
            <w:r w:rsidRPr="00101741">
              <w:rPr>
                <w:rFonts w:cs="Times New Roman"/>
                <w:b/>
                <w:bCs/>
                <w:sz w:val="20"/>
                <w:szCs w:val="20"/>
                <w:vertAlign w:val="superscript"/>
              </w:rPr>
              <w:t>2</w:t>
            </w:r>
          </w:p>
        </w:tc>
      </w:tr>
      <w:tr w:rsidR="0005712D" w:rsidRPr="00101741" w14:paraId="628B84CF" w14:textId="77777777" w:rsidTr="00A34AC5">
        <w:trPr>
          <w:tblHeader/>
        </w:trPr>
        <w:tc>
          <w:tcPr>
            <w:tcW w:w="1049" w:type="pct"/>
            <w:tcMar>
              <w:top w:w="57" w:type="dxa"/>
              <w:left w:w="57" w:type="dxa"/>
              <w:bottom w:w="57" w:type="dxa"/>
              <w:right w:w="57" w:type="dxa"/>
            </w:tcMar>
            <w:vAlign w:val="center"/>
          </w:tcPr>
          <w:p w14:paraId="44739FA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Time window (day)</w:t>
            </w:r>
          </w:p>
        </w:tc>
        <w:tc>
          <w:tcPr>
            <w:tcW w:w="307" w:type="pct"/>
            <w:tcMar>
              <w:top w:w="57" w:type="dxa"/>
              <w:left w:w="57" w:type="dxa"/>
              <w:bottom w:w="57" w:type="dxa"/>
              <w:right w:w="57" w:type="dxa"/>
            </w:tcMar>
            <w:vAlign w:val="center"/>
          </w:tcPr>
          <w:p w14:paraId="22C05B0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4" w:type="pct"/>
            <w:shd w:val="clear" w:color="auto" w:fill="F2F2F2"/>
            <w:tcMar>
              <w:top w:w="57" w:type="dxa"/>
              <w:left w:w="57" w:type="dxa"/>
              <w:bottom w:w="57" w:type="dxa"/>
              <w:right w:w="57" w:type="dxa"/>
            </w:tcMar>
            <w:vAlign w:val="center"/>
          </w:tcPr>
          <w:p w14:paraId="4871E0F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4" w:type="pct"/>
            <w:shd w:val="clear" w:color="auto" w:fill="F2F2F2"/>
            <w:tcMar>
              <w:top w:w="57" w:type="dxa"/>
              <w:left w:w="57" w:type="dxa"/>
              <w:bottom w:w="57" w:type="dxa"/>
              <w:right w:w="57" w:type="dxa"/>
            </w:tcMar>
            <w:vAlign w:val="center"/>
          </w:tcPr>
          <w:p w14:paraId="53CFEB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5" w:type="pct"/>
            <w:shd w:val="clear" w:color="auto" w:fill="F2F2F2"/>
            <w:tcMar>
              <w:top w:w="57" w:type="dxa"/>
              <w:left w:w="57" w:type="dxa"/>
              <w:bottom w:w="57" w:type="dxa"/>
              <w:right w:w="57" w:type="dxa"/>
            </w:tcMar>
            <w:vAlign w:val="center"/>
          </w:tcPr>
          <w:p w14:paraId="6A91091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4" w:type="pct"/>
            <w:shd w:val="clear" w:color="auto" w:fill="F2F2F2"/>
            <w:tcMar>
              <w:top w:w="57" w:type="dxa"/>
              <w:left w:w="57" w:type="dxa"/>
              <w:bottom w:w="57" w:type="dxa"/>
              <w:right w:w="57" w:type="dxa"/>
            </w:tcMar>
            <w:vAlign w:val="center"/>
          </w:tcPr>
          <w:p w14:paraId="5915940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5" w:type="pct"/>
            <w:shd w:val="clear" w:color="auto" w:fill="F2F2F2"/>
            <w:tcMar>
              <w:top w:w="57" w:type="dxa"/>
              <w:left w:w="57" w:type="dxa"/>
              <w:bottom w:w="57" w:type="dxa"/>
              <w:right w:w="57" w:type="dxa"/>
            </w:tcMar>
            <w:vAlign w:val="center"/>
          </w:tcPr>
          <w:p w14:paraId="2BDC11D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4" w:type="pct"/>
            <w:shd w:val="clear" w:color="auto" w:fill="F2F2F2"/>
            <w:tcMar>
              <w:top w:w="57" w:type="dxa"/>
              <w:left w:w="57" w:type="dxa"/>
              <w:bottom w:w="57" w:type="dxa"/>
              <w:right w:w="57" w:type="dxa"/>
            </w:tcMar>
            <w:vAlign w:val="center"/>
          </w:tcPr>
          <w:p w14:paraId="34A4CA9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5" w:type="pct"/>
            <w:shd w:val="clear" w:color="auto" w:fill="F2F2F2"/>
            <w:tcMar>
              <w:top w:w="57" w:type="dxa"/>
              <w:left w:w="57" w:type="dxa"/>
              <w:bottom w:w="57" w:type="dxa"/>
              <w:right w:w="57" w:type="dxa"/>
            </w:tcMar>
            <w:vAlign w:val="center"/>
          </w:tcPr>
          <w:p w14:paraId="30FC846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4" w:type="pct"/>
            <w:shd w:val="clear" w:color="auto" w:fill="F2F2F2"/>
            <w:tcMar>
              <w:top w:w="57" w:type="dxa"/>
              <w:left w:w="57" w:type="dxa"/>
              <w:bottom w:w="57" w:type="dxa"/>
              <w:right w:w="57" w:type="dxa"/>
            </w:tcMar>
            <w:vAlign w:val="center"/>
          </w:tcPr>
          <w:p w14:paraId="627142A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5" w:type="pct"/>
            <w:shd w:val="clear" w:color="auto" w:fill="F2F2F2"/>
            <w:tcMar>
              <w:top w:w="57" w:type="dxa"/>
              <w:left w:w="57" w:type="dxa"/>
              <w:bottom w:w="57" w:type="dxa"/>
              <w:right w:w="57" w:type="dxa"/>
            </w:tcMar>
            <w:vAlign w:val="center"/>
          </w:tcPr>
          <w:p w14:paraId="2E17FB6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4" w:type="pct"/>
            <w:shd w:val="clear" w:color="auto" w:fill="F2F2F2"/>
            <w:tcMar>
              <w:top w:w="57" w:type="dxa"/>
              <w:left w:w="57" w:type="dxa"/>
              <w:bottom w:w="57" w:type="dxa"/>
              <w:right w:w="57" w:type="dxa"/>
            </w:tcMar>
            <w:vAlign w:val="center"/>
          </w:tcPr>
          <w:p w14:paraId="69158C3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5" w:type="pct"/>
            <w:shd w:val="clear" w:color="auto" w:fill="F2F2F2"/>
            <w:tcMar>
              <w:top w:w="57" w:type="dxa"/>
              <w:left w:w="57" w:type="dxa"/>
              <w:bottom w:w="57" w:type="dxa"/>
              <w:right w:w="57" w:type="dxa"/>
            </w:tcMar>
            <w:vAlign w:val="center"/>
          </w:tcPr>
          <w:p w14:paraId="7AB1115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4" w:type="pct"/>
            <w:shd w:val="clear" w:color="auto" w:fill="F2F2F2"/>
            <w:tcMar>
              <w:top w:w="57" w:type="dxa"/>
              <w:left w:w="57" w:type="dxa"/>
              <w:bottom w:w="57" w:type="dxa"/>
              <w:right w:w="57" w:type="dxa"/>
            </w:tcMar>
            <w:vAlign w:val="center"/>
          </w:tcPr>
          <w:p w14:paraId="75F31E0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205" w:type="pct"/>
            <w:tcMar>
              <w:top w:w="57" w:type="dxa"/>
              <w:left w:w="57" w:type="dxa"/>
              <w:bottom w:w="57" w:type="dxa"/>
              <w:right w:w="57" w:type="dxa"/>
            </w:tcMar>
            <w:vAlign w:val="center"/>
          </w:tcPr>
          <w:p w14:paraId="0AD2FFA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4" w:type="pct"/>
            <w:tcMar>
              <w:top w:w="57" w:type="dxa"/>
              <w:left w:w="57" w:type="dxa"/>
              <w:bottom w:w="57" w:type="dxa"/>
              <w:right w:w="57" w:type="dxa"/>
            </w:tcMar>
            <w:vAlign w:val="center"/>
          </w:tcPr>
          <w:p w14:paraId="5BA77EA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205" w:type="pct"/>
            <w:tcMar>
              <w:top w:w="57" w:type="dxa"/>
              <w:left w:w="57" w:type="dxa"/>
              <w:bottom w:w="57" w:type="dxa"/>
              <w:right w:w="57" w:type="dxa"/>
            </w:tcMar>
            <w:vAlign w:val="center"/>
          </w:tcPr>
          <w:p w14:paraId="43B3326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577" w:type="pct"/>
            <w:tcMar>
              <w:top w:w="57" w:type="dxa"/>
              <w:left w:w="57" w:type="dxa"/>
              <w:bottom w:w="57" w:type="dxa"/>
              <w:right w:w="57" w:type="dxa"/>
            </w:tcMar>
            <w:vAlign w:val="center"/>
          </w:tcPr>
          <w:p w14:paraId="4CA1497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r>
      <w:tr w:rsidR="0005712D" w:rsidRPr="00101741" w14:paraId="581FA1CA" w14:textId="77777777" w:rsidTr="00A34AC5">
        <w:trPr>
          <w:tblHeader/>
        </w:trPr>
        <w:tc>
          <w:tcPr>
            <w:tcW w:w="1049" w:type="pct"/>
            <w:tcMar>
              <w:top w:w="57" w:type="dxa"/>
              <w:left w:w="57" w:type="dxa"/>
              <w:bottom w:w="57" w:type="dxa"/>
              <w:right w:w="57" w:type="dxa"/>
            </w:tcMar>
            <w:vAlign w:val="center"/>
          </w:tcPr>
          <w:p w14:paraId="1D72F6B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Subcutaneous injection of RAY1225</w:t>
            </w:r>
          </w:p>
        </w:tc>
        <w:tc>
          <w:tcPr>
            <w:tcW w:w="307" w:type="pct"/>
            <w:tcMar>
              <w:top w:w="57" w:type="dxa"/>
              <w:left w:w="57" w:type="dxa"/>
              <w:bottom w:w="57" w:type="dxa"/>
              <w:right w:w="57" w:type="dxa"/>
            </w:tcMar>
            <w:vAlign w:val="center"/>
          </w:tcPr>
          <w:p w14:paraId="5E6F3AB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204" w:type="pct"/>
            <w:shd w:val="clear" w:color="auto" w:fill="F2F2F2"/>
            <w:tcMar>
              <w:top w:w="57" w:type="dxa"/>
              <w:left w:w="57" w:type="dxa"/>
              <w:bottom w:w="57" w:type="dxa"/>
              <w:right w:w="57" w:type="dxa"/>
            </w:tcMar>
            <w:vAlign w:val="center"/>
          </w:tcPr>
          <w:p w14:paraId="6C2D85A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1</w:t>
            </w:r>
            <w:r w:rsidRPr="00101741">
              <w:rPr>
                <w:rFonts w:cs="Times New Roman"/>
                <w:sz w:val="20"/>
                <w:szCs w:val="20"/>
                <w:vertAlign w:val="superscript"/>
              </w:rPr>
              <w:t>st</w:t>
            </w:r>
          </w:p>
        </w:tc>
        <w:tc>
          <w:tcPr>
            <w:tcW w:w="204" w:type="pct"/>
            <w:shd w:val="clear" w:color="auto" w:fill="F2F2F2"/>
            <w:tcMar>
              <w:top w:w="57" w:type="dxa"/>
              <w:left w:w="57" w:type="dxa"/>
              <w:bottom w:w="57" w:type="dxa"/>
              <w:right w:w="57" w:type="dxa"/>
            </w:tcMar>
            <w:vAlign w:val="center"/>
          </w:tcPr>
          <w:p w14:paraId="296E4B5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2</w:t>
            </w:r>
            <w:r w:rsidRPr="00101741">
              <w:rPr>
                <w:rFonts w:cs="Times New Roman"/>
                <w:sz w:val="20"/>
                <w:szCs w:val="20"/>
                <w:vertAlign w:val="superscript"/>
              </w:rPr>
              <w:t>nd</w:t>
            </w:r>
          </w:p>
        </w:tc>
        <w:tc>
          <w:tcPr>
            <w:tcW w:w="205" w:type="pct"/>
            <w:shd w:val="clear" w:color="auto" w:fill="F2F2F2"/>
            <w:tcMar>
              <w:top w:w="57" w:type="dxa"/>
              <w:left w:w="57" w:type="dxa"/>
              <w:bottom w:w="57" w:type="dxa"/>
              <w:right w:w="57" w:type="dxa"/>
            </w:tcMar>
            <w:vAlign w:val="center"/>
          </w:tcPr>
          <w:p w14:paraId="074C138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3</w:t>
            </w:r>
            <w:r w:rsidRPr="00101741">
              <w:rPr>
                <w:rFonts w:cs="Times New Roman"/>
                <w:sz w:val="20"/>
                <w:szCs w:val="20"/>
                <w:vertAlign w:val="superscript"/>
              </w:rPr>
              <w:t>rd</w:t>
            </w:r>
          </w:p>
        </w:tc>
        <w:tc>
          <w:tcPr>
            <w:tcW w:w="204" w:type="pct"/>
            <w:shd w:val="clear" w:color="auto" w:fill="F2F2F2"/>
            <w:tcMar>
              <w:top w:w="57" w:type="dxa"/>
              <w:left w:w="57" w:type="dxa"/>
              <w:bottom w:w="57" w:type="dxa"/>
              <w:right w:w="57" w:type="dxa"/>
            </w:tcMar>
            <w:vAlign w:val="center"/>
          </w:tcPr>
          <w:p w14:paraId="0C9514B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4</w:t>
            </w:r>
            <w:r w:rsidRPr="00101741">
              <w:rPr>
                <w:rFonts w:cs="Times New Roman"/>
                <w:sz w:val="20"/>
                <w:szCs w:val="20"/>
                <w:vertAlign w:val="superscript"/>
              </w:rPr>
              <w:t>th</w:t>
            </w:r>
          </w:p>
        </w:tc>
        <w:tc>
          <w:tcPr>
            <w:tcW w:w="205" w:type="pct"/>
            <w:shd w:val="clear" w:color="auto" w:fill="F2F2F2"/>
            <w:tcMar>
              <w:top w:w="57" w:type="dxa"/>
              <w:left w:w="57" w:type="dxa"/>
              <w:bottom w:w="57" w:type="dxa"/>
              <w:right w:w="57" w:type="dxa"/>
            </w:tcMar>
            <w:vAlign w:val="center"/>
          </w:tcPr>
          <w:p w14:paraId="4E490DB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5</w:t>
            </w:r>
            <w:r w:rsidRPr="00101741">
              <w:rPr>
                <w:rFonts w:cs="Times New Roman"/>
                <w:sz w:val="20"/>
                <w:szCs w:val="20"/>
                <w:vertAlign w:val="superscript"/>
              </w:rPr>
              <w:t>th</w:t>
            </w:r>
          </w:p>
        </w:tc>
        <w:tc>
          <w:tcPr>
            <w:tcW w:w="204" w:type="pct"/>
            <w:shd w:val="clear" w:color="auto" w:fill="F2F2F2"/>
            <w:tcMar>
              <w:top w:w="57" w:type="dxa"/>
              <w:left w:w="57" w:type="dxa"/>
              <w:bottom w:w="57" w:type="dxa"/>
              <w:right w:w="57" w:type="dxa"/>
            </w:tcMar>
            <w:vAlign w:val="center"/>
          </w:tcPr>
          <w:p w14:paraId="63A11A9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6</w:t>
            </w:r>
            <w:r w:rsidRPr="00101741">
              <w:rPr>
                <w:rFonts w:cs="Times New Roman"/>
                <w:sz w:val="20"/>
                <w:szCs w:val="20"/>
                <w:vertAlign w:val="superscript"/>
              </w:rPr>
              <w:t>th</w:t>
            </w:r>
          </w:p>
        </w:tc>
        <w:tc>
          <w:tcPr>
            <w:tcW w:w="205" w:type="pct"/>
            <w:shd w:val="clear" w:color="auto" w:fill="F2F2F2"/>
            <w:tcMar>
              <w:top w:w="57" w:type="dxa"/>
              <w:left w:w="57" w:type="dxa"/>
              <w:bottom w:w="57" w:type="dxa"/>
              <w:right w:w="57" w:type="dxa"/>
            </w:tcMar>
            <w:vAlign w:val="center"/>
          </w:tcPr>
          <w:p w14:paraId="3687357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7</w:t>
            </w:r>
            <w:r w:rsidRPr="00101741">
              <w:rPr>
                <w:rFonts w:cs="Times New Roman"/>
                <w:sz w:val="20"/>
                <w:szCs w:val="20"/>
                <w:vertAlign w:val="superscript"/>
              </w:rPr>
              <w:t>th</w:t>
            </w:r>
          </w:p>
        </w:tc>
        <w:tc>
          <w:tcPr>
            <w:tcW w:w="204" w:type="pct"/>
            <w:shd w:val="clear" w:color="auto" w:fill="F2F2F2"/>
            <w:tcMar>
              <w:top w:w="57" w:type="dxa"/>
              <w:left w:w="57" w:type="dxa"/>
              <w:bottom w:w="57" w:type="dxa"/>
              <w:right w:w="57" w:type="dxa"/>
            </w:tcMar>
            <w:vAlign w:val="center"/>
          </w:tcPr>
          <w:p w14:paraId="7C1B82D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8</w:t>
            </w:r>
            <w:r w:rsidRPr="00101741">
              <w:rPr>
                <w:rFonts w:cs="Times New Roman"/>
                <w:sz w:val="20"/>
                <w:szCs w:val="20"/>
                <w:vertAlign w:val="superscript"/>
              </w:rPr>
              <w:t>th</w:t>
            </w:r>
          </w:p>
        </w:tc>
        <w:tc>
          <w:tcPr>
            <w:tcW w:w="205" w:type="pct"/>
            <w:shd w:val="clear" w:color="auto" w:fill="F2F2F2"/>
            <w:tcMar>
              <w:top w:w="57" w:type="dxa"/>
              <w:left w:w="57" w:type="dxa"/>
              <w:bottom w:w="57" w:type="dxa"/>
              <w:right w:w="57" w:type="dxa"/>
            </w:tcMar>
            <w:vAlign w:val="center"/>
          </w:tcPr>
          <w:p w14:paraId="4677D6D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9</w:t>
            </w:r>
            <w:r w:rsidRPr="00101741">
              <w:rPr>
                <w:rFonts w:cs="Times New Roman"/>
                <w:sz w:val="20"/>
                <w:szCs w:val="20"/>
                <w:vertAlign w:val="superscript"/>
              </w:rPr>
              <w:t>th</w:t>
            </w:r>
          </w:p>
        </w:tc>
        <w:tc>
          <w:tcPr>
            <w:tcW w:w="204" w:type="pct"/>
            <w:shd w:val="clear" w:color="auto" w:fill="F2F2F2"/>
            <w:tcMar>
              <w:top w:w="57" w:type="dxa"/>
              <w:left w:w="57" w:type="dxa"/>
              <w:bottom w:w="57" w:type="dxa"/>
              <w:right w:w="57" w:type="dxa"/>
            </w:tcMar>
            <w:vAlign w:val="center"/>
          </w:tcPr>
          <w:p w14:paraId="7E7AA4E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10</w:t>
            </w:r>
            <w:r w:rsidRPr="00101741">
              <w:rPr>
                <w:rFonts w:cs="Times New Roman"/>
                <w:sz w:val="20"/>
                <w:szCs w:val="20"/>
                <w:vertAlign w:val="superscript"/>
              </w:rPr>
              <w:t>th</w:t>
            </w:r>
          </w:p>
        </w:tc>
        <w:tc>
          <w:tcPr>
            <w:tcW w:w="205" w:type="pct"/>
            <w:shd w:val="clear" w:color="auto" w:fill="F2F2F2"/>
            <w:tcMar>
              <w:top w:w="57" w:type="dxa"/>
              <w:left w:w="57" w:type="dxa"/>
              <w:bottom w:w="57" w:type="dxa"/>
              <w:right w:w="57" w:type="dxa"/>
            </w:tcMar>
            <w:vAlign w:val="center"/>
          </w:tcPr>
          <w:p w14:paraId="4214990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11</w:t>
            </w:r>
            <w:r w:rsidRPr="00101741">
              <w:rPr>
                <w:rFonts w:cs="Times New Roman"/>
                <w:sz w:val="20"/>
                <w:szCs w:val="20"/>
                <w:vertAlign w:val="superscript"/>
              </w:rPr>
              <w:t>th</w:t>
            </w:r>
          </w:p>
        </w:tc>
        <w:tc>
          <w:tcPr>
            <w:tcW w:w="204" w:type="pct"/>
            <w:shd w:val="clear" w:color="auto" w:fill="F2F2F2"/>
            <w:tcMar>
              <w:top w:w="57" w:type="dxa"/>
              <w:left w:w="57" w:type="dxa"/>
              <w:bottom w:w="57" w:type="dxa"/>
              <w:right w:w="57" w:type="dxa"/>
            </w:tcMar>
            <w:vAlign w:val="center"/>
          </w:tcPr>
          <w:p w14:paraId="2B40092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12</w:t>
            </w:r>
            <w:r w:rsidRPr="00101741">
              <w:rPr>
                <w:rFonts w:cs="Times New Roman"/>
                <w:sz w:val="20"/>
                <w:szCs w:val="20"/>
                <w:vertAlign w:val="superscript"/>
              </w:rPr>
              <w:t>th</w:t>
            </w:r>
          </w:p>
        </w:tc>
        <w:tc>
          <w:tcPr>
            <w:tcW w:w="205" w:type="pct"/>
            <w:tcMar>
              <w:top w:w="57" w:type="dxa"/>
              <w:left w:w="57" w:type="dxa"/>
              <w:bottom w:w="57" w:type="dxa"/>
              <w:right w:w="57" w:type="dxa"/>
            </w:tcMar>
            <w:vAlign w:val="center"/>
          </w:tcPr>
          <w:p w14:paraId="52ABBB9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204" w:type="pct"/>
            <w:tcMar>
              <w:top w:w="57" w:type="dxa"/>
              <w:left w:w="57" w:type="dxa"/>
              <w:bottom w:w="57" w:type="dxa"/>
              <w:right w:w="57" w:type="dxa"/>
            </w:tcMar>
            <w:vAlign w:val="center"/>
          </w:tcPr>
          <w:p w14:paraId="21485FF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205" w:type="pct"/>
            <w:tcMar>
              <w:top w:w="57" w:type="dxa"/>
              <w:left w:w="57" w:type="dxa"/>
              <w:bottom w:w="57" w:type="dxa"/>
              <w:right w:w="57" w:type="dxa"/>
            </w:tcMar>
            <w:vAlign w:val="center"/>
          </w:tcPr>
          <w:p w14:paraId="7095F42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577" w:type="pct"/>
            <w:tcMar>
              <w:top w:w="57" w:type="dxa"/>
              <w:left w:w="57" w:type="dxa"/>
              <w:bottom w:w="57" w:type="dxa"/>
              <w:right w:w="57" w:type="dxa"/>
            </w:tcMar>
            <w:vAlign w:val="center"/>
          </w:tcPr>
          <w:p w14:paraId="43C42DD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r>
      <w:tr w:rsidR="0005712D" w:rsidRPr="00101741" w14:paraId="21C0898F" w14:textId="77777777" w:rsidTr="00A34AC5">
        <w:tc>
          <w:tcPr>
            <w:tcW w:w="1049" w:type="pct"/>
            <w:tcMar>
              <w:top w:w="57" w:type="dxa"/>
              <w:left w:w="57" w:type="dxa"/>
              <w:bottom w:w="57" w:type="dxa"/>
              <w:right w:w="57" w:type="dxa"/>
            </w:tcMar>
            <w:vAlign w:val="center"/>
          </w:tcPr>
          <w:p w14:paraId="508EB8EB"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Signing of ICF</w:t>
            </w:r>
          </w:p>
        </w:tc>
        <w:tc>
          <w:tcPr>
            <w:tcW w:w="307" w:type="pct"/>
            <w:tcMar>
              <w:top w:w="57" w:type="dxa"/>
              <w:left w:w="57" w:type="dxa"/>
              <w:bottom w:w="57" w:type="dxa"/>
              <w:right w:w="57" w:type="dxa"/>
            </w:tcMar>
            <w:vAlign w:val="center"/>
          </w:tcPr>
          <w:p w14:paraId="0E58F6D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602B6C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129CE6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BDEFE8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4D88A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25714F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1CC4AA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557E8D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88C5E9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C15B99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87CF36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C92767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9D8322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2608404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2597D72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4D253B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286E124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63F1C206" w14:textId="77777777" w:rsidTr="00A34AC5">
        <w:tc>
          <w:tcPr>
            <w:tcW w:w="1049" w:type="pct"/>
            <w:tcMar>
              <w:top w:w="57" w:type="dxa"/>
              <w:left w:w="57" w:type="dxa"/>
              <w:bottom w:w="57" w:type="dxa"/>
              <w:right w:w="57" w:type="dxa"/>
            </w:tcMar>
            <w:vAlign w:val="center"/>
          </w:tcPr>
          <w:p w14:paraId="726A0345"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Demographic information</w:t>
            </w:r>
          </w:p>
        </w:tc>
        <w:tc>
          <w:tcPr>
            <w:tcW w:w="307" w:type="pct"/>
            <w:tcMar>
              <w:top w:w="57" w:type="dxa"/>
              <w:left w:w="57" w:type="dxa"/>
              <w:bottom w:w="57" w:type="dxa"/>
              <w:right w:w="57" w:type="dxa"/>
            </w:tcMar>
            <w:vAlign w:val="center"/>
          </w:tcPr>
          <w:p w14:paraId="680C637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E51317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BE261A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6C997A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ECB431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6D9EBB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13509A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ABFFF4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2B1BFD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81A05B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959BFB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31D2D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16CDC1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5843832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310BE04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2FA83E4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646A7AB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61284CA8" w14:textId="77777777" w:rsidTr="00A34AC5">
        <w:tc>
          <w:tcPr>
            <w:tcW w:w="1049" w:type="pct"/>
            <w:tcMar>
              <w:top w:w="57" w:type="dxa"/>
              <w:left w:w="57" w:type="dxa"/>
              <w:bottom w:w="57" w:type="dxa"/>
              <w:right w:w="57" w:type="dxa"/>
            </w:tcMar>
            <w:vAlign w:val="center"/>
          </w:tcPr>
          <w:p w14:paraId="4CAD4555"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Medical history and personal history</w:t>
            </w:r>
          </w:p>
        </w:tc>
        <w:tc>
          <w:tcPr>
            <w:tcW w:w="307" w:type="pct"/>
            <w:tcMar>
              <w:top w:w="57" w:type="dxa"/>
              <w:left w:w="57" w:type="dxa"/>
              <w:bottom w:w="57" w:type="dxa"/>
              <w:right w:w="57" w:type="dxa"/>
            </w:tcMar>
            <w:vAlign w:val="center"/>
          </w:tcPr>
          <w:p w14:paraId="2E49AFF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BF0414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B05945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017B88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90DCE8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1B81A0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ECC7A3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579050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EC33CE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30455E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85FDBD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08213B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93BEF7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7B5E456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6A9866F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73B2EB9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320411B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03FA7BD2" w14:textId="77777777" w:rsidTr="00A34AC5">
        <w:tc>
          <w:tcPr>
            <w:tcW w:w="1049" w:type="pct"/>
            <w:tcMar>
              <w:top w:w="57" w:type="dxa"/>
              <w:left w:w="57" w:type="dxa"/>
              <w:bottom w:w="57" w:type="dxa"/>
              <w:right w:w="57" w:type="dxa"/>
            </w:tcMar>
            <w:vAlign w:val="center"/>
          </w:tcPr>
          <w:p w14:paraId="6211A53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Physical examination</w:t>
            </w:r>
          </w:p>
        </w:tc>
        <w:tc>
          <w:tcPr>
            <w:tcW w:w="307" w:type="pct"/>
            <w:tcMar>
              <w:top w:w="57" w:type="dxa"/>
              <w:left w:w="57" w:type="dxa"/>
              <w:bottom w:w="57" w:type="dxa"/>
              <w:right w:w="57" w:type="dxa"/>
            </w:tcMar>
            <w:vAlign w:val="center"/>
          </w:tcPr>
          <w:p w14:paraId="59FB32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4D3E39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FCE583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A1C143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23F9B8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D3F64D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40B4B5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0552E6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EE2064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0188C7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8D2936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16E3AF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CD8564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12724E5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46332FC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34BBA6A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1DF6111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685F3889" w14:textId="77777777" w:rsidTr="00A34AC5">
        <w:tc>
          <w:tcPr>
            <w:tcW w:w="1049" w:type="pct"/>
            <w:tcMar>
              <w:top w:w="57" w:type="dxa"/>
              <w:left w:w="57" w:type="dxa"/>
              <w:bottom w:w="57" w:type="dxa"/>
              <w:right w:w="57" w:type="dxa"/>
            </w:tcMar>
            <w:vAlign w:val="center"/>
          </w:tcPr>
          <w:p w14:paraId="3B6CE04F"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Body weight and body height</w:t>
            </w:r>
            <w:r w:rsidRPr="00101741">
              <w:rPr>
                <w:rFonts w:cs="Times New Roman"/>
                <w:sz w:val="20"/>
                <w:szCs w:val="20"/>
                <w:vertAlign w:val="superscript"/>
              </w:rPr>
              <w:t>3</w:t>
            </w:r>
          </w:p>
        </w:tc>
        <w:tc>
          <w:tcPr>
            <w:tcW w:w="307" w:type="pct"/>
            <w:tcMar>
              <w:top w:w="57" w:type="dxa"/>
              <w:left w:w="57" w:type="dxa"/>
              <w:bottom w:w="57" w:type="dxa"/>
              <w:right w:w="57" w:type="dxa"/>
            </w:tcMar>
            <w:vAlign w:val="center"/>
          </w:tcPr>
          <w:p w14:paraId="5AE6194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865A0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DD1D06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536060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491C39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70A10C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831E18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CA6E0D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90BC92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42FE61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C9B81F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4D5804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DA6E95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3752049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608632C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1756B8B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74F7FAD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4AE0B347" w14:textId="77777777" w:rsidTr="00A34AC5">
        <w:tc>
          <w:tcPr>
            <w:tcW w:w="1049" w:type="pct"/>
            <w:tcMar>
              <w:top w:w="57" w:type="dxa"/>
              <w:left w:w="57" w:type="dxa"/>
              <w:bottom w:w="57" w:type="dxa"/>
              <w:right w:w="57" w:type="dxa"/>
            </w:tcMar>
            <w:vAlign w:val="center"/>
          </w:tcPr>
          <w:p w14:paraId="2808DA94"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Waist circumference and hip circumference</w:t>
            </w:r>
          </w:p>
        </w:tc>
        <w:tc>
          <w:tcPr>
            <w:tcW w:w="307" w:type="pct"/>
            <w:tcMar>
              <w:top w:w="57" w:type="dxa"/>
              <w:left w:w="57" w:type="dxa"/>
              <w:bottom w:w="57" w:type="dxa"/>
              <w:right w:w="57" w:type="dxa"/>
            </w:tcMar>
            <w:vAlign w:val="center"/>
          </w:tcPr>
          <w:p w14:paraId="76B62E7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620744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61894F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816A54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7CFC32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87E7CA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78098E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B76194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CB57AD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93631B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F1F233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8978D2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90E577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363E9C0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1AF518C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47C5634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7A7DE5A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545F04C4" w14:textId="77777777" w:rsidTr="00A34AC5">
        <w:tc>
          <w:tcPr>
            <w:tcW w:w="1049" w:type="pct"/>
            <w:tcMar>
              <w:top w:w="57" w:type="dxa"/>
              <w:left w:w="57" w:type="dxa"/>
              <w:bottom w:w="57" w:type="dxa"/>
              <w:right w:w="57" w:type="dxa"/>
            </w:tcMar>
            <w:vAlign w:val="center"/>
          </w:tcPr>
          <w:p w14:paraId="294A82D6"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Vital signs</w:t>
            </w:r>
            <w:r w:rsidRPr="00101741">
              <w:rPr>
                <w:rFonts w:cs="Times New Roman"/>
                <w:sz w:val="20"/>
                <w:szCs w:val="20"/>
                <w:vertAlign w:val="superscript"/>
              </w:rPr>
              <w:t>4</w:t>
            </w:r>
          </w:p>
        </w:tc>
        <w:tc>
          <w:tcPr>
            <w:tcW w:w="307" w:type="pct"/>
            <w:tcMar>
              <w:top w:w="57" w:type="dxa"/>
              <w:left w:w="57" w:type="dxa"/>
              <w:bottom w:w="57" w:type="dxa"/>
              <w:right w:w="57" w:type="dxa"/>
            </w:tcMar>
            <w:vAlign w:val="center"/>
          </w:tcPr>
          <w:p w14:paraId="2A8A0FA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D865CB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69EDDE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7B3941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F45714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618783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3C9406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AB9A35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EBCF3B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1DF620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1C1057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4FB1B9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05E51A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6D6EB5A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tcMar>
              <w:top w:w="57" w:type="dxa"/>
              <w:left w:w="57" w:type="dxa"/>
              <w:bottom w:w="57" w:type="dxa"/>
              <w:right w:w="57" w:type="dxa"/>
            </w:tcMar>
            <w:vAlign w:val="center"/>
          </w:tcPr>
          <w:p w14:paraId="4B3AAC0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24E6F1A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4AD1240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0C6B6A68" w14:textId="77777777" w:rsidTr="00A34AC5">
        <w:tc>
          <w:tcPr>
            <w:tcW w:w="1049" w:type="pct"/>
            <w:tcMar>
              <w:top w:w="57" w:type="dxa"/>
              <w:left w:w="57" w:type="dxa"/>
              <w:bottom w:w="57" w:type="dxa"/>
              <w:right w:w="57" w:type="dxa"/>
            </w:tcMar>
            <w:vAlign w:val="center"/>
          </w:tcPr>
          <w:p w14:paraId="5C46BB34"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12-lead ECG</w:t>
            </w:r>
            <w:r w:rsidRPr="00101741">
              <w:rPr>
                <w:rFonts w:cs="Times New Roman"/>
                <w:sz w:val="20"/>
                <w:szCs w:val="20"/>
                <w:vertAlign w:val="superscript"/>
              </w:rPr>
              <w:t>5</w:t>
            </w:r>
          </w:p>
        </w:tc>
        <w:tc>
          <w:tcPr>
            <w:tcW w:w="307" w:type="pct"/>
            <w:tcMar>
              <w:top w:w="57" w:type="dxa"/>
              <w:left w:w="57" w:type="dxa"/>
              <w:bottom w:w="57" w:type="dxa"/>
              <w:right w:w="57" w:type="dxa"/>
            </w:tcMar>
            <w:vAlign w:val="center"/>
          </w:tcPr>
          <w:p w14:paraId="2088983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344B6D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E276B2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946026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DD7A18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245BBB9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E384EA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12DF20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AAAA12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EF622C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39FF82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B0049F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523238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10161FB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lang w:eastAsia="en-US"/>
              </w:rPr>
              <w:t>X</w:t>
            </w:r>
          </w:p>
        </w:tc>
        <w:tc>
          <w:tcPr>
            <w:tcW w:w="204" w:type="pct"/>
            <w:tcMar>
              <w:top w:w="57" w:type="dxa"/>
              <w:left w:w="57" w:type="dxa"/>
              <w:bottom w:w="57" w:type="dxa"/>
              <w:right w:w="57" w:type="dxa"/>
            </w:tcMar>
            <w:vAlign w:val="center"/>
          </w:tcPr>
          <w:p w14:paraId="3BCAD7F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lang w:eastAsia="en-US"/>
              </w:rPr>
              <w:t>X</w:t>
            </w:r>
          </w:p>
        </w:tc>
        <w:tc>
          <w:tcPr>
            <w:tcW w:w="205" w:type="pct"/>
            <w:tcMar>
              <w:top w:w="57" w:type="dxa"/>
              <w:left w:w="57" w:type="dxa"/>
              <w:bottom w:w="57" w:type="dxa"/>
              <w:right w:w="57" w:type="dxa"/>
            </w:tcMar>
            <w:vAlign w:val="center"/>
          </w:tcPr>
          <w:p w14:paraId="6FCBF29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7E25D50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24750648" w14:textId="77777777" w:rsidTr="00A34AC5">
        <w:tc>
          <w:tcPr>
            <w:tcW w:w="1049" w:type="pct"/>
            <w:tcMar>
              <w:top w:w="57" w:type="dxa"/>
              <w:left w:w="57" w:type="dxa"/>
              <w:bottom w:w="57" w:type="dxa"/>
              <w:right w:w="57" w:type="dxa"/>
            </w:tcMar>
            <w:vAlign w:val="center"/>
          </w:tcPr>
          <w:p w14:paraId="0FDDD60D"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Chest X-ray (anteroposterior and lateral)</w:t>
            </w:r>
          </w:p>
        </w:tc>
        <w:tc>
          <w:tcPr>
            <w:tcW w:w="307" w:type="pct"/>
            <w:tcMar>
              <w:top w:w="57" w:type="dxa"/>
              <w:left w:w="57" w:type="dxa"/>
              <w:bottom w:w="57" w:type="dxa"/>
              <w:right w:w="57" w:type="dxa"/>
            </w:tcMar>
            <w:vAlign w:val="center"/>
          </w:tcPr>
          <w:p w14:paraId="4C69620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6</w:t>
            </w:r>
          </w:p>
        </w:tc>
        <w:tc>
          <w:tcPr>
            <w:tcW w:w="204" w:type="pct"/>
            <w:shd w:val="clear" w:color="auto" w:fill="F2F2F2"/>
            <w:tcMar>
              <w:top w:w="57" w:type="dxa"/>
              <w:left w:w="57" w:type="dxa"/>
              <w:bottom w:w="57" w:type="dxa"/>
              <w:right w:w="57" w:type="dxa"/>
            </w:tcMar>
            <w:vAlign w:val="center"/>
          </w:tcPr>
          <w:p w14:paraId="01E26DF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6A0E1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4E7F2B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15752A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E0A103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31D792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CBEBA1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BF50E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33F9C1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A5326F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30BD0E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75A776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24A36E7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2CD12F4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700FC08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275935E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732A3F5D" w14:textId="77777777" w:rsidTr="00A34AC5">
        <w:tc>
          <w:tcPr>
            <w:tcW w:w="1049" w:type="pct"/>
            <w:tcMar>
              <w:top w:w="57" w:type="dxa"/>
              <w:left w:w="57" w:type="dxa"/>
              <w:bottom w:w="57" w:type="dxa"/>
              <w:right w:w="57" w:type="dxa"/>
            </w:tcMar>
            <w:vAlign w:val="center"/>
          </w:tcPr>
          <w:p w14:paraId="387EB034"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Funduscopic examination</w:t>
            </w:r>
          </w:p>
        </w:tc>
        <w:tc>
          <w:tcPr>
            <w:tcW w:w="307" w:type="pct"/>
            <w:tcMar>
              <w:top w:w="57" w:type="dxa"/>
              <w:left w:w="57" w:type="dxa"/>
              <w:bottom w:w="57" w:type="dxa"/>
              <w:right w:w="57" w:type="dxa"/>
            </w:tcMar>
            <w:vAlign w:val="center"/>
          </w:tcPr>
          <w:p w14:paraId="6F3A8FA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6</w:t>
            </w:r>
          </w:p>
        </w:tc>
        <w:tc>
          <w:tcPr>
            <w:tcW w:w="204" w:type="pct"/>
            <w:shd w:val="clear" w:color="auto" w:fill="F2F2F2"/>
            <w:tcMar>
              <w:top w:w="57" w:type="dxa"/>
              <w:left w:w="57" w:type="dxa"/>
              <w:bottom w:w="57" w:type="dxa"/>
              <w:right w:w="57" w:type="dxa"/>
            </w:tcMar>
            <w:vAlign w:val="center"/>
          </w:tcPr>
          <w:p w14:paraId="34A5246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E72424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065AD3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7B2970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959D4E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64922B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EC6ACC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6DF8C1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90E059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9F8D39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9D9EC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85856E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700A910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606B249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0967ADB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69801EC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683BAC04" w14:textId="77777777" w:rsidTr="00A34AC5">
        <w:tc>
          <w:tcPr>
            <w:tcW w:w="1049" w:type="pct"/>
            <w:tcMar>
              <w:top w:w="57" w:type="dxa"/>
              <w:left w:w="57" w:type="dxa"/>
              <w:bottom w:w="57" w:type="dxa"/>
              <w:right w:w="57" w:type="dxa"/>
            </w:tcMar>
            <w:vAlign w:val="center"/>
          </w:tcPr>
          <w:p w14:paraId="36CDC906"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PHQ-9</w:t>
            </w:r>
            <w:r w:rsidRPr="00101741">
              <w:rPr>
                <w:rFonts w:cs="Times New Roman" w:hint="eastAsia"/>
                <w:sz w:val="20"/>
                <w:szCs w:val="20"/>
              </w:rPr>
              <w:t xml:space="preserve"> </w:t>
            </w:r>
          </w:p>
        </w:tc>
        <w:tc>
          <w:tcPr>
            <w:tcW w:w="307" w:type="pct"/>
            <w:tcMar>
              <w:top w:w="57" w:type="dxa"/>
              <w:left w:w="57" w:type="dxa"/>
              <w:bottom w:w="57" w:type="dxa"/>
              <w:right w:w="57" w:type="dxa"/>
            </w:tcMar>
            <w:vAlign w:val="center"/>
          </w:tcPr>
          <w:p w14:paraId="0FA5B6E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367BAC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D762B5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96A169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5F1016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9CFE43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77338B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A52E44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90C229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19756D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5EA5B9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AC90E5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E371E6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6397361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3B0382F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10C46A2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5A28BF3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2C53BF38" w14:textId="77777777" w:rsidTr="00A34AC5">
        <w:tc>
          <w:tcPr>
            <w:tcW w:w="1049" w:type="pct"/>
            <w:tcMar>
              <w:top w:w="57" w:type="dxa"/>
              <w:left w:w="57" w:type="dxa"/>
              <w:bottom w:w="57" w:type="dxa"/>
              <w:right w:w="57" w:type="dxa"/>
            </w:tcMar>
            <w:vAlign w:val="center"/>
          </w:tcPr>
          <w:p w14:paraId="544300E6"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vertAlign w:val="superscript"/>
              </w:rPr>
            </w:pPr>
            <w:r w:rsidRPr="00101741">
              <w:rPr>
                <w:rFonts w:cs="Times New Roman"/>
                <w:sz w:val="20"/>
                <w:szCs w:val="20"/>
              </w:rPr>
              <w:lastRenderedPageBreak/>
              <w:t>Infectious disease examination</w:t>
            </w:r>
          </w:p>
        </w:tc>
        <w:tc>
          <w:tcPr>
            <w:tcW w:w="307" w:type="pct"/>
            <w:tcMar>
              <w:top w:w="57" w:type="dxa"/>
              <w:left w:w="57" w:type="dxa"/>
              <w:bottom w:w="57" w:type="dxa"/>
              <w:right w:w="57" w:type="dxa"/>
            </w:tcMar>
            <w:vAlign w:val="center"/>
          </w:tcPr>
          <w:p w14:paraId="2986638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6</w:t>
            </w:r>
          </w:p>
        </w:tc>
        <w:tc>
          <w:tcPr>
            <w:tcW w:w="204" w:type="pct"/>
            <w:shd w:val="clear" w:color="auto" w:fill="F2F2F2"/>
            <w:tcMar>
              <w:top w:w="57" w:type="dxa"/>
              <w:left w:w="57" w:type="dxa"/>
              <w:bottom w:w="57" w:type="dxa"/>
              <w:right w:w="57" w:type="dxa"/>
            </w:tcMar>
            <w:vAlign w:val="center"/>
          </w:tcPr>
          <w:p w14:paraId="23A5021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C4D1FB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5C68B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CE7FC7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ACCBAD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B29B07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9647D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F1F682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2EC15C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60C83A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92484E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90A56F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2CB760E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120C6A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014E996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3F5EA10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0ED525C4" w14:textId="77777777" w:rsidTr="00A34AC5">
        <w:tc>
          <w:tcPr>
            <w:tcW w:w="1049" w:type="pct"/>
            <w:tcMar>
              <w:top w:w="57" w:type="dxa"/>
              <w:left w:w="57" w:type="dxa"/>
              <w:bottom w:w="57" w:type="dxa"/>
              <w:right w:w="57" w:type="dxa"/>
            </w:tcMar>
            <w:vAlign w:val="center"/>
          </w:tcPr>
          <w:p w14:paraId="23DB7F18"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Five-item thyroid function panel</w:t>
            </w:r>
          </w:p>
        </w:tc>
        <w:tc>
          <w:tcPr>
            <w:tcW w:w="307" w:type="pct"/>
            <w:tcMar>
              <w:top w:w="57" w:type="dxa"/>
              <w:left w:w="57" w:type="dxa"/>
              <w:bottom w:w="57" w:type="dxa"/>
              <w:right w:w="57" w:type="dxa"/>
            </w:tcMar>
            <w:vAlign w:val="center"/>
          </w:tcPr>
          <w:p w14:paraId="36A7749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130998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07E8D4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1FE062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93FC7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EC56F9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7558F4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8655CF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3AC845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C5CD25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FFD64C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7105A6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969AE3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364C2FD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23D3509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7CC7D81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19B9FAB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472A81E6" w14:textId="77777777" w:rsidTr="00A34AC5">
        <w:tc>
          <w:tcPr>
            <w:tcW w:w="1049" w:type="pct"/>
            <w:tcMar>
              <w:top w:w="57" w:type="dxa"/>
              <w:left w:w="57" w:type="dxa"/>
              <w:bottom w:w="57" w:type="dxa"/>
              <w:right w:w="57" w:type="dxa"/>
            </w:tcMar>
            <w:vAlign w:val="center"/>
          </w:tcPr>
          <w:p w14:paraId="22168268"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bCs/>
                <w:sz w:val="20"/>
                <w:szCs w:val="20"/>
              </w:rPr>
              <w:t>Serum calcitonin</w:t>
            </w:r>
          </w:p>
        </w:tc>
        <w:tc>
          <w:tcPr>
            <w:tcW w:w="307" w:type="pct"/>
            <w:tcMar>
              <w:top w:w="57" w:type="dxa"/>
              <w:left w:w="57" w:type="dxa"/>
              <w:bottom w:w="57" w:type="dxa"/>
              <w:right w:w="57" w:type="dxa"/>
            </w:tcMar>
            <w:vAlign w:val="center"/>
          </w:tcPr>
          <w:p w14:paraId="54959E1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ADE5E5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FD66A8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FC2847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46133A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008819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16130F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8A1224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8AD5C8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DC48E1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88C3F1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75DC97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406F88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6A7A320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6CDD491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0049294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11C17EC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1728A818" w14:textId="77777777" w:rsidTr="00A34AC5">
        <w:tc>
          <w:tcPr>
            <w:tcW w:w="1049" w:type="pct"/>
            <w:tcMar>
              <w:top w:w="57" w:type="dxa"/>
              <w:left w:w="57" w:type="dxa"/>
              <w:bottom w:w="57" w:type="dxa"/>
              <w:right w:w="57" w:type="dxa"/>
            </w:tcMar>
            <w:vAlign w:val="center"/>
          </w:tcPr>
          <w:p w14:paraId="44C62D53"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T-lymphocyte subsets</w:t>
            </w:r>
          </w:p>
        </w:tc>
        <w:tc>
          <w:tcPr>
            <w:tcW w:w="307" w:type="pct"/>
            <w:tcMar>
              <w:top w:w="57" w:type="dxa"/>
              <w:left w:w="57" w:type="dxa"/>
              <w:bottom w:w="57" w:type="dxa"/>
              <w:right w:w="57" w:type="dxa"/>
            </w:tcMar>
            <w:vAlign w:val="center"/>
          </w:tcPr>
          <w:p w14:paraId="01C5B43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89FDE3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81C2F2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C4A003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DF6893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5FB7B1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BAD24D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C6A90D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F4347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32BDF7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52895E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10B5ED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C42371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4349720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73A7972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7F5ED0F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7383823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2AC76070" w14:textId="77777777" w:rsidTr="00A34AC5">
        <w:tc>
          <w:tcPr>
            <w:tcW w:w="1049" w:type="pct"/>
            <w:tcMar>
              <w:top w:w="57" w:type="dxa"/>
              <w:left w:w="57" w:type="dxa"/>
              <w:bottom w:w="57" w:type="dxa"/>
              <w:right w:w="57" w:type="dxa"/>
            </w:tcMar>
            <w:vAlign w:val="center"/>
          </w:tcPr>
          <w:p w14:paraId="0DC56847"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Pregnancy test</w:t>
            </w:r>
            <w:r w:rsidRPr="00101741">
              <w:rPr>
                <w:rFonts w:cs="Times New Roman"/>
                <w:sz w:val="20"/>
                <w:szCs w:val="20"/>
                <w:vertAlign w:val="superscript"/>
              </w:rPr>
              <w:t>7</w:t>
            </w:r>
          </w:p>
        </w:tc>
        <w:tc>
          <w:tcPr>
            <w:tcW w:w="307" w:type="pct"/>
            <w:tcMar>
              <w:top w:w="57" w:type="dxa"/>
              <w:left w:w="57" w:type="dxa"/>
              <w:bottom w:w="57" w:type="dxa"/>
              <w:right w:w="57" w:type="dxa"/>
            </w:tcMar>
            <w:vAlign w:val="center"/>
          </w:tcPr>
          <w:p w14:paraId="693E312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1F16CD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5E8E6E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2EFA06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DE9AA4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836EA6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DCB0BC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190422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648046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3DCC81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7F505C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DEC757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362667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1100B03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62757D3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50522A4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7B2DE56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7574F6F6" w14:textId="77777777" w:rsidTr="00A34AC5">
        <w:tc>
          <w:tcPr>
            <w:tcW w:w="1049" w:type="pct"/>
            <w:tcMar>
              <w:top w:w="57" w:type="dxa"/>
              <w:left w:w="57" w:type="dxa"/>
              <w:bottom w:w="57" w:type="dxa"/>
              <w:right w:w="57" w:type="dxa"/>
            </w:tcMar>
            <w:vAlign w:val="center"/>
          </w:tcPr>
          <w:p w14:paraId="3DCB7A6F"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Follicle-stimulating hormone test (if necessary)</w:t>
            </w:r>
            <w:r w:rsidRPr="00101741">
              <w:rPr>
                <w:rFonts w:cs="Times New Roman"/>
                <w:sz w:val="20"/>
                <w:szCs w:val="20"/>
                <w:vertAlign w:val="superscript"/>
              </w:rPr>
              <w:t>8</w:t>
            </w:r>
          </w:p>
        </w:tc>
        <w:tc>
          <w:tcPr>
            <w:tcW w:w="307" w:type="pct"/>
            <w:tcMar>
              <w:top w:w="57" w:type="dxa"/>
              <w:left w:w="57" w:type="dxa"/>
              <w:bottom w:w="57" w:type="dxa"/>
              <w:right w:w="57" w:type="dxa"/>
            </w:tcMar>
            <w:vAlign w:val="center"/>
          </w:tcPr>
          <w:p w14:paraId="4224D4A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A0007A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E336A5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583540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A3CB61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62266C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0CC97D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3EAB10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D965F2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CCCBCD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574AED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8642CD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6184F6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3DAAF77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62E449E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6AF4DDB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577" w:type="pct"/>
            <w:tcMar>
              <w:top w:w="57" w:type="dxa"/>
              <w:left w:w="57" w:type="dxa"/>
              <w:bottom w:w="57" w:type="dxa"/>
              <w:right w:w="57" w:type="dxa"/>
            </w:tcMar>
            <w:vAlign w:val="center"/>
          </w:tcPr>
          <w:p w14:paraId="4EE9ABE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115B1B36" w14:textId="77777777" w:rsidTr="00A34AC5">
        <w:tc>
          <w:tcPr>
            <w:tcW w:w="1049" w:type="pct"/>
            <w:tcMar>
              <w:top w:w="57" w:type="dxa"/>
              <w:left w:w="57" w:type="dxa"/>
              <w:bottom w:w="57" w:type="dxa"/>
              <w:right w:w="57" w:type="dxa"/>
            </w:tcMar>
            <w:vAlign w:val="center"/>
          </w:tcPr>
          <w:p w14:paraId="23333C19"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bCs/>
                <w:sz w:val="20"/>
                <w:szCs w:val="20"/>
              </w:rPr>
              <w:t>Routine hematology + Ret, blood chemistry, coagulation test, and urinalysis</w:t>
            </w:r>
            <w:r w:rsidRPr="00101741">
              <w:rPr>
                <w:rFonts w:cs="Times New Roman"/>
                <w:sz w:val="20"/>
                <w:szCs w:val="20"/>
                <w:vertAlign w:val="superscript"/>
              </w:rPr>
              <w:t>9</w:t>
            </w:r>
          </w:p>
        </w:tc>
        <w:tc>
          <w:tcPr>
            <w:tcW w:w="307" w:type="pct"/>
            <w:tcMar>
              <w:top w:w="57" w:type="dxa"/>
              <w:left w:w="57" w:type="dxa"/>
              <w:bottom w:w="57" w:type="dxa"/>
              <w:right w:w="57" w:type="dxa"/>
            </w:tcMar>
            <w:vAlign w:val="center"/>
          </w:tcPr>
          <w:p w14:paraId="7F9540F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BE9C17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10</w:t>
            </w:r>
          </w:p>
        </w:tc>
        <w:tc>
          <w:tcPr>
            <w:tcW w:w="204" w:type="pct"/>
            <w:shd w:val="clear" w:color="auto" w:fill="F2F2F2"/>
            <w:tcMar>
              <w:top w:w="57" w:type="dxa"/>
              <w:left w:w="57" w:type="dxa"/>
              <w:bottom w:w="57" w:type="dxa"/>
              <w:right w:w="57" w:type="dxa"/>
            </w:tcMar>
            <w:vAlign w:val="center"/>
          </w:tcPr>
          <w:p w14:paraId="71B07AC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A63F2A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75FAA3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C10A08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4EBDBA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75733F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7718CC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A33A14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9BE6CC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29607F5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601ED0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42EFA0E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7DFD8D8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032B16F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271CA7B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2ABF98DE" w14:textId="77777777" w:rsidTr="00A34AC5">
        <w:tc>
          <w:tcPr>
            <w:tcW w:w="1049" w:type="pct"/>
            <w:tcMar>
              <w:top w:w="57" w:type="dxa"/>
              <w:left w:w="57" w:type="dxa"/>
              <w:bottom w:w="57" w:type="dxa"/>
              <w:right w:w="57" w:type="dxa"/>
            </w:tcMar>
            <w:vAlign w:val="center"/>
          </w:tcPr>
          <w:p w14:paraId="6F2F972B"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Urine protein-creatinine ratio (UACR)</w:t>
            </w:r>
          </w:p>
        </w:tc>
        <w:tc>
          <w:tcPr>
            <w:tcW w:w="307" w:type="pct"/>
            <w:tcMar>
              <w:top w:w="57" w:type="dxa"/>
              <w:left w:w="57" w:type="dxa"/>
              <w:bottom w:w="57" w:type="dxa"/>
              <w:right w:w="57" w:type="dxa"/>
            </w:tcMar>
            <w:vAlign w:val="center"/>
          </w:tcPr>
          <w:p w14:paraId="0FC7417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A26200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10</w:t>
            </w:r>
          </w:p>
        </w:tc>
        <w:tc>
          <w:tcPr>
            <w:tcW w:w="204" w:type="pct"/>
            <w:shd w:val="clear" w:color="auto" w:fill="F2F2F2"/>
            <w:tcMar>
              <w:top w:w="57" w:type="dxa"/>
              <w:left w:w="57" w:type="dxa"/>
              <w:bottom w:w="57" w:type="dxa"/>
              <w:right w:w="57" w:type="dxa"/>
            </w:tcMar>
            <w:vAlign w:val="center"/>
          </w:tcPr>
          <w:p w14:paraId="53A8A60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7F65EC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19F5C1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299C25F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668244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444AB8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97658C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C389D3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2F509E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D8A77C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421ED5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049B6A4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5949757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722D501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4F66831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51F2C4DE" w14:textId="77777777" w:rsidTr="00A34AC5">
        <w:tc>
          <w:tcPr>
            <w:tcW w:w="1049" w:type="pct"/>
            <w:tcMar>
              <w:top w:w="57" w:type="dxa"/>
              <w:left w:w="57" w:type="dxa"/>
              <w:bottom w:w="57" w:type="dxa"/>
              <w:right w:w="57" w:type="dxa"/>
            </w:tcMar>
            <w:vAlign w:val="center"/>
          </w:tcPr>
          <w:p w14:paraId="1358472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HbA1c</w:t>
            </w:r>
            <w:r w:rsidRPr="00101741">
              <w:rPr>
                <w:rFonts w:cs="Times New Roman"/>
                <w:sz w:val="20"/>
                <w:szCs w:val="20"/>
                <w:vertAlign w:val="superscript"/>
              </w:rPr>
              <w:t>11</w:t>
            </w:r>
          </w:p>
        </w:tc>
        <w:tc>
          <w:tcPr>
            <w:tcW w:w="307" w:type="pct"/>
            <w:tcMar>
              <w:top w:w="57" w:type="dxa"/>
              <w:left w:w="57" w:type="dxa"/>
              <w:bottom w:w="57" w:type="dxa"/>
              <w:right w:w="57" w:type="dxa"/>
            </w:tcMar>
            <w:vAlign w:val="center"/>
          </w:tcPr>
          <w:p w14:paraId="3CAD859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7EAF26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B635A7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D92BF1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1BA3EE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10C2AD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AD53F4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1EA066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A035A7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DB1FC3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025AF4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0C24D2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917800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05976DB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1D59429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045CD31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781B7F6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42D751E8" w14:textId="77777777" w:rsidTr="00A34AC5">
        <w:tc>
          <w:tcPr>
            <w:tcW w:w="1049" w:type="pct"/>
            <w:tcMar>
              <w:top w:w="57" w:type="dxa"/>
              <w:left w:w="57" w:type="dxa"/>
              <w:bottom w:w="57" w:type="dxa"/>
              <w:right w:w="57" w:type="dxa"/>
            </w:tcMar>
            <w:vAlign w:val="center"/>
          </w:tcPr>
          <w:p w14:paraId="697752A3"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Verification of eligibility</w:t>
            </w:r>
          </w:p>
        </w:tc>
        <w:tc>
          <w:tcPr>
            <w:tcW w:w="307" w:type="pct"/>
            <w:tcMar>
              <w:top w:w="57" w:type="dxa"/>
              <w:left w:w="57" w:type="dxa"/>
              <w:bottom w:w="57" w:type="dxa"/>
              <w:right w:w="57" w:type="dxa"/>
            </w:tcMar>
            <w:vAlign w:val="center"/>
          </w:tcPr>
          <w:p w14:paraId="21AA16D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53A6DC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D93207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050A07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029A49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89D06A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B14486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42A473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4FB2B3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02B5271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AAA200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6B9AC77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2BE30FC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40E1F0C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36DF032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248972A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577" w:type="pct"/>
            <w:tcMar>
              <w:top w:w="57" w:type="dxa"/>
              <w:left w:w="57" w:type="dxa"/>
              <w:bottom w:w="57" w:type="dxa"/>
              <w:right w:w="57" w:type="dxa"/>
            </w:tcMar>
            <w:vAlign w:val="center"/>
          </w:tcPr>
          <w:p w14:paraId="47FFFE9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7DF101D0" w14:textId="77777777" w:rsidTr="00A34AC5">
        <w:tc>
          <w:tcPr>
            <w:tcW w:w="1049" w:type="pct"/>
            <w:tcMar>
              <w:top w:w="57" w:type="dxa"/>
              <w:left w:w="57" w:type="dxa"/>
              <w:bottom w:w="57" w:type="dxa"/>
              <w:right w:w="57" w:type="dxa"/>
            </w:tcMar>
            <w:vAlign w:val="center"/>
          </w:tcPr>
          <w:p w14:paraId="596E03B3"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Randomization</w:t>
            </w:r>
          </w:p>
        </w:tc>
        <w:tc>
          <w:tcPr>
            <w:tcW w:w="307" w:type="pct"/>
            <w:tcMar>
              <w:top w:w="57" w:type="dxa"/>
              <w:left w:w="57" w:type="dxa"/>
              <w:bottom w:w="57" w:type="dxa"/>
              <w:right w:w="57" w:type="dxa"/>
            </w:tcMar>
            <w:vAlign w:val="center"/>
          </w:tcPr>
          <w:p w14:paraId="6C90E2B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D57380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660DA74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4D7523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379F8B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9489F6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217774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94892B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032980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00035C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31C650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35C427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456F8EC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63C61CB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tcMar>
              <w:top w:w="57" w:type="dxa"/>
              <w:left w:w="57" w:type="dxa"/>
              <w:bottom w:w="57" w:type="dxa"/>
              <w:right w:w="57" w:type="dxa"/>
            </w:tcMar>
            <w:vAlign w:val="center"/>
          </w:tcPr>
          <w:p w14:paraId="4247CAC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5" w:type="pct"/>
            <w:tcMar>
              <w:top w:w="57" w:type="dxa"/>
              <w:left w:w="57" w:type="dxa"/>
              <w:bottom w:w="57" w:type="dxa"/>
              <w:right w:w="57" w:type="dxa"/>
            </w:tcMar>
            <w:vAlign w:val="center"/>
          </w:tcPr>
          <w:p w14:paraId="573B26A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577" w:type="pct"/>
            <w:tcMar>
              <w:top w:w="57" w:type="dxa"/>
              <w:left w:w="57" w:type="dxa"/>
              <w:bottom w:w="57" w:type="dxa"/>
              <w:right w:w="57" w:type="dxa"/>
            </w:tcMar>
            <w:vAlign w:val="center"/>
          </w:tcPr>
          <w:p w14:paraId="1345F5B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43A7AF70" w14:textId="77777777" w:rsidTr="00A34AC5">
        <w:tc>
          <w:tcPr>
            <w:tcW w:w="1049" w:type="pct"/>
            <w:tcMar>
              <w:top w:w="57" w:type="dxa"/>
              <w:left w:w="57" w:type="dxa"/>
              <w:bottom w:w="57" w:type="dxa"/>
              <w:right w:w="57" w:type="dxa"/>
            </w:tcMar>
            <w:vAlign w:val="center"/>
          </w:tcPr>
          <w:p w14:paraId="21DF8492"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b/>
                <w:bCs/>
                <w:sz w:val="20"/>
                <w:szCs w:val="20"/>
              </w:rPr>
            </w:pPr>
            <w:r w:rsidRPr="00101741">
              <w:rPr>
                <w:rFonts w:cs="Times New Roman"/>
                <w:sz w:val="20"/>
                <w:szCs w:val="20"/>
              </w:rPr>
              <w:t>RAY1225 PK sample collection</w:t>
            </w:r>
            <w:r w:rsidRPr="00101741">
              <w:rPr>
                <w:rFonts w:cs="Times New Roman"/>
                <w:sz w:val="20"/>
                <w:szCs w:val="20"/>
                <w:vertAlign w:val="superscript"/>
              </w:rPr>
              <w:t>12</w:t>
            </w:r>
          </w:p>
        </w:tc>
        <w:tc>
          <w:tcPr>
            <w:tcW w:w="307" w:type="pct"/>
            <w:tcMar>
              <w:top w:w="57" w:type="dxa"/>
              <w:left w:w="57" w:type="dxa"/>
              <w:bottom w:w="57" w:type="dxa"/>
              <w:right w:w="57" w:type="dxa"/>
            </w:tcMar>
            <w:vAlign w:val="center"/>
          </w:tcPr>
          <w:p w14:paraId="16EDA03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52758C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184E5F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2277064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B37B71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376DDA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221CD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15E68FF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92CA78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124C35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A6772E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DB07AB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365F793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07B9430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tcMar>
              <w:top w:w="57" w:type="dxa"/>
              <w:left w:w="57" w:type="dxa"/>
              <w:bottom w:w="57" w:type="dxa"/>
              <w:right w:w="57" w:type="dxa"/>
            </w:tcMar>
            <w:vAlign w:val="center"/>
          </w:tcPr>
          <w:p w14:paraId="694DA23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6255BC3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0E21D9A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lang w:eastAsia="en-US"/>
              </w:rPr>
              <w:t>X</w:t>
            </w:r>
          </w:p>
        </w:tc>
      </w:tr>
      <w:tr w:rsidR="0005712D" w:rsidRPr="00101741" w14:paraId="0943FB83" w14:textId="77777777" w:rsidTr="00A34AC5">
        <w:tc>
          <w:tcPr>
            <w:tcW w:w="1049" w:type="pct"/>
            <w:tcMar>
              <w:top w:w="57" w:type="dxa"/>
              <w:left w:w="57" w:type="dxa"/>
              <w:bottom w:w="57" w:type="dxa"/>
              <w:right w:w="57" w:type="dxa"/>
            </w:tcMar>
            <w:vAlign w:val="center"/>
          </w:tcPr>
          <w:p w14:paraId="13023860"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lastRenderedPageBreak/>
              <w:t>Immunogenicity assessment</w:t>
            </w:r>
            <w:r w:rsidRPr="00101741">
              <w:rPr>
                <w:rFonts w:cs="Times New Roman"/>
                <w:sz w:val="20"/>
                <w:szCs w:val="20"/>
                <w:vertAlign w:val="superscript"/>
              </w:rPr>
              <w:t>13</w:t>
            </w:r>
          </w:p>
        </w:tc>
        <w:tc>
          <w:tcPr>
            <w:tcW w:w="307" w:type="pct"/>
            <w:tcMar>
              <w:top w:w="57" w:type="dxa"/>
              <w:left w:w="57" w:type="dxa"/>
              <w:bottom w:w="57" w:type="dxa"/>
              <w:right w:w="57" w:type="dxa"/>
            </w:tcMar>
            <w:vAlign w:val="center"/>
          </w:tcPr>
          <w:p w14:paraId="573988C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541F6B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EA2A6F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20EB4AF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DA6956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7ABF784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E76E5A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5254529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7F1436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4DB4548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1A1BDE7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shd w:val="clear" w:color="auto" w:fill="F2F2F2"/>
            <w:tcMar>
              <w:top w:w="57" w:type="dxa"/>
              <w:left w:w="57" w:type="dxa"/>
              <w:bottom w:w="57" w:type="dxa"/>
              <w:right w:w="57" w:type="dxa"/>
            </w:tcMar>
            <w:vAlign w:val="center"/>
          </w:tcPr>
          <w:p w14:paraId="3A334FA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D82B4B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7A5CD46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564C9B0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53E3425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5073E5C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lang w:eastAsia="en-US"/>
              </w:rPr>
              <w:t>X</w:t>
            </w:r>
          </w:p>
        </w:tc>
      </w:tr>
      <w:tr w:rsidR="0005712D" w:rsidRPr="00101741" w14:paraId="5B853D52" w14:textId="77777777" w:rsidTr="00A34AC5">
        <w:tc>
          <w:tcPr>
            <w:tcW w:w="1049" w:type="pct"/>
            <w:tcMar>
              <w:top w:w="57" w:type="dxa"/>
              <w:left w:w="57" w:type="dxa"/>
              <w:bottom w:w="57" w:type="dxa"/>
              <w:right w:w="57" w:type="dxa"/>
            </w:tcMar>
            <w:vAlign w:val="center"/>
          </w:tcPr>
          <w:p w14:paraId="101484BE"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Injection site reaction assessment</w:t>
            </w:r>
          </w:p>
        </w:tc>
        <w:tc>
          <w:tcPr>
            <w:tcW w:w="307" w:type="pct"/>
            <w:tcMar>
              <w:top w:w="57" w:type="dxa"/>
              <w:left w:w="57" w:type="dxa"/>
              <w:bottom w:w="57" w:type="dxa"/>
              <w:right w:w="57" w:type="dxa"/>
            </w:tcMar>
            <w:vAlign w:val="center"/>
          </w:tcPr>
          <w:p w14:paraId="7E3530A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5999843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172E9E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08449A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E09E2D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C4FDF7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F3BD8A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5F2659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F30282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582036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7C9D4D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4F74C7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E3E587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08D3924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4" w:type="pct"/>
            <w:tcMar>
              <w:top w:w="57" w:type="dxa"/>
              <w:left w:w="57" w:type="dxa"/>
              <w:bottom w:w="57" w:type="dxa"/>
              <w:right w:w="57" w:type="dxa"/>
            </w:tcMar>
            <w:vAlign w:val="center"/>
          </w:tcPr>
          <w:p w14:paraId="379FCC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205" w:type="pct"/>
            <w:tcMar>
              <w:top w:w="57" w:type="dxa"/>
              <w:left w:w="57" w:type="dxa"/>
              <w:bottom w:w="57" w:type="dxa"/>
              <w:right w:w="57" w:type="dxa"/>
            </w:tcMar>
            <w:vAlign w:val="center"/>
          </w:tcPr>
          <w:p w14:paraId="08860BE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577" w:type="pct"/>
            <w:tcMar>
              <w:top w:w="57" w:type="dxa"/>
              <w:left w:w="57" w:type="dxa"/>
              <w:bottom w:w="57" w:type="dxa"/>
              <w:right w:w="57" w:type="dxa"/>
            </w:tcMar>
            <w:vAlign w:val="center"/>
          </w:tcPr>
          <w:p w14:paraId="198341E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3FCC59B8" w14:textId="77777777" w:rsidTr="00A34AC5">
        <w:tc>
          <w:tcPr>
            <w:tcW w:w="1049" w:type="pct"/>
            <w:tcMar>
              <w:top w:w="57" w:type="dxa"/>
              <w:left w:w="57" w:type="dxa"/>
              <w:bottom w:w="57" w:type="dxa"/>
              <w:right w:w="57" w:type="dxa"/>
            </w:tcMar>
            <w:vAlign w:val="center"/>
          </w:tcPr>
          <w:p w14:paraId="218E6847"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Dispensation of subject diary</w:t>
            </w:r>
          </w:p>
        </w:tc>
        <w:tc>
          <w:tcPr>
            <w:tcW w:w="307" w:type="pct"/>
            <w:tcMar>
              <w:top w:w="57" w:type="dxa"/>
              <w:left w:w="57" w:type="dxa"/>
              <w:bottom w:w="57" w:type="dxa"/>
              <w:right w:w="57" w:type="dxa"/>
            </w:tcMar>
            <w:vAlign w:val="center"/>
          </w:tcPr>
          <w:p w14:paraId="6F433E7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01BF35F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F851DB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0D1D40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CC07D5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F9465A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B0D116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F61BD2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3A1D94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31A6D4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7DE7AB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D1643A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A2E259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076546D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204" w:type="pct"/>
            <w:tcMar>
              <w:top w:w="57" w:type="dxa"/>
              <w:left w:w="57" w:type="dxa"/>
              <w:bottom w:w="57" w:type="dxa"/>
              <w:right w:w="57" w:type="dxa"/>
            </w:tcMar>
            <w:vAlign w:val="center"/>
          </w:tcPr>
          <w:p w14:paraId="535A401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205" w:type="pct"/>
            <w:tcMar>
              <w:top w:w="57" w:type="dxa"/>
              <w:left w:w="57" w:type="dxa"/>
              <w:bottom w:w="57" w:type="dxa"/>
              <w:right w:w="57" w:type="dxa"/>
            </w:tcMar>
            <w:vAlign w:val="center"/>
          </w:tcPr>
          <w:p w14:paraId="485900A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197BDC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58DF3B7D" w14:textId="77777777" w:rsidTr="00A34AC5">
        <w:tc>
          <w:tcPr>
            <w:tcW w:w="1049" w:type="pct"/>
            <w:tcMar>
              <w:top w:w="57" w:type="dxa"/>
              <w:left w:w="57" w:type="dxa"/>
              <w:bottom w:w="57" w:type="dxa"/>
              <w:right w:w="57" w:type="dxa"/>
            </w:tcMar>
            <w:vAlign w:val="center"/>
          </w:tcPr>
          <w:p w14:paraId="1D9AAF07"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Collection of subject diary</w:t>
            </w:r>
          </w:p>
        </w:tc>
        <w:tc>
          <w:tcPr>
            <w:tcW w:w="307" w:type="pct"/>
            <w:tcMar>
              <w:top w:w="57" w:type="dxa"/>
              <w:left w:w="57" w:type="dxa"/>
              <w:bottom w:w="57" w:type="dxa"/>
              <w:right w:w="57" w:type="dxa"/>
            </w:tcMar>
            <w:vAlign w:val="center"/>
          </w:tcPr>
          <w:p w14:paraId="5239687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F68D37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204" w:type="pct"/>
            <w:shd w:val="clear" w:color="auto" w:fill="F2F2F2"/>
            <w:tcMar>
              <w:top w:w="57" w:type="dxa"/>
              <w:left w:w="57" w:type="dxa"/>
              <w:bottom w:w="57" w:type="dxa"/>
              <w:right w:w="57" w:type="dxa"/>
            </w:tcMar>
            <w:vAlign w:val="center"/>
          </w:tcPr>
          <w:p w14:paraId="7386B98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2885CC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45B944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85385A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73A9A0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E32DF6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0B1070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2267493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F70D39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67242E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87E521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21202DF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204" w:type="pct"/>
            <w:tcMar>
              <w:top w:w="57" w:type="dxa"/>
              <w:left w:w="57" w:type="dxa"/>
              <w:bottom w:w="57" w:type="dxa"/>
              <w:right w:w="57" w:type="dxa"/>
            </w:tcMar>
            <w:vAlign w:val="center"/>
          </w:tcPr>
          <w:p w14:paraId="6A8F84D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205" w:type="pct"/>
            <w:tcMar>
              <w:top w:w="57" w:type="dxa"/>
              <w:left w:w="57" w:type="dxa"/>
              <w:bottom w:w="57" w:type="dxa"/>
              <w:right w:w="57" w:type="dxa"/>
            </w:tcMar>
            <w:vAlign w:val="center"/>
          </w:tcPr>
          <w:p w14:paraId="1EE8037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45DA0AD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72BD7780" w14:textId="77777777" w:rsidTr="00A34AC5">
        <w:tc>
          <w:tcPr>
            <w:tcW w:w="1049" w:type="pct"/>
            <w:tcMar>
              <w:top w:w="57" w:type="dxa"/>
              <w:left w:w="57" w:type="dxa"/>
              <w:bottom w:w="57" w:type="dxa"/>
              <w:right w:w="57" w:type="dxa"/>
            </w:tcMar>
            <w:vAlign w:val="center"/>
          </w:tcPr>
          <w:p w14:paraId="06FA12A4"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Diet and exercise guidance</w:t>
            </w:r>
          </w:p>
        </w:tc>
        <w:tc>
          <w:tcPr>
            <w:tcW w:w="307" w:type="pct"/>
            <w:tcMar>
              <w:top w:w="57" w:type="dxa"/>
              <w:left w:w="57" w:type="dxa"/>
              <w:bottom w:w="57" w:type="dxa"/>
              <w:right w:w="57" w:type="dxa"/>
            </w:tcMar>
            <w:vAlign w:val="center"/>
          </w:tcPr>
          <w:p w14:paraId="42A9C41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5D48E2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65D77C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AC90DC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E23124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0281902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F83F7E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4C9C9D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C51DA3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B2D029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8C829F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41FE2EB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4F53CBD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5CC1013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204" w:type="pct"/>
            <w:tcMar>
              <w:top w:w="57" w:type="dxa"/>
              <w:left w:w="57" w:type="dxa"/>
              <w:bottom w:w="57" w:type="dxa"/>
              <w:right w:w="57" w:type="dxa"/>
            </w:tcMar>
            <w:vAlign w:val="center"/>
          </w:tcPr>
          <w:p w14:paraId="7358F86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205" w:type="pct"/>
            <w:tcMar>
              <w:top w:w="57" w:type="dxa"/>
              <w:left w:w="57" w:type="dxa"/>
              <w:bottom w:w="57" w:type="dxa"/>
              <w:right w:w="57" w:type="dxa"/>
            </w:tcMar>
            <w:vAlign w:val="center"/>
          </w:tcPr>
          <w:p w14:paraId="373E0AD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6233A7E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3613A2E7" w14:textId="77777777" w:rsidTr="00A34AC5">
        <w:tc>
          <w:tcPr>
            <w:tcW w:w="1049" w:type="pct"/>
            <w:tcMar>
              <w:top w:w="57" w:type="dxa"/>
              <w:left w:w="57" w:type="dxa"/>
              <w:bottom w:w="57" w:type="dxa"/>
              <w:right w:w="57" w:type="dxa"/>
            </w:tcMar>
            <w:vAlign w:val="center"/>
          </w:tcPr>
          <w:p w14:paraId="699E4BE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Monitoring and recording of adverse events</w:t>
            </w:r>
          </w:p>
        </w:tc>
        <w:tc>
          <w:tcPr>
            <w:tcW w:w="307" w:type="pct"/>
            <w:tcMar>
              <w:top w:w="57" w:type="dxa"/>
              <w:left w:w="57" w:type="dxa"/>
              <w:bottom w:w="57" w:type="dxa"/>
              <w:right w:w="57" w:type="dxa"/>
            </w:tcMar>
            <w:vAlign w:val="center"/>
          </w:tcPr>
          <w:p w14:paraId="78D1E39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715AE9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5D7A54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CED81F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EA0D33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AD5204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D434DE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A11881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D9EB20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1C2057B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1FD2B30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12B8E7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2F05C43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0B4599C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tcMar>
              <w:top w:w="57" w:type="dxa"/>
              <w:left w:w="57" w:type="dxa"/>
              <w:bottom w:w="57" w:type="dxa"/>
              <w:right w:w="57" w:type="dxa"/>
            </w:tcMar>
            <w:vAlign w:val="center"/>
          </w:tcPr>
          <w:p w14:paraId="0828027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01F34D0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6DDF999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1742ADC8" w14:textId="77777777" w:rsidTr="00A34AC5">
        <w:tc>
          <w:tcPr>
            <w:tcW w:w="1049" w:type="pct"/>
            <w:tcMar>
              <w:top w:w="57" w:type="dxa"/>
              <w:left w:w="57" w:type="dxa"/>
              <w:bottom w:w="57" w:type="dxa"/>
              <w:right w:w="57" w:type="dxa"/>
            </w:tcMar>
            <w:vAlign w:val="center"/>
          </w:tcPr>
          <w:p w14:paraId="2A5D441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Collection of concomitant medications/treatments</w:t>
            </w:r>
          </w:p>
        </w:tc>
        <w:tc>
          <w:tcPr>
            <w:tcW w:w="307" w:type="pct"/>
            <w:tcMar>
              <w:top w:w="57" w:type="dxa"/>
              <w:left w:w="57" w:type="dxa"/>
              <w:bottom w:w="57" w:type="dxa"/>
              <w:right w:w="57" w:type="dxa"/>
            </w:tcMar>
            <w:vAlign w:val="center"/>
          </w:tcPr>
          <w:p w14:paraId="570B28A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6224B01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4845F7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554FFEE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78F38CA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3267081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5ADD06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6820601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3D137BC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2F80027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5CEC720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shd w:val="clear" w:color="auto" w:fill="F2F2F2"/>
            <w:tcMar>
              <w:top w:w="57" w:type="dxa"/>
              <w:left w:w="57" w:type="dxa"/>
              <w:bottom w:w="57" w:type="dxa"/>
              <w:right w:w="57" w:type="dxa"/>
            </w:tcMar>
            <w:vAlign w:val="center"/>
          </w:tcPr>
          <w:p w14:paraId="75DEDFE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shd w:val="clear" w:color="auto" w:fill="F2F2F2"/>
            <w:tcMar>
              <w:top w:w="57" w:type="dxa"/>
              <w:left w:w="57" w:type="dxa"/>
              <w:bottom w:w="57" w:type="dxa"/>
              <w:right w:w="57" w:type="dxa"/>
            </w:tcMar>
            <w:vAlign w:val="center"/>
          </w:tcPr>
          <w:p w14:paraId="0240F36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10C6260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4" w:type="pct"/>
            <w:tcMar>
              <w:top w:w="57" w:type="dxa"/>
              <w:left w:w="57" w:type="dxa"/>
              <w:bottom w:w="57" w:type="dxa"/>
              <w:right w:w="57" w:type="dxa"/>
            </w:tcMar>
            <w:vAlign w:val="center"/>
          </w:tcPr>
          <w:p w14:paraId="1CACFD0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205" w:type="pct"/>
            <w:tcMar>
              <w:top w:w="57" w:type="dxa"/>
              <w:left w:w="57" w:type="dxa"/>
              <w:bottom w:w="57" w:type="dxa"/>
              <w:right w:w="57" w:type="dxa"/>
            </w:tcMar>
            <w:vAlign w:val="center"/>
          </w:tcPr>
          <w:p w14:paraId="337418B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577" w:type="pct"/>
            <w:tcMar>
              <w:top w:w="57" w:type="dxa"/>
              <w:left w:w="57" w:type="dxa"/>
              <w:bottom w:w="57" w:type="dxa"/>
              <w:right w:w="57" w:type="dxa"/>
            </w:tcMar>
            <w:vAlign w:val="center"/>
          </w:tcPr>
          <w:p w14:paraId="07E5D5A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bl>
    <w:bookmarkEnd w:id="61"/>
    <w:p w14:paraId="54EC9507"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1.</w:t>
      </w:r>
      <w:r w:rsidRPr="00A34AC5">
        <w:rPr>
          <w:rFonts w:cs="Times New Roman"/>
          <w:sz w:val="20"/>
          <w:szCs w:val="20"/>
        </w:rPr>
        <w:tab/>
        <w:t>Subject screening will be performed within 14 days prior to the first dose (D0), and the screening procedures will be the same for each group;</w:t>
      </w:r>
    </w:p>
    <w:p w14:paraId="131E201D"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2.</w:t>
      </w:r>
      <w:r w:rsidRPr="00A34AC5">
        <w:rPr>
          <w:rFonts w:cs="Times New Roman"/>
          <w:sz w:val="20"/>
          <w:szCs w:val="20"/>
        </w:rPr>
        <w:tab/>
        <w:t>If a subject withdraws from the study early after dosing, an early termination visit (4 weeks ± 3 days after the last dose) should be completed whenever possible; in addition, every effort should be made to assess efficacy endpoints including HbA1c, fasting plasma glucose, blood lipids, blood pressure, body weight, waist circumference, and hip circumference at 24 weeks (± 3 days) after the first dose;</w:t>
      </w:r>
    </w:p>
    <w:p w14:paraId="05C2A19A"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3.</w:t>
      </w:r>
      <w:r w:rsidRPr="00A34AC5">
        <w:rPr>
          <w:rFonts w:cs="Times New Roman"/>
          <w:sz w:val="20"/>
          <w:szCs w:val="20"/>
        </w:rPr>
        <w:tab/>
        <w:t>Height will be measured only at the first screening visit;</w:t>
      </w:r>
    </w:p>
    <w:p w14:paraId="16BE32BE"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4.</w:t>
      </w:r>
      <w:r w:rsidRPr="00A34AC5">
        <w:rPr>
          <w:rFonts w:cs="Times New Roman"/>
          <w:sz w:val="20"/>
          <w:szCs w:val="20"/>
        </w:rPr>
        <w:tab/>
        <w:t>Vital signs: Blood pressure, pulse, and respiratory rate will be measured after the subject has rested quietly for at least 5 minutes; if blood samples are to be collected on the same day, vital signs should be measured before blood collection;</w:t>
      </w:r>
    </w:p>
    <w:p w14:paraId="19AD536E" w14:textId="77777777" w:rsidR="0005712D" w:rsidRPr="00A34AC5" w:rsidRDefault="00CF2A39" w:rsidP="00A34AC5">
      <w:pPr>
        <w:pageBreakBefore/>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lastRenderedPageBreak/>
        <w:t>5.</w:t>
      </w:r>
      <w:r w:rsidRPr="00A34AC5">
        <w:rPr>
          <w:rFonts w:cs="Times New Roman"/>
          <w:sz w:val="20"/>
          <w:szCs w:val="20"/>
        </w:rPr>
        <w:tab/>
        <w:t>12-lead ECG: Subjects should not exercise or consume caffeine, alcohol, or nicotine within 30 minutes prior to the ECG, and must rest for at least 5 minutes; if blood samples are to be collected on the same day, the ECG should be performed before blood collection;</w:t>
      </w:r>
    </w:p>
    <w:p w14:paraId="2966637A"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6.</w:t>
      </w:r>
      <w:r w:rsidRPr="00A34AC5">
        <w:rPr>
          <w:rFonts w:cs="Times New Roman"/>
          <w:sz w:val="20"/>
          <w:szCs w:val="20"/>
        </w:rPr>
        <w:tab/>
        <w:t>Test results obtained within 1 month prior to screening may be accepted;</w:t>
      </w:r>
    </w:p>
    <w:p w14:paraId="580301DB"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7.</w:t>
      </w:r>
      <w:r w:rsidRPr="00A34AC5">
        <w:rPr>
          <w:rFonts w:cs="Times New Roman"/>
          <w:sz w:val="20"/>
          <w:szCs w:val="20"/>
        </w:rPr>
        <w:tab/>
        <w:t>Pregnancy test: Applicable only to female subjects. Except for postmenopausal women (amenorrhea ≥ 2 years confirmed by FSH test) and women who have undergone hysterectomy, bilateral oophorectomy, or tubal ligation, all female subjects must undergo a serum pregnancy test. If no serum pregnancy test result within 3 days pre-dose on D0 is available, a urine pregnancy test must be performed before dosing for confirmation;</w:t>
      </w:r>
    </w:p>
    <w:p w14:paraId="066B13CA"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8.</w:t>
      </w:r>
      <w:r w:rsidRPr="00A34AC5">
        <w:rPr>
          <w:rFonts w:cs="Times New Roman"/>
          <w:sz w:val="20"/>
          <w:szCs w:val="20"/>
        </w:rPr>
        <w:tab/>
        <w:t>Applicable only to women requiring confirmation of postmenopausal status;</w:t>
      </w:r>
    </w:p>
    <w:p w14:paraId="54E2EF11"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9.</w:t>
      </w:r>
      <w:r w:rsidRPr="00A34AC5">
        <w:rPr>
          <w:rFonts w:cs="Times New Roman"/>
          <w:sz w:val="20"/>
          <w:szCs w:val="20"/>
        </w:rPr>
        <w:tab/>
        <w:t xml:space="preserve">Blood samples will be collected under fasting conditions (no caloric intake for at least 8 h); </w:t>
      </w:r>
    </w:p>
    <w:p w14:paraId="20FA5258"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10.</w:t>
      </w:r>
      <w:r w:rsidRPr="00A34AC5">
        <w:rPr>
          <w:rFonts w:cs="Times New Roman"/>
          <w:sz w:val="20"/>
          <w:szCs w:val="20"/>
        </w:rPr>
        <w:tab/>
        <w:t>Samples for the relevant tests must be collected pre-dose;</w:t>
      </w:r>
    </w:p>
    <w:p w14:paraId="3E35B46A"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11.</w:t>
      </w:r>
      <w:r w:rsidRPr="00A34AC5">
        <w:rPr>
          <w:rFonts w:cs="Times New Roman"/>
          <w:sz w:val="20"/>
          <w:szCs w:val="20"/>
        </w:rPr>
        <w:tab/>
        <w:t>HbA1c samples from all visits will be sent to the central laboratory for testing; during the screening period, an additional tube of blood for HbA1c will be collected and tested at the study site as the basis for screening;</w:t>
      </w:r>
    </w:p>
    <w:p w14:paraId="2D57140F"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12.</w:t>
      </w:r>
      <w:r w:rsidRPr="00A34AC5">
        <w:rPr>
          <w:rFonts w:cs="Times New Roman"/>
          <w:sz w:val="20"/>
          <w:szCs w:val="20"/>
        </w:rPr>
        <w:tab/>
        <w:t>RAY1225 PK samples will be collected at the following time points: before the first dose; pre-dose at Weeks 4, 8, 12, and 16; pre-dose and once within *4–72 h and once within *96–240 h post-dose at Week 22; once at Week 24 or Week 26; and at early withdrawal. A maximum of 10 blood samples will be collected, with approximately 4 mL collected at each time;</w:t>
      </w:r>
    </w:p>
    <w:p w14:paraId="00A95D38" w14:textId="77777777" w:rsidR="0005712D" w:rsidRPr="00A34AC5" w:rsidRDefault="00CF2A39" w:rsidP="00A34AC5">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A34AC5">
        <w:rPr>
          <w:rFonts w:cs="Times New Roman"/>
          <w:sz w:val="20"/>
          <w:szCs w:val="20"/>
        </w:rPr>
        <w:t>13.</w:t>
      </w:r>
      <w:r w:rsidRPr="00A34AC5">
        <w:rPr>
          <w:rFonts w:cs="Times New Roman"/>
          <w:sz w:val="20"/>
          <w:szCs w:val="20"/>
        </w:rPr>
        <w:tab/>
        <w:t>If subcutaneous administration of RAY1225 is scheduled on the same day as immunogenicity blood sampling, the blood sample must be collected pre-dose.</w:t>
      </w:r>
    </w:p>
    <w:p w14:paraId="6C10A654" w14:textId="7B3AD599" w:rsidR="00A34AC5" w:rsidRDefault="00A34AC5">
      <w:pPr>
        <w:widowControl/>
        <w:spacing w:before="0" w:after="0" w:line="240" w:lineRule="auto"/>
        <w:jc w:val="left"/>
        <w:rPr>
          <w:rFonts w:cs="Times New Roman"/>
          <w:sz w:val="24"/>
        </w:rPr>
      </w:pPr>
      <w:r>
        <w:rPr>
          <w:rFonts w:cs="Times New Roman"/>
          <w:sz w:val="24"/>
        </w:rPr>
        <w:br w:type="page"/>
      </w:r>
    </w:p>
    <w:p w14:paraId="025E30E6" w14:textId="77777777" w:rsidR="0005712D" w:rsidRPr="00F72DDB" w:rsidRDefault="00CF2A39" w:rsidP="00101741">
      <w:pPr>
        <w:pStyle w:val="a0"/>
        <w:numPr>
          <w:ilvl w:val="0"/>
          <w:numId w:val="0"/>
        </w:numPr>
        <w:overflowPunct w:val="0"/>
        <w:autoSpaceDE w:val="0"/>
        <w:autoSpaceDN w:val="0"/>
        <w:adjustRightInd w:val="0"/>
        <w:spacing w:beforeLines="50" w:afterLines="50" w:line="300" w:lineRule="auto"/>
        <w:ind w:left="420"/>
        <w:jc w:val="center"/>
        <w:rPr>
          <w:rFonts w:cs="Times New Roman"/>
          <w:b/>
          <w:sz w:val="24"/>
          <w:szCs w:val="24"/>
        </w:rPr>
      </w:pPr>
      <w:r w:rsidRPr="00F72DDB">
        <w:rPr>
          <w:rFonts w:cs="Times New Roman"/>
          <w:b/>
          <w:sz w:val="24"/>
          <w:szCs w:val="24"/>
        </w:rPr>
        <w:lastRenderedPageBreak/>
        <w:t>Schedule of activities for Part B dose escalation study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4"/>
        <w:gridCol w:w="554"/>
        <w:gridCol w:w="405"/>
        <w:gridCol w:w="389"/>
        <w:gridCol w:w="359"/>
        <w:gridCol w:w="359"/>
        <w:gridCol w:w="359"/>
        <w:gridCol w:w="359"/>
        <w:gridCol w:w="359"/>
        <w:gridCol w:w="359"/>
        <w:gridCol w:w="459"/>
        <w:gridCol w:w="459"/>
        <w:gridCol w:w="459"/>
        <w:gridCol w:w="459"/>
        <w:gridCol w:w="459"/>
        <w:gridCol w:w="459"/>
        <w:gridCol w:w="459"/>
        <w:gridCol w:w="459"/>
        <w:gridCol w:w="459"/>
        <w:gridCol w:w="459"/>
        <w:gridCol w:w="459"/>
        <w:gridCol w:w="404"/>
        <w:gridCol w:w="460"/>
        <w:gridCol w:w="460"/>
        <w:gridCol w:w="1157"/>
      </w:tblGrid>
      <w:tr w:rsidR="0005712D" w:rsidRPr="00101741" w14:paraId="65F18248" w14:textId="77777777" w:rsidTr="00B65C17">
        <w:trPr>
          <w:tblHeader/>
          <w:jc w:val="center"/>
        </w:trPr>
        <w:tc>
          <w:tcPr>
            <w:tcW w:w="782" w:type="pct"/>
            <w:tcMar>
              <w:top w:w="57" w:type="dxa"/>
              <w:left w:w="57" w:type="dxa"/>
              <w:bottom w:w="57" w:type="dxa"/>
              <w:right w:w="57" w:type="dxa"/>
            </w:tcMar>
            <w:vAlign w:val="center"/>
          </w:tcPr>
          <w:p w14:paraId="636512F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bookmarkStart w:id="62" w:name="_Hlk152262416"/>
            <w:r w:rsidRPr="00101741">
              <w:rPr>
                <w:rFonts w:cs="Times New Roman"/>
                <w:b/>
                <w:bCs/>
                <w:sz w:val="20"/>
                <w:szCs w:val="20"/>
              </w:rPr>
              <w:t>Study procedure</w:t>
            </w:r>
          </w:p>
        </w:tc>
        <w:tc>
          <w:tcPr>
            <w:tcW w:w="367" w:type="pct"/>
            <w:gridSpan w:val="2"/>
            <w:tcMar>
              <w:top w:w="57" w:type="dxa"/>
              <w:left w:w="57" w:type="dxa"/>
              <w:bottom w:w="57" w:type="dxa"/>
              <w:right w:w="57" w:type="dxa"/>
            </w:tcMar>
            <w:vAlign w:val="center"/>
          </w:tcPr>
          <w:p w14:paraId="379693E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Screening visit</w:t>
            </w:r>
            <w:r w:rsidRPr="00101741">
              <w:rPr>
                <w:rFonts w:cs="Times New Roman"/>
                <w:b/>
                <w:bCs/>
                <w:sz w:val="20"/>
                <w:szCs w:val="20"/>
                <w:vertAlign w:val="superscript"/>
              </w:rPr>
              <w:t>1</w:t>
            </w:r>
          </w:p>
        </w:tc>
        <w:tc>
          <w:tcPr>
            <w:tcW w:w="3851" w:type="pct"/>
            <w:gridSpan w:val="22"/>
            <w:tcMar>
              <w:top w:w="57" w:type="dxa"/>
              <w:left w:w="57" w:type="dxa"/>
              <w:bottom w:w="57" w:type="dxa"/>
              <w:right w:w="57" w:type="dxa"/>
            </w:tcMar>
            <w:vAlign w:val="center"/>
          </w:tcPr>
          <w:p w14:paraId="26B4176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Treatment and observation period</w:t>
            </w:r>
          </w:p>
        </w:tc>
      </w:tr>
      <w:tr w:rsidR="0005712D" w:rsidRPr="00101741" w14:paraId="57ACDD93" w14:textId="77777777" w:rsidTr="00B65C17">
        <w:trPr>
          <w:tblHeader/>
          <w:jc w:val="center"/>
        </w:trPr>
        <w:tc>
          <w:tcPr>
            <w:tcW w:w="782" w:type="pct"/>
            <w:tcMar>
              <w:top w:w="57" w:type="dxa"/>
              <w:left w:w="57" w:type="dxa"/>
              <w:bottom w:w="57" w:type="dxa"/>
              <w:right w:w="57" w:type="dxa"/>
            </w:tcMar>
            <w:vAlign w:val="center"/>
          </w:tcPr>
          <w:p w14:paraId="7D1FFE2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Visit</w:t>
            </w:r>
          </w:p>
        </w:tc>
        <w:tc>
          <w:tcPr>
            <w:tcW w:w="212" w:type="pct"/>
            <w:tcMar>
              <w:top w:w="57" w:type="dxa"/>
              <w:left w:w="57" w:type="dxa"/>
              <w:bottom w:w="57" w:type="dxa"/>
              <w:right w:w="57" w:type="dxa"/>
            </w:tcMar>
            <w:vAlign w:val="center"/>
          </w:tcPr>
          <w:p w14:paraId="4F6579D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w:t>
            </w:r>
          </w:p>
        </w:tc>
        <w:tc>
          <w:tcPr>
            <w:tcW w:w="155" w:type="pct"/>
            <w:tcMar>
              <w:top w:w="57" w:type="dxa"/>
              <w:left w:w="57" w:type="dxa"/>
              <w:bottom w:w="57" w:type="dxa"/>
              <w:right w:w="57" w:type="dxa"/>
            </w:tcMar>
            <w:vAlign w:val="center"/>
          </w:tcPr>
          <w:p w14:paraId="02FF904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V2</w:t>
            </w:r>
          </w:p>
        </w:tc>
        <w:tc>
          <w:tcPr>
            <w:tcW w:w="149" w:type="pct"/>
            <w:shd w:val="clear" w:color="auto" w:fill="F2F2F2"/>
            <w:tcMar>
              <w:top w:w="57" w:type="dxa"/>
              <w:left w:w="57" w:type="dxa"/>
              <w:bottom w:w="57" w:type="dxa"/>
              <w:right w:w="57" w:type="dxa"/>
            </w:tcMar>
            <w:vAlign w:val="center"/>
          </w:tcPr>
          <w:p w14:paraId="214E107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V3</w:t>
            </w:r>
          </w:p>
        </w:tc>
        <w:tc>
          <w:tcPr>
            <w:tcW w:w="137" w:type="pct"/>
            <w:shd w:val="clear" w:color="auto" w:fill="F2F2F2"/>
            <w:tcMar>
              <w:top w:w="57" w:type="dxa"/>
              <w:left w:w="57" w:type="dxa"/>
              <w:bottom w:w="57" w:type="dxa"/>
              <w:right w:w="57" w:type="dxa"/>
            </w:tcMar>
            <w:vAlign w:val="center"/>
          </w:tcPr>
          <w:p w14:paraId="4AD9781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V4</w:t>
            </w:r>
          </w:p>
        </w:tc>
        <w:tc>
          <w:tcPr>
            <w:tcW w:w="137" w:type="pct"/>
            <w:shd w:val="clear" w:color="auto" w:fill="F2F2F2"/>
            <w:tcMar>
              <w:top w:w="57" w:type="dxa"/>
              <w:left w:w="57" w:type="dxa"/>
              <w:bottom w:w="57" w:type="dxa"/>
              <w:right w:w="57" w:type="dxa"/>
            </w:tcMar>
            <w:vAlign w:val="center"/>
          </w:tcPr>
          <w:p w14:paraId="13E0442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V5</w:t>
            </w:r>
          </w:p>
        </w:tc>
        <w:tc>
          <w:tcPr>
            <w:tcW w:w="137" w:type="pct"/>
            <w:shd w:val="clear" w:color="auto" w:fill="F2F2F2"/>
            <w:tcMar>
              <w:top w:w="57" w:type="dxa"/>
              <w:left w:w="57" w:type="dxa"/>
              <w:bottom w:w="57" w:type="dxa"/>
              <w:right w:w="57" w:type="dxa"/>
            </w:tcMar>
            <w:vAlign w:val="center"/>
          </w:tcPr>
          <w:p w14:paraId="1DA3381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V6</w:t>
            </w:r>
          </w:p>
        </w:tc>
        <w:tc>
          <w:tcPr>
            <w:tcW w:w="137" w:type="pct"/>
            <w:shd w:val="clear" w:color="auto" w:fill="F2F2F2"/>
            <w:tcMar>
              <w:top w:w="57" w:type="dxa"/>
              <w:left w:w="57" w:type="dxa"/>
              <w:bottom w:w="57" w:type="dxa"/>
              <w:right w:w="57" w:type="dxa"/>
            </w:tcMar>
            <w:vAlign w:val="center"/>
          </w:tcPr>
          <w:p w14:paraId="19AB1BA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V7</w:t>
            </w:r>
          </w:p>
        </w:tc>
        <w:tc>
          <w:tcPr>
            <w:tcW w:w="137" w:type="pct"/>
            <w:shd w:val="clear" w:color="auto" w:fill="F2F2F2"/>
            <w:tcMar>
              <w:top w:w="57" w:type="dxa"/>
              <w:left w:w="57" w:type="dxa"/>
              <w:bottom w:w="57" w:type="dxa"/>
              <w:right w:w="57" w:type="dxa"/>
            </w:tcMar>
            <w:vAlign w:val="center"/>
          </w:tcPr>
          <w:p w14:paraId="54518F7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V8</w:t>
            </w:r>
          </w:p>
        </w:tc>
        <w:tc>
          <w:tcPr>
            <w:tcW w:w="137" w:type="pct"/>
            <w:shd w:val="clear" w:color="auto" w:fill="F2F2F2"/>
            <w:tcMar>
              <w:top w:w="57" w:type="dxa"/>
              <w:left w:w="57" w:type="dxa"/>
              <w:bottom w:w="57" w:type="dxa"/>
              <w:right w:w="57" w:type="dxa"/>
            </w:tcMar>
            <w:vAlign w:val="center"/>
          </w:tcPr>
          <w:p w14:paraId="57F9BD5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V9</w:t>
            </w:r>
          </w:p>
        </w:tc>
        <w:tc>
          <w:tcPr>
            <w:tcW w:w="176" w:type="pct"/>
            <w:shd w:val="clear" w:color="auto" w:fill="F2F2F2"/>
            <w:tcMar>
              <w:top w:w="57" w:type="dxa"/>
              <w:left w:w="57" w:type="dxa"/>
              <w:bottom w:w="57" w:type="dxa"/>
              <w:right w:w="57" w:type="dxa"/>
            </w:tcMar>
            <w:vAlign w:val="center"/>
          </w:tcPr>
          <w:p w14:paraId="22E1AF2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V10</w:t>
            </w:r>
          </w:p>
        </w:tc>
        <w:tc>
          <w:tcPr>
            <w:tcW w:w="176" w:type="pct"/>
            <w:shd w:val="clear" w:color="auto" w:fill="F2F2F2"/>
            <w:tcMar>
              <w:top w:w="57" w:type="dxa"/>
              <w:left w:w="57" w:type="dxa"/>
              <w:bottom w:w="57" w:type="dxa"/>
              <w:right w:w="57" w:type="dxa"/>
            </w:tcMar>
            <w:vAlign w:val="center"/>
          </w:tcPr>
          <w:p w14:paraId="4708A73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V11</w:t>
            </w:r>
          </w:p>
        </w:tc>
        <w:tc>
          <w:tcPr>
            <w:tcW w:w="176" w:type="pct"/>
            <w:shd w:val="clear" w:color="auto" w:fill="F2F2F2"/>
            <w:tcMar>
              <w:top w:w="57" w:type="dxa"/>
              <w:left w:w="57" w:type="dxa"/>
              <w:bottom w:w="57" w:type="dxa"/>
              <w:right w:w="57" w:type="dxa"/>
            </w:tcMar>
            <w:vAlign w:val="center"/>
          </w:tcPr>
          <w:p w14:paraId="32037FC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V12</w:t>
            </w:r>
          </w:p>
        </w:tc>
        <w:tc>
          <w:tcPr>
            <w:tcW w:w="176" w:type="pct"/>
            <w:shd w:val="clear" w:color="auto" w:fill="F2F2F2"/>
            <w:tcMar>
              <w:top w:w="57" w:type="dxa"/>
              <w:left w:w="57" w:type="dxa"/>
              <w:bottom w:w="57" w:type="dxa"/>
              <w:right w:w="57" w:type="dxa"/>
            </w:tcMar>
            <w:vAlign w:val="center"/>
          </w:tcPr>
          <w:p w14:paraId="4B4917B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V13</w:t>
            </w:r>
          </w:p>
        </w:tc>
        <w:tc>
          <w:tcPr>
            <w:tcW w:w="176" w:type="pct"/>
            <w:shd w:val="clear" w:color="auto" w:fill="F2F2F2"/>
            <w:tcMar>
              <w:top w:w="57" w:type="dxa"/>
              <w:left w:w="57" w:type="dxa"/>
              <w:bottom w:w="57" w:type="dxa"/>
              <w:right w:w="57" w:type="dxa"/>
            </w:tcMar>
            <w:vAlign w:val="center"/>
          </w:tcPr>
          <w:p w14:paraId="4E1F599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V14</w:t>
            </w:r>
          </w:p>
        </w:tc>
        <w:tc>
          <w:tcPr>
            <w:tcW w:w="176" w:type="pct"/>
            <w:tcMar>
              <w:top w:w="57" w:type="dxa"/>
              <w:left w:w="57" w:type="dxa"/>
              <w:bottom w:w="57" w:type="dxa"/>
              <w:right w:w="57" w:type="dxa"/>
            </w:tcMar>
            <w:vAlign w:val="center"/>
          </w:tcPr>
          <w:p w14:paraId="23BDB43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V15</w:t>
            </w:r>
          </w:p>
        </w:tc>
        <w:tc>
          <w:tcPr>
            <w:tcW w:w="176" w:type="pct"/>
            <w:tcMar>
              <w:top w:w="57" w:type="dxa"/>
              <w:left w:w="57" w:type="dxa"/>
              <w:bottom w:w="57" w:type="dxa"/>
              <w:right w:w="57" w:type="dxa"/>
            </w:tcMar>
            <w:vAlign w:val="center"/>
          </w:tcPr>
          <w:p w14:paraId="3FB7E6E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V16</w:t>
            </w:r>
          </w:p>
        </w:tc>
        <w:tc>
          <w:tcPr>
            <w:tcW w:w="176" w:type="pct"/>
            <w:tcMar>
              <w:top w:w="57" w:type="dxa"/>
              <w:left w:w="57" w:type="dxa"/>
              <w:bottom w:w="57" w:type="dxa"/>
              <w:right w:w="57" w:type="dxa"/>
            </w:tcMar>
            <w:vAlign w:val="center"/>
          </w:tcPr>
          <w:p w14:paraId="0D21A02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V17</w:t>
            </w:r>
          </w:p>
        </w:tc>
        <w:tc>
          <w:tcPr>
            <w:tcW w:w="176" w:type="pct"/>
            <w:tcMar>
              <w:top w:w="57" w:type="dxa"/>
              <w:left w:w="57" w:type="dxa"/>
              <w:bottom w:w="57" w:type="dxa"/>
              <w:right w:w="57" w:type="dxa"/>
            </w:tcMar>
            <w:vAlign w:val="center"/>
          </w:tcPr>
          <w:p w14:paraId="5E09E48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V18</w:t>
            </w:r>
          </w:p>
        </w:tc>
        <w:tc>
          <w:tcPr>
            <w:tcW w:w="176" w:type="pct"/>
            <w:tcMar>
              <w:top w:w="57" w:type="dxa"/>
              <w:left w:w="57" w:type="dxa"/>
              <w:bottom w:w="57" w:type="dxa"/>
              <w:right w:w="57" w:type="dxa"/>
            </w:tcMar>
            <w:vAlign w:val="center"/>
          </w:tcPr>
          <w:p w14:paraId="3C90687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V19</w:t>
            </w:r>
          </w:p>
        </w:tc>
        <w:tc>
          <w:tcPr>
            <w:tcW w:w="176" w:type="pct"/>
            <w:tcMar>
              <w:top w:w="57" w:type="dxa"/>
              <w:left w:w="57" w:type="dxa"/>
              <w:bottom w:w="57" w:type="dxa"/>
              <w:right w:w="57" w:type="dxa"/>
            </w:tcMar>
            <w:vAlign w:val="center"/>
          </w:tcPr>
          <w:p w14:paraId="0B04157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V20</w:t>
            </w:r>
          </w:p>
        </w:tc>
        <w:tc>
          <w:tcPr>
            <w:tcW w:w="154" w:type="pct"/>
            <w:tcMar>
              <w:top w:w="57" w:type="dxa"/>
              <w:left w:w="57" w:type="dxa"/>
              <w:bottom w:w="57" w:type="dxa"/>
              <w:right w:w="57" w:type="dxa"/>
            </w:tcMar>
            <w:vAlign w:val="center"/>
          </w:tcPr>
          <w:p w14:paraId="36B747B9" w14:textId="77777777" w:rsidR="0005712D" w:rsidRPr="00101741" w:rsidRDefault="00CF2A39" w:rsidP="00101741">
            <w:pPr>
              <w:widowControl/>
              <w:overflowPunct w:val="0"/>
              <w:autoSpaceDE w:val="0"/>
              <w:autoSpaceDN w:val="0"/>
              <w:adjustRightInd w:val="0"/>
              <w:snapToGrid w:val="0"/>
              <w:spacing w:before="0" w:after="0" w:line="240" w:lineRule="auto"/>
              <w:ind w:rightChars="-26" w:right="-55"/>
              <w:jc w:val="center"/>
              <w:rPr>
                <w:rFonts w:cs="Times New Roman"/>
                <w:b/>
                <w:bCs/>
                <w:sz w:val="20"/>
                <w:szCs w:val="20"/>
              </w:rPr>
            </w:pPr>
            <w:r w:rsidRPr="00101741">
              <w:rPr>
                <w:rFonts w:cs="Times New Roman"/>
                <w:b/>
                <w:bCs/>
                <w:sz w:val="20"/>
                <w:szCs w:val="20"/>
              </w:rPr>
              <w:t>V21</w:t>
            </w:r>
          </w:p>
        </w:tc>
        <w:tc>
          <w:tcPr>
            <w:tcW w:w="176" w:type="pct"/>
            <w:tcMar>
              <w:top w:w="57" w:type="dxa"/>
              <w:left w:w="57" w:type="dxa"/>
              <w:bottom w:w="57" w:type="dxa"/>
              <w:right w:w="57" w:type="dxa"/>
            </w:tcMar>
            <w:vAlign w:val="center"/>
          </w:tcPr>
          <w:p w14:paraId="30475C7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V22</w:t>
            </w:r>
          </w:p>
        </w:tc>
        <w:tc>
          <w:tcPr>
            <w:tcW w:w="176" w:type="pct"/>
            <w:tcMar>
              <w:top w:w="57" w:type="dxa"/>
              <w:left w:w="57" w:type="dxa"/>
              <w:bottom w:w="57" w:type="dxa"/>
              <w:right w:w="57" w:type="dxa"/>
            </w:tcMar>
            <w:vAlign w:val="center"/>
          </w:tcPr>
          <w:p w14:paraId="3CB366B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V23</w:t>
            </w:r>
          </w:p>
        </w:tc>
        <w:tc>
          <w:tcPr>
            <w:tcW w:w="442" w:type="pct"/>
            <w:tcMar>
              <w:top w:w="57" w:type="dxa"/>
              <w:left w:w="57" w:type="dxa"/>
              <w:bottom w:w="57" w:type="dxa"/>
              <w:right w:w="57" w:type="dxa"/>
            </w:tcMar>
            <w:vAlign w:val="center"/>
          </w:tcPr>
          <w:p w14:paraId="4979909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V24</w:t>
            </w:r>
          </w:p>
        </w:tc>
      </w:tr>
      <w:tr w:rsidR="0005712D" w:rsidRPr="00101741" w14:paraId="23BC3B61" w14:textId="77777777" w:rsidTr="00B65C17">
        <w:trPr>
          <w:tblHeader/>
          <w:jc w:val="center"/>
        </w:trPr>
        <w:tc>
          <w:tcPr>
            <w:tcW w:w="782" w:type="pct"/>
            <w:tcMar>
              <w:top w:w="57" w:type="dxa"/>
              <w:left w:w="57" w:type="dxa"/>
              <w:bottom w:w="57" w:type="dxa"/>
              <w:right w:w="57" w:type="dxa"/>
            </w:tcMar>
            <w:vAlign w:val="center"/>
          </w:tcPr>
          <w:p w14:paraId="1DBD3FC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Visit (week)</w:t>
            </w:r>
          </w:p>
        </w:tc>
        <w:tc>
          <w:tcPr>
            <w:tcW w:w="212" w:type="pct"/>
            <w:tcMar>
              <w:top w:w="57" w:type="dxa"/>
              <w:left w:w="57" w:type="dxa"/>
              <w:bottom w:w="57" w:type="dxa"/>
              <w:right w:w="57" w:type="dxa"/>
            </w:tcMar>
            <w:vAlign w:val="center"/>
          </w:tcPr>
          <w:p w14:paraId="0043591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155" w:type="pct"/>
            <w:tcMar>
              <w:top w:w="57" w:type="dxa"/>
              <w:left w:w="57" w:type="dxa"/>
              <w:bottom w:w="57" w:type="dxa"/>
              <w:right w:w="57" w:type="dxa"/>
            </w:tcMar>
            <w:vAlign w:val="center"/>
          </w:tcPr>
          <w:p w14:paraId="32BD342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149" w:type="pct"/>
            <w:shd w:val="clear" w:color="auto" w:fill="F2F2F2"/>
            <w:tcMar>
              <w:top w:w="57" w:type="dxa"/>
              <w:left w:w="57" w:type="dxa"/>
              <w:bottom w:w="57" w:type="dxa"/>
              <w:right w:w="57" w:type="dxa"/>
            </w:tcMar>
            <w:vAlign w:val="center"/>
          </w:tcPr>
          <w:p w14:paraId="1F87690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0</w:t>
            </w:r>
          </w:p>
        </w:tc>
        <w:tc>
          <w:tcPr>
            <w:tcW w:w="137" w:type="pct"/>
            <w:shd w:val="clear" w:color="auto" w:fill="F2F2F2"/>
            <w:tcMar>
              <w:top w:w="57" w:type="dxa"/>
              <w:left w:w="57" w:type="dxa"/>
              <w:bottom w:w="57" w:type="dxa"/>
              <w:right w:w="57" w:type="dxa"/>
            </w:tcMar>
            <w:vAlign w:val="center"/>
          </w:tcPr>
          <w:p w14:paraId="28D43E9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w:t>
            </w:r>
          </w:p>
        </w:tc>
        <w:tc>
          <w:tcPr>
            <w:tcW w:w="137" w:type="pct"/>
            <w:shd w:val="clear" w:color="auto" w:fill="F2F2F2"/>
            <w:tcMar>
              <w:top w:w="57" w:type="dxa"/>
              <w:left w:w="57" w:type="dxa"/>
              <w:bottom w:w="57" w:type="dxa"/>
              <w:right w:w="57" w:type="dxa"/>
            </w:tcMar>
            <w:vAlign w:val="center"/>
          </w:tcPr>
          <w:p w14:paraId="717281B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4</w:t>
            </w:r>
          </w:p>
        </w:tc>
        <w:tc>
          <w:tcPr>
            <w:tcW w:w="137" w:type="pct"/>
            <w:shd w:val="clear" w:color="auto" w:fill="F2F2F2"/>
            <w:tcMar>
              <w:top w:w="57" w:type="dxa"/>
              <w:left w:w="57" w:type="dxa"/>
              <w:bottom w:w="57" w:type="dxa"/>
              <w:right w:w="57" w:type="dxa"/>
            </w:tcMar>
            <w:vAlign w:val="center"/>
          </w:tcPr>
          <w:p w14:paraId="50E75FA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6</w:t>
            </w:r>
          </w:p>
        </w:tc>
        <w:tc>
          <w:tcPr>
            <w:tcW w:w="137" w:type="pct"/>
            <w:shd w:val="clear" w:color="auto" w:fill="F2F2F2"/>
            <w:tcMar>
              <w:top w:w="57" w:type="dxa"/>
              <w:left w:w="57" w:type="dxa"/>
              <w:bottom w:w="57" w:type="dxa"/>
              <w:right w:w="57" w:type="dxa"/>
            </w:tcMar>
            <w:vAlign w:val="center"/>
          </w:tcPr>
          <w:p w14:paraId="574CCA5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8</w:t>
            </w:r>
          </w:p>
        </w:tc>
        <w:tc>
          <w:tcPr>
            <w:tcW w:w="137" w:type="pct"/>
            <w:shd w:val="clear" w:color="auto" w:fill="F2F2F2"/>
            <w:tcMar>
              <w:top w:w="57" w:type="dxa"/>
              <w:left w:w="57" w:type="dxa"/>
              <w:bottom w:w="57" w:type="dxa"/>
              <w:right w:w="57" w:type="dxa"/>
            </w:tcMar>
            <w:vAlign w:val="center"/>
          </w:tcPr>
          <w:p w14:paraId="37FBCC3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10</w:t>
            </w:r>
          </w:p>
        </w:tc>
        <w:tc>
          <w:tcPr>
            <w:tcW w:w="137" w:type="pct"/>
            <w:shd w:val="clear" w:color="auto" w:fill="F2F2F2"/>
            <w:tcMar>
              <w:top w:w="57" w:type="dxa"/>
              <w:left w:w="57" w:type="dxa"/>
              <w:bottom w:w="57" w:type="dxa"/>
              <w:right w:w="57" w:type="dxa"/>
            </w:tcMar>
            <w:vAlign w:val="center"/>
          </w:tcPr>
          <w:p w14:paraId="51D72F6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12</w:t>
            </w:r>
          </w:p>
        </w:tc>
        <w:tc>
          <w:tcPr>
            <w:tcW w:w="176" w:type="pct"/>
            <w:shd w:val="clear" w:color="auto" w:fill="F2F2F2"/>
            <w:tcMar>
              <w:top w:w="57" w:type="dxa"/>
              <w:left w:w="57" w:type="dxa"/>
              <w:bottom w:w="57" w:type="dxa"/>
              <w:right w:w="57" w:type="dxa"/>
            </w:tcMar>
            <w:vAlign w:val="center"/>
          </w:tcPr>
          <w:p w14:paraId="47435EA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w:t>
            </w:r>
          </w:p>
        </w:tc>
        <w:tc>
          <w:tcPr>
            <w:tcW w:w="176" w:type="pct"/>
            <w:shd w:val="clear" w:color="auto" w:fill="F2F2F2"/>
            <w:tcMar>
              <w:top w:w="57" w:type="dxa"/>
              <w:left w:w="57" w:type="dxa"/>
              <w:bottom w:w="57" w:type="dxa"/>
              <w:right w:w="57" w:type="dxa"/>
            </w:tcMar>
            <w:vAlign w:val="center"/>
          </w:tcPr>
          <w:p w14:paraId="7E94439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16</w:t>
            </w:r>
          </w:p>
        </w:tc>
        <w:tc>
          <w:tcPr>
            <w:tcW w:w="176" w:type="pct"/>
            <w:shd w:val="clear" w:color="auto" w:fill="F2F2F2"/>
            <w:tcMar>
              <w:top w:w="57" w:type="dxa"/>
              <w:left w:w="57" w:type="dxa"/>
              <w:bottom w:w="57" w:type="dxa"/>
              <w:right w:w="57" w:type="dxa"/>
            </w:tcMar>
            <w:vAlign w:val="center"/>
          </w:tcPr>
          <w:p w14:paraId="18F2579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18</w:t>
            </w:r>
          </w:p>
        </w:tc>
        <w:tc>
          <w:tcPr>
            <w:tcW w:w="176" w:type="pct"/>
            <w:shd w:val="clear" w:color="auto" w:fill="F2F2F2"/>
            <w:tcMar>
              <w:top w:w="57" w:type="dxa"/>
              <w:left w:w="57" w:type="dxa"/>
              <w:bottom w:w="57" w:type="dxa"/>
              <w:right w:w="57" w:type="dxa"/>
            </w:tcMar>
            <w:vAlign w:val="center"/>
          </w:tcPr>
          <w:p w14:paraId="2417246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20</w:t>
            </w:r>
          </w:p>
        </w:tc>
        <w:tc>
          <w:tcPr>
            <w:tcW w:w="176" w:type="pct"/>
            <w:shd w:val="clear" w:color="auto" w:fill="F2F2F2"/>
            <w:tcMar>
              <w:top w:w="57" w:type="dxa"/>
              <w:left w:w="57" w:type="dxa"/>
              <w:bottom w:w="57" w:type="dxa"/>
              <w:right w:w="57" w:type="dxa"/>
            </w:tcMar>
            <w:vAlign w:val="center"/>
          </w:tcPr>
          <w:p w14:paraId="26DB85F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22</w:t>
            </w:r>
          </w:p>
        </w:tc>
        <w:tc>
          <w:tcPr>
            <w:tcW w:w="176" w:type="pct"/>
            <w:tcMar>
              <w:top w:w="57" w:type="dxa"/>
              <w:left w:w="57" w:type="dxa"/>
              <w:bottom w:w="57" w:type="dxa"/>
              <w:right w:w="57" w:type="dxa"/>
            </w:tcMar>
            <w:vAlign w:val="center"/>
          </w:tcPr>
          <w:p w14:paraId="4EB0123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22</w:t>
            </w:r>
          </w:p>
        </w:tc>
        <w:tc>
          <w:tcPr>
            <w:tcW w:w="176" w:type="pct"/>
            <w:tcMar>
              <w:top w:w="57" w:type="dxa"/>
              <w:left w:w="57" w:type="dxa"/>
              <w:bottom w:w="57" w:type="dxa"/>
              <w:right w:w="57" w:type="dxa"/>
            </w:tcMar>
            <w:vAlign w:val="center"/>
          </w:tcPr>
          <w:p w14:paraId="53B71FD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22</w:t>
            </w:r>
          </w:p>
        </w:tc>
        <w:tc>
          <w:tcPr>
            <w:tcW w:w="176" w:type="pct"/>
            <w:tcMar>
              <w:top w:w="57" w:type="dxa"/>
              <w:left w:w="57" w:type="dxa"/>
              <w:bottom w:w="57" w:type="dxa"/>
              <w:right w:w="57" w:type="dxa"/>
            </w:tcMar>
            <w:vAlign w:val="center"/>
          </w:tcPr>
          <w:p w14:paraId="334C875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22</w:t>
            </w:r>
          </w:p>
        </w:tc>
        <w:tc>
          <w:tcPr>
            <w:tcW w:w="176" w:type="pct"/>
            <w:tcMar>
              <w:top w:w="57" w:type="dxa"/>
              <w:left w:w="57" w:type="dxa"/>
              <w:bottom w:w="57" w:type="dxa"/>
              <w:right w:w="57" w:type="dxa"/>
            </w:tcMar>
            <w:vAlign w:val="center"/>
          </w:tcPr>
          <w:p w14:paraId="19F0FC7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23</w:t>
            </w:r>
          </w:p>
        </w:tc>
        <w:tc>
          <w:tcPr>
            <w:tcW w:w="176" w:type="pct"/>
            <w:tcMar>
              <w:top w:w="57" w:type="dxa"/>
              <w:left w:w="57" w:type="dxa"/>
              <w:bottom w:w="57" w:type="dxa"/>
              <w:right w:w="57" w:type="dxa"/>
            </w:tcMar>
            <w:vAlign w:val="center"/>
          </w:tcPr>
          <w:p w14:paraId="4D11E4E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23</w:t>
            </w:r>
          </w:p>
        </w:tc>
        <w:tc>
          <w:tcPr>
            <w:tcW w:w="176" w:type="pct"/>
            <w:tcMar>
              <w:top w:w="57" w:type="dxa"/>
              <w:left w:w="57" w:type="dxa"/>
              <w:bottom w:w="57" w:type="dxa"/>
              <w:right w:w="57" w:type="dxa"/>
            </w:tcMar>
            <w:vAlign w:val="center"/>
          </w:tcPr>
          <w:p w14:paraId="428747F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24</w:t>
            </w:r>
          </w:p>
        </w:tc>
        <w:tc>
          <w:tcPr>
            <w:tcW w:w="154" w:type="pct"/>
            <w:tcMar>
              <w:top w:w="57" w:type="dxa"/>
              <w:left w:w="57" w:type="dxa"/>
              <w:bottom w:w="57" w:type="dxa"/>
              <w:right w:w="57" w:type="dxa"/>
            </w:tcMar>
            <w:vAlign w:val="center"/>
          </w:tcPr>
          <w:p w14:paraId="5ADF89BE" w14:textId="77777777" w:rsidR="0005712D" w:rsidRPr="00101741" w:rsidRDefault="00CF2A39" w:rsidP="00101741">
            <w:pPr>
              <w:widowControl/>
              <w:overflowPunct w:val="0"/>
              <w:autoSpaceDE w:val="0"/>
              <w:autoSpaceDN w:val="0"/>
              <w:adjustRightInd w:val="0"/>
              <w:snapToGrid w:val="0"/>
              <w:spacing w:before="0" w:after="0" w:line="240" w:lineRule="auto"/>
              <w:ind w:rightChars="-26" w:right="-55"/>
              <w:jc w:val="center"/>
              <w:rPr>
                <w:rFonts w:cs="Times New Roman"/>
                <w:b/>
                <w:bCs/>
                <w:sz w:val="20"/>
                <w:szCs w:val="20"/>
              </w:rPr>
            </w:pPr>
            <w:r w:rsidRPr="00101741">
              <w:rPr>
                <w:rFonts w:cs="Times New Roman"/>
                <w:b/>
                <w:bCs/>
                <w:sz w:val="20"/>
                <w:szCs w:val="20"/>
              </w:rPr>
              <w:t>25</w:t>
            </w:r>
          </w:p>
        </w:tc>
        <w:tc>
          <w:tcPr>
            <w:tcW w:w="176" w:type="pct"/>
            <w:tcMar>
              <w:top w:w="57" w:type="dxa"/>
              <w:left w:w="57" w:type="dxa"/>
              <w:bottom w:w="57" w:type="dxa"/>
              <w:right w:w="57" w:type="dxa"/>
            </w:tcMar>
            <w:vAlign w:val="center"/>
          </w:tcPr>
          <w:p w14:paraId="4CB429C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26</w:t>
            </w:r>
          </w:p>
        </w:tc>
        <w:tc>
          <w:tcPr>
            <w:tcW w:w="176" w:type="pct"/>
            <w:tcMar>
              <w:top w:w="57" w:type="dxa"/>
              <w:left w:w="57" w:type="dxa"/>
              <w:bottom w:w="57" w:type="dxa"/>
              <w:right w:w="57" w:type="dxa"/>
            </w:tcMar>
            <w:vAlign w:val="center"/>
          </w:tcPr>
          <w:p w14:paraId="36B34C0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27</w:t>
            </w:r>
          </w:p>
        </w:tc>
        <w:tc>
          <w:tcPr>
            <w:tcW w:w="442" w:type="pct"/>
            <w:tcMar>
              <w:top w:w="57" w:type="dxa"/>
              <w:left w:w="57" w:type="dxa"/>
              <w:bottom w:w="57" w:type="dxa"/>
              <w:right w:w="57" w:type="dxa"/>
            </w:tcMar>
            <w:vAlign w:val="center"/>
          </w:tcPr>
          <w:p w14:paraId="17794E4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28</w:t>
            </w:r>
          </w:p>
        </w:tc>
      </w:tr>
      <w:tr w:rsidR="0005712D" w:rsidRPr="00101741" w14:paraId="3AAD8F23" w14:textId="77777777" w:rsidTr="00B65C17">
        <w:trPr>
          <w:tblHeader/>
          <w:jc w:val="center"/>
        </w:trPr>
        <w:tc>
          <w:tcPr>
            <w:tcW w:w="782" w:type="pct"/>
            <w:tcMar>
              <w:top w:w="57" w:type="dxa"/>
              <w:left w:w="57" w:type="dxa"/>
              <w:bottom w:w="57" w:type="dxa"/>
              <w:right w:w="57" w:type="dxa"/>
            </w:tcMar>
            <w:vAlign w:val="center"/>
          </w:tcPr>
          <w:p w14:paraId="073EC65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Visit (day)</w:t>
            </w:r>
          </w:p>
        </w:tc>
        <w:tc>
          <w:tcPr>
            <w:tcW w:w="212" w:type="pct"/>
            <w:tcMar>
              <w:top w:w="57" w:type="dxa"/>
              <w:left w:w="57" w:type="dxa"/>
              <w:bottom w:w="57" w:type="dxa"/>
              <w:right w:w="57" w:type="dxa"/>
            </w:tcMar>
            <w:vAlign w:val="center"/>
          </w:tcPr>
          <w:p w14:paraId="0E4ACF3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-14~-2</w:t>
            </w:r>
          </w:p>
        </w:tc>
        <w:tc>
          <w:tcPr>
            <w:tcW w:w="155" w:type="pct"/>
            <w:tcMar>
              <w:top w:w="57" w:type="dxa"/>
              <w:left w:w="57" w:type="dxa"/>
              <w:bottom w:w="57" w:type="dxa"/>
              <w:right w:w="57" w:type="dxa"/>
            </w:tcMar>
            <w:vAlign w:val="center"/>
          </w:tcPr>
          <w:p w14:paraId="66FD51B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w:t>
            </w:r>
          </w:p>
        </w:tc>
        <w:tc>
          <w:tcPr>
            <w:tcW w:w="149" w:type="pct"/>
            <w:shd w:val="clear" w:color="auto" w:fill="F2F2F2"/>
            <w:tcMar>
              <w:top w:w="57" w:type="dxa"/>
              <w:left w:w="57" w:type="dxa"/>
              <w:bottom w:w="57" w:type="dxa"/>
              <w:right w:w="57" w:type="dxa"/>
            </w:tcMar>
            <w:vAlign w:val="center"/>
          </w:tcPr>
          <w:p w14:paraId="1F35C62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0</w:t>
            </w:r>
          </w:p>
        </w:tc>
        <w:tc>
          <w:tcPr>
            <w:tcW w:w="137" w:type="pct"/>
            <w:shd w:val="clear" w:color="auto" w:fill="F2F2F2"/>
            <w:tcMar>
              <w:top w:w="57" w:type="dxa"/>
              <w:left w:w="57" w:type="dxa"/>
              <w:bottom w:w="57" w:type="dxa"/>
              <w:right w:w="57" w:type="dxa"/>
            </w:tcMar>
            <w:vAlign w:val="center"/>
          </w:tcPr>
          <w:p w14:paraId="6CFFC81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w:t>
            </w:r>
          </w:p>
        </w:tc>
        <w:tc>
          <w:tcPr>
            <w:tcW w:w="137" w:type="pct"/>
            <w:shd w:val="clear" w:color="auto" w:fill="F2F2F2"/>
            <w:tcMar>
              <w:top w:w="57" w:type="dxa"/>
              <w:left w:w="57" w:type="dxa"/>
              <w:bottom w:w="57" w:type="dxa"/>
              <w:right w:w="57" w:type="dxa"/>
            </w:tcMar>
            <w:vAlign w:val="center"/>
          </w:tcPr>
          <w:p w14:paraId="2BAC193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28</w:t>
            </w:r>
          </w:p>
        </w:tc>
        <w:tc>
          <w:tcPr>
            <w:tcW w:w="137" w:type="pct"/>
            <w:shd w:val="clear" w:color="auto" w:fill="F2F2F2"/>
            <w:tcMar>
              <w:top w:w="57" w:type="dxa"/>
              <w:left w:w="57" w:type="dxa"/>
              <w:bottom w:w="57" w:type="dxa"/>
              <w:right w:w="57" w:type="dxa"/>
            </w:tcMar>
            <w:vAlign w:val="center"/>
          </w:tcPr>
          <w:p w14:paraId="044FF40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42</w:t>
            </w:r>
          </w:p>
        </w:tc>
        <w:tc>
          <w:tcPr>
            <w:tcW w:w="137" w:type="pct"/>
            <w:shd w:val="clear" w:color="auto" w:fill="F2F2F2"/>
            <w:tcMar>
              <w:top w:w="57" w:type="dxa"/>
              <w:left w:w="57" w:type="dxa"/>
              <w:bottom w:w="57" w:type="dxa"/>
              <w:right w:w="57" w:type="dxa"/>
            </w:tcMar>
            <w:vAlign w:val="center"/>
          </w:tcPr>
          <w:p w14:paraId="0A5167F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56</w:t>
            </w:r>
          </w:p>
        </w:tc>
        <w:tc>
          <w:tcPr>
            <w:tcW w:w="137" w:type="pct"/>
            <w:shd w:val="clear" w:color="auto" w:fill="F2F2F2"/>
            <w:tcMar>
              <w:top w:w="57" w:type="dxa"/>
              <w:left w:w="57" w:type="dxa"/>
              <w:bottom w:w="57" w:type="dxa"/>
              <w:right w:w="57" w:type="dxa"/>
            </w:tcMar>
            <w:vAlign w:val="center"/>
          </w:tcPr>
          <w:p w14:paraId="700F3EA2" w14:textId="77777777" w:rsidR="0005712D" w:rsidRPr="00101741" w:rsidRDefault="00CF2A39" w:rsidP="00101741">
            <w:pPr>
              <w:widowControl/>
              <w:overflowPunct w:val="0"/>
              <w:autoSpaceDE w:val="0"/>
              <w:autoSpaceDN w:val="0"/>
              <w:adjustRightInd w:val="0"/>
              <w:snapToGrid w:val="0"/>
              <w:spacing w:before="0" w:after="0" w:line="240" w:lineRule="auto"/>
              <w:ind w:rightChars="-23" w:right="-48"/>
              <w:jc w:val="center"/>
              <w:rPr>
                <w:rFonts w:cs="Times New Roman"/>
                <w:b/>
                <w:bCs/>
                <w:sz w:val="20"/>
                <w:szCs w:val="20"/>
              </w:rPr>
            </w:pPr>
            <w:r w:rsidRPr="00101741">
              <w:rPr>
                <w:rFonts w:cs="Times New Roman"/>
                <w:b/>
                <w:bCs/>
                <w:sz w:val="20"/>
                <w:szCs w:val="20"/>
              </w:rPr>
              <w:t>70</w:t>
            </w:r>
          </w:p>
        </w:tc>
        <w:tc>
          <w:tcPr>
            <w:tcW w:w="137" w:type="pct"/>
            <w:shd w:val="clear" w:color="auto" w:fill="F2F2F2"/>
            <w:tcMar>
              <w:top w:w="57" w:type="dxa"/>
              <w:left w:w="57" w:type="dxa"/>
              <w:bottom w:w="57" w:type="dxa"/>
              <w:right w:w="57" w:type="dxa"/>
            </w:tcMar>
            <w:vAlign w:val="center"/>
          </w:tcPr>
          <w:p w14:paraId="13E2B20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84</w:t>
            </w:r>
          </w:p>
        </w:tc>
        <w:tc>
          <w:tcPr>
            <w:tcW w:w="176" w:type="pct"/>
            <w:shd w:val="clear" w:color="auto" w:fill="F2F2F2"/>
            <w:tcMar>
              <w:top w:w="57" w:type="dxa"/>
              <w:left w:w="57" w:type="dxa"/>
              <w:bottom w:w="57" w:type="dxa"/>
              <w:right w:w="57" w:type="dxa"/>
            </w:tcMar>
            <w:vAlign w:val="center"/>
          </w:tcPr>
          <w:p w14:paraId="7AD3B29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98</w:t>
            </w:r>
          </w:p>
        </w:tc>
        <w:tc>
          <w:tcPr>
            <w:tcW w:w="176" w:type="pct"/>
            <w:shd w:val="clear" w:color="auto" w:fill="F2F2F2"/>
            <w:tcMar>
              <w:top w:w="57" w:type="dxa"/>
              <w:left w:w="57" w:type="dxa"/>
              <w:bottom w:w="57" w:type="dxa"/>
              <w:right w:w="57" w:type="dxa"/>
            </w:tcMar>
            <w:vAlign w:val="center"/>
          </w:tcPr>
          <w:p w14:paraId="2677501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112</w:t>
            </w:r>
          </w:p>
        </w:tc>
        <w:tc>
          <w:tcPr>
            <w:tcW w:w="176" w:type="pct"/>
            <w:shd w:val="clear" w:color="auto" w:fill="F2F2F2"/>
            <w:tcMar>
              <w:top w:w="57" w:type="dxa"/>
              <w:left w:w="57" w:type="dxa"/>
              <w:bottom w:w="57" w:type="dxa"/>
              <w:right w:w="57" w:type="dxa"/>
            </w:tcMar>
            <w:vAlign w:val="center"/>
          </w:tcPr>
          <w:p w14:paraId="4A47E79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126</w:t>
            </w:r>
          </w:p>
        </w:tc>
        <w:tc>
          <w:tcPr>
            <w:tcW w:w="176" w:type="pct"/>
            <w:shd w:val="clear" w:color="auto" w:fill="F2F2F2"/>
            <w:tcMar>
              <w:top w:w="57" w:type="dxa"/>
              <w:left w:w="57" w:type="dxa"/>
              <w:bottom w:w="57" w:type="dxa"/>
              <w:right w:w="57" w:type="dxa"/>
            </w:tcMar>
            <w:vAlign w:val="center"/>
          </w:tcPr>
          <w:p w14:paraId="438D051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140</w:t>
            </w:r>
          </w:p>
        </w:tc>
        <w:tc>
          <w:tcPr>
            <w:tcW w:w="176" w:type="pct"/>
            <w:shd w:val="clear" w:color="auto" w:fill="F2F2F2"/>
            <w:tcMar>
              <w:top w:w="57" w:type="dxa"/>
              <w:left w:w="57" w:type="dxa"/>
              <w:bottom w:w="57" w:type="dxa"/>
              <w:right w:w="57" w:type="dxa"/>
            </w:tcMar>
            <w:vAlign w:val="center"/>
          </w:tcPr>
          <w:p w14:paraId="14083C43" w14:textId="77777777" w:rsidR="0005712D" w:rsidRPr="00101741" w:rsidRDefault="00CF2A39" w:rsidP="00101741">
            <w:pPr>
              <w:widowControl/>
              <w:overflowPunct w:val="0"/>
              <w:autoSpaceDE w:val="0"/>
              <w:autoSpaceDN w:val="0"/>
              <w:adjustRightInd w:val="0"/>
              <w:snapToGrid w:val="0"/>
              <w:spacing w:before="0" w:after="0" w:line="240" w:lineRule="auto"/>
              <w:ind w:rightChars="-2" w:right="-4"/>
              <w:jc w:val="center"/>
              <w:rPr>
                <w:rFonts w:cs="Times New Roman"/>
                <w:b/>
                <w:bCs/>
                <w:sz w:val="20"/>
                <w:szCs w:val="20"/>
              </w:rPr>
            </w:pPr>
            <w:r w:rsidRPr="00101741">
              <w:rPr>
                <w:rFonts w:cs="Times New Roman"/>
                <w:b/>
                <w:bCs/>
                <w:sz w:val="20"/>
                <w:szCs w:val="20"/>
              </w:rPr>
              <w:t>154</w:t>
            </w:r>
          </w:p>
        </w:tc>
        <w:tc>
          <w:tcPr>
            <w:tcW w:w="176" w:type="pct"/>
            <w:tcMar>
              <w:top w:w="57" w:type="dxa"/>
              <w:left w:w="57" w:type="dxa"/>
              <w:bottom w:w="57" w:type="dxa"/>
              <w:right w:w="57" w:type="dxa"/>
            </w:tcMar>
            <w:vAlign w:val="center"/>
          </w:tcPr>
          <w:p w14:paraId="1AFC9D1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155</w:t>
            </w:r>
          </w:p>
        </w:tc>
        <w:tc>
          <w:tcPr>
            <w:tcW w:w="176" w:type="pct"/>
            <w:tcMar>
              <w:top w:w="57" w:type="dxa"/>
              <w:left w:w="57" w:type="dxa"/>
              <w:bottom w:w="57" w:type="dxa"/>
              <w:right w:w="57" w:type="dxa"/>
            </w:tcMar>
            <w:vAlign w:val="center"/>
          </w:tcPr>
          <w:p w14:paraId="6822A75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156</w:t>
            </w:r>
          </w:p>
        </w:tc>
        <w:tc>
          <w:tcPr>
            <w:tcW w:w="176" w:type="pct"/>
            <w:tcMar>
              <w:top w:w="57" w:type="dxa"/>
              <w:left w:w="57" w:type="dxa"/>
              <w:bottom w:w="57" w:type="dxa"/>
              <w:right w:w="57" w:type="dxa"/>
            </w:tcMar>
            <w:vAlign w:val="center"/>
          </w:tcPr>
          <w:p w14:paraId="147B5CE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157</w:t>
            </w:r>
          </w:p>
        </w:tc>
        <w:tc>
          <w:tcPr>
            <w:tcW w:w="176" w:type="pct"/>
            <w:tcMar>
              <w:top w:w="57" w:type="dxa"/>
              <w:left w:w="57" w:type="dxa"/>
              <w:bottom w:w="57" w:type="dxa"/>
              <w:right w:w="57" w:type="dxa"/>
            </w:tcMar>
            <w:vAlign w:val="center"/>
          </w:tcPr>
          <w:p w14:paraId="5BA6B8C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161</w:t>
            </w:r>
          </w:p>
        </w:tc>
        <w:tc>
          <w:tcPr>
            <w:tcW w:w="176" w:type="pct"/>
            <w:tcMar>
              <w:top w:w="57" w:type="dxa"/>
              <w:left w:w="57" w:type="dxa"/>
              <w:bottom w:w="57" w:type="dxa"/>
              <w:right w:w="57" w:type="dxa"/>
            </w:tcMar>
            <w:vAlign w:val="center"/>
          </w:tcPr>
          <w:p w14:paraId="260C1F2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164</w:t>
            </w:r>
          </w:p>
        </w:tc>
        <w:tc>
          <w:tcPr>
            <w:tcW w:w="176" w:type="pct"/>
            <w:tcMar>
              <w:top w:w="57" w:type="dxa"/>
              <w:left w:w="57" w:type="dxa"/>
              <w:bottom w:w="57" w:type="dxa"/>
              <w:right w:w="57" w:type="dxa"/>
            </w:tcMar>
            <w:vAlign w:val="center"/>
          </w:tcPr>
          <w:p w14:paraId="3A14327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168</w:t>
            </w:r>
          </w:p>
        </w:tc>
        <w:tc>
          <w:tcPr>
            <w:tcW w:w="154" w:type="pct"/>
            <w:tcMar>
              <w:top w:w="57" w:type="dxa"/>
              <w:left w:w="57" w:type="dxa"/>
              <w:bottom w:w="57" w:type="dxa"/>
              <w:right w:w="57" w:type="dxa"/>
            </w:tcMar>
            <w:vAlign w:val="center"/>
          </w:tcPr>
          <w:p w14:paraId="33E0355A" w14:textId="77777777" w:rsidR="0005712D" w:rsidRPr="00101741" w:rsidRDefault="00CF2A39" w:rsidP="00101741">
            <w:pPr>
              <w:widowControl/>
              <w:overflowPunct w:val="0"/>
              <w:autoSpaceDE w:val="0"/>
              <w:autoSpaceDN w:val="0"/>
              <w:adjustRightInd w:val="0"/>
              <w:snapToGrid w:val="0"/>
              <w:spacing w:before="0" w:after="0" w:line="240" w:lineRule="auto"/>
              <w:ind w:rightChars="-35" w:right="-73"/>
              <w:jc w:val="left"/>
              <w:rPr>
                <w:rFonts w:cs="Times New Roman"/>
                <w:b/>
                <w:bCs/>
                <w:sz w:val="20"/>
                <w:szCs w:val="20"/>
              </w:rPr>
            </w:pPr>
            <w:r w:rsidRPr="00101741">
              <w:rPr>
                <w:rFonts w:cs="Times New Roman"/>
                <w:b/>
                <w:bCs/>
                <w:sz w:val="20"/>
                <w:szCs w:val="20"/>
              </w:rPr>
              <w:t>175</w:t>
            </w:r>
          </w:p>
        </w:tc>
        <w:tc>
          <w:tcPr>
            <w:tcW w:w="176" w:type="pct"/>
            <w:tcMar>
              <w:top w:w="57" w:type="dxa"/>
              <w:left w:w="57" w:type="dxa"/>
              <w:bottom w:w="57" w:type="dxa"/>
              <w:right w:w="57" w:type="dxa"/>
            </w:tcMar>
            <w:vAlign w:val="center"/>
          </w:tcPr>
          <w:p w14:paraId="3B6B93C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182</w:t>
            </w:r>
          </w:p>
        </w:tc>
        <w:tc>
          <w:tcPr>
            <w:tcW w:w="176" w:type="pct"/>
            <w:tcMar>
              <w:top w:w="57" w:type="dxa"/>
              <w:left w:w="57" w:type="dxa"/>
              <w:bottom w:w="57" w:type="dxa"/>
              <w:right w:w="57" w:type="dxa"/>
            </w:tcMar>
            <w:vAlign w:val="center"/>
          </w:tcPr>
          <w:p w14:paraId="29117AE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189</w:t>
            </w:r>
          </w:p>
        </w:tc>
        <w:tc>
          <w:tcPr>
            <w:tcW w:w="442" w:type="pct"/>
            <w:tcMar>
              <w:top w:w="57" w:type="dxa"/>
              <w:left w:w="57" w:type="dxa"/>
              <w:bottom w:w="57" w:type="dxa"/>
              <w:right w:w="57" w:type="dxa"/>
            </w:tcMar>
            <w:vAlign w:val="center"/>
          </w:tcPr>
          <w:p w14:paraId="1EA4FDE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196/early withdrawal</w:t>
            </w:r>
            <w:r w:rsidRPr="00101741">
              <w:rPr>
                <w:rFonts w:cs="Times New Roman"/>
                <w:b/>
                <w:bCs/>
                <w:sz w:val="20"/>
                <w:szCs w:val="20"/>
                <w:vertAlign w:val="superscript"/>
              </w:rPr>
              <w:t>2</w:t>
            </w:r>
          </w:p>
        </w:tc>
      </w:tr>
      <w:tr w:rsidR="0005712D" w:rsidRPr="00101741" w14:paraId="56E3AA90" w14:textId="77777777" w:rsidTr="00B65C17">
        <w:trPr>
          <w:tblHeader/>
          <w:jc w:val="center"/>
        </w:trPr>
        <w:tc>
          <w:tcPr>
            <w:tcW w:w="782" w:type="pct"/>
            <w:tcMar>
              <w:top w:w="57" w:type="dxa"/>
              <w:left w:w="57" w:type="dxa"/>
              <w:bottom w:w="57" w:type="dxa"/>
              <w:right w:w="57" w:type="dxa"/>
            </w:tcMar>
            <w:vAlign w:val="center"/>
          </w:tcPr>
          <w:p w14:paraId="2F59141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Time window (day)</w:t>
            </w:r>
          </w:p>
        </w:tc>
        <w:tc>
          <w:tcPr>
            <w:tcW w:w="212" w:type="pct"/>
            <w:tcMar>
              <w:top w:w="57" w:type="dxa"/>
              <w:left w:w="57" w:type="dxa"/>
              <w:bottom w:w="57" w:type="dxa"/>
              <w:right w:w="57" w:type="dxa"/>
            </w:tcMar>
            <w:vAlign w:val="center"/>
          </w:tcPr>
          <w:p w14:paraId="0764C98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155" w:type="pct"/>
            <w:tcMar>
              <w:top w:w="57" w:type="dxa"/>
              <w:left w:w="57" w:type="dxa"/>
              <w:bottom w:w="57" w:type="dxa"/>
              <w:right w:w="57" w:type="dxa"/>
            </w:tcMar>
            <w:vAlign w:val="center"/>
          </w:tcPr>
          <w:p w14:paraId="40939CE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149" w:type="pct"/>
            <w:shd w:val="clear" w:color="auto" w:fill="F2F2F2"/>
            <w:tcMar>
              <w:top w:w="57" w:type="dxa"/>
              <w:left w:w="57" w:type="dxa"/>
              <w:bottom w:w="57" w:type="dxa"/>
              <w:right w:w="57" w:type="dxa"/>
            </w:tcMar>
            <w:vAlign w:val="center"/>
          </w:tcPr>
          <w:p w14:paraId="79F71C7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w:t>
            </w:r>
          </w:p>
        </w:tc>
        <w:tc>
          <w:tcPr>
            <w:tcW w:w="137" w:type="pct"/>
            <w:shd w:val="clear" w:color="auto" w:fill="F2F2F2"/>
            <w:tcMar>
              <w:top w:w="57" w:type="dxa"/>
              <w:left w:w="57" w:type="dxa"/>
              <w:bottom w:w="57" w:type="dxa"/>
              <w:right w:w="57" w:type="dxa"/>
            </w:tcMar>
            <w:vAlign w:val="center"/>
          </w:tcPr>
          <w:p w14:paraId="180CC7B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37" w:type="pct"/>
            <w:shd w:val="clear" w:color="auto" w:fill="F2F2F2"/>
            <w:tcMar>
              <w:top w:w="57" w:type="dxa"/>
              <w:left w:w="57" w:type="dxa"/>
              <w:bottom w:w="57" w:type="dxa"/>
              <w:right w:w="57" w:type="dxa"/>
            </w:tcMar>
            <w:vAlign w:val="center"/>
          </w:tcPr>
          <w:p w14:paraId="3D55BAE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37" w:type="pct"/>
            <w:shd w:val="clear" w:color="auto" w:fill="F2F2F2"/>
            <w:tcMar>
              <w:top w:w="57" w:type="dxa"/>
              <w:left w:w="57" w:type="dxa"/>
              <w:bottom w:w="57" w:type="dxa"/>
              <w:right w:w="57" w:type="dxa"/>
            </w:tcMar>
            <w:vAlign w:val="center"/>
          </w:tcPr>
          <w:p w14:paraId="1CEEFA9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37" w:type="pct"/>
            <w:shd w:val="clear" w:color="auto" w:fill="F2F2F2"/>
            <w:tcMar>
              <w:top w:w="57" w:type="dxa"/>
              <w:left w:w="57" w:type="dxa"/>
              <w:bottom w:w="57" w:type="dxa"/>
              <w:right w:w="57" w:type="dxa"/>
            </w:tcMar>
            <w:vAlign w:val="center"/>
          </w:tcPr>
          <w:p w14:paraId="17105D2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37" w:type="pct"/>
            <w:shd w:val="clear" w:color="auto" w:fill="F2F2F2"/>
            <w:tcMar>
              <w:top w:w="57" w:type="dxa"/>
              <w:left w:w="57" w:type="dxa"/>
              <w:bottom w:w="57" w:type="dxa"/>
              <w:right w:w="57" w:type="dxa"/>
            </w:tcMar>
            <w:vAlign w:val="center"/>
          </w:tcPr>
          <w:p w14:paraId="69D37DE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37" w:type="pct"/>
            <w:shd w:val="clear" w:color="auto" w:fill="F2F2F2"/>
            <w:tcMar>
              <w:top w:w="57" w:type="dxa"/>
              <w:left w:w="57" w:type="dxa"/>
              <w:bottom w:w="57" w:type="dxa"/>
              <w:right w:w="57" w:type="dxa"/>
            </w:tcMar>
            <w:vAlign w:val="center"/>
          </w:tcPr>
          <w:p w14:paraId="71912E9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shd w:val="clear" w:color="auto" w:fill="F2F2F2"/>
            <w:tcMar>
              <w:top w:w="57" w:type="dxa"/>
              <w:left w:w="57" w:type="dxa"/>
              <w:bottom w:w="57" w:type="dxa"/>
              <w:right w:w="57" w:type="dxa"/>
            </w:tcMar>
            <w:vAlign w:val="center"/>
          </w:tcPr>
          <w:p w14:paraId="69B4B7A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shd w:val="clear" w:color="auto" w:fill="F2F2F2"/>
            <w:tcMar>
              <w:top w:w="57" w:type="dxa"/>
              <w:left w:w="57" w:type="dxa"/>
              <w:bottom w:w="57" w:type="dxa"/>
              <w:right w:w="57" w:type="dxa"/>
            </w:tcMar>
            <w:vAlign w:val="center"/>
          </w:tcPr>
          <w:p w14:paraId="54F79F3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shd w:val="clear" w:color="auto" w:fill="F2F2F2"/>
            <w:tcMar>
              <w:top w:w="57" w:type="dxa"/>
              <w:left w:w="57" w:type="dxa"/>
              <w:bottom w:w="57" w:type="dxa"/>
              <w:right w:w="57" w:type="dxa"/>
            </w:tcMar>
            <w:vAlign w:val="center"/>
          </w:tcPr>
          <w:p w14:paraId="3AA32D3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shd w:val="clear" w:color="auto" w:fill="F2F2F2"/>
            <w:tcMar>
              <w:top w:w="57" w:type="dxa"/>
              <w:left w:w="57" w:type="dxa"/>
              <w:bottom w:w="57" w:type="dxa"/>
              <w:right w:w="57" w:type="dxa"/>
            </w:tcMar>
            <w:vAlign w:val="center"/>
          </w:tcPr>
          <w:p w14:paraId="210A479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shd w:val="clear" w:color="auto" w:fill="F2F2F2"/>
            <w:tcMar>
              <w:top w:w="57" w:type="dxa"/>
              <w:left w:w="57" w:type="dxa"/>
              <w:bottom w:w="57" w:type="dxa"/>
              <w:right w:w="57" w:type="dxa"/>
            </w:tcMar>
            <w:vAlign w:val="center"/>
          </w:tcPr>
          <w:p w14:paraId="226A011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57B8ABE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62A7302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42F0333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13E8E0E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6807D7C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0FEEB8E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54" w:type="pct"/>
            <w:tcMar>
              <w:top w:w="57" w:type="dxa"/>
              <w:left w:w="57" w:type="dxa"/>
              <w:bottom w:w="57" w:type="dxa"/>
              <w:right w:w="57" w:type="dxa"/>
            </w:tcMar>
            <w:vAlign w:val="center"/>
          </w:tcPr>
          <w:p w14:paraId="543933B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3180CDB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176" w:type="pct"/>
            <w:tcMar>
              <w:top w:w="57" w:type="dxa"/>
              <w:left w:w="57" w:type="dxa"/>
              <w:bottom w:w="57" w:type="dxa"/>
              <w:right w:w="57" w:type="dxa"/>
            </w:tcMar>
            <w:vAlign w:val="center"/>
          </w:tcPr>
          <w:p w14:paraId="3561AD9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c>
          <w:tcPr>
            <w:tcW w:w="442" w:type="pct"/>
            <w:tcMar>
              <w:top w:w="57" w:type="dxa"/>
              <w:left w:w="57" w:type="dxa"/>
              <w:bottom w:w="57" w:type="dxa"/>
              <w:right w:w="57" w:type="dxa"/>
            </w:tcMar>
            <w:vAlign w:val="center"/>
          </w:tcPr>
          <w:p w14:paraId="7F4D633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±3</w:t>
            </w:r>
          </w:p>
        </w:tc>
      </w:tr>
      <w:tr w:rsidR="0005712D" w:rsidRPr="00101741" w14:paraId="1CDADFE2" w14:textId="77777777" w:rsidTr="00B65C17">
        <w:trPr>
          <w:tblHeader/>
          <w:jc w:val="center"/>
        </w:trPr>
        <w:tc>
          <w:tcPr>
            <w:tcW w:w="782" w:type="pct"/>
            <w:tcMar>
              <w:top w:w="57" w:type="dxa"/>
              <w:left w:w="57" w:type="dxa"/>
              <w:bottom w:w="57" w:type="dxa"/>
              <w:right w:w="57" w:type="dxa"/>
            </w:tcMar>
            <w:vAlign w:val="center"/>
          </w:tcPr>
          <w:p w14:paraId="77134D1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Subcutaneous injection of RAY1225</w:t>
            </w:r>
          </w:p>
        </w:tc>
        <w:tc>
          <w:tcPr>
            <w:tcW w:w="212" w:type="pct"/>
            <w:tcMar>
              <w:top w:w="57" w:type="dxa"/>
              <w:left w:w="57" w:type="dxa"/>
              <w:bottom w:w="57" w:type="dxa"/>
              <w:right w:w="57" w:type="dxa"/>
            </w:tcMar>
            <w:vAlign w:val="center"/>
          </w:tcPr>
          <w:p w14:paraId="3A80A7E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55" w:type="pct"/>
            <w:tcMar>
              <w:top w:w="57" w:type="dxa"/>
              <w:left w:w="57" w:type="dxa"/>
              <w:bottom w:w="57" w:type="dxa"/>
              <w:right w:w="57" w:type="dxa"/>
            </w:tcMar>
            <w:vAlign w:val="center"/>
          </w:tcPr>
          <w:p w14:paraId="74B6D04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49" w:type="pct"/>
            <w:shd w:val="clear" w:color="auto" w:fill="F2F2F2"/>
            <w:tcMar>
              <w:top w:w="57" w:type="dxa"/>
              <w:left w:w="57" w:type="dxa"/>
              <w:bottom w:w="57" w:type="dxa"/>
              <w:right w:w="57" w:type="dxa"/>
            </w:tcMar>
            <w:vAlign w:val="center"/>
          </w:tcPr>
          <w:p w14:paraId="246192A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1</w:t>
            </w:r>
            <w:r w:rsidRPr="00101741">
              <w:rPr>
                <w:rFonts w:cs="Times New Roman"/>
                <w:sz w:val="20"/>
                <w:szCs w:val="20"/>
                <w:vertAlign w:val="superscript"/>
              </w:rPr>
              <w:t>st</w:t>
            </w:r>
          </w:p>
        </w:tc>
        <w:tc>
          <w:tcPr>
            <w:tcW w:w="137" w:type="pct"/>
            <w:shd w:val="clear" w:color="auto" w:fill="F2F2F2"/>
            <w:tcMar>
              <w:top w:w="57" w:type="dxa"/>
              <w:left w:w="57" w:type="dxa"/>
              <w:bottom w:w="57" w:type="dxa"/>
              <w:right w:w="57" w:type="dxa"/>
            </w:tcMar>
            <w:vAlign w:val="center"/>
          </w:tcPr>
          <w:p w14:paraId="4E430C1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2</w:t>
            </w:r>
            <w:r w:rsidRPr="00101741">
              <w:rPr>
                <w:rFonts w:cs="Times New Roman"/>
                <w:sz w:val="20"/>
                <w:szCs w:val="20"/>
                <w:vertAlign w:val="superscript"/>
              </w:rPr>
              <w:t>nd</w:t>
            </w:r>
          </w:p>
        </w:tc>
        <w:tc>
          <w:tcPr>
            <w:tcW w:w="137" w:type="pct"/>
            <w:shd w:val="clear" w:color="auto" w:fill="F2F2F2"/>
            <w:tcMar>
              <w:top w:w="57" w:type="dxa"/>
              <w:left w:w="57" w:type="dxa"/>
              <w:bottom w:w="57" w:type="dxa"/>
              <w:right w:w="57" w:type="dxa"/>
            </w:tcMar>
            <w:vAlign w:val="center"/>
          </w:tcPr>
          <w:p w14:paraId="7D34CEB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3</w:t>
            </w:r>
            <w:r w:rsidRPr="00101741">
              <w:rPr>
                <w:rFonts w:cs="Times New Roman"/>
                <w:sz w:val="20"/>
                <w:szCs w:val="20"/>
                <w:vertAlign w:val="superscript"/>
              </w:rPr>
              <w:t>rd</w:t>
            </w:r>
          </w:p>
        </w:tc>
        <w:tc>
          <w:tcPr>
            <w:tcW w:w="137" w:type="pct"/>
            <w:shd w:val="clear" w:color="auto" w:fill="F2F2F2"/>
            <w:tcMar>
              <w:top w:w="57" w:type="dxa"/>
              <w:left w:w="57" w:type="dxa"/>
              <w:bottom w:w="57" w:type="dxa"/>
              <w:right w:w="57" w:type="dxa"/>
            </w:tcMar>
            <w:vAlign w:val="center"/>
          </w:tcPr>
          <w:p w14:paraId="6DEBFB7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4</w:t>
            </w:r>
            <w:r w:rsidRPr="00101741">
              <w:rPr>
                <w:rFonts w:cs="Times New Roman"/>
                <w:sz w:val="20"/>
                <w:szCs w:val="20"/>
                <w:vertAlign w:val="superscript"/>
              </w:rPr>
              <w:t>th</w:t>
            </w:r>
          </w:p>
        </w:tc>
        <w:tc>
          <w:tcPr>
            <w:tcW w:w="137" w:type="pct"/>
            <w:shd w:val="clear" w:color="auto" w:fill="F2F2F2"/>
            <w:tcMar>
              <w:top w:w="57" w:type="dxa"/>
              <w:left w:w="57" w:type="dxa"/>
              <w:bottom w:w="57" w:type="dxa"/>
              <w:right w:w="57" w:type="dxa"/>
            </w:tcMar>
            <w:vAlign w:val="center"/>
          </w:tcPr>
          <w:p w14:paraId="111A866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5</w:t>
            </w:r>
            <w:r w:rsidRPr="00101741">
              <w:rPr>
                <w:rFonts w:cs="Times New Roman"/>
                <w:sz w:val="20"/>
                <w:szCs w:val="20"/>
                <w:vertAlign w:val="superscript"/>
              </w:rPr>
              <w:t>th</w:t>
            </w:r>
          </w:p>
        </w:tc>
        <w:tc>
          <w:tcPr>
            <w:tcW w:w="137" w:type="pct"/>
            <w:shd w:val="clear" w:color="auto" w:fill="F2F2F2"/>
            <w:tcMar>
              <w:top w:w="57" w:type="dxa"/>
              <w:left w:w="57" w:type="dxa"/>
              <w:bottom w:w="57" w:type="dxa"/>
              <w:right w:w="57" w:type="dxa"/>
            </w:tcMar>
            <w:vAlign w:val="center"/>
          </w:tcPr>
          <w:p w14:paraId="41A3019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6</w:t>
            </w:r>
            <w:r w:rsidRPr="00101741">
              <w:rPr>
                <w:rFonts w:cs="Times New Roman"/>
                <w:sz w:val="20"/>
                <w:szCs w:val="20"/>
                <w:vertAlign w:val="superscript"/>
              </w:rPr>
              <w:t>th</w:t>
            </w:r>
          </w:p>
        </w:tc>
        <w:tc>
          <w:tcPr>
            <w:tcW w:w="137" w:type="pct"/>
            <w:shd w:val="clear" w:color="auto" w:fill="F2F2F2"/>
            <w:tcMar>
              <w:top w:w="57" w:type="dxa"/>
              <w:left w:w="57" w:type="dxa"/>
              <w:bottom w:w="57" w:type="dxa"/>
              <w:right w:w="57" w:type="dxa"/>
            </w:tcMar>
            <w:vAlign w:val="center"/>
          </w:tcPr>
          <w:p w14:paraId="25811EC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7</w:t>
            </w:r>
            <w:r w:rsidRPr="00101741">
              <w:rPr>
                <w:rFonts w:cs="Times New Roman"/>
                <w:sz w:val="20"/>
                <w:szCs w:val="20"/>
                <w:vertAlign w:val="superscript"/>
              </w:rPr>
              <w:t>th</w:t>
            </w:r>
          </w:p>
        </w:tc>
        <w:tc>
          <w:tcPr>
            <w:tcW w:w="176" w:type="pct"/>
            <w:shd w:val="clear" w:color="auto" w:fill="F2F2F2"/>
            <w:tcMar>
              <w:top w:w="57" w:type="dxa"/>
              <w:left w:w="57" w:type="dxa"/>
              <w:bottom w:w="57" w:type="dxa"/>
              <w:right w:w="57" w:type="dxa"/>
            </w:tcMar>
            <w:vAlign w:val="center"/>
          </w:tcPr>
          <w:p w14:paraId="65877E9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8</w:t>
            </w:r>
            <w:r w:rsidRPr="00101741">
              <w:rPr>
                <w:rFonts w:cs="Times New Roman"/>
                <w:sz w:val="20"/>
                <w:szCs w:val="20"/>
                <w:vertAlign w:val="superscript"/>
              </w:rPr>
              <w:t>th</w:t>
            </w:r>
          </w:p>
        </w:tc>
        <w:tc>
          <w:tcPr>
            <w:tcW w:w="176" w:type="pct"/>
            <w:shd w:val="clear" w:color="auto" w:fill="F2F2F2"/>
            <w:tcMar>
              <w:top w:w="57" w:type="dxa"/>
              <w:left w:w="57" w:type="dxa"/>
              <w:bottom w:w="57" w:type="dxa"/>
              <w:right w:w="57" w:type="dxa"/>
            </w:tcMar>
            <w:vAlign w:val="center"/>
          </w:tcPr>
          <w:p w14:paraId="1A10DBE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9</w:t>
            </w:r>
            <w:r w:rsidRPr="00101741">
              <w:rPr>
                <w:rFonts w:cs="Times New Roman"/>
                <w:sz w:val="20"/>
                <w:szCs w:val="20"/>
                <w:vertAlign w:val="superscript"/>
              </w:rPr>
              <w:t>th</w:t>
            </w:r>
          </w:p>
        </w:tc>
        <w:tc>
          <w:tcPr>
            <w:tcW w:w="176" w:type="pct"/>
            <w:shd w:val="clear" w:color="auto" w:fill="F2F2F2"/>
            <w:tcMar>
              <w:top w:w="57" w:type="dxa"/>
              <w:left w:w="57" w:type="dxa"/>
              <w:bottom w:w="57" w:type="dxa"/>
              <w:right w:w="57" w:type="dxa"/>
            </w:tcMar>
            <w:vAlign w:val="center"/>
          </w:tcPr>
          <w:p w14:paraId="13CFD28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10</w:t>
            </w:r>
            <w:r w:rsidRPr="00101741">
              <w:rPr>
                <w:rFonts w:cs="Times New Roman"/>
                <w:sz w:val="20"/>
                <w:szCs w:val="20"/>
                <w:vertAlign w:val="superscript"/>
              </w:rPr>
              <w:t>th</w:t>
            </w:r>
          </w:p>
        </w:tc>
        <w:tc>
          <w:tcPr>
            <w:tcW w:w="176" w:type="pct"/>
            <w:shd w:val="clear" w:color="auto" w:fill="F2F2F2"/>
            <w:tcMar>
              <w:top w:w="57" w:type="dxa"/>
              <w:left w:w="57" w:type="dxa"/>
              <w:bottom w:w="57" w:type="dxa"/>
              <w:right w:w="57" w:type="dxa"/>
            </w:tcMar>
            <w:vAlign w:val="center"/>
          </w:tcPr>
          <w:p w14:paraId="26CB663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11</w:t>
            </w:r>
            <w:r w:rsidRPr="00101741">
              <w:rPr>
                <w:rFonts w:cs="Times New Roman"/>
                <w:sz w:val="20"/>
                <w:szCs w:val="20"/>
                <w:vertAlign w:val="superscript"/>
              </w:rPr>
              <w:t>th</w:t>
            </w:r>
          </w:p>
        </w:tc>
        <w:tc>
          <w:tcPr>
            <w:tcW w:w="176" w:type="pct"/>
            <w:shd w:val="clear" w:color="auto" w:fill="F2F2F2"/>
            <w:tcMar>
              <w:top w:w="57" w:type="dxa"/>
              <w:left w:w="57" w:type="dxa"/>
              <w:bottom w:w="57" w:type="dxa"/>
              <w:right w:w="57" w:type="dxa"/>
            </w:tcMar>
            <w:vAlign w:val="center"/>
          </w:tcPr>
          <w:p w14:paraId="641C630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sz w:val="20"/>
                <w:szCs w:val="20"/>
              </w:rPr>
              <w:t>12</w:t>
            </w:r>
            <w:r w:rsidRPr="00101741">
              <w:rPr>
                <w:rFonts w:cs="Times New Roman"/>
                <w:sz w:val="20"/>
                <w:szCs w:val="20"/>
                <w:vertAlign w:val="superscript"/>
              </w:rPr>
              <w:t>th</w:t>
            </w:r>
          </w:p>
        </w:tc>
        <w:tc>
          <w:tcPr>
            <w:tcW w:w="176" w:type="pct"/>
            <w:tcMar>
              <w:top w:w="57" w:type="dxa"/>
              <w:left w:w="57" w:type="dxa"/>
              <w:bottom w:w="57" w:type="dxa"/>
              <w:right w:w="57" w:type="dxa"/>
            </w:tcMar>
            <w:vAlign w:val="center"/>
          </w:tcPr>
          <w:p w14:paraId="300F0B3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4C2DD50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1552798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180C55C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2C42ABA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14C0C82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54" w:type="pct"/>
            <w:tcMar>
              <w:top w:w="57" w:type="dxa"/>
              <w:left w:w="57" w:type="dxa"/>
              <w:bottom w:w="57" w:type="dxa"/>
              <w:right w:w="57" w:type="dxa"/>
            </w:tcMar>
            <w:vAlign w:val="center"/>
          </w:tcPr>
          <w:p w14:paraId="42CBD59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20CCDB2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176" w:type="pct"/>
            <w:tcMar>
              <w:top w:w="57" w:type="dxa"/>
              <w:left w:w="57" w:type="dxa"/>
              <w:bottom w:w="57" w:type="dxa"/>
              <w:right w:w="57" w:type="dxa"/>
            </w:tcMar>
            <w:vAlign w:val="center"/>
          </w:tcPr>
          <w:p w14:paraId="6DFFC82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442" w:type="pct"/>
            <w:tcMar>
              <w:top w:w="57" w:type="dxa"/>
              <w:left w:w="57" w:type="dxa"/>
              <w:bottom w:w="57" w:type="dxa"/>
              <w:right w:w="57" w:type="dxa"/>
            </w:tcMar>
            <w:vAlign w:val="center"/>
          </w:tcPr>
          <w:p w14:paraId="08AE2C0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r>
      <w:tr w:rsidR="0005712D" w:rsidRPr="00101741" w14:paraId="3B110D73" w14:textId="77777777" w:rsidTr="00B65C17">
        <w:trPr>
          <w:jc w:val="center"/>
        </w:trPr>
        <w:tc>
          <w:tcPr>
            <w:tcW w:w="782" w:type="pct"/>
            <w:tcMar>
              <w:top w:w="57" w:type="dxa"/>
              <w:left w:w="57" w:type="dxa"/>
              <w:bottom w:w="57" w:type="dxa"/>
              <w:right w:w="57" w:type="dxa"/>
            </w:tcMar>
            <w:vAlign w:val="center"/>
          </w:tcPr>
          <w:p w14:paraId="13CB9973"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Signing of ICF</w:t>
            </w:r>
          </w:p>
        </w:tc>
        <w:tc>
          <w:tcPr>
            <w:tcW w:w="212" w:type="pct"/>
            <w:tcMar>
              <w:top w:w="57" w:type="dxa"/>
              <w:left w:w="57" w:type="dxa"/>
              <w:bottom w:w="57" w:type="dxa"/>
              <w:right w:w="57" w:type="dxa"/>
            </w:tcMar>
            <w:vAlign w:val="center"/>
          </w:tcPr>
          <w:p w14:paraId="04CA9B0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6BAA5BF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01971FA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DA6D69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4830ED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2DC0A2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E7D7DE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F53C3E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B8F95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E77FF4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C89915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498F61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B25C17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27D099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1E6BC2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BCC0DA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E341A4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FE0FD7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569B39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31BD2E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3D774F2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5242D1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7E36FD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6B47C30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3DC01F7B" w14:textId="77777777" w:rsidTr="00B65C17">
        <w:trPr>
          <w:jc w:val="center"/>
        </w:trPr>
        <w:tc>
          <w:tcPr>
            <w:tcW w:w="782" w:type="pct"/>
            <w:tcMar>
              <w:top w:w="57" w:type="dxa"/>
              <w:left w:w="57" w:type="dxa"/>
              <w:bottom w:w="57" w:type="dxa"/>
              <w:right w:w="57" w:type="dxa"/>
            </w:tcMar>
            <w:vAlign w:val="center"/>
          </w:tcPr>
          <w:p w14:paraId="183DDA02"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Demographic information</w:t>
            </w:r>
          </w:p>
        </w:tc>
        <w:tc>
          <w:tcPr>
            <w:tcW w:w="212" w:type="pct"/>
            <w:tcMar>
              <w:top w:w="57" w:type="dxa"/>
              <w:left w:w="57" w:type="dxa"/>
              <w:bottom w:w="57" w:type="dxa"/>
              <w:right w:w="57" w:type="dxa"/>
            </w:tcMar>
            <w:vAlign w:val="center"/>
          </w:tcPr>
          <w:p w14:paraId="17E1416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37974C4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4257538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B2B6FC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C6BFF0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624AD2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8138EA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155771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6C5701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F69DC9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B3FD26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A77EC4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5B003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C732BA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95F46A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726D82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83F155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722041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F03D89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19A25A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51A4367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3CB2EA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4CA97D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2B2ECEC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19E42FF4" w14:textId="77777777" w:rsidTr="00B65C17">
        <w:trPr>
          <w:jc w:val="center"/>
        </w:trPr>
        <w:tc>
          <w:tcPr>
            <w:tcW w:w="782" w:type="pct"/>
            <w:tcMar>
              <w:top w:w="57" w:type="dxa"/>
              <w:left w:w="57" w:type="dxa"/>
              <w:bottom w:w="57" w:type="dxa"/>
              <w:right w:w="57" w:type="dxa"/>
            </w:tcMar>
            <w:vAlign w:val="center"/>
          </w:tcPr>
          <w:p w14:paraId="0E84947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Medical history and personal history</w:t>
            </w:r>
          </w:p>
        </w:tc>
        <w:tc>
          <w:tcPr>
            <w:tcW w:w="212" w:type="pct"/>
            <w:tcMar>
              <w:top w:w="57" w:type="dxa"/>
              <w:left w:w="57" w:type="dxa"/>
              <w:bottom w:w="57" w:type="dxa"/>
              <w:right w:w="57" w:type="dxa"/>
            </w:tcMar>
            <w:vAlign w:val="center"/>
          </w:tcPr>
          <w:p w14:paraId="0F3F75F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109D401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7BAFED5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7313E0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724A21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36A9A7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BB42F0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A7D060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95DC06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CAB9C6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E9C7CA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466ECF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B9D481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BE4B44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FE54B5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A88BF0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B15F2C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41041D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EBBBF9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3B294F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0509CB0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3BDC83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2B5F00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18C6B39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2CDC88EB" w14:textId="77777777" w:rsidTr="00B65C17">
        <w:trPr>
          <w:jc w:val="center"/>
        </w:trPr>
        <w:tc>
          <w:tcPr>
            <w:tcW w:w="782" w:type="pct"/>
            <w:tcMar>
              <w:top w:w="57" w:type="dxa"/>
              <w:left w:w="57" w:type="dxa"/>
              <w:bottom w:w="57" w:type="dxa"/>
              <w:right w:w="57" w:type="dxa"/>
            </w:tcMar>
            <w:vAlign w:val="center"/>
          </w:tcPr>
          <w:p w14:paraId="62105F6F"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Physical examination</w:t>
            </w:r>
          </w:p>
        </w:tc>
        <w:tc>
          <w:tcPr>
            <w:tcW w:w="212" w:type="pct"/>
            <w:tcMar>
              <w:top w:w="57" w:type="dxa"/>
              <w:left w:w="57" w:type="dxa"/>
              <w:bottom w:w="57" w:type="dxa"/>
              <w:right w:w="57" w:type="dxa"/>
            </w:tcMar>
            <w:vAlign w:val="center"/>
          </w:tcPr>
          <w:p w14:paraId="2929FD3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4AE4034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285F25B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535E22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F31A66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EC93B5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8F58F5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F8881D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2EA571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31C17D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7CAC6E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93D702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505232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1232B0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D35549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1FA605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D4FF59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F8DEDA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2E348A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466395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20B23A7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07A814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6BDB57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56E867A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7FF0288A" w14:textId="77777777" w:rsidTr="00B65C17">
        <w:trPr>
          <w:jc w:val="center"/>
        </w:trPr>
        <w:tc>
          <w:tcPr>
            <w:tcW w:w="782" w:type="pct"/>
            <w:tcMar>
              <w:top w:w="57" w:type="dxa"/>
              <w:left w:w="57" w:type="dxa"/>
              <w:bottom w:w="57" w:type="dxa"/>
              <w:right w:w="57" w:type="dxa"/>
            </w:tcMar>
            <w:vAlign w:val="center"/>
          </w:tcPr>
          <w:p w14:paraId="237D7BC2"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Body weight and body height</w:t>
            </w:r>
            <w:r w:rsidRPr="00101741">
              <w:rPr>
                <w:rFonts w:cs="Times New Roman"/>
                <w:sz w:val="20"/>
                <w:szCs w:val="20"/>
                <w:vertAlign w:val="superscript"/>
              </w:rPr>
              <w:t>3</w:t>
            </w:r>
          </w:p>
        </w:tc>
        <w:tc>
          <w:tcPr>
            <w:tcW w:w="212" w:type="pct"/>
            <w:tcMar>
              <w:top w:w="57" w:type="dxa"/>
              <w:left w:w="57" w:type="dxa"/>
              <w:bottom w:w="57" w:type="dxa"/>
              <w:right w:w="57" w:type="dxa"/>
            </w:tcMar>
            <w:vAlign w:val="center"/>
          </w:tcPr>
          <w:p w14:paraId="200199E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7879A68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6DF7708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8A5987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3D776A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BEEF76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996CA8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8E4137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0CB196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0A99D96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B3660F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0031F40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76C678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4CB45A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53B3F8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D01351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25EE11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CEEF81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6AF788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4B05AB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3C94FFD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B26A68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4CF6C5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347B797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74E69AAC" w14:textId="77777777" w:rsidTr="00B65C17">
        <w:trPr>
          <w:jc w:val="center"/>
        </w:trPr>
        <w:tc>
          <w:tcPr>
            <w:tcW w:w="782" w:type="pct"/>
            <w:tcMar>
              <w:top w:w="57" w:type="dxa"/>
              <w:left w:w="57" w:type="dxa"/>
              <w:bottom w:w="57" w:type="dxa"/>
              <w:right w:w="57" w:type="dxa"/>
            </w:tcMar>
            <w:vAlign w:val="center"/>
          </w:tcPr>
          <w:p w14:paraId="3B503390"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Waist circumference and hip circumference</w:t>
            </w:r>
          </w:p>
        </w:tc>
        <w:tc>
          <w:tcPr>
            <w:tcW w:w="212" w:type="pct"/>
            <w:tcMar>
              <w:top w:w="57" w:type="dxa"/>
              <w:left w:w="57" w:type="dxa"/>
              <w:bottom w:w="57" w:type="dxa"/>
              <w:right w:w="57" w:type="dxa"/>
            </w:tcMar>
            <w:vAlign w:val="center"/>
          </w:tcPr>
          <w:p w14:paraId="0ED6F7D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67EF262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5C98B78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9C6C4A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9736DD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C48F6B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62EAE9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7EDA3D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2B32AA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E78F1D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0E2610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7B23D6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BEAD19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0A767B2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E5F219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29988C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72241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848A51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5F2955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656E0D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1DFBD26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0C455E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7210CA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79EF85A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12DAC080" w14:textId="77777777" w:rsidTr="00B65C17">
        <w:trPr>
          <w:jc w:val="center"/>
        </w:trPr>
        <w:tc>
          <w:tcPr>
            <w:tcW w:w="782" w:type="pct"/>
            <w:tcMar>
              <w:top w:w="57" w:type="dxa"/>
              <w:left w:w="57" w:type="dxa"/>
              <w:bottom w:w="57" w:type="dxa"/>
              <w:right w:w="57" w:type="dxa"/>
            </w:tcMar>
            <w:vAlign w:val="center"/>
          </w:tcPr>
          <w:p w14:paraId="4DC8BE6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Vital signs</w:t>
            </w:r>
            <w:r w:rsidRPr="00101741">
              <w:rPr>
                <w:rFonts w:cs="Times New Roman"/>
                <w:sz w:val="20"/>
                <w:szCs w:val="20"/>
                <w:vertAlign w:val="superscript"/>
              </w:rPr>
              <w:t>4</w:t>
            </w:r>
          </w:p>
        </w:tc>
        <w:tc>
          <w:tcPr>
            <w:tcW w:w="212" w:type="pct"/>
            <w:tcMar>
              <w:top w:w="57" w:type="dxa"/>
              <w:left w:w="57" w:type="dxa"/>
              <w:bottom w:w="57" w:type="dxa"/>
              <w:right w:w="57" w:type="dxa"/>
            </w:tcMar>
            <w:vAlign w:val="center"/>
          </w:tcPr>
          <w:p w14:paraId="293C7FD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1101CEA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0D60905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C8E26A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46CE43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07B601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821BA2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0EF50A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7F69C8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0AE053F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B0211E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975CFB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7AD8E0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82F269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3E9677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C32576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250063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30AAF1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BEADF2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C8043B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3FB3C90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F341F2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D9C26E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442" w:type="pct"/>
            <w:tcMar>
              <w:top w:w="57" w:type="dxa"/>
              <w:left w:w="57" w:type="dxa"/>
              <w:bottom w:w="57" w:type="dxa"/>
              <w:right w:w="57" w:type="dxa"/>
            </w:tcMar>
            <w:vAlign w:val="center"/>
          </w:tcPr>
          <w:p w14:paraId="2A8D895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0B6F6DEB" w14:textId="77777777" w:rsidTr="00B65C17">
        <w:trPr>
          <w:jc w:val="center"/>
        </w:trPr>
        <w:tc>
          <w:tcPr>
            <w:tcW w:w="782" w:type="pct"/>
            <w:tcMar>
              <w:top w:w="57" w:type="dxa"/>
              <w:left w:w="57" w:type="dxa"/>
              <w:bottom w:w="57" w:type="dxa"/>
              <w:right w:w="57" w:type="dxa"/>
            </w:tcMar>
            <w:vAlign w:val="center"/>
          </w:tcPr>
          <w:p w14:paraId="6D17A592"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12-lead ECG</w:t>
            </w:r>
            <w:r w:rsidRPr="00101741">
              <w:rPr>
                <w:rFonts w:cs="Times New Roman"/>
                <w:sz w:val="20"/>
                <w:szCs w:val="20"/>
                <w:vertAlign w:val="superscript"/>
              </w:rPr>
              <w:t>5</w:t>
            </w:r>
          </w:p>
        </w:tc>
        <w:tc>
          <w:tcPr>
            <w:tcW w:w="212" w:type="pct"/>
            <w:tcMar>
              <w:top w:w="57" w:type="dxa"/>
              <w:left w:w="57" w:type="dxa"/>
              <w:bottom w:w="57" w:type="dxa"/>
              <w:right w:w="57" w:type="dxa"/>
            </w:tcMar>
            <w:vAlign w:val="center"/>
          </w:tcPr>
          <w:p w14:paraId="3F37BF4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58B2271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45917EF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9C0574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2E1AD5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6C4AFD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2998F0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811294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5688C6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6DF844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7E202A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48D053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10D86D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EF9BB1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D8C5AC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C830E7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ACF798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474DDC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26D9AB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1D58D3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589740E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DA2F56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FAC5AF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442" w:type="pct"/>
            <w:tcMar>
              <w:top w:w="57" w:type="dxa"/>
              <w:left w:w="57" w:type="dxa"/>
              <w:bottom w:w="57" w:type="dxa"/>
              <w:right w:w="57" w:type="dxa"/>
            </w:tcMar>
            <w:vAlign w:val="center"/>
          </w:tcPr>
          <w:p w14:paraId="022974B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24048E8B" w14:textId="77777777" w:rsidTr="00B65C17">
        <w:trPr>
          <w:jc w:val="center"/>
        </w:trPr>
        <w:tc>
          <w:tcPr>
            <w:tcW w:w="782" w:type="pct"/>
            <w:tcMar>
              <w:top w:w="57" w:type="dxa"/>
              <w:left w:w="57" w:type="dxa"/>
              <w:bottom w:w="57" w:type="dxa"/>
              <w:right w:w="57" w:type="dxa"/>
            </w:tcMar>
            <w:vAlign w:val="center"/>
          </w:tcPr>
          <w:p w14:paraId="4CD8974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Chest X-ray (anteroposterior and lateral)</w:t>
            </w:r>
          </w:p>
        </w:tc>
        <w:tc>
          <w:tcPr>
            <w:tcW w:w="212" w:type="pct"/>
            <w:tcMar>
              <w:top w:w="57" w:type="dxa"/>
              <w:left w:w="57" w:type="dxa"/>
              <w:bottom w:w="57" w:type="dxa"/>
              <w:right w:w="57" w:type="dxa"/>
            </w:tcMar>
            <w:vAlign w:val="center"/>
          </w:tcPr>
          <w:p w14:paraId="2C2F830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6</w:t>
            </w:r>
          </w:p>
        </w:tc>
        <w:tc>
          <w:tcPr>
            <w:tcW w:w="155" w:type="pct"/>
            <w:tcMar>
              <w:top w:w="57" w:type="dxa"/>
              <w:left w:w="57" w:type="dxa"/>
              <w:bottom w:w="57" w:type="dxa"/>
              <w:right w:w="57" w:type="dxa"/>
            </w:tcMar>
            <w:vAlign w:val="center"/>
          </w:tcPr>
          <w:p w14:paraId="35C1853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5C20969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93E62F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9669EF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0ECC39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618669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124E74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FC8832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A5B4CA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B9856F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E4D39B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3AB0DB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43A448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A64C6F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731C13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ACEC38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931179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B63097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16F261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301651E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350A7D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843C14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4A5B1A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67D11775" w14:textId="77777777" w:rsidTr="00B65C17">
        <w:trPr>
          <w:jc w:val="center"/>
        </w:trPr>
        <w:tc>
          <w:tcPr>
            <w:tcW w:w="782" w:type="pct"/>
            <w:tcMar>
              <w:top w:w="57" w:type="dxa"/>
              <w:left w:w="57" w:type="dxa"/>
              <w:bottom w:w="57" w:type="dxa"/>
              <w:right w:w="57" w:type="dxa"/>
            </w:tcMar>
            <w:vAlign w:val="center"/>
          </w:tcPr>
          <w:p w14:paraId="5DDD2816" w14:textId="77777777" w:rsidR="0005712D" w:rsidRPr="00101741" w:rsidRDefault="00CF2A39" w:rsidP="00B65C17">
            <w:pPr>
              <w:pageBreakBefore/>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lastRenderedPageBreak/>
              <w:t>Funduscopic examination</w:t>
            </w:r>
          </w:p>
        </w:tc>
        <w:tc>
          <w:tcPr>
            <w:tcW w:w="212" w:type="pct"/>
            <w:tcMar>
              <w:top w:w="57" w:type="dxa"/>
              <w:left w:w="57" w:type="dxa"/>
              <w:bottom w:w="57" w:type="dxa"/>
              <w:right w:w="57" w:type="dxa"/>
            </w:tcMar>
            <w:vAlign w:val="center"/>
          </w:tcPr>
          <w:p w14:paraId="0857B9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6</w:t>
            </w:r>
          </w:p>
        </w:tc>
        <w:tc>
          <w:tcPr>
            <w:tcW w:w="155" w:type="pct"/>
            <w:tcMar>
              <w:top w:w="57" w:type="dxa"/>
              <w:left w:w="57" w:type="dxa"/>
              <w:bottom w:w="57" w:type="dxa"/>
              <w:right w:w="57" w:type="dxa"/>
            </w:tcMar>
            <w:vAlign w:val="center"/>
          </w:tcPr>
          <w:p w14:paraId="287AC19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0862A4D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B5A88C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B3ED8E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5139A6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C17AA7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2F2E4B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B3DA37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6B3E0D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DC6951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6536C0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964110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EECF94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423EF2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19BC87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066A11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C3F1F7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CA5E02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294470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1D75A6B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58AA0A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241705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537FC5B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30C9EC53" w14:textId="77777777" w:rsidTr="00B65C17">
        <w:trPr>
          <w:jc w:val="center"/>
        </w:trPr>
        <w:tc>
          <w:tcPr>
            <w:tcW w:w="782" w:type="pct"/>
            <w:tcMar>
              <w:top w:w="57" w:type="dxa"/>
              <w:left w:w="57" w:type="dxa"/>
              <w:bottom w:w="57" w:type="dxa"/>
              <w:right w:w="57" w:type="dxa"/>
            </w:tcMar>
            <w:vAlign w:val="center"/>
          </w:tcPr>
          <w:p w14:paraId="5B7DC7C2" w14:textId="13CD0814"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PHQ-9</w:t>
            </w:r>
          </w:p>
        </w:tc>
        <w:tc>
          <w:tcPr>
            <w:tcW w:w="212" w:type="pct"/>
            <w:tcMar>
              <w:top w:w="57" w:type="dxa"/>
              <w:left w:w="57" w:type="dxa"/>
              <w:bottom w:w="57" w:type="dxa"/>
              <w:right w:w="57" w:type="dxa"/>
            </w:tcMar>
            <w:vAlign w:val="center"/>
          </w:tcPr>
          <w:p w14:paraId="036538A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5D3BADC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55863A8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97F3BD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127337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7EE5B5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E31C1F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5E9DEA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8100EB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B11CFC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55D202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0A7FCC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798E1A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F16175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D8A43B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C53A40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FC8B2B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17D720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48C0B9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BA5C7F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01F64C3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0D5C35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3B50FF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5432829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16E1AB53" w14:textId="77777777" w:rsidTr="00B65C17">
        <w:trPr>
          <w:jc w:val="center"/>
        </w:trPr>
        <w:tc>
          <w:tcPr>
            <w:tcW w:w="782" w:type="pct"/>
            <w:tcMar>
              <w:top w:w="57" w:type="dxa"/>
              <w:left w:w="57" w:type="dxa"/>
              <w:bottom w:w="57" w:type="dxa"/>
              <w:right w:w="57" w:type="dxa"/>
            </w:tcMar>
            <w:vAlign w:val="center"/>
          </w:tcPr>
          <w:p w14:paraId="4D7BE878"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vertAlign w:val="superscript"/>
              </w:rPr>
            </w:pPr>
            <w:r w:rsidRPr="00101741">
              <w:rPr>
                <w:rFonts w:cs="Times New Roman"/>
                <w:sz w:val="20"/>
                <w:szCs w:val="20"/>
              </w:rPr>
              <w:t>Infectious disease examination</w:t>
            </w:r>
          </w:p>
        </w:tc>
        <w:tc>
          <w:tcPr>
            <w:tcW w:w="212" w:type="pct"/>
            <w:tcMar>
              <w:top w:w="57" w:type="dxa"/>
              <w:left w:w="57" w:type="dxa"/>
              <w:bottom w:w="57" w:type="dxa"/>
              <w:right w:w="57" w:type="dxa"/>
            </w:tcMar>
            <w:vAlign w:val="center"/>
          </w:tcPr>
          <w:p w14:paraId="259225E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6</w:t>
            </w:r>
          </w:p>
        </w:tc>
        <w:tc>
          <w:tcPr>
            <w:tcW w:w="155" w:type="pct"/>
            <w:tcMar>
              <w:top w:w="57" w:type="dxa"/>
              <w:left w:w="57" w:type="dxa"/>
              <w:bottom w:w="57" w:type="dxa"/>
              <w:right w:w="57" w:type="dxa"/>
            </w:tcMar>
            <w:vAlign w:val="center"/>
          </w:tcPr>
          <w:p w14:paraId="72C4CE6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032E59A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432EDD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0DACFC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5612BF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BE1023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21FD81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AB0F25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14D0E3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427AA2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0B66C6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169D4D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417FF4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7A8097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47F5A6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4BB917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AC81B5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9CD5FF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6E6BF7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1D4C68C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75BD89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9909A8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7B84208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24384D04" w14:textId="77777777" w:rsidTr="00B65C17">
        <w:trPr>
          <w:jc w:val="center"/>
        </w:trPr>
        <w:tc>
          <w:tcPr>
            <w:tcW w:w="782" w:type="pct"/>
            <w:tcMar>
              <w:top w:w="57" w:type="dxa"/>
              <w:left w:w="57" w:type="dxa"/>
              <w:bottom w:w="57" w:type="dxa"/>
              <w:right w:w="57" w:type="dxa"/>
            </w:tcMar>
            <w:vAlign w:val="center"/>
          </w:tcPr>
          <w:p w14:paraId="6A764A6B"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bCs/>
                <w:sz w:val="20"/>
                <w:szCs w:val="20"/>
              </w:rPr>
              <w:t>Serum calcitonin</w:t>
            </w:r>
          </w:p>
        </w:tc>
        <w:tc>
          <w:tcPr>
            <w:tcW w:w="212" w:type="pct"/>
            <w:tcMar>
              <w:top w:w="57" w:type="dxa"/>
              <w:left w:w="57" w:type="dxa"/>
              <w:bottom w:w="57" w:type="dxa"/>
              <w:right w:w="57" w:type="dxa"/>
            </w:tcMar>
            <w:vAlign w:val="center"/>
          </w:tcPr>
          <w:p w14:paraId="5711DEB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6399BEE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1C3DE5D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DA6F98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9BF0E5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1956A0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C11939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958DEA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16286B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BD79A8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94F609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53A5CB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B04F30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7EB9C0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4CD552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44914E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2B4E52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0C7B1D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7FEEA3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96CEB2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5286B5A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4F28F4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86F233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1AA76E1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21F10DB3" w14:textId="77777777" w:rsidTr="00B65C17">
        <w:trPr>
          <w:jc w:val="center"/>
        </w:trPr>
        <w:tc>
          <w:tcPr>
            <w:tcW w:w="782" w:type="pct"/>
            <w:tcMar>
              <w:top w:w="57" w:type="dxa"/>
              <w:left w:w="57" w:type="dxa"/>
              <w:bottom w:w="57" w:type="dxa"/>
              <w:right w:w="57" w:type="dxa"/>
            </w:tcMar>
            <w:vAlign w:val="center"/>
          </w:tcPr>
          <w:p w14:paraId="1EEF5D4F"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T-lymphocyte subsets</w:t>
            </w:r>
          </w:p>
        </w:tc>
        <w:tc>
          <w:tcPr>
            <w:tcW w:w="212" w:type="pct"/>
            <w:tcMar>
              <w:top w:w="57" w:type="dxa"/>
              <w:left w:w="57" w:type="dxa"/>
              <w:bottom w:w="57" w:type="dxa"/>
              <w:right w:w="57" w:type="dxa"/>
            </w:tcMar>
            <w:vAlign w:val="center"/>
          </w:tcPr>
          <w:p w14:paraId="5FDB64C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7EB638A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2FA7488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F95A32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AA0052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7F26CA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A401BF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87CA00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013FE3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A0C5D5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766D3B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ED5D31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C0F1FE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B47839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190D55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C54F9A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2FADC2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CDCA58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7C5F77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0B3738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0F6335E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C183D3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8F1D77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70E5260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34CFC0B8" w14:textId="77777777" w:rsidTr="00B65C17">
        <w:trPr>
          <w:jc w:val="center"/>
        </w:trPr>
        <w:tc>
          <w:tcPr>
            <w:tcW w:w="782" w:type="pct"/>
            <w:tcMar>
              <w:top w:w="57" w:type="dxa"/>
              <w:left w:w="57" w:type="dxa"/>
              <w:bottom w:w="57" w:type="dxa"/>
              <w:right w:w="57" w:type="dxa"/>
            </w:tcMar>
            <w:vAlign w:val="center"/>
          </w:tcPr>
          <w:p w14:paraId="37A74B3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Five-item thyroid function panel</w:t>
            </w:r>
          </w:p>
        </w:tc>
        <w:tc>
          <w:tcPr>
            <w:tcW w:w="212" w:type="pct"/>
            <w:tcMar>
              <w:top w:w="57" w:type="dxa"/>
              <w:left w:w="57" w:type="dxa"/>
              <w:bottom w:w="57" w:type="dxa"/>
              <w:right w:w="57" w:type="dxa"/>
            </w:tcMar>
            <w:vAlign w:val="center"/>
          </w:tcPr>
          <w:p w14:paraId="27FC755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1B2F2D1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7BE220B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D0F4B9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ED340E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96E03C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C94FBE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A8FE53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D59603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8CC499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030D1A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BE776F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9CBBB4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7DC223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319F4F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5D6B4A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8DCD16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A5AC78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7A5F8E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549EAB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3FBD540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D4E691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4216BB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312D602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7EA81539" w14:textId="77777777" w:rsidTr="00B65C17">
        <w:trPr>
          <w:jc w:val="center"/>
        </w:trPr>
        <w:tc>
          <w:tcPr>
            <w:tcW w:w="782" w:type="pct"/>
            <w:tcMar>
              <w:top w:w="57" w:type="dxa"/>
              <w:left w:w="57" w:type="dxa"/>
              <w:bottom w:w="57" w:type="dxa"/>
              <w:right w:w="57" w:type="dxa"/>
            </w:tcMar>
            <w:vAlign w:val="center"/>
          </w:tcPr>
          <w:p w14:paraId="21211DED"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Urine drug screening</w:t>
            </w:r>
          </w:p>
        </w:tc>
        <w:tc>
          <w:tcPr>
            <w:tcW w:w="212" w:type="pct"/>
            <w:tcMar>
              <w:top w:w="57" w:type="dxa"/>
              <w:left w:w="57" w:type="dxa"/>
              <w:bottom w:w="57" w:type="dxa"/>
              <w:right w:w="57" w:type="dxa"/>
            </w:tcMar>
            <w:vAlign w:val="center"/>
          </w:tcPr>
          <w:p w14:paraId="0E85C0B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3C3F58D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653F1B1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0FE76E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D235A7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051B6E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9E2C6E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BF5B05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B79B47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70D3D6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1F9822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C02843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797AD8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0E888E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33D7F71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F2F98B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0021FA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C8664C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AD5D95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900131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72E9E29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1A708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FEDFB4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77CC961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682F110E" w14:textId="77777777" w:rsidTr="00B65C17">
        <w:trPr>
          <w:jc w:val="center"/>
        </w:trPr>
        <w:tc>
          <w:tcPr>
            <w:tcW w:w="782" w:type="pct"/>
            <w:tcMar>
              <w:top w:w="57" w:type="dxa"/>
              <w:left w:w="57" w:type="dxa"/>
              <w:bottom w:w="57" w:type="dxa"/>
              <w:right w:w="57" w:type="dxa"/>
            </w:tcMar>
            <w:vAlign w:val="center"/>
          </w:tcPr>
          <w:p w14:paraId="1143368D"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Breath alcohol test</w:t>
            </w:r>
          </w:p>
        </w:tc>
        <w:tc>
          <w:tcPr>
            <w:tcW w:w="212" w:type="pct"/>
            <w:tcMar>
              <w:top w:w="57" w:type="dxa"/>
              <w:left w:w="57" w:type="dxa"/>
              <w:bottom w:w="57" w:type="dxa"/>
              <w:right w:w="57" w:type="dxa"/>
            </w:tcMar>
            <w:vAlign w:val="center"/>
          </w:tcPr>
          <w:p w14:paraId="5A90890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75E5A82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067105D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8F9AD9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D858BA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74BE4B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592A9F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68EF58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56EB1A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2A263E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ADF881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C746E71"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9BD8C3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7B9D9E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FEA23C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46C4CF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9D22D6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F24716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41F640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34DDBD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1CF81C9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56D203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679147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1E135EF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51DC866B" w14:textId="77777777" w:rsidTr="00B65C17">
        <w:trPr>
          <w:jc w:val="center"/>
        </w:trPr>
        <w:tc>
          <w:tcPr>
            <w:tcW w:w="782" w:type="pct"/>
            <w:tcMar>
              <w:top w:w="57" w:type="dxa"/>
              <w:left w:w="57" w:type="dxa"/>
              <w:bottom w:w="57" w:type="dxa"/>
              <w:right w:w="57" w:type="dxa"/>
            </w:tcMar>
            <w:vAlign w:val="center"/>
          </w:tcPr>
          <w:p w14:paraId="70AE326E"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Blood pregnancy test</w:t>
            </w:r>
            <w:r w:rsidRPr="00101741">
              <w:rPr>
                <w:rFonts w:cs="Times New Roman"/>
                <w:sz w:val="20"/>
                <w:szCs w:val="20"/>
                <w:vertAlign w:val="superscript"/>
              </w:rPr>
              <w:t>7</w:t>
            </w:r>
          </w:p>
        </w:tc>
        <w:tc>
          <w:tcPr>
            <w:tcW w:w="212" w:type="pct"/>
            <w:tcMar>
              <w:top w:w="57" w:type="dxa"/>
              <w:left w:w="57" w:type="dxa"/>
              <w:bottom w:w="57" w:type="dxa"/>
              <w:right w:w="57" w:type="dxa"/>
            </w:tcMar>
            <w:vAlign w:val="center"/>
          </w:tcPr>
          <w:p w14:paraId="65D198D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34E0C20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vertAlign w:val="superscript"/>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2D80452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CEAF03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C0E6D8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08BF3E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41909C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F9848B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02999D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6FF004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FBB833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7A55E0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E15CB6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527F39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8B9FB1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1E39E5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43F484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AC4944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42783E8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A03B4B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1B39552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184B69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B5DE7F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3C98ED8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23678FA0" w14:textId="77777777" w:rsidTr="00B65C17">
        <w:trPr>
          <w:jc w:val="center"/>
        </w:trPr>
        <w:tc>
          <w:tcPr>
            <w:tcW w:w="782" w:type="pct"/>
            <w:tcMar>
              <w:top w:w="57" w:type="dxa"/>
              <w:left w:w="57" w:type="dxa"/>
              <w:bottom w:w="57" w:type="dxa"/>
              <w:right w:w="57" w:type="dxa"/>
            </w:tcMar>
            <w:vAlign w:val="center"/>
          </w:tcPr>
          <w:p w14:paraId="141D89D2"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Follicle-stimulating hormone test (if necessary)</w:t>
            </w:r>
            <w:r w:rsidRPr="00101741">
              <w:rPr>
                <w:rFonts w:cs="Times New Roman"/>
                <w:sz w:val="20"/>
                <w:szCs w:val="20"/>
                <w:vertAlign w:val="superscript"/>
              </w:rPr>
              <w:t>8</w:t>
            </w:r>
          </w:p>
        </w:tc>
        <w:tc>
          <w:tcPr>
            <w:tcW w:w="212" w:type="pct"/>
            <w:tcMar>
              <w:top w:w="57" w:type="dxa"/>
              <w:left w:w="57" w:type="dxa"/>
              <w:bottom w:w="57" w:type="dxa"/>
              <w:right w:w="57" w:type="dxa"/>
            </w:tcMar>
            <w:vAlign w:val="center"/>
          </w:tcPr>
          <w:p w14:paraId="4C3CF3B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595D7BD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72646C7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1A3475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FF48A2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365DBA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5A97B4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1EC11B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86F692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522ADD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E7366C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C3A7BB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AA907E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1A0FC6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7FF492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7A5C87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E09382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2BC1AB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559C38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FB0200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4" w:type="pct"/>
            <w:tcMar>
              <w:top w:w="57" w:type="dxa"/>
              <w:left w:w="57" w:type="dxa"/>
              <w:bottom w:w="57" w:type="dxa"/>
              <w:right w:w="57" w:type="dxa"/>
            </w:tcMar>
            <w:vAlign w:val="center"/>
          </w:tcPr>
          <w:p w14:paraId="52CADAD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4B3AE3B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2D3DD8D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38B56EC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46BF15EB" w14:textId="77777777" w:rsidTr="00B65C17">
        <w:trPr>
          <w:jc w:val="center"/>
        </w:trPr>
        <w:tc>
          <w:tcPr>
            <w:tcW w:w="782" w:type="pct"/>
            <w:tcMar>
              <w:top w:w="57" w:type="dxa"/>
              <w:left w:w="57" w:type="dxa"/>
              <w:bottom w:w="57" w:type="dxa"/>
              <w:right w:w="57" w:type="dxa"/>
            </w:tcMar>
            <w:vAlign w:val="center"/>
          </w:tcPr>
          <w:p w14:paraId="56FDC3F7" w14:textId="77777777" w:rsidR="0005712D" w:rsidRPr="00101741" w:rsidRDefault="00CF2A39" w:rsidP="00B65C17">
            <w:pPr>
              <w:pageBreakBefore/>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bCs/>
                <w:sz w:val="20"/>
                <w:szCs w:val="20"/>
              </w:rPr>
              <w:lastRenderedPageBreak/>
              <w:t>Routine hematology + Ret, blood chemistry, coagulation test, and urinalysis</w:t>
            </w:r>
            <w:r w:rsidRPr="00101741">
              <w:rPr>
                <w:rFonts w:cs="Times New Roman"/>
                <w:sz w:val="20"/>
                <w:szCs w:val="20"/>
                <w:vertAlign w:val="superscript"/>
              </w:rPr>
              <w:t>9</w:t>
            </w:r>
          </w:p>
        </w:tc>
        <w:tc>
          <w:tcPr>
            <w:tcW w:w="212" w:type="pct"/>
            <w:tcMar>
              <w:top w:w="57" w:type="dxa"/>
              <w:left w:w="57" w:type="dxa"/>
              <w:bottom w:w="57" w:type="dxa"/>
              <w:right w:w="57" w:type="dxa"/>
            </w:tcMar>
            <w:vAlign w:val="center"/>
          </w:tcPr>
          <w:p w14:paraId="6053C89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0942942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5A3B8E5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10</w:t>
            </w:r>
          </w:p>
        </w:tc>
        <w:tc>
          <w:tcPr>
            <w:tcW w:w="137" w:type="pct"/>
            <w:shd w:val="clear" w:color="auto" w:fill="F2F2F2"/>
            <w:tcMar>
              <w:top w:w="57" w:type="dxa"/>
              <w:left w:w="57" w:type="dxa"/>
              <w:bottom w:w="57" w:type="dxa"/>
              <w:right w:w="57" w:type="dxa"/>
            </w:tcMar>
            <w:vAlign w:val="center"/>
          </w:tcPr>
          <w:p w14:paraId="39CF789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752176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359203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D34B3B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9E065D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0B0304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023872E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A9CC55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B4C3DA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6E668D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04FED7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55602B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FB3E6F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3AFCD6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A6782B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00E9D5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BB6096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7193EAF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2A90BA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A31A38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1D5AFD9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506447FF" w14:textId="77777777" w:rsidTr="00B65C17">
        <w:trPr>
          <w:jc w:val="center"/>
        </w:trPr>
        <w:tc>
          <w:tcPr>
            <w:tcW w:w="782" w:type="pct"/>
            <w:tcMar>
              <w:top w:w="57" w:type="dxa"/>
              <w:left w:w="57" w:type="dxa"/>
              <w:bottom w:w="57" w:type="dxa"/>
              <w:right w:w="57" w:type="dxa"/>
            </w:tcMar>
            <w:vAlign w:val="center"/>
          </w:tcPr>
          <w:p w14:paraId="2BB8BB94"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bCs/>
                <w:sz w:val="20"/>
                <w:szCs w:val="20"/>
              </w:rPr>
              <w:t>Urine protein-creatinine ratio</w:t>
            </w:r>
          </w:p>
        </w:tc>
        <w:tc>
          <w:tcPr>
            <w:tcW w:w="212" w:type="pct"/>
            <w:tcMar>
              <w:top w:w="57" w:type="dxa"/>
              <w:left w:w="57" w:type="dxa"/>
              <w:bottom w:w="57" w:type="dxa"/>
              <w:right w:w="57" w:type="dxa"/>
            </w:tcMar>
            <w:vAlign w:val="center"/>
          </w:tcPr>
          <w:p w14:paraId="6900E31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62160B9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02C8100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r w:rsidRPr="00101741">
              <w:rPr>
                <w:rFonts w:cs="Times New Roman"/>
                <w:sz w:val="20"/>
                <w:szCs w:val="20"/>
                <w:vertAlign w:val="superscript"/>
              </w:rPr>
              <w:t>10</w:t>
            </w:r>
          </w:p>
        </w:tc>
        <w:tc>
          <w:tcPr>
            <w:tcW w:w="137" w:type="pct"/>
            <w:shd w:val="clear" w:color="auto" w:fill="F2F2F2"/>
            <w:tcMar>
              <w:top w:w="57" w:type="dxa"/>
              <w:left w:w="57" w:type="dxa"/>
              <w:bottom w:w="57" w:type="dxa"/>
              <w:right w:w="57" w:type="dxa"/>
            </w:tcMar>
            <w:vAlign w:val="center"/>
          </w:tcPr>
          <w:p w14:paraId="501AAFE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ADB444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8D839D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A2F5D8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623998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EC66EB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D92610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3A1682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226018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716667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16516A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E22EC9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CDB5A9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62EFE6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43E20A5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1B34E1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6C6F7A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7A17D02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E9A60F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387692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7CD9F3A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68546148" w14:textId="77777777" w:rsidTr="00B65C17">
        <w:trPr>
          <w:jc w:val="center"/>
        </w:trPr>
        <w:tc>
          <w:tcPr>
            <w:tcW w:w="782" w:type="pct"/>
            <w:tcMar>
              <w:top w:w="57" w:type="dxa"/>
              <w:left w:w="57" w:type="dxa"/>
              <w:bottom w:w="57" w:type="dxa"/>
              <w:right w:w="57" w:type="dxa"/>
            </w:tcMar>
            <w:vAlign w:val="center"/>
          </w:tcPr>
          <w:p w14:paraId="322AD9AE"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HbA1c</w:t>
            </w:r>
            <w:r w:rsidRPr="00101741">
              <w:rPr>
                <w:rFonts w:cs="Times New Roman"/>
                <w:sz w:val="20"/>
                <w:szCs w:val="20"/>
                <w:vertAlign w:val="superscript"/>
              </w:rPr>
              <w:t>11</w:t>
            </w:r>
          </w:p>
        </w:tc>
        <w:tc>
          <w:tcPr>
            <w:tcW w:w="212" w:type="pct"/>
            <w:tcMar>
              <w:top w:w="57" w:type="dxa"/>
              <w:left w:w="57" w:type="dxa"/>
              <w:bottom w:w="57" w:type="dxa"/>
              <w:right w:w="57" w:type="dxa"/>
            </w:tcMar>
            <w:vAlign w:val="center"/>
          </w:tcPr>
          <w:p w14:paraId="30EDAC1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28F0044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1AE1501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50CB627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58C773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8C5937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EB69E4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 xml:space="preserve">X </w:t>
            </w:r>
          </w:p>
        </w:tc>
        <w:tc>
          <w:tcPr>
            <w:tcW w:w="137" w:type="pct"/>
            <w:shd w:val="clear" w:color="auto" w:fill="F2F2F2"/>
            <w:tcMar>
              <w:top w:w="57" w:type="dxa"/>
              <w:left w:w="57" w:type="dxa"/>
              <w:bottom w:w="57" w:type="dxa"/>
              <w:right w:w="57" w:type="dxa"/>
            </w:tcMar>
            <w:vAlign w:val="center"/>
          </w:tcPr>
          <w:p w14:paraId="6EE2310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67EC3E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82EA5A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096A43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E264E5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E970A5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375473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539A9A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02E26A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58D132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2025AEF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0B7139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A77BFC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0F0618E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7F6324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AF4B2C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587A567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0B0C3F55" w14:textId="77777777" w:rsidTr="00B65C17">
        <w:trPr>
          <w:jc w:val="center"/>
        </w:trPr>
        <w:tc>
          <w:tcPr>
            <w:tcW w:w="782" w:type="pct"/>
            <w:tcMar>
              <w:top w:w="57" w:type="dxa"/>
              <w:left w:w="57" w:type="dxa"/>
              <w:bottom w:w="57" w:type="dxa"/>
              <w:right w:w="57" w:type="dxa"/>
            </w:tcMar>
            <w:vAlign w:val="center"/>
          </w:tcPr>
          <w:p w14:paraId="0824F4A1"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Verification of eligibility</w:t>
            </w:r>
            <w:r w:rsidRPr="00101741">
              <w:rPr>
                <w:rFonts w:cs="Times New Roman"/>
                <w:sz w:val="20"/>
                <w:szCs w:val="20"/>
                <w:vertAlign w:val="superscript"/>
              </w:rPr>
              <w:t>12</w:t>
            </w:r>
          </w:p>
        </w:tc>
        <w:tc>
          <w:tcPr>
            <w:tcW w:w="212" w:type="pct"/>
            <w:tcMar>
              <w:top w:w="57" w:type="dxa"/>
              <w:left w:w="57" w:type="dxa"/>
              <w:bottom w:w="57" w:type="dxa"/>
              <w:right w:w="57" w:type="dxa"/>
            </w:tcMar>
            <w:vAlign w:val="center"/>
          </w:tcPr>
          <w:p w14:paraId="0CC9866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2A36D77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14F3EDB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CF3028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1B5FE9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DF3D99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EF04D2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3CD9BF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1E59D7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0D78BD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81BAED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90E2BE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FB6AAD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DC59C6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10D02A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B2B196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F7A7DB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936255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4D4302E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ED3F7C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4" w:type="pct"/>
            <w:tcMar>
              <w:top w:w="57" w:type="dxa"/>
              <w:left w:w="57" w:type="dxa"/>
              <w:bottom w:w="57" w:type="dxa"/>
              <w:right w:w="57" w:type="dxa"/>
            </w:tcMar>
            <w:vAlign w:val="center"/>
          </w:tcPr>
          <w:p w14:paraId="44D5FB5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018153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6F2CC4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7B94805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7C5DBFD0" w14:textId="77777777" w:rsidTr="00B65C17">
        <w:trPr>
          <w:jc w:val="center"/>
        </w:trPr>
        <w:tc>
          <w:tcPr>
            <w:tcW w:w="782" w:type="pct"/>
            <w:tcMar>
              <w:top w:w="57" w:type="dxa"/>
              <w:left w:w="57" w:type="dxa"/>
              <w:bottom w:w="57" w:type="dxa"/>
              <w:right w:w="57" w:type="dxa"/>
            </w:tcMar>
            <w:vAlign w:val="center"/>
          </w:tcPr>
          <w:p w14:paraId="6FE65C7E"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Randomization</w:t>
            </w:r>
            <w:r w:rsidRPr="00101741">
              <w:rPr>
                <w:rFonts w:cs="Times New Roman"/>
                <w:sz w:val="20"/>
                <w:szCs w:val="20"/>
                <w:vertAlign w:val="superscript"/>
              </w:rPr>
              <w:t>12</w:t>
            </w:r>
          </w:p>
        </w:tc>
        <w:tc>
          <w:tcPr>
            <w:tcW w:w="212" w:type="pct"/>
            <w:tcMar>
              <w:top w:w="57" w:type="dxa"/>
              <w:left w:w="57" w:type="dxa"/>
              <w:bottom w:w="57" w:type="dxa"/>
              <w:right w:w="57" w:type="dxa"/>
            </w:tcMar>
            <w:vAlign w:val="center"/>
          </w:tcPr>
          <w:p w14:paraId="73774BF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42A9A4F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012B2D3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0717BE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CAA40B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A820AC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9E4E4D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D2ADBF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044D1B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B2D5A0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5E3998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784E5B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506DA75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9B9E39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B5BEA2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033722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0AFFA2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A1D2AF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C05724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7FD40D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4" w:type="pct"/>
            <w:tcMar>
              <w:top w:w="57" w:type="dxa"/>
              <w:left w:w="57" w:type="dxa"/>
              <w:bottom w:w="57" w:type="dxa"/>
              <w:right w:w="57" w:type="dxa"/>
            </w:tcMar>
            <w:vAlign w:val="center"/>
          </w:tcPr>
          <w:p w14:paraId="49AD637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BCE246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4E57382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03129EA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6C8F68A8" w14:textId="77777777" w:rsidTr="00B65C17">
        <w:trPr>
          <w:jc w:val="center"/>
        </w:trPr>
        <w:tc>
          <w:tcPr>
            <w:tcW w:w="782" w:type="pct"/>
            <w:tcMar>
              <w:top w:w="57" w:type="dxa"/>
              <w:left w:w="57" w:type="dxa"/>
              <w:bottom w:w="57" w:type="dxa"/>
              <w:right w:w="57" w:type="dxa"/>
            </w:tcMar>
            <w:vAlign w:val="center"/>
          </w:tcPr>
          <w:p w14:paraId="33948986"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Oral acetaminophen</w:t>
            </w:r>
            <w:r w:rsidRPr="00101741">
              <w:rPr>
                <w:rFonts w:cs="Times New Roman"/>
                <w:sz w:val="20"/>
                <w:szCs w:val="20"/>
                <w:vertAlign w:val="superscript"/>
              </w:rPr>
              <w:t>13</w:t>
            </w:r>
          </w:p>
        </w:tc>
        <w:tc>
          <w:tcPr>
            <w:tcW w:w="212" w:type="pct"/>
            <w:tcMar>
              <w:top w:w="57" w:type="dxa"/>
              <w:left w:w="57" w:type="dxa"/>
              <w:bottom w:w="57" w:type="dxa"/>
              <w:right w:w="57" w:type="dxa"/>
            </w:tcMar>
            <w:vAlign w:val="center"/>
          </w:tcPr>
          <w:p w14:paraId="646CA6E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374CDCB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1ABC33A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117032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2AE00B4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01DEAD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6C7864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F77774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528F4E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F482EA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F32128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EFECEA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004A497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CF2071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2C05FC0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CA2937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401721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4683897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F3E812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BECF7C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4" w:type="pct"/>
            <w:tcMar>
              <w:top w:w="57" w:type="dxa"/>
              <w:left w:w="57" w:type="dxa"/>
              <w:bottom w:w="57" w:type="dxa"/>
              <w:right w:w="57" w:type="dxa"/>
            </w:tcMar>
            <w:vAlign w:val="center"/>
          </w:tcPr>
          <w:p w14:paraId="2CEB566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5B5D981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0A05D7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132E26B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0B51521B" w14:textId="77777777" w:rsidTr="00B65C17">
        <w:trPr>
          <w:jc w:val="center"/>
        </w:trPr>
        <w:tc>
          <w:tcPr>
            <w:tcW w:w="782" w:type="pct"/>
            <w:tcMar>
              <w:top w:w="57" w:type="dxa"/>
              <w:left w:w="57" w:type="dxa"/>
              <w:bottom w:w="57" w:type="dxa"/>
              <w:right w:w="57" w:type="dxa"/>
            </w:tcMar>
            <w:vAlign w:val="center"/>
          </w:tcPr>
          <w:p w14:paraId="54AEE7BF"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Acetaminophen PK sample collection</w:t>
            </w:r>
            <w:r w:rsidRPr="00101741">
              <w:rPr>
                <w:rFonts w:cs="Times New Roman"/>
                <w:sz w:val="20"/>
                <w:szCs w:val="20"/>
                <w:vertAlign w:val="superscript"/>
              </w:rPr>
              <w:t>14</w:t>
            </w:r>
          </w:p>
        </w:tc>
        <w:tc>
          <w:tcPr>
            <w:tcW w:w="212" w:type="pct"/>
            <w:tcMar>
              <w:top w:w="57" w:type="dxa"/>
              <w:left w:w="57" w:type="dxa"/>
              <w:bottom w:w="57" w:type="dxa"/>
              <w:right w:w="57" w:type="dxa"/>
            </w:tcMar>
            <w:vAlign w:val="center"/>
          </w:tcPr>
          <w:p w14:paraId="54FD67D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1884D08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3A40EB2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78A8A7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48EED9C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E24E23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806F95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E97B87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D8CD33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E8F0BE4"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10C804C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646CA6DA"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749E17F"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85C98F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0365B8D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7070D9E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464964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11E5614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27D1D1F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376FA24E"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4" w:type="pct"/>
            <w:tcMar>
              <w:top w:w="57" w:type="dxa"/>
              <w:left w:w="57" w:type="dxa"/>
              <w:bottom w:w="57" w:type="dxa"/>
              <w:right w:w="57" w:type="dxa"/>
            </w:tcMar>
            <w:vAlign w:val="center"/>
          </w:tcPr>
          <w:p w14:paraId="50B2541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44FDFD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76" w:type="pct"/>
            <w:tcMar>
              <w:top w:w="57" w:type="dxa"/>
              <w:left w:w="57" w:type="dxa"/>
              <w:bottom w:w="57" w:type="dxa"/>
              <w:right w:w="57" w:type="dxa"/>
            </w:tcMar>
            <w:vAlign w:val="center"/>
          </w:tcPr>
          <w:p w14:paraId="674A7EB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442" w:type="pct"/>
            <w:tcMar>
              <w:top w:w="57" w:type="dxa"/>
              <w:left w:w="57" w:type="dxa"/>
              <w:bottom w:w="57" w:type="dxa"/>
              <w:right w:w="57" w:type="dxa"/>
            </w:tcMar>
            <w:vAlign w:val="center"/>
          </w:tcPr>
          <w:p w14:paraId="2FEBFCE3"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r>
      <w:tr w:rsidR="0005712D" w:rsidRPr="00101741" w14:paraId="722674B3" w14:textId="77777777" w:rsidTr="00B65C17">
        <w:trPr>
          <w:jc w:val="center"/>
        </w:trPr>
        <w:tc>
          <w:tcPr>
            <w:tcW w:w="782" w:type="pct"/>
            <w:tcMar>
              <w:top w:w="57" w:type="dxa"/>
              <w:left w:w="57" w:type="dxa"/>
              <w:bottom w:w="57" w:type="dxa"/>
              <w:right w:w="57" w:type="dxa"/>
            </w:tcMar>
            <w:vAlign w:val="center"/>
          </w:tcPr>
          <w:p w14:paraId="49C78DC8"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b/>
                <w:bCs/>
                <w:sz w:val="20"/>
                <w:szCs w:val="20"/>
              </w:rPr>
            </w:pPr>
            <w:r w:rsidRPr="00101741">
              <w:rPr>
                <w:rFonts w:cs="Times New Roman"/>
                <w:sz w:val="20"/>
                <w:szCs w:val="20"/>
              </w:rPr>
              <w:t>RAY1225 PK sample collection</w:t>
            </w:r>
            <w:r w:rsidRPr="00101741">
              <w:rPr>
                <w:rFonts w:cs="Times New Roman"/>
                <w:sz w:val="20"/>
                <w:szCs w:val="20"/>
                <w:vertAlign w:val="superscript"/>
              </w:rPr>
              <w:t>15</w:t>
            </w:r>
          </w:p>
        </w:tc>
        <w:tc>
          <w:tcPr>
            <w:tcW w:w="212" w:type="pct"/>
            <w:tcMar>
              <w:top w:w="57" w:type="dxa"/>
              <w:left w:w="57" w:type="dxa"/>
              <w:bottom w:w="57" w:type="dxa"/>
              <w:right w:w="57" w:type="dxa"/>
            </w:tcMar>
            <w:vAlign w:val="center"/>
          </w:tcPr>
          <w:p w14:paraId="0796FF70"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46D20DA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0361BE3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7CA3C6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47D57F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7A4C9A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67D87EC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7848F3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376A1D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92BC14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4EA354A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AF4696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D7C9E9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0DCB83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E94A42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76B05D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FCB415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395E68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48BA30B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9EBF4F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5C214D5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4A109D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103C4B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442" w:type="pct"/>
            <w:tcMar>
              <w:top w:w="57" w:type="dxa"/>
              <w:left w:w="57" w:type="dxa"/>
              <w:bottom w:w="57" w:type="dxa"/>
              <w:right w:w="57" w:type="dxa"/>
            </w:tcMar>
            <w:vAlign w:val="center"/>
          </w:tcPr>
          <w:p w14:paraId="789E761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409850F5" w14:textId="77777777" w:rsidTr="00B65C17">
        <w:trPr>
          <w:jc w:val="center"/>
        </w:trPr>
        <w:tc>
          <w:tcPr>
            <w:tcW w:w="782" w:type="pct"/>
            <w:tcMar>
              <w:top w:w="57" w:type="dxa"/>
              <w:left w:w="57" w:type="dxa"/>
              <w:bottom w:w="57" w:type="dxa"/>
              <w:right w:w="57" w:type="dxa"/>
            </w:tcMar>
            <w:vAlign w:val="center"/>
          </w:tcPr>
          <w:p w14:paraId="4857F787"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Immunogenicity assessment</w:t>
            </w:r>
            <w:r w:rsidRPr="00101741">
              <w:rPr>
                <w:rFonts w:cs="Times New Roman"/>
                <w:sz w:val="20"/>
                <w:szCs w:val="20"/>
                <w:vertAlign w:val="superscript"/>
              </w:rPr>
              <w:t>16</w:t>
            </w:r>
          </w:p>
        </w:tc>
        <w:tc>
          <w:tcPr>
            <w:tcW w:w="212" w:type="pct"/>
            <w:tcMar>
              <w:top w:w="57" w:type="dxa"/>
              <w:left w:w="57" w:type="dxa"/>
              <w:bottom w:w="57" w:type="dxa"/>
              <w:right w:w="57" w:type="dxa"/>
            </w:tcMar>
            <w:vAlign w:val="center"/>
          </w:tcPr>
          <w:p w14:paraId="71BFE3A9"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698DC0A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7E23D29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F53504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A3BE18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648C0A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1014A0C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0268329C"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726A2F02"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E9A639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33EBEFE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D5E319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21A2AB6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shd w:val="clear" w:color="auto" w:fill="F2F2F2"/>
            <w:tcMar>
              <w:top w:w="57" w:type="dxa"/>
              <w:left w:w="57" w:type="dxa"/>
              <w:bottom w:w="57" w:type="dxa"/>
              <w:right w:w="57" w:type="dxa"/>
            </w:tcMar>
            <w:vAlign w:val="center"/>
          </w:tcPr>
          <w:p w14:paraId="7895839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1AE5885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2ACB88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73069C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757345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77FABC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7EE81C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13F6ADC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97675F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097DB5F"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6CC79B2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443B6804" w14:textId="77777777" w:rsidTr="00B65C17">
        <w:trPr>
          <w:jc w:val="center"/>
        </w:trPr>
        <w:tc>
          <w:tcPr>
            <w:tcW w:w="782" w:type="pct"/>
            <w:tcMar>
              <w:top w:w="57" w:type="dxa"/>
              <w:left w:w="57" w:type="dxa"/>
              <w:bottom w:w="57" w:type="dxa"/>
              <w:right w:w="57" w:type="dxa"/>
            </w:tcMar>
            <w:vAlign w:val="center"/>
          </w:tcPr>
          <w:p w14:paraId="2E66918F"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Injection site reaction assessment</w:t>
            </w:r>
          </w:p>
        </w:tc>
        <w:tc>
          <w:tcPr>
            <w:tcW w:w="212" w:type="pct"/>
            <w:tcMar>
              <w:top w:w="57" w:type="dxa"/>
              <w:left w:w="57" w:type="dxa"/>
              <w:bottom w:w="57" w:type="dxa"/>
              <w:right w:w="57" w:type="dxa"/>
            </w:tcMar>
            <w:vAlign w:val="center"/>
          </w:tcPr>
          <w:p w14:paraId="2FEAEA8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6233ECC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7D0F367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BA8E7C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9D02C2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239FDB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5C6A4B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0A95DB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5C7D048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323A115"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8E78E0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63F7B0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C5EA98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699B97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26CF0F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0864C1F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1C720E3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5E97A2D3"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7A4E72D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2E99459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54" w:type="pct"/>
            <w:tcMar>
              <w:top w:w="57" w:type="dxa"/>
              <w:left w:w="57" w:type="dxa"/>
              <w:bottom w:w="57" w:type="dxa"/>
              <w:right w:w="57" w:type="dxa"/>
            </w:tcMar>
            <w:vAlign w:val="center"/>
          </w:tcPr>
          <w:p w14:paraId="490F08B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0CE5F6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682E9CC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5F4063A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692E4F03" w14:textId="77777777" w:rsidTr="00B65C17">
        <w:trPr>
          <w:jc w:val="center"/>
        </w:trPr>
        <w:tc>
          <w:tcPr>
            <w:tcW w:w="782" w:type="pct"/>
            <w:tcMar>
              <w:top w:w="57" w:type="dxa"/>
              <w:left w:w="57" w:type="dxa"/>
              <w:bottom w:w="57" w:type="dxa"/>
              <w:right w:w="57" w:type="dxa"/>
            </w:tcMar>
            <w:vAlign w:val="center"/>
          </w:tcPr>
          <w:p w14:paraId="36122856"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lastRenderedPageBreak/>
              <w:t>Dispensation of subject diary</w:t>
            </w:r>
          </w:p>
        </w:tc>
        <w:tc>
          <w:tcPr>
            <w:tcW w:w="212" w:type="pct"/>
            <w:tcMar>
              <w:top w:w="57" w:type="dxa"/>
              <w:left w:w="57" w:type="dxa"/>
              <w:bottom w:w="57" w:type="dxa"/>
              <w:right w:w="57" w:type="dxa"/>
            </w:tcMar>
            <w:vAlign w:val="center"/>
          </w:tcPr>
          <w:p w14:paraId="71A23EA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7849D36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4340B8C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4FD0BA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AB4ADF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083456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7099A37"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66E131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7DFFEE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743975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71215A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BD5D68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594B71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541AFE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406C927"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135F9D8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562B455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5511149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B50D9B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37BC7BD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54E8FDA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95852E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1C7224B8"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61F7596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r>
      <w:tr w:rsidR="0005712D" w:rsidRPr="00101741" w14:paraId="2C4FCC9B" w14:textId="77777777" w:rsidTr="00B65C17">
        <w:trPr>
          <w:jc w:val="center"/>
        </w:trPr>
        <w:tc>
          <w:tcPr>
            <w:tcW w:w="782" w:type="pct"/>
            <w:tcMar>
              <w:top w:w="57" w:type="dxa"/>
              <w:left w:w="57" w:type="dxa"/>
              <w:bottom w:w="57" w:type="dxa"/>
              <w:right w:w="57" w:type="dxa"/>
            </w:tcMar>
            <w:vAlign w:val="center"/>
          </w:tcPr>
          <w:p w14:paraId="309A0A92"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Collection of subject diary</w:t>
            </w:r>
          </w:p>
        </w:tc>
        <w:tc>
          <w:tcPr>
            <w:tcW w:w="212" w:type="pct"/>
            <w:tcMar>
              <w:top w:w="57" w:type="dxa"/>
              <w:left w:w="57" w:type="dxa"/>
              <w:bottom w:w="57" w:type="dxa"/>
              <w:right w:w="57" w:type="dxa"/>
            </w:tcMar>
            <w:vAlign w:val="center"/>
          </w:tcPr>
          <w:p w14:paraId="20944CC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55" w:type="pct"/>
            <w:tcMar>
              <w:top w:w="57" w:type="dxa"/>
              <w:left w:w="57" w:type="dxa"/>
              <w:bottom w:w="57" w:type="dxa"/>
              <w:right w:w="57" w:type="dxa"/>
            </w:tcMar>
            <w:vAlign w:val="center"/>
          </w:tcPr>
          <w:p w14:paraId="7451F136"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49" w:type="pct"/>
            <w:shd w:val="clear" w:color="auto" w:fill="F2F2F2"/>
            <w:tcMar>
              <w:top w:w="57" w:type="dxa"/>
              <w:left w:w="57" w:type="dxa"/>
              <w:bottom w:w="57" w:type="dxa"/>
              <w:right w:w="57" w:type="dxa"/>
            </w:tcMar>
            <w:vAlign w:val="center"/>
          </w:tcPr>
          <w:p w14:paraId="069FA80C"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sz w:val="20"/>
                <w:szCs w:val="20"/>
              </w:rPr>
            </w:pPr>
          </w:p>
        </w:tc>
        <w:tc>
          <w:tcPr>
            <w:tcW w:w="137" w:type="pct"/>
            <w:shd w:val="clear" w:color="auto" w:fill="F2F2F2"/>
            <w:tcMar>
              <w:top w:w="57" w:type="dxa"/>
              <w:left w:w="57" w:type="dxa"/>
              <w:bottom w:w="57" w:type="dxa"/>
              <w:right w:w="57" w:type="dxa"/>
            </w:tcMar>
            <w:vAlign w:val="center"/>
          </w:tcPr>
          <w:p w14:paraId="35FE788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7E6388C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B83D03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AD7297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B5F8F0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BFDF71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8FD5CD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ADF670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77FE62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70AD8756"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C2DE34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1775108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1070C6B"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674196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2EFF1E32"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C3635B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16B7AE53"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1FA75326"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712DA258"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EBA01BD"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40E1AA5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73EE7177" w14:textId="77777777" w:rsidTr="00B65C17">
        <w:trPr>
          <w:jc w:val="center"/>
        </w:trPr>
        <w:tc>
          <w:tcPr>
            <w:tcW w:w="782" w:type="pct"/>
            <w:tcMar>
              <w:top w:w="57" w:type="dxa"/>
              <w:left w:w="57" w:type="dxa"/>
              <w:bottom w:w="57" w:type="dxa"/>
              <w:right w:w="57" w:type="dxa"/>
            </w:tcMar>
            <w:vAlign w:val="center"/>
          </w:tcPr>
          <w:p w14:paraId="0C690E5C" w14:textId="77777777" w:rsidR="0005712D" w:rsidRPr="00101741" w:rsidRDefault="00CF2A39" w:rsidP="00101741">
            <w:pPr>
              <w:widowControl/>
              <w:overflowPunct w:val="0"/>
              <w:autoSpaceDE w:val="0"/>
              <w:autoSpaceDN w:val="0"/>
              <w:adjustRightInd w:val="0"/>
              <w:snapToGrid w:val="0"/>
              <w:spacing w:before="0" w:after="0" w:line="240" w:lineRule="auto"/>
              <w:ind w:leftChars="6" w:left="172" w:hanging="159"/>
              <w:jc w:val="center"/>
              <w:rPr>
                <w:rFonts w:cs="Times New Roman"/>
                <w:sz w:val="20"/>
                <w:szCs w:val="20"/>
              </w:rPr>
            </w:pPr>
            <w:r w:rsidRPr="00101741">
              <w:rPr>
                <w:rFonts w:cs="Times New Roman"/>
                <w:sz w:val="20"/>
                <w:szCs w:val="20"/>
              </w:rPr>
              <w:t>Diet and exercise guidance</w:t>
            </w:r>
          </w:p>
        </w:tc>
        <w:tc>
          <w:tcPr>
            <w:tcW w:w="212" w:type="pct"/>
            <w:tcMar>
              <w:top w:w="57" w:type="dxa"/>
              <w:left w:w="57" w:type="dxa"/>
              <w:bottom w:w="57" w:type="dxa"/>
              <w:right w:w="57" w:type="dxa"/>
            </w:tcMar>
            <w:vAlign w:val="center"/>
          </w:tcPr>
          <w:p w14:paraId="35588DC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2144DC0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69B990E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EF87C4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DC59161"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F67164C"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0CF365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865053E"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687009B"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042EEF10"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795E77F"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CDEACD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5993BF9"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29E9C24"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9D9055E"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5AFBD65"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176" w:type="pct"/>
            <w:tcMar>
              <w:top w:w="57" w:type="dxa"/>
              <w:left w:w="57" w:type="dxa"/>
              <w:bottom w:w="57" w:type="dxa"/>
              <w:right w:w="57" w:type="dxa"/>
            </w:tcMar>
            <w:vAlign w:val="center"/>
          </w:tcPr>
          <w:p w14:paraId="420181CA"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4EDD01C4"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0F999ED0"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136E468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0894DFB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lang w:eastAsia="en-US"/>
              </w:rPr>
            </w:pPr>
          </w:p>
        </w:tc>
        <w:tc>
          <w:tcPr>
            <w:tcW w:w="176" w:type="pct"/>
            <w:tcMar>
              <w:top w:w="57" w:type="dxa"/>
              <w:left w:w="57" w:type="dxa"/>
              <w:bottom w:w="57" w:type="dxa"/>
              <w:right w:w="57" w:type="dxa"/>
            </w:tcMar>
            <w:vAlign w:val="center"/>
          </w:tcPr>
          <w:p w14:paraId="5257698A"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E78A8D9" w14:textId="77777777" w:rsidR="0005712D" w:rsidRPr="00101741" w:rsidRDefault="0005712D" w:rsidP="00101741">
            <w:pPr>
              <w:widowControl/>
              <w:overflowPunct w:val="0"/>
              <w:autoSpaceDE w:val="0"/>
              <w:autoSpaceDN w:val="0"/>
              <w:adjustRightInd w:val="0"/>
              <w:snapToGrid w:val="0"/>
              <w:spacing w:before="0" w:after="0" w:line="240" w:lineRule="auto"/>
              <w:ind w:left="42"/>
              <w:jc w:val="center"/>
              <w:rPr>
                <w:rFonts w:cs="Times New Roman"/>
                <w:sz w:val="20"/>
                <w:szCs w:val="20"/>
              </w:rPr>
            </w:pPr>
          </w:p>
        </w:tc>
        <w:tc>
          <w:tcPr>
            <w:tcW w:w="442" w:type="pct"/>
            <w:tcMar>
              <w:top w:w="57" w:type="dxa"/>
              <w:left w:w="57" w:type="dxa"/>
              <w:bottom w:w="57" w:type="dxa"/>
              <w:right w:w="57" w:type="dxa"/>
            </w:tcMar>
            <w:vAlign w:val="center"/>
          </w:tcPr>
          <w:p w14:paraId="75F2853D" w14:textId="77777777" w:rsidR="0005712D" w:rsidRPr="00101741" w:rsidRDefault="00CF2A39" w:rsidP="00101741">
            <w:pPr>
              <w:widowControl/>
              <w:overflowPunct w:val="0"/>
              <w:autoSpaceDE w:val="0"/>
              <w:autoSpaceDN w:val="0"/>
              <w:adjustRightInd w:val="0"/>
              <w:snapToGrid w:val="0"/>
              <w:spacing w:before="0" w:after="0" w:line="240" w:lineRule="auto"/>
              <w:ind w:left="42"/>
              <w:jc w:val="center"/>
              <w:rPr>
                <w:rFonts w:cs="Times New Roman"/>
                <w:sz w:val="20"/>
                <w:szCs w:val="20"/>
              </w:rPr>
            </w:pPr>
            <w:r w:rsidRPr="00101741">
              <w:rPr>
                <w:rFonts w:cs="Times New Roman"/>
                <w:sz w:val="20"/>
                <w:szCs w:val="20"/>
              </w:rPr>
              <w:t>X</w:t>
            </w:r>
          </w:p>
        </w:tc>
      </w:tr>
      <w:tr w:rsidR="0005712D" w:rsidRPr="00101741" w14:paraId="394FF1B1" w14:textId="77777777" w:rsidTr="00B65C17">
        <w:trPr>
          <w:jc w:val="center"/>
        </w:trPr>
        <w:tc>
          <w:tcPr>
            <w:tcW w:w="782" w:type="pct"/>
            <w:tcMar>
              <w:top w:w="57" w:type="dxa"/>
              <w:left w:w="57" w:type="dxa"/>
              <w:bottom w:w="57" w:type="dxa"/>
              <w:right w:w="57" w:type="dxa"/>
            </w:tcMar>
            <w:vAlign w:val="center"/>
          </w:tcPr>
          <w:p w14:paraId="1D83C94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Monitoring and recording of adverse events</w:t>
            </w:r>
          </w:p>
        </w:tc>
        <w:tc>
          <w:tcPr>
            <w:tcW w:w="212" w:type="pct"/>
            <w:tcMar>
              <w:top w:w="57" w:type="dxa"/>
              <w:left w:w="57" w:type="dxa"/>
              <w:bottom w:w="57" w:type="dxa"/>
              <w:right w:w="57" w:type="dxa"/>
            </w:tcMar>
            <w:vAlign w:val="center"/>
          </w:tcPr>
          <w:p w14:paraId="63CCB98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3FF62DA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6241858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6AC788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199209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0A83641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6DA3CB8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FC2E51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2DB52F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230981C7"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EC478C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125B0B3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49CA2668"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B302D0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23D8B0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E0AE7F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3714AC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C4E13D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4A5C531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2EC320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4A47475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B890C4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43A7FB2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442" w:type="pct"/>
            <w:tcMar>
              <w:top w:w="57" w:type="dxa"/>
              <w:left w:w="57" w:type="dxa"/>
              <w:bottom w:w="57" w:type="dxa"/>
              <w:right w:w="57" w:type="dxa"/>
            </w:tcMar>
            <w:vAlign w:val="center"/>
          </w:tcPr>
          <w:p w14:paraId="1E5B8D7F"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r w:rsidR="0005712D" w:rsidRPr="00101741" w14:paraId="53AA5856" w14:textId="77777777" w:rsidTr="00B65C17">
        <w:trPr>
          <w:jc w:val="center"/>
        </w:trPr>
        <w:tc>
          <w:tcPr>
            <w:tcW w:w="782" w:type="pct"/>
            <w:tcMar>
              <w:top w:w="57" w:type="dxa"/>
              <w:left w:w="57" w:type="dxa"/>
              <w:bottom w:w="57" w:type="dxa"/>
              <w:right w:w="57" w:type="dxa"/>
            </w:tcMar>
            <w:vAlign w:val="center"/>
          </w:tcPr>
          <w:p w14:paraId="4AF7E1C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Collection of concomitant medications/treatments</w:t>
            </w:r>
          </w:p>
        </w:tc>
        <w:tc>
          <w:tcPr>
            <w:tcW w:w="212" w:type="pct"/>
            <w:tcMar>
              <w:top w:w="57" w:type="dxa"/>
              <w:left w:w="57" w:type="dxa"/>
              <w:bottom w:w="57" w:type="dxa"/>
              <w:right w:w="57" w:type="dxa"/>
            </w:tcMar>
            <w:vAlign w:val="center"/>
          </w:tcPr>
          <w:p w14:paraId="229C636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5" w:type="pct"/>
            <w:tcMar>
              <w:top w:w="57" w:type="dxa"/>
              <w:left w:w="57" w:type="dxa"/>
              <w:bottom w:w="57" w:type="dxa"/>
              <w:right w:w="57" w:type="dxa"/>
            </w:tcMar>
            <w:vAlign w:val="center"/>
          </w:tcPr>
          <w:p w14:paraId="649E72C2"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49" w:type="pct"/>
            <w:shd w:val="clear" w:color="auto" w:fill="F2F2F2"/>
            <w:tcMar>
              <w:top w:w="57" w:type="dxa"/>
              <w:left w:w="57" w:type="dxa"/>
              <w:bottom w:w="57" w:type="dxa"/>
              <w:right w:w="57" w:type="dxa"/>
            </w:tcMar>
            <w:vAlign w:val="center"/>
          </w:tcPr>
          <w:p w14:paraId="2DA55E7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C268500"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2CC9358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3E185949"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726110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1A68D6C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37" w:type="pct"/>
            <w:shd w:val="clear" w:color="auto" w:fill="F2F2F2"/>
            <w:tcMar>
              <w:top w:w="57" w:type="dxa"/>
              <w:left w:w="57" w:type="dxa"/>
              <w:bottom w:w="57" w:type="dxa"/>
              <w:right w:w="57" w:type="dxa"/>
            </w:tcMar>
            <w:vAlign w:val="center"/>
          </w:tcPr>
          <w:p w14:paraId="430516FE"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354FE1A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4913D5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62EAA20B"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E577ABA"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shd w:val="clear" w:color="auto" w:fill="F2F2F2"/>
            <w:tcMar>
              <w:top w:w="57" w:type="dxa"/>
              <w:left w:w="57" w:type="dxa"/>
              <w:bottom w:w="57" w:type="dxa"/>
              <w:right w:w="57" w:type="dxa"/>
            </w:tcMar>
            <w:vAlign w:val="center"/>
          </w:tcPr>
          <w:p w14:paraId="5D0C1FA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3526A9E6"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750B5C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5E5B136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6704040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201C31F4"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4B51F33"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54" w:type="pct"/>
            <w:tcMar>
              <w:top w:w="57" w:type="dxa"/>
              <w:left w:w="57" w:type="dxa"/>
              <w:bottom w:w="57" w:type="dxa"/>
              <w:right w:w="57" w:type="dxa"/>
            </w:tcMar>
            <w:vAlign w:val="center"/>
          </w:tcPr>
          <w:p w14:paraId="637AE541"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7CB9E705"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176" w:type="pct"/>
            <w:tcMar>
              <w:top w:w="57" w:type="dxa"/>
              <w:left w:w="57" w:type="dxa"/>
              <w:bottom w:w="57" w:type="dxa"/>
              <w:right w:w="57" w:type="dxa"/>
            </w:tcMar>
            <w:vAlign w:val="center"/>
          </w:tcPr>
          <w:p w14:paraId="02E0A70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c>
          <w:tcPr>
            <w:tcW w:w="442" w:type="pct"/>
            <w:tcMar>
              <w:top w:w="57" w:type="dxa"/>
              <w:left w:w="57" w:type="dxa"/>
              <w:bottom w:w="57" w:type="dxa"/>
              <w:right w:w="57" w:type="dxa"/>
            </w:tcMar>
            <w:vAlign w:val="center"/>
          </w:tcPr>
          <w:p w14:paraId="7F75577D"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sz w:val="20"/>
                <w:szCs w:val="20"/>
              </w:rPr>
            </w:pPr>
            <w:r w:rsidRPr="00101741">
              <w:rPr>
                <w:rFonts w:cs="Times New Roman"/>
                <w:sz w:val="20"/>
                <w:szCs w:val="20"/>
              </w:rPr>
              <w:t>X</w:t>
            </w:r>
          </w:p>
        </w:tc>
      </w:tr>
    </w:tbl>
    <w:bookmarkEnd w:id="62"/>
    <w:p w14:paraId="11EDF5FA"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w:t>
      </w:r>
      <w:r w:rsidRPr="00B65C17">
        <w:rPr>
          <w:rFonts w:cs="Times New Roman"/>
          <w:sz w:val="20"/>
          <w:szCs w:val="20"/>
        </w:rPr>
        <w:tab/>
        <w:t>Subject screening will be performed within 14 days prior to the first dose (D0), and the screening procedures will be the same for each group;</w:t>
      </w:r>
    </w:p>
    <w:p w14:paraId="71023AF4"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2.</w:t>
      </w:r>
      <w:r w:rsidRPr="00B65C17">
        <w:rPr>
          <w:rFonts w:cs="Times New Roman"/>
          <w:sz w:val="20"/>
          <w:szCs w:val="20"/>
        </w:rPr>
        <w:tab/>
        <w:t>If a subject withdraws from the study early after dosing, an early termination visit (4 weeks ± 3 days after the last dose) should be completed whenever possible; in addition, every effort should be made to assess efficacy endpoints including HbA1c, fasting plasma glucose, blood lipids, blood pressure, body weight, waist circumference, and hip circumference at 24 weeks (± 3 days) after the first dose;</w:t>
      </w:r>
    </w:p>
    <w:p w14:paraId="7D9C9940"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3.</w:t>
      </w:r>
      <w:r w:rsidRPr="00B65C17">
        <w:rPr>
          <w:rFonts w:cs="Times New Roman"/>
          <w:sz w:val="20"/>
          <w:szCs w:val="20"/>
        </w:rPr>
        <w:tab/>
        <w:t>Height will be measured only at the first screening visit;</w:t>
      </w:r>
    </w:p>
    <w:p w14:paraId="7BB01AC4"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4.</w:t>
      </w:r>
      <w:r w:rsidRPr="00B65C17">
        <w:rPr>
          <w:rFonts w:cs="Times New Roman"/>
          <w:sz w:val="20"/>
          <w:szCs w:val="20"/>
        </w:rPr>
        <w:tab/>
        <w:t xml:space="preserve">Vital signs: will be assessed at each visit, and before and at 4 h and 8 h after the last dose; blood pressure, pulse, and respiratory rate will be measured after </w:t>
      </w:r>
      <w:r w:rsidRPr="00B65C17">
        <w:rPr>
          <w:rFonts w:cs="Times New Roman"/>
          <w:spacing w:val="-2"/>
          <w:sz w:val="20"/>
          <w:szCs w:val="20"/>
        </w:rPr>
        <w:t>the subject has rested quietly for at least 5 minutes; if blood samples are to be collected on the same day, vital signs should be measured before blood collected;</w:t>
      </w:r>
    </w:p>
    <w:p w14:paraId="2DFFCE69" w14:textId="70835360"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lastRenderedPageBreak/>
        <w:t>5.</w:t>
      </w:r>
      <w:r w:rsidRPr="00B65C17">
        <w:rPr>
          <w:rFonts w:cs="Times New Roman"/>
          <w:sz w:val="20"/>
          <w:szCs w:val="20"/>
        </w:rPr>
        <w:tab/>
        <w:t>12-lead ECG: will be performed at each visit, and before and at 4 h and 8 h after the last dose; if blood sample collection is required on the day of the examination, the examination should preferably be performed before blood collection. Subjects should not exercise or consume caffeine, alcohol, or nicotine within 30 min prior to the ECG, and must rest for at least 5 min. One ECG will be recorded at screening and on D-1, and at all other time points three consecutive ECGs will be recorded, approximately 1–2 min apart. If QTcF &gt; 500 ms or is prolonged by ≥ 45 ms from baseline, an individual ECG examination must be repeated at least hourly until the QTcF values fall below the above threshold on 2 consecutive ECG examinations. If QTcF persisted above 500 ms for more than 4 h or prolonged from baseline by &gt; 45 ms, or if there is a trend toward further QTcF prolongation, continuous ECG monitoring should be considered</w:t>
      </w:r>
      <w:r w:rsidRPr="00B65C17">
        <w:rPr>
          <w:rFonts w:cs="Times New Roman" w:hint="eastAsia"/>
          <w:sz w:val="20"/>
          <w:szCs w:val="20"/>
        </w:rPr>
        <w:t>;</w:t>
      </w:r>
    </w:p>
    <w:p w14:paraId="499E59B3"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6.</w:t>
      </w:r>
      <w:r w:rsidRPr="00B65C17">
        <w:rPr>
          <w:rFonts w:cs="Times New Roman"/>
          <w:sz w:val="20"/>
          <w:szCs w:val="20"/>
        </w:rPr>
        <w:tab/>
        <w:t>Test results obtained within 1 month prior to screening may be accepted;</w:t>
      </w:r>
    </w:p>
    <w:p w14:paraId="5AE413C6"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7.</w:t>
      </w:r>
      <w:r w:rsidRPr="00B65C17">
        <w:rPr>
          <w:rFonts w:cs="Times New Roman"/>
          <w:sz w:val="20"/>
          <w:szCs w:val="20"/>
        </w:rPr>
        <w:tab/>
        <w:t>Blood pregnancy test: Applicable only to female subjects. Except for postmenopausal women (amenorrhea ≥ 2 years confirmed by FSH test) and women who have undergone hysterectomy, bilateral oophorectomy, or tubal ligation, all female subjects must undergo a pregnancy test. For D-1, a blood pregnancy test result obtained within 1 week prior to the first dose may be accepted; in such cases, a urine pregnancy test must be performed for confirmation.</w:t>
      </w:r>
    </w:p>
    <w:p w14:paraId="7AD77468"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8.</w:t>
      </w:r>
      <w:r w:rsidRPr="00B65C17">
        <w:rPr>
          <w:rFonts w:cs="Times New Roman"/>
          <w:sz w:val="20"/>
          <w:szCs w:val="20"/>
        </w:rPr>
        <w:tab/>
        <w:t>Applicable only to women requiring confirmation of postmenopausal status;</w:t>
      </w:r>
    </w:p>
    <w:p w14:paraId="3699C60C"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9.</w:t>
      </w:r>
      <w:r w:rsidRPr="00B65C17">
        <w:rPr>
          <w:rFonts w:cs="Times New Roman"/>
          <w:sz w:val="20"/>
          <w:szCs w:val="20"/>
        </w:rPr>
        <w:tab/>
        <w:t>Blood samples will be collected under fasting conditions (no caloric intake for at least 8 h);</w:t>
      </w:r>
    </w:p>
    <w:p w14:paraId="444F9566"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10.</w:t>
      </w:r>
      <w:r w:rsidRPr="00B65C17">
        <w:rPr>
          <w:rFonts w:cs="Times New Roman"/>
          <w:sz w:val="20"/>
          <w:szCs w:val="20"/>
        </w:rPr>
        <w:tab/>
        <w:t>Samples for the relevant tests must be collected pre-dose;</w:t>
      </w:r>
    </w:p>
    <w:p w14:paraId="3C233821"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11.</w:t>
      </w:r>
      <w:r w:rsidRPr="00B65C17">
        <w:rPr>
          <w:rFonts w:cs="Times New Roman"/>
          <w:sz w:val="20"/>
          <w:szCs w:val="20"/>
        </w:rPr>
        <w:tab/>
        <w:t>HbA1c samples from all visits will be sent to the central laboratory for testing; during the screening period, an additional tube of blood for HbA1c will be collected and tested at the study site as the basis for screening;</w:t>
      </w:r>
    </w:p>
    <w:p w14:paraId="2E2D2E2B"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12.</w:t>
      </w:r>
      <w:r w:rsidRPr="00B65C17">
        <w:rPr>
          <w:rFonts w:cs="Times New Roman"/>
          <w:sz w:val="20"/>
          <w:szCs w:val="20"/>
        </w:rPr>
        <w:tab/>
        <w:t>Verification of eligibility and randomization for subjects in Part B dose escalation group 1 will be performed on D-2 (2 days prior to RAY1225 administration);</w:t>
      </w:r>
    </w:p>
    <w:p w14:paraId="1650FBD8"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13.</w:t>
      </w:r>
      <w:r w:rsidRPr="00B65C17">
        <w:rPr>
          <w:rFonts w:cs="Times New Roman"/>
          <w:sz w:val="20"/>
          <w:szCs w:val="20"/>
        </w:rPr>
        <w:tab/>
        <w:t>Applicable only to subjects in Part B dose escalation group 1. The first dose of acetaminophen and PK blood sampling (up to 24 h post-dose) must be completed before the first dose of RAY1225; baseline assessments for dose escalation group 1 must be completed before acetaminophen administration. The second dose of acetaminophen 0.5 g will occur 24 h ± 2 h after administration of the second dose of RAY1225 injection 5 mg;</w:t>
      </w:r>
    </w:p>
    <w:p w14:paraId="3BDA473D" w14:textId="77777777"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14.</w:t>
      </w:r>
      <w:r w:rsidRPr="00B65C17">
        <w:rPr>
          <w:rFonts w:cs="Times New Roman"/>
          <w:sz w:val="20"/>
          <w:szCs w:val="20"/>
        </w:rPr>
        <w:tab/>
        <w:t>Applicable only to subjects in Part B dose escalation group 1. PK blood samples will be collected within 2 h prior to each of the two acetaminophen doses and at 0.25 h, 0.5 h, 0.75 h, 1 h, 2 h, 3 h, 4 h, 6 h, 9 h, 12 h, and 24 h post-dose, for a total of 24 sampling time points, with approximately 3 mL collected at each time;</w:t>
      </w:r>
    </w:p>
    <w:p w14:paraId="3FEBCAB9" w14:textId="7922844E" w:rsidR="0005712D" w:rsidRPr="00B65C17"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0"/>
          <w:szCs w:val="20"/>
        </w:rPr>
      </w:pPr>
      <w:r w:rsidRPr="00B65C17">
        <w:rPr>
          <w:rFonts w:cs="Times New Roman"/>
          <w:sz w:val="20"/>
          <w:szCs w:val="20"/>
        </w:rPr>
        <w:t>15.</w:t>
      </w:r>
      <w:r w:rsidRPr="00B65C17">
        <w:rPr>
          <w:rFonts w:cs="Times New Roman"/>
          <w:sz w:val="20"/>
          <w:szCs w:val="20"/>
        </w:rPr>
        <w:tab/>
        <w:t>The timing of PK blood sampling should be as close as possible to the ECG examination on the same day. Samples will be collected at the following time points: before the first dose; pre-dose at Weeks 4, 8, 12, and 16; pre-dose and at 4 h, 8 h, 24 h, 48 h, 72 h, 168 h, 240 h, 336 h, 504 h, 672 h, 840 h, 1008 h post-dose at Week 22, and at early withdrawal. A maximum of 18 blood samples will be collected, with approximately 4 mL collected at each time</w:t>
      </w:r>
      <w:r w:rsidRPr="00B65C17">
        <w:rPr>
          <w:rFonts w:cs="Times New Roman" w:hint="eastAsia"/>
          <w:sz w:val="20"/>
          <w:szCs w:val="20"/>
        </w:rPr>
        <w:t>;</w:t>
      </w:r>
    </w:p>
    <w:p w14:paraId="7E5437DC" w14:textId="4CE246B1" w:rsidR="0005712D" w:rsidRPr="00F72DDB" w:rsidRDefault="00CF2A39" w:rsidP="00B65C17">
      <w:pPr>
        <w:overflowPunct w:val="0"/>
        <w:autoSpaceDE w:val="0"/>
        <w:autoSpaceDN w:val="0"/>
        <w:adjustRightInd w:val="0"/>
        <w:snapToGrid w:val="0"/>
        <w:spacing w:beforeLines="30" w:before="72" w:afterLines="30" w:after="72" w:line="288" w:lineRule="auto"/>
        <w:ind w:left="400" w:hangingChars="200" w:hanging="400"/>
        <w:jc w:val="left"/>
        <w:rPr>
          <w:rFonts w:cs="Times New Roman"/>
          <w:sz w:val="24"/>
        </w:rPr>
      </w:pPr>
      <w:r w:rsidRPr="00B65C17">
        <w:rPr>
          <w:rFonts w:cs="Times New Roman"/>
          <w:sz w:val="20"/>
          <w:szCs w:val="20"/>
        </w:rPr>
        <w:t>16.</w:t>
      </w:r>
      <w:r w:rsidRPr="00B65C17">
        <w:rPr>
          <w:rFonts w:cs="Times New Roman"/>
          <w:sz w:val="20"/>
          <w:szCs w:val="20"/>
        </w:rPr>
        <w:tab/>
        <w:t>If subcutaneous administration of RAY1225 is scheduled on the same day as immunogenicity blood sampling, the blood sample must be collected pre-dose.</w:t>
      </w:r>
    </w:p>
    <w:p w14:paraId="3DD4EDDE" w14:textId="77777777" w:rsidR="0005712D" w:rsidRPr="00F72DDB" w:rsidRDefault="0005712D" w:rsidP="00101741">
      <w:pPr>
        <w:widowControl/>
        <w:overflowPunct w:val="0"/>
        <w:autoSpaceDE w:val="0"/>
        <w:autoSpaceDN w:val="0"/>
        <w:adjustRightInd w:val="0"/>
        <w:snapToGrid w:val="0"/>
        <w:spacing w:beforeLines="50" w:before="120" w:afterLines="50" w:after="120" w:line="300" w:lineRule="auto"/>
        <w:jc w:val="left"/>
        <w:rPr>
          <w:rFonts w:cs="Times New Roman"/>
          <w:sz w:val="24"/>
        </w:rPr>
        <w:sectPr w:rsidR="0005712D" w:rsidRPr="00F72DDB" w:rsidSect="00F72DDB">
          <w:pgSz w:w="15842" w:h="12242" w:orient="landscape" w:code="119"/>
          <w:pgMar w:top="1440" w:right="1440" w:bottom="1440" w:left="1440" w:header="1418" w:footer="720" w:gutter="0"/>
          <w:cols w:space="425"/>
          <w:docGrid w:linePitch="312"/>
        </w:sectPr>
      </w:pPr>
    </w:p>
    <w:p w14:paraId="2F3C3927"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63" w:name="_Toc216186542"/>
      <w:r w:rsidRPr="004F1FD9">
        <w:rPr>
          <w:rFonts w:ascii="Times New Roman" w:hAnsi="Times New Roman" w:cs="Times New Roman"/>
          <w:sz w:val="28"/>
          <w:szCs w:val="28"/>
        </w:rPr>
        <w:lastRenderedPageBreak/>
        <w:t>SAMPLE SIZE</w:t>
      </w:r>
      <w:bookmarkEnd w:id="63"/>
    </w:p>
    <w:p w14:paraId="38ED017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Part A: There will be two RAY1225 target dose groups (3 mg and 6 mg) and one placebo group, with 40 subjects per group.</w:t>
      </w:r>
    </w:p>
    <w:p w14:paraId="775DB9D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Part B: Dose escalation, with a prespecified maximum of 3 groups. A total of 10 subjects will be included in each dose group, with 8 subjects receiving the investigational drug and 2 subjects receiving placebo. In the expansion part, a total of 40 subjects will be included in each dose group, with 32 subjects receiving the investigational drug and 8 subjects receiving placebo.</w:t>
      </w:r>
    </w:p>
    <w:p w14:paraId="7FB452D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As this study is in the dose-finding phase, no formal study hypothesis will be established, and the sample size determination is not based on statistical estimation. Based on the current sample size, the power was preliminarily estimated. Each group of 40 subjects will provide approximately 80% power to detect an inter-group difference between the investigational drug and placebo, assuming a 0.8% greater reduction in HbA1c in the investigational drug group compared with placebo and a common standard deviation (SD) of 1.2.</w:t>
      </w:r>
    </w:p>
    <w:p w14:paraId="17939DFC"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64" w:name="_Toc216186543"/>
      <w:r w:rsidRPr="004F1FD9">
        <w:rPr>
          <w:rFonts w:ascii="Times New Roman" w:hAnsi="Times New Roman" w:cs="Times New Roman"/>
          <w:sz w:val="28"/>
          <w:szCs w:val="28"/>
        </w:rPr>
        <w:t>DATA SETS ANALYZED</w:t>
      </w:r>
      <w:bookmarkEnd w:id="64"/>
    </w:p>
    <w:p w14:paraId="7A412D1E"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For each part of the study, an analysis population will be determined, and the following analysis populations will be used for the analysis of study data:</w:t>
      </w:r>
    </w:p>
    <w:p w14:paraId="5CEC0F16" w14:textId="3C3A9D0C"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b/>
          <w:bCs/>
          <w:color w:val="000000" w:themeColor="text1"/>
          <w:sz w:val="24"/>
        </w:rPr>
        <w:t>Intention to treat set (ITT)</w:t>
      </w:r>
      <w:r w:rsidRPr="00F72DDB">
        <w:rPr>
          <w:rFonts w:cs="Times New Roman"/>
          <w:color w:val="000000" w:themeColor="text1"/>
          <w:sz w:val="24"/>
        </w:rPr>
        <w:t>: all randomized subjects</w:t>
      </w:r>
      <w:r w:rsidRPr="00F72DDB">
        <w:rPr>
          <w:rFonts w:cs="Times New Roman" w:hint="eastAsia"/>
          <w:color w:val="000000" w:themeColor="text1"/>
          <w:sz w:val="24"/>
        </w:rPr>
        <w:t>;</w:t>
      </w:r>
    </w:p>
    <w:p w14:paraId="316CC811"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b/>
          <w:bCs/>
          <w:color w:val="000000" w:themeColor="text1"/>
          <w:sz w:val="24"/>
        </w:rPr>
        <w:t>Full analysis set (FAS)</w:t>
      </w:r>
      <w:r w:rsidRPr="00F72DDB">
        <w:rPr>
          <w:rFonts w:cs="Times New Roman"/>
          <w:color w:val="000000" w:themeColor="text1"/>
          <w:sz w:val="24"/>
        </w:rPr>
        <w:t>: all randomized subjects who have received at least one dose of the investigational medicinal product and have at least one post-baseline efficacy data point;</w:t>
      </w:r>
    </w:p>
    <w:p w14:paraId="450823A7" w14:textId="2FA7A0D0"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b/>
          <w:bCs/>
          <w:color w:val="000000" w:themeColor="text1"/>
          <w:sz w:val="24"/>
        </w:rPr>
        <w:t>Per protocol set (PPS)</w:t>
      </w:r>
      <w:r w:rsidRPr="00F72DDB">
        <w:rPr>
          <w:rFonts w:cs="Times New Roman"/>
          <w:color w:val="000000" w:themeColor="text1"/>
          <w:sz w:val="24"/>
        </w:rPr>
        <w:t>: a subset of FAS, which, in principle, includes all subjects who meet the inclusion criteria and do not meet the exclusion criteria, with good medication compliance and no major protocol violations affecting the primary efficacy evaluation during the treatment period. Subjects included in the PPS will be reviewed on a case-by-case basis and finalized at a blinded review meeting prior to database lock</w:t>
      </w:r>
      <w:r w:rsidRPr="00F72DDB">
        <w:rPr>
          <w:rFonts w:cs="Times New Roman" w:hint="eastAsia"/>
          <w:color w:val="000000" w:themeColor="text1"/>
          <w:sz w:val="24"/>
        </w:rPr>
        <w:t>;</w:t>
      </w:r>
    </w:p>
    <w:p w14:paraId="35440ADE"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b/>
          <w:bCs/>
          <w:color w:val="000000" w:themeColor="text1"/>
          <w:sz w:val="24"/>
        </w:rPr>
        <w:t>Safety set (SS)</w:t>
      </w:r>
      <w:r w:rsidRPr="00F72DDB">
        <w:rPr>
          <w:rFonts w:cs="Times New Roman"/>
          <w:color w:val="000000" w:themeColor="text1"/>
          <w:sz w:val="24"/>
        </w:rPr>
        <w:t>: all randomized subjects who have received at least one dose of the investigational medicinal product with records of safety endpoints;</w:t>
      </w:r>
    </w:p>
    <w:p w14:paraId="0C9AEF4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b/>
          <w:bCs/>
          <w:color w:val="000000" w:themeColor="text1"/>
          <w:sz w:val="24"/>
        </w:rPr>
        <w:t>Pharmacokinetic concentration set (PKCS)</w:t>
      </w:r>
      <w:r w:rsidRPr="00F72DDB">
        <w:rPr>
          <w:rFonts w:cs="Times New Roman"/>
          <w:color w:val="000000" w:themeColor="text1"/>
          <w:sz w:val="24"/>
        </w:rPr>
        <w:t>: all randomized subjects who have received the investigational medicinal product and have at least one data point of evaluable post-dose plasma concentration;</w:t>
      </w:r>
    </w:p>
    <w:p w14:paraId="26D5742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color w:val="000000" w:themeColor="text1"/>
          <w:sz w:val="24"/>
        </w:rPr>
      </w:pPr>
      <w:r w:rsidRPr="00F72DDB">
        <w:rPr>
          <w:rFonts w:cs="Times New Roman"/>
          <w:b/>
          <w:bCs/>
          <w:color w:val="000000" w:themeColor="text1"/>
          <w:sz w:val="24"/>
        </w:rPr>
        <w:t>Pharmacokinetic parameter set (PKPS)</w:t>
      </w:r>
      <w:r w:rsidRPr="00F72DDB">
        <w:rPr>
          <w:rFonts w:cs="Times New Roman"/>
          <w:color w:val="000000" w:themeColor="text1"/>
          <w:sz w:val="24"/>
        </w:rPr>
        <w:t>: all subjects who have received the investigational medicinal product, have at least one evaluable PK parameter, and have no protocol deviation or concomitant medication significantly affecting the PK assessment;</w:t>
      </w:r>
    </w:p>
    <w:p w14:paraId="580B229B"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b/>
          <w:bCs/>
          <w:color w:val="000000" w:themeColor="text1"/>
          <w:sz w:val="24"/>
        </w:rPr>
        <w:lastRenderedPageBreak/>
        <w:t>Anti-drug antibody set (ADAS)</w:t>
      </w:r>
      <w:r w:rsidRPr="00F72DDB">
        <w:rPr>
          <w:rFonts w:cs="Times New Roman"/>
          <w:color w:val="000000" w:themeColor="text1"/>
          <w:sz w:val="24"/>
        </w:rPr>
        <w:t>: all randomized subjects who have received the investigational medicinal product and have at least one immunogenicity result.</w:t>
      </w:r>
    </w:p>
    <w:p w14:paraId="6E3DD0A6"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The division of data sets will be discussed and determined by all parties at the data review meeting.</w:t>
      </w:r>
    </w:p>
    <w:p w14:paraId="7815A54C"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65" w:name="_Toc216186544"/>
      <w:r w:rsidRPr="004F1FD9">
        <w:rPr>
          <w:rFonts w:ascii="Times New Roman" w:hAnsi="Times New Roman" w:cs="Times New Roman"/>
          <w:sz w:val="28"/>
          <w:szCs w:val="28"/>
        </w:rPr>
        <w:t>EVALUATION ENDPOINTS</w:t>
      </w:r>
      <w:bookmarkEnd w:id="65"/>
    </w:p>
    <w:p w14:paraId="4E723EAC"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66" w:name="_Toc216186545"/>
      <w:r w:rsidRPr="00F72DDB">
        <w:rPr>
          <w:rFonts w:ascii="Times New Roman" w:hAnsi="Times New Roman" w:cs="Times New Roman"/>
          <w:sz w:val="24"/>
          <w:szCs w:val="24"/>
        </w:rPr>
        <w:t>Subject Characteristic Variables</w:t>
      </w:r>
      <w:bookmarkEnd w:id="66"/>
    </w:p>
    <w:p w14:paraId="3AA6A81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color w:val="000000" w:themeColor="text1"/>
          <w:sz w:val="24"/>
        </w:rPr>
        <w:t>Variables include demographics, baseline characteristics, medical history/current medical history, prior/concomitant medications and non-drug therapies, drug exposure, and compliance.</w:t>
      </w:r>
    </w:p>
    <w:p w14:paraId="5880EA8B"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67" w:name="_Toc216186546"/>
      <w:r w:rsidRPr="00F72DDB">
        <w:rPr>
          <w:rFonts w:ascii="Times New Roman" w:hAnsi="Times New Roman" w:cs="Times New Roman"/>
          <w:szCs w:val="24"/>
        </w:rPr>
        <w:t>Demographic and baseline characteristics</w:t>
      </w:r>
      <w:bookmarkEnd w:id="67"/>
    </w:p>
    <w:p w14:paraId="6B48EA50"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Demographic and baseline variables include:</w:t>
      </w:r>
    </w:p>
    <w:p w14:paraId="17053C10"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bookmarkStart w:id="68" w:name="OLE_LINK10"/>
      <w:r w:rsidRPr="00F72DDB">
        <w:rPr>
          <w:rFonts w:cs="Times New Roman"/>
          <w:sz w:val="24"/>
        </w:rPr>
        <w:t>Age (years), age (&lt; 65 years, ≥ 65 years)</w:t>
      </w:r>
    </w:p>
    <w:p w14:paraId="787C15A7"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Sex (male, female)</w:t>
      </w:r>
    </w:p>
    <w:p w14:paraId="4B57A938"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Ethnicity (Han Chinese, other)</w:t>
      </w:r>
    </w:p>
    <w:p w14:paraId="7D03A56D"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Race (Asian, other)</w:t>
      </w:r>
    </w:p>
    <w:p w14:paraId="0FEE4FDF"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height (cm)</w:t>
      </w:r>
    </w:p>
    <w:p w14:paraId="447AC87F"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body weight (kg)</w:t>
      </w:r>
    </w:p>
    <w:p w14:paraId="5DA7817E" w14:textId="0E1357EA" w:rsidR="0005712D" w:rsidRPr="00F72DDB" w:rsidRDefault="00CF2A39" w:rsidP="004F1FD9">
      <w:pPr>
        <w:pStyle w:val="20"/>
        <w:tabs>
          <w:tab w:val="clear" w:pos="839"/>
        </w:tabs>
        <w:overflowPunct w:val="0"/>
        <w:autoSpaceDE w:val="0"/>
        <w:autoSpaceDN w:val="0"/>
        <w:spacing w:beforeLines="50" w:afterLines="50" w:line="300" w:lineRule="auto"/>
        <w:ind w:left="476" w:hangingChars="200" w:hanging="476"/>
        <w:jc w:val="left"/>
        <w:rPr>
          <w:rFonts w:cs="Times New Roman"/>
          <w:sz w:val="24"/>
        </w:rPr>
      </w:pPr>
      <w:r w:rsidRPr="007226EC">
        <w:rPr>
          <w:rFonts w:cs="Times New Roman"/>
          <w:spacing w:val="-2"/>
          <w:sz w:val="24"/>
        </w:rPr>
        <w:t>Baseline BMI (kg/m</w:t>
      </w:r>
      <w:r w:rsidRPr="007226EC">
        <w:rPr>
          <w:rFonts w:cs="Times New Roman"/>
          <w:spacing w:val="-2"/>
          <w:sz w:val="24"/>
          <w:vertAlign w:val="superscript"/>
        </w:rPr>
        <w:t>2</w:t>
      </w:r>
      <w:r w:rsidRPr="007226EC">
        <w:rPr>
          <w:rFonts w:cs="Times New Roman"/>
          <w:spacing w:val="-2"/>
          <w:sz w:val="24"/>
        </w:rPr>
        <w:t>), BMI category (&lt; 24 kg/m</w:t>
      </w:r>
      <w:r w:rsidRPr="007226EC">
        <w:rPr>
          <w:rFonts w:cs="Times New Roman"/>
          <w:spacing w:val="-2"/>
          <w:sz w:val="24"/>
          <w:vertAlign w:val="superscript"/>
        </w:rPr>
        <w:t>2</w:t>
      </w:r>
      <w:r w:rsidRPr="007226EC">
        <w:rPr>
          <w:rFonts w:cs="Times New Roman"/>
          <w:spacing w:val="-2"/>
          <w:sz w:val="24"/>
        </w:rPr>
        <w:t>, ≥ 24</w:t>
      </w:r>
      <w:r w:rsidRPr="007226EC">
        <w:rPr>
          <w:rFonts w:cs="Times New Roman" w:hint="eastAsia"/>
          <w:spacing w:val="-2"/>
          <w:sz w:val="24"/>
        </w:rPr>
        <w:t xml:space="preserve"> to </w:t>
      </w:r>
      <w:r w:rsidRPr="007226EC">
        <w:rPr>
          <w:rFonts w:cs="Times New Roman"/>
          <w:spacing w:val="-2"/>
          <w:sz w:val="24"/>
        </w:rPr>
        <w:t>&lt; 28 kg/m</w:t>
      </w:r>
      <w:r w:rsidRPr="007226EC">
        <w:rPr>
          <w:rFonts w:cs="Times New Roman"/>
          <w:spacing w:val="-2"/>
          <w:sz w:val="24"/>
          <w:vertAlign w:val="superscript"/>
        </w:rPr>
        <w:t>2</w:t>
      </w:r>
      <w:r w:rsidRPr="007226EC">
        <w:rPr>
          <w:rFonts w:cs="Times New Roman"/>
          <w:spacing w:val="-2"/>
          <w:sz w:val="24"/>
        </w:rPr>
        <w:t>, ≥ 28</w:t>
      </w:r>
      <w:r w:rsidRPr="007226EC">
        <w:rPr>
          <w:rFonts w:cs="Times New Roman" w:hint="eastAsia"/>
          <w:spacing w:val="-2"/>
          <w:sz w:val="24"/>
        </w:rPr>
        <w:t xml:space="preserve"> to </w:t>
      </w:r>
      <w:r w:rsidRPr="007226EC">
        <w:rPr>
          <w:rFonts w:cs="Times New Roman"/>
          <w:spacing w:val="-2"/>
          <w:sz w:val="24"/>
        </w:rPr>
        <w:t>&lt; 32.5 kg/m</w:t>
      </w:r>
      <w:r w:rsidRPr="007226EC">
        <w:rPr>
          <w:rFonts w:cs="Times New Roman"/>
          <w:spacing w:val="-2"/>
          <w:sz w:val="24"/>
          <w:vertAlign w:val="superscript"/>
        </w:rPr>
        <w:t>2</w:t>
      </w:r>
      <w:r w:rsidRPr="007226EC">
        <w:rPr>
          <w:rFonts w:cs="Times New Roman"/>
          <w:spacing w:val="-2"/>
          <w:sz w:val="24"/>
        </w:rPr>
        <w:t xml:space="preserve">, </w:t>
      </w:r>
      <w:r w:rsidRPr="00F72DDB">
        <w:rPr>
          <w:rFonts w:cs="Times New Roman"/>
          <w:sz w:val="24"/>
        </w:rPr>
        <w:t>≥ 32.5 kg/m</w:t>
      </w:r>
      <w:r w:rsidRPr="00F72DDB">
        <w:rPr>
          <w:rFonts w:cs="Times New Roman"/>
          <w:sz w:val="24"/>
          <w:vertAlign w:val="superscript"/>
        </w:rPr>
        <w:t>2</w:t>
      </w:r>
      <w:r w:rsidRPr="00F72DDB">
        <w:rPr>
          <w:rFonts w:cs="Times New Roman"/>
          <w:sz w:val="24"/>
        </w:rPr>
        <w:t>)</w:t>
      </w:r>
    </w:p>
    <w:p w14:paraId="139AADE2"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waist circumference (cm)</w:t>
      </w:r>
    </w:p>
    <w:p w14:paraId="44BBDA42"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waist-to-hip ratio</w:t>
      </w:r>
    </w:p>
    <w:p w14:paraId="286B0B38"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fasting plasma glucose (mmol/L)</w:t>
      </w:r>
    </w:p>
    <w:p w14:paraId="2AFD06B6"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central laboratory HbA1c (%), HbA1c category (&lt; 8.5%, ≥ 8.5%), baseline HbA1c tested by the study site (%)</w:t>
      </w:r>
    </w:p>
    <w:p w14:paraId="1A2A2EE8"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blood lipids (including triglycerides [TG], total cholesterol [TC], low-density lipoprotein cholesterol [LDL-C], high-density lipoprotein cholesterol [HDL-C], free fatty acids [FFA], and non-high-density lipoprotein cholesterol [non-HDL-C])</w:t>
      </w:r>
    </w:p>
    <w:p w14:paraId="785F3F56"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Baseline laboratory parameters (including alanine aminotransferase [ALT], aspartate aminotransferase [AST], gamma-glutamyl transferase [GGT], uric acid [UA], urinary albumin-to-creatinine ratio, and estimated glomerular filtration rate [eGFR])</w:t>
      </w:r>
    </w:p>
    <w:p w14:paraId="5DE46D0E" w14:textId="77777777" w:rsidR="0005712D" w:rsidRPr="00F72DDB" w:rsidRDefault="00CF2A39" w:rsidP="007226EC">
      <w:pPr>
        <w:pStyle w:val="20"/>
        <w:pageBreakBefore/>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lastRenderedPageBreak/>
        <w:t>Baseline vital signs (including systolic blood pressure [mmHg], diastolic blood pressure [mmHg], and pulse rate [beats/min])</w:t>
      </w:r>
    </w:p>
    <w:p w14:paraId="566F8AFE"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Duration of diabetes (years), duration of diabetes (≤ 5 years, &gt; 5 to ≤ 10 years, &gt; 10 years)</w:t>
      </w:r>
      <w:bookmarkEnd w:id="68"/>
    </w:p>
    <w:p w14:paraId="6BE9314D"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Diabetes mellitus treatment status (treatment-naive/treatment-experienced)</w:t>
      </w:r>
    </w:p>
    <w:p w14:paraId="36CE2459"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Duration of diabetes mellitus in treatment-naive subjects; duration of diabetes in treatment-experienced subjects</w:t>
      </w:r>
    </w:p>
    <w:p w14:paraId="149771DF" w14:textId="31C9605E"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Presence of diabetic complications (yes, no); type of diabetic complications (proliferative retinopathy or macular disease, severe diabetic neuropathy [e.g., urinary retention, urinary incontinence, painful peripheral neuropathy, etc.], resting tachycardia, orthostatic hypotension, intermittent claudication, diabetic foot, diabetic ketoacidosis, lactic acidosis, and hyperglycemic hyperosmolar state</w:t>
      </w:r>
      <w:r w:rsidR="00394C27" w:rsidRPr="00F72DDB">
        <w:rPr>
          <w:rFonts w:cs="Times New Roman" w:hint="eastAsia"/>
          <w:sz w:val="24"/>
        </w:rPr>
        <w:t>, etc.</w:t>
      </w:r>
      <w:r w:rsidRPr="00F72DDB">
        <w:rPr>
          <w:rFonts w:cs="Times New Roman"/>
          <w:sz w:val="24"/>
        </w:rPr>
        <w:t>)</w:t>
      </w:r>
    </w:p>
    <w:p w14:paraId="7CC606B7"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Antihyperglycemic therapy (no oral antihyperglycemic drugs, 1 oral antihyperglycemic drug, 2 oral antihyperglycemic drugs)</w:t>
      </w:r>
    </w:p>
    <w:p w14:paraId="00F668A6"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Hypertension (yes, no)</w:t>
      </w:r>
    </w:p>
    <w:p w14:paraId="5DEFC13B"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Hyperlipidemia (yes, no)</w:t>
      </w:r>
    </w:p>
    <w:p w14:paraId="6AC02DA0"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Hyperuricemia (yes, no)</w:t>
      </w:r>
    </w:p>
    <w:p w14:paraId="46A0D3E8"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Metabolic syndrome (yes, no)</w:t>
      </w:r>
    </w:p>
    <w:p w14:paraId="107B2DA3"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Smoking history (never, current smoker, former smoker, missing)</w:t>
      </w:r>
    </w:p>
    <w:p w14:paraId="60926D1A"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Alcohol use history (never, current drinker, former drinker, missing)</w:t>
      </w:r>
    </w:p>
    <w:p w14:paraId="00D3D906" w14:textId="77777777" w:rsidR="0005712D" w:rsidRPr="00F72DDB" w:rsidRDefault="00CF2A39" w:rsidP="004F1FD9">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Allergy history (yes, no, missing)</w:t>
      </w:r>
    </w:p>
    <w:p w14:paraId="532DAE23" w14:textId="77777777" w:rsidR="0005712D" w:rsidRPr="00F72DDB" w:rsidRDefault="00CF2A39" w:rsidP="00306959">
      <w:pPr>
        <w:pStyle w:val="SAPEmphasis"/>
        <w:overflowPunct w:val="0"/>
        <w:autoSpaceDE w:val="0"/>
        <w:autoSpaceDN w:val="0"/>
        <w:adjustRightInd w:val="0"/>
        <w:snapToGrid w:val="0"/>
        <w:spacing w:beforeLines="50" w:before="120" w:afterLines="50" w:after="120" w:line="300" w:lineRule="auto"/>
        <w:jc w:val="left"/>
        <w:rPr>
          <w:rFonts w:ascii="Times New Roman" w:hAnsi="Times New Roman" w:cs="Times New Roman"/>
          <w:sz w:val="24"/>
        </w:rPr>
      </w:pPr>
      <w:r w:rsidRPr="00F72DDB">
        <w:rPr>
          <w:rFonts w:ascii="Times New Roman" w:hAnsi="Times New Roman" w:cs="Times New Roman"/>
          <w:sz w:val="24"/>
        </w:rPr>
        <w:t>Relevant calculation formulas:</w:t>
      </w:r>
    </w:p>
    <w:p w14:paraId="1A7E62B6"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Age (years) = (Date of signing the informed consent − Date of birth + 1)/365.25, round down</w:t>
      </w:r>
    </w:p>
    <w:p w14:paraId="7D9DAC77"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BMI (kg/m</w:t>
      </w:r>
      <w:r w:rsidRPr="00F72DDB">
        <w:rPr>
          <w:rFonts w:cs="Times New Roman"/>
          <w:sz w:val="24"/>
          <w:vertAlign w:val="superscript"/>
        </w:rPr>
        <w:t>2</w:t>
      </w:r>
      <w:r w:rsidRPr="00F72DDB">
        <w:rPr>
          <w:rFonts w:cs="Times New Roman"/>
          <w:sz w:val="24"/>
        </w:rPr>
        <w:t>) = weight (kg)/(height (m))</w:t>
      </w:r>
      <w:r w:rsidRPr="00F72DDB">
        <w:rPr>
          <w:rFonts w:cs="Times New Roman"/>
          <w:sz w:val="24"/>
          <w:vertAlign w:val="superscript"/>
        </w:rPr>
        <w:t>2</w:t>
      </w:r>
      <w:r w:rsidRPr="00F72DDB">
        <w:rPr>
          <w:rFonts w:cs="Times New Roman"/>
          <w:sz w:val="24"/>
        </w:rPr>
        <w:t>, round to 1 decimal place</w:t>
      </w:r>
    </w:p>
    <w:p w14:paraId="54F61A6C"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Duration of diabetes (years) = (Date of signing informed consent form − Date of diagnosis of type 2 diabetes mellitus)/365.25, round to 1 decimal place</w:t>
      </w:r>
    </w:p>
    <w:p w14:paraId="5AFBEA78" w14:textId="77777777" w:rsidR="0005712D" w:rsidRPr="00F72DDB" w:rsidRDefault="00CF2A39" w:rsidP="00306959">
      <w:pPr>
        <w:pStyle w:val="SAPEmphasis"/>
        <w:overflowPunct w:val="0"/>
        <w:autoSpaceDE w:val="0"/>
        <w:autoSpaceDN w:val="0"/>
        <w:adjustRightInd w:val="0"/>
        <w:snapToGrid w:val="0"/>
        <w:spacing w:beforeLines="50" w:before="120" w:afterLines="50" w:after="120" w:line="300" w:lineRule="auto"/>
        <w:jc w:val="left"/>
        <w:rPr>
          <w:rFonts w:ascii="Times New Roman" w:hAnsi="Times New Roman" w:cs="Times New Roman"/>
          <w:sz w:val="24"/>
        </w:rPr>
      </w:pPr>
      <w:r w:rsidRPr="00F72DDB">
        <w:rPr>
          <w:rFonts w:ascii="Times New Roman" w:hAnsi="Times New Roman" w:cs="Times New Roman"/>
          <w:sz w:val="24"/>
        </w:rPr>
        <w:t>Relevant definitions:</w:t>
      </w:r>
    </w:p>
    <w:p w14:paraId="361776FF" w14:textId="21051C95" w:rsidR="0005712D" w:rsidRPr="00F72DDB" w:rsidRDefault="00CF2A39" w:rsidP="007226EC">
      <w:pPr>
        <w:pStyle w:val="Formular"/>
        <w:overflowPunct w:val="0"/>
        <w:autoSpaceDE w:val="0"/>
        <w:autoSpaceDN w:val="0"/>
        <w:adjustRightInd w:val="0"/>
        <w:snapToGrid w:val="0"/>
        <w:spacing w:beforeLines="50" w:before="120" w:afterLines="50" w:after="120" w:line="300" w:lineRule="auto"/>
        <w:ind w:left="420" w:hanging="420"/>
        <w:contextualSpacing w:val="0"/>
        <w:jc w:val="left"/>
        <w:rPr>
          <w:rFonts w:cs="Times New Roman"/>
          <w:sz w:val="24"/>
        </w:rPr>
      </w:pPr>
      <w:r w:rsidRPr="00F72DDB">
        <w:rPr>
          <w:rFonts w:cs="Times New Roman"/>
          <w:sz w:val="24"/>
        </w:rPr>
        <w:t>1.</w:t>
      </w:r>
      <w:r w:rsidRPr="00F72DDB">
        <w:rPr>
          <w:rFonts w:cs="Times New Roman"/>
          <w:sz w:val="24"/>
        </w:rPr>
        <w:tab/>
        <w:t>Hypertension: documented history of hypertension, or baseline systolic blood pressure ≥</w:t>
      </w:r>
      <w:r w:rsidR="007226EC">
        <w:rPr>
          <w:rFonts w:cs="Times New Roman"/>
          <w:sz w:val="24"/>
        </w:rPr>
        <w:t> </w:t>
      </w:r>
      <w:r w:rsidRPr="00F72DDB">
        <w:rPr>
          <w:rFonts w:cs="Times New Roman"/>
          <w:sz w:val="24"/>
        </w:rPr>
        <w:t>140 mmHg or diastolic blood pressure ≥ 90 mmHg;</w:t>
      </w:r>
    </w:p>
    <w:p w14:paraId="3D3CD513" w14:textId="77777777" w:rsidR="0005712D" w:rsidRPr="00F72DDB" w:rsidRDefault="00CF2A39" w:rsidP="007226EC">
      <w:pPr>
        <w:pStyle w:val="Formular"/>
        <w:pageBreakBefore/>
        <w:overflowPunct w:val="0"/>
        <w:autoSpaceDE w:val="0"/>
        <w:autoSpaceDN w:val="0"/>
        <w:adjustRightInd w:val="0"/>
        <w:snapToGrid w:val="0"/>
        <w:spacing w:beforeLines="50" w:before="120" w:afterLines="50" w:after="120" w:line="300" w:lineRule="auto"/>
        <w:ind w:left="420" w:hanging="420"/>
        <w:contextualSpacing w:val="0"/>
        <w:jc w:val="left"/>
        <w:rPr>
          <w:rFonts w:cs="Times New Roman"/>
          <w:sz w:val="24"/>
        </w:rPr>
      </w:pPr>
      <w:r w:rsidRPr="00F72DDB">
        <w:rPr>
          <w:rFonts w:cs="Times New Roman"/>
          <w:sz w:val="24"/>
        </w:rPr>
        <w:lastRenderedPageBreak/>
        <w:t>2.</w:t>
      </w:r>
      <w:r w:rsidRPr="00F72DDB">
        <w:rPr>
          <w:rFonts w:cs="Times New Roman"/>
          <w:sz w:val="24"/>
        </w:rPr>
        <w:tab/>
        <w:t>Hyperlipidemia: documented history of hyperlipidemia, dyslipidemia, hypertriglyceridemia, hypercholesterolemia, hyper-LDL cholesterolemia, hypo-HDL cholesterolemia, or elevated TG, TC, LDL-C or decreased HDL-C; or baseline (most recent pre-dose assessment) showing elevated TG, TC, LDL-C or decreased HDL-C;</w:t>
      </w:r>
    </w:p>
    <w:p w14:paraId="61C71BD5" w14:textId="77777777" w:rsidR="0005712D" w:rsidRPr="00F72DDB" w:rsidRDefault="00CF2A39" w:rsidP="007226EC">
      <w:pPr>
        <w:pStyle w:val="Formular"/>
        <w:overflowPunct w:val="0"/>
        <w:autoSpaceDE w:val="0"/>
        <w:autoSpaceDN w:val="0"/>
        <w:adjustRightInd w:val="0"/>
        <w:snapToGrid w:val="0"/>
        <w:spacing w:beforeLines="50" w:before="120" w:afterLines="50" w:after="120" w:line="300" w:lineRule="auto"/>
        <w:ind w:left="420" w:hanging="420"/>
        <w:contextualSpacing w:val="0"/>
        <w:jc w:val="left"/>
        <w:rPr>
          <w:rFonts w:cs="Times New Roman"/>
          <w:sz w:val="24"/>
        </w:rPr>
      </w:pPr>
      <w:r w:rsidRPr="00F72DDB">
        <w:rPr>
          <w:rFonts w:cs="Times New Roman"/>
          <w:sz w:val="24"/>
        </w:rPr>
        <w:t>3.</w:t>
      </w:r>
      <w:r w:rsidRPr="00F72DDB">
        <w:rPr>
          <w:rFonts w:cs="Times New Roman"/>
          <w:sz w:val="24"/>
        </w:rPr>
        <w:tab/>
        <w:t>Hyperuricemia: documented history of hyperuricemia or elevated uric acid, or elevated uric acid at baseline;</w:t>
      </w:r>
    </w:p>
    <w:p w14:paraId="1F01954A" w14:textId="77777777" w:rsidR="0005712D" w:rsidRPr="00F72DDB" w:rsidRDefault="00CF2A39" w:rsidP="007226EC">
      <w:pPr>
        <w:pStyle w:val="Formular"/>
        <w:overflowPunct w:val="0"/>
        <w:autoSpaceDE w:val="0"/>
        <w:autoSpaceDN w:val="0"/>
        <w:adjustRightInd w:val="0"/>
        <w:snapToGrid w:val="0"/>
        <w:spacing w:beforeLines="50" w:before="120" w:afterLines="50" w:after="120" w:line="300" w:lineRule="auto"/>
        <w:ind w:left="420" w:hanging="420"/>
        <w:contextualSpacing w:val="0"/>
        <w:jc w:val="left"/>
        <w:rPr>
          <w:rFonts w:cs="Times New Roman"/>
          <w:sz w:val="24"/>
        </w:rPr>
      </w:pPr>
      <w:r w:rsidRPr="00F72DDB">
        <w:rPr>
          <w:rFonts w:cs="Times New Roman"/>
          <w:sz w:val="24"/>
        </w:rPr>
        <w:t>4.</w:t>
      </w:r>
      <w:r w:rsidRPr="00F72DDB">
        <w:rPr>
          <w:rFonts w:cs="Times New Roman"/>
          <w:sz w:val="24"/>
        </w:rPr>
        <w:tab/>
        <w:t>Metabolic syndrome: diagnosis requires the presence of 3 or more of the following criteria: (1) Abdominal (central) obesity: waist circumference ≥ 90 cm in males, ≥ 85 cm in females. (2) Hyperglycemia: fasting plasma glucose ≥ 6.1 mmol/L or 2-hour post-glucose load plasma glucose ≥ 7.8 mmol/L and/or previously diagnosed diabetes mellitus under treatment. (3) Hypertension: blood pressure ≥ 130/85 mmHg (1 mmHg = 0.133 kPa) and/or previously diagnosed hypertension under treatment. (4) Fasting triglycerides (TG) ≥ 1.70 mmol/L. (5) Fasting HDL-C &lt; 1.04 mmol/L.</w:t>
      </w:r>
    </w:p>
    <w:p w14:paraId="7E81A2DE"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69" w:name="_Toc216186547"/>
      <w:r w:rsidRPr="00F72DDB">
        <w:rPr>
          <w:rFonts w:ascii="Times New Roman" w:hAnsi="Times New Roman" w:cs="Times New Roman"/>
          <w:szCs w:val="24"/>
        </w:rPr>
        <w:t>Prior medical history/surgical history/current medical history</w:t>
      </w:r>
      <w:bookmarkEnd w:id="69"/>
    </w:p>
    <w:p w14:paraId="210092B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 medical history/surgical history/current medical history will be collected in the eCRF.</w:t>
      </w:r>
    </w:p>
    <w:p w14:paraId="7D34E0C5"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70" w:name="_Toc216186548"/>
      <w:r w:rsidRPr="00F72DDB">
        <w:rPr>
          <w:rFonts w:ascii="Times New Roman" w:hAnsi="Times New Roman" w:cs="Times New Roman"/>
          <w:szCs w:val="24"/>
        </w:rPr>
        <w:t>Prior/concomitant medications and non-drug therapies</w:t>
      </w:r>
      <w:bookmarkEnd w:id="70"/>
    </w:p>
    <w:p w14:paraId="1066375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Prior/concomitant medications and non-drug therapies will be collected on the corresponding pages of the eCRF.</w:t>
      </w:r>
    </w:p>
    <w:p w14:paraId="77544AF8" w14:textId="77777777" w:rsidR="0005712D" w:rsidRPr="00F72DDB" w:rsidRDefault="00CF2A39" w:rsidP="004F1FD9">
      <w:pPr>
        <w:tabs>
          <w:tab w:val="left" w:pos="142"/>
        </w:tabs>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color w:val="000000"/>
          <w:sz w:val="24"/>
        </w:rPr>
        <w:t>Prior medication refers to any medication with a start date before the first dose of the investigational medicinal product.</w:t>
      </w:r>
    </w:p>
    <w:p w14:paraId="05B7CD86" w14:textId="0E56B558" w:rsidR="0005712D" w:rsidRPr="00F72DDB" w:rsidRDefault="00CF2A39" w:rsidP="004F1FD9">
      <w:pPr>
        <w:tabs>
          <w:tab w:val="left" w:pos="142"/>
        </w:tabs>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color w:val="000000"/>
          <w:sz w:val="24"/>
        </w:rPr>
        <w:t xml:space="preserve">Concomitant medication refers to any medication (excluding the investigational medicinal product) with a start date and/or end date after the first dose of the investigational medicinal product. </w:t>
      </w:r>
      <w:r w:rsidRPr="00F72DDB">
        <w:rPr>
          <w:rFonts w:cs="Times New Roman"/>
          <w:sz w:val="24"/>
        </w:rPr>
        <w:t>If the start date or end date of a medication is missing and it is not possible to determine whether it is prior or concomitant, it will be conservatively classified as concomitant medication.</w:t>
      </w:r>
    </w:p>
    <w:p w14:paraId="41AAB3A7"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71" w:name="_Toc216186549"/>
      <w:bookmarkStart w:id="72" w:name="OLE_LINK11"/>
      <w:r w:rsidRPr="00F72DDB">
        <w:rPr>
          <w:rFonts w:ascii="Times New Roman" w:hAnsi="Times New Roman" w:cs="Times New Roman"/>
          <w:szCs w:val="24"/>
        </w:rPr>
        <w:t>Drug exposure and compliance</w:t>
      </w:r>
      <w:bookmarkEnd w:id="71"/>
    </w:p>
    <w:bookmarkEnd w:id="72"/>
    <w:p w14:paraId="153D0006"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Drug exposure and compliance parameters include:</w:t>
      </w:r>
    </w:p>
    <w:p w14:paraId="6036A591"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Total duration of exposure (days)</w:t>
      </w:r>
    </w:p>
    <w:p w14:paraId="47F6B689"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Exposure duration by week: &gt; 0, ≥ 4, ≥ 8, ≥ 12, ≥ 16, ≥ 20, ≥ 24</w:t>
      </w:r>
    </w:p>
    <w:p w14:paraId="0F9E6657"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Person-years of exposure (years)</w:t>
      </w:r>
    </w:p>
    <w:p w14:paraId="6608655F"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Total person-years of exposure (years)</w:t>
      </w:r>
    </w:p>
    <w:p w14:paraId="50DE2A5C"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Planned cumulative dose (mg)</w:t>
      </w:r>
    </w:p>
    <w:p w14:paraId="760BEB8D"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lastRenderedPageBreak/>
        <w:t>Actual cumulative dose (mg)</w:t>
      </w:r>
    </w:p>
    <w:p w14:paraId="05F5665D"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Planned number of doses</w:t>
      </w:r>
    </w:p>
    <w:p w14:paraId="22C165EE"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Actual number of doses</w:t>
      </w:r>
    </w:p>
    <w:p w14:paraId="054BAB9D"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Dose compliance (%) and compliance categories (&lt; 80%, 80%–120%, &gt; 120%)</w:t>
      </w:r>
    </w:p>
    <w:p w14:paraId="4692DF7D"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Dosing frequency compliance (%) and compliance categories (&lt; 80%, 80%–120%, &gt; 120%)</w:t>
      </w:r>
    </w:p>
    <w:p w14:paraId="0DBDA056"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Number of missed doses</w:t>
      </w:r>
    </w:p>
    <w:p w14:paraId="173718B4" w14:textId="77777777" w:rsidR="0005712D" w:rsidRPr="00F72DDB" w:rsidRDefault="00CF2A39" w:rsidP="007226EC">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Number of dose modifications</w:t>
      </w:r>
    </w:p>
    <w:p w14:paraId="6453969B" w14:textId="77777777" w:rsidR="0005712D" w:rsidRPr="00F72DDB" w:rsidRDefault="00CF2A39" w:rsidP="00306959">
      <w:pPr>
        <w:pStyle w:val="SAPEmphasis"/>
        <w:overflowPunct w:val="0"/>
        <w:autoSpaceDE w:val="0"/>
        <w:autoSpaceDN w:val="0"/>
        <w:adjustRightInd w:val="0"/>
        <w:snapToGrid w:val="0"/>
        <w:spacing w:beforeLines="50" w:before="120" w:afterLines="50" w:after="120" w:line="300" w:lineRule="auto"/>
        <w:jc w:val="left"/>
        <w:rPr>
          <w:rFonts w:ascii="Times New Roman" w:hAnsi="Times New Roman" w:cs="Times New Roman"/>
          <w:sz w:val="24"/>
        </w:rPr>
      </w:pPr>
      <w:r w:rsidRPr="00F72DDB">
        <w:rPr>
          <w:rFonts w:ascii="Times New Roman" w:hAnsi="Times New Roman" w:cs="Times New Roman"/>
          <w:sz w:val="24"/>
        </w:rPr>
        <w:t>Relevant calculation formulas:</w:t>
      </w:r>
    </w:p>
    <w:p w14:paraId="505C1310"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Total duration of exposure (days) = Date of last dose − Date of first dose + 14.</w:t>
      </w:r>
    </w:p>
    <w:p w14:paraId="0D4EFEDF"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Person-years of exposure (years) = Each subject’s total exposure duration (days)/365.25.</w:t>
      </w:r>
    </w:p>
    <w:p w14:paraId="15C538F5"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Total person-years of exposure (years): Sum of person-years of exposure for all subjects.</w:t>
      </w:r>
    </w:p>
    <w:p w14:paraId="29651C34"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Planned cumulative dose (mg) is defined as the total dose that a subject is planned to receive during the study.</w:t>
      </w:r>
    </w:p>
    <w:p w14:paraId="74787E2E"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 xml:space="preserve">Actual cumulative dose (mg) is defined as the total dose that a subject </w:t>
      </w:r>
      <w:proofErr w:type="gramStart"/>
      <w:r w:rsidRPr="00F72DDB">
        <w:rPr>
          <w:rFonts w:cs="Times New Roman"/>
          <w:sz w:val="24"/>
        </w:rPr>
        <w:t>actually receives</w:t>
      </w:r>
      <w:proofErr w:type="gramEnd"/>
      <w:r w:rsidRPr="00F72DDB">
        <w:rPr>
          <w:rFonts w:cs="Times New Roman"/>
          <w:sz w:val="24"/>
        </w:rPr>
        <w:t xml:space="preserve"> during the study.</w:t>
      </w:r>
    </w:p>
    <w:p w14:paraId="3F6A0D99"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Dose compliance (%) = Actual cumulative dose (mg)/Planned cumulative dose (mg) × 100%.</w:t>
      </w:r>
    </w:p>
    <w:p w14:paraId="12FCCC17"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Dosing frequency compliance (%) = Actual number of doses /Planned number of doses× 100%.</w:t>
      </w:r>
    </w:p>
    <w:p w14:paraId="5DC3B421"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73" w:name="_Toc216186550"/>
      <w:r w:rsidRPr="00F72DDB">
        <w:rPr>
          <w:rFonts w:ascii="Times New Roman" w:hAnsi="Times New Roman" w:cs="Times New Roman"/>
          <w:sz w:val="24"/>
          <w:szCs w:val="24"/>
        </w:rPr>
        <w:t>Safety Evaluation Endpoints</w:t>
      </w:r>
      <w:bookmarkEnd w:id="73"/>
    </w:p>
    <w:p w14:paraId="37E22E41"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Endpoints include adverse events (AEs) and serious adverse events (SAEs), laboratory tests, vital signs, physical examinations, and 12-lead ECG.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776"/>
        <w:gridCol w:w="6269"/>
      </w:tblGrid>
      <w:tr w:rsidR="0005712D" w:rsidRPr="007226EC" w14:paraId="396F367C" w14:textId="77777777" w:rsidTr="007226EC">
        <w:trPr>
          <w:tblHeader/>
        </w:trPr>
        <w:tc>
          <w:tcPr>
            <w:tcW w:w="1692" w:type="pct"/>
            <w:gridSpan w:val="2"/>
            <w:shd w:val="pct15" w:color="auto" w:fill="auto"/>
            <w:tcMar>
              <w:top w:w="57" w:type="dxa"/>
              <w:left w:w="57" w:type="dxa"/>
              <w:bottom w:w="57" w:type="dxa"/>
              <w:right w:w="57" w:type="dxa"/>
            </w:tcMar>
          </w:tcPr>
          <w:p w14:paraId="7B154C66" w14:textId="77777777" w:rsidR="0005712D" w:rsidRPr="007226EC"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7226EC">
              <w:rPr>
                <w:rFonts w:cs="Times New Roman"/>
                <w:b/>
                <w:bCs/>
                <w:sz w:val="20"/>
                <w:szCs w:val="20"/>
              </w:rPr>
              <w:t>Category</w:t>
            </w:r>
          </w:p>
        </w:tc>
        <w:tc>
          <w:tcPr>
            <w:tcW w:w="3308" w:type="pct"/>
            <w:shd w:val="pct15" w:color="auto" w:fill="auto"/>
            <w:tcMar>
              <w:top w:w="57" w:type="dxa"/>
              <w:left w:w="57" w:type="dxa"/>
              <w:bottom w:w="57" w:type="dxa"/>
              <w:right w:w="57" w:type="dxa"/>
            </w:tcMar>
            <w:vAlign w:val="center"/>
          </w:tcPr>
          <w:p w14:paraId="7B20EE9F" w14:textId="77777777" w:rsidR="0005712D" w:rsidRPr="007226EC"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7226EC">
              <w:rPr>
                <w:rFonts w:cs="Times New Roman"/>
                <w:b/>
                <w:bCs/>
                <w:sz w:val="20"/>
                <w:szCs w:val="20"/>
              </w:rPr>
              <w:t>Parameters</w:t>
            </w:r>
          </w:p>
        </w:tc>
      </w:tr>
      <w:tr w:rsidR="0005712D" w:rsidRPr="00101741" w14:paraId="7549665A" w14:textId="77777777" w:rsidTr="007226EC">
        <w:tc>
          <w:tcPr>
            <w:tcW w:w="755" w:type="pct"/>
            <w:vMerge w:val="restart"/>
            <w:tcMar>
              <w:top w:w="57" w:type="dxa"/>
              <w:left w:w="57" w:type="dxa"/>
              <w:bottom w:w="57" w:type="dxa"/>
              <w:right w:w="57" w:type="dxa"/>
            </w:tcMar>
            <w:textDirection w:val="tbRlV"/>
            <w:vAlign w:val="center"/>
          </w:tcPr>
          <w:p w14:paraId="7A89FC19" w14:textId="77777777" w:rsidR="0005712D" w:rsidRPr="00101741" w:rsidRDefault="00CF2A39" w:rsidP="00101741">
            <w:pPr>
              <w:widowControl/>
              <w:overflowPunct w:val="0"/>
              <w:autoSpaceDE w:val="0"/>
              <w:autoSpaceDN w:val="0"/>
              <w:adjustRightInd w:val="0"/>
              <w:snapToGrid w:val="0"/>
              <w:spacing w:before="0" w:after="0" w:line="240" w:lineRule="auto"/>
              <w:ind w:left="113" w:right="113"/>
              <w:jc w:val="center"/>
              <w:rPr>
                <w:rFonts w:cs="Times New Roman"/>
                <w:b/>
                <w:bCs/>
                <w:sz w:val="20"/>
                <w:szCs w:val="20"/>
              </w:rPr>
            </w:pPr>
            <w:r w:rsidRPr="00101741">
              <w:rPr>
                <w:rFonts w:cs="Times New Roman"/>
                <w:b/>
                <w:bCs/>
                <w:sz w:val="20"/>
                <w:szCs w:val="20"/>
              </w:rPr>
              <w:t>Laboratory test</w:t>
            </w:r>
          </w:p>
        </w:tc>
        <w:tc>
          <w:tcPr>
            <w:tcW w:w="937" w:type="pct"/>
            <w:tcMar>
              <w:top w:w="57" w:type="dxa"/>
              <w:left w:w="57" w:type="dxa"/>
              <w:bottom w:w="57" w:type="dxa"/>
              <w:right w:w="57" w:type="dxa"/>
            </w:tcMar>
          </w:tcPr>
          <w:p w14:paraId="1A994F1C"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Routine hematology + reticulocyte (Ret)</w:t>
            </w:r>
          </w:p>
        </w:tc>
        <w:tc>
          <w:tcPr>
            <w:tcW w:w="3308" w:type="pct"/>
            <w:tcMar>
              <w:top w:w="57" w:type="dxa"/>
              <w:left w:w="57" w:type="dxa"/>
              <w:bottom w:w="57" w:type="dxa"/>
              <w:right w:w="57" w:type="dxa"/>
            </w:tcMar>
          </w:tcPr>
          <w:p w14:paraId="067C9AC0"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Red blood cell count (RBC), hemoglobin (HGB), hematocrit (HCT), mean corpuscular volume (MCV), mean corpuscular hemoglobin (MCH), mean corpuscular hemoglobin concentration (MCHC), white blood cell count (WBC), neutrophils percentage (NE%), lymphocytes percentage (LY%), absolute neutrophil count (NE), absolute lymphocyte count (LY), monocytes percentage (MO%), absolute monocyte count (MO#), eosinophils percentage (EO%), basophils percentage (BA%), absolute eosinophil count (EO#), absolute basophil count (BA#), platelet count (PLT), absolute reticulocyte count, reticulocyte percentage</w:t>
            </w:r>
          </w:p>
        </w:tc>
      </w:tr>
      <w:tr w:rsidR="0005712D" w:rsidRPr="00101741" w14:paraId="1F18E9F5" w14:textId="77777777" w:rsidTr="007226EC">
        <w:tc>
          <w:tcPr>
            <w:tcW w:w="755" w:type="pct"/>
            <w:vMerge/>
            <w:tcMar>
              <w:top w:w="57" w:type="dxa"/>
              <w:left w:w="57" w:type="dxa"/>
              <w:bottom w:w="57" w:type="dxa"/>
              <w:right w:w="57" w:type="dxa"/>
            </w:tcMar>
          </w:tcPr>
          <w:p w14:paraId="1BE88A2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tcPr>
          <w:p w14:paraId="4308AC98"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color w:val="000000"/>
                <w:sz w:val="20"/>
                <w:szCs w:val="20"/>
              </w:rPr>
              <w:t>Blood chemistry:</w:t>
            </w:r>
          </w:p>
        </w:tc>
        <w:tc>
          <w:tcPr>
            <w:tcW w:w="3308" w:type="pct"/>
            <w:tcMar>
              <w:top w:w="57" w:type="dxa"/>
              <w:left w:w="57" w:type="dxa"/>
              <w:bottom w:w="57" w:type="dxa"/>
              <w:right w:w="57" w:type="dxa"/>
            </w:tcMar>
          </w:tcPr>
          <w:p w14:paraId="32D7746D" w14:textId="669CCD5F" w:rsidR="0005712D" w:rsidRPr="00101741" w:rsidRDefault="00CF2A39" w:rsidP="00101741">
            <w:pPr>
              <w:pStyle w:val="a9"/>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Alanine aminotransferase (ALT), aspartate aminotransferase (AST), alkaline phosphatase (ALP), gamma-glutamyl transferase (GGT), total bilirubin (TBIL), direct bilirubin (DBIL), albumin (ALB), globulin (GLB), albumin/globulin ratio (A/G), urea (UREA) or blood urea nitrogen (BUN), serum creatinine (SCr), triglycerides (TG), total cholesterol (TC), low-</w:t>
            </w:r>
            <w:r w:rsidRPr="00101741">
              <w:rPr>
                <w:rFonts w:cs="Times New Roman"/>
                <w:sz w:val="20"/>
                <w:szCs w:val="20"/>
              </w:rPr>
              <w:lastRenderedPageBreak/>
              <w:t>density lipoprotein cholesterol (LDL-C), high-density lipoprotein cholesterol (HDL-C), free fatty acids (FFA), sodium (Na</w:t>
            </w:r>
            <w:r w:rsidRPr="00101741">
              <w:rPr>
                <w:rFonts w:cs="Times New Roman"/>
                <w:sz w:val="20"/>
                <w:szCs w:val="20"/>
                <w:vertAlign w:val="superscript"/>
              </w:rPr>
              <w:t>+</w:t>
            </w:r>
            <w:r w:rsidRPr="00101741">
              <w:rPr>
                <w:rFonts w:cs="Times New Roman"/>
                <w:sz w:val="20"/>
                <w:szCs w:val="20"/>
              </w:rPr>
              <w:t>), potassium (K</w:t>
            </w:r>
            <w:r w:rsidRPr="00101741">
              <w:rPr>
                <w:rFonts w:cs="Times New Roman"/>
                <w:sz w:val="20"/>
                <w:szCs w:val="20"/>
                <w:vertAlign w:val="superscript"/>
              </w:rPr>
              <w:t>+</w:t>
            </w:r>
            <w:r w:rsidRPr="00101741">
              <w:rPr>
                <w:rFonts w:cs="Times New Roman"/>
                <w:sz w:val="20"/>
                <w:szCs w:val="20"/>
              </w:rPr>
              <w:t>), magnesium (Mg</w:t>
            </w:r>
            <w:r w:rsidRPr="00101741">
              <w:rPr>
                <w:rFonts w:cs="Times New Roman"/>
                <w:sz w:val="20"/>
                <w:szCs w:val="20"/>
                <w:vertAlign w:val="superscript"/>
              </w:rPr>
              <w:t>2+</w:t>
            </w:r>
            <w:r w:rsidRPr="00101741">
              <w:rPr>
                <w:rFonts w:cs="Times New Roman"/>
                <w:sz w:val="20"/>
                <w:szCs w:val="20"/>
              </w:rPr>
              <w:t>), calcium (Ca</w:t>
            </w:r>
            <w:r w:rsidRPr="00101741">
              <w:rPr>
                <w:rFonts w:cs="Times New Roman"/>
                <w:sz w:val="20"/>
                <w:szCs w:val="20"/>
                <w:vertAlign w:val="superscript"/>
              </w:rPr>
              <w:t>2+</w:t>
            </w:r>
            <w:r w:rsidRPr="00101741">
              <w:rPr>
                <w:rFonts w:cs="Times New Roman"/>
                <w:sz w:val="20"/>
                <w:szCs w:val="20"/>
              </w:rPr>
              <w:t>), phosphorus (P</w:t>
            </w:r>
            <w:r w:rsidRPr="00101741">
              <w:rPr>
                <w:rFonts w:cs="Times New Roman"/>
                <w:sz w:val="20"/>
                <w:szCs w:val="20"/>
                <w:vertAlign w:val="superscript"/>
              </w:rPr>
              <w:t>+</w:t>
            </w:r>
            <w:r w:rsidRPr="00101741">
              <w:rPr>
                <w:rFonts w:cs="Times New Roman"/>
                <w:sz w:val="20"/>
                <w:szCs w:val="20"/>
              </w:rPr>
              <w:t>), creatine kinase-MB (CKMB), creatine kinase (CK), lactate dehydrogenase (LDH), alpha-hydroxybutyrate dehydrogenase (α-HBDH), fasting plasma glucose (GLU), serum amylase (AMY), serum lipase (LPS), total bile acids (TBA)*, uric acid (UA), and derived calculations of non-high-density lipoprotein cholesterol (non-HDL-C) and estimated glomerular filtration rate (eGFR)</w:t>
            </w:r>
          </w:p>
          <w:p w14:paraId="3ED2266D"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Note: *This parameter is measured at the local laboratory of the study site.</w:t>
            </w:r>
          </w:p>
        </w:tc>
      </w:tr>
      <w:tr w:rsidR="0005712D" w:rsidRPr="00101741" w14:paraId="3C588B32" w14:textId="77777777" w:rsidTr="007226EC">
        <w:tc>
          <w:tcPr>
            <w:tcW w:w="755" w:type="pct"/>
            <w:vMerge/>
            <w:tcMar>
              <w:top w:w="57" w:type="dxa"/>
              <w:left w:w="57" w:type="dxa"/>
              <w:bottom w:w="57" w:type="dxa"/>
              <w:right w:w="57" w:type="dxa"/>
            </w:tcMar>
          </w:tcPr>
          <w:p w14:paraId="19D424FD"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tcPr>
          <w:p w14:paraId="7A9BAE3C"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color w:val="000000"/>
                <w:sz w:val="20"/>
                <w:szCs w:val="20"/>
              </w:rPr>
              <w:t>Urinalysis</w:t>
            </w:r>
          </w:p>
        </w:tc>
        <w:tc>
          <w:tcPr>
            <w:tcW w:w="3308" w:type="pct"/>
            <w:tcMar>
              <w:top w:w="57" w:type="dxa"/>
              <w:left w:w="57" w:type="dxa"/>
              <w:bottom w:w="57" w:type="dxa"/>
              <w:right w:w="57" w:type="dxa"/>
            </w:tcMar>
          </w:tcPr>
          <w:p w14:paraId="41783A12" w14:textId="71E22B6C"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Specific gravity (SG), pH, urine glucose (GLU), urine bilirubin (BIL), urobilinogen (UBG), urine protein (PRO), urine ketone body (KET), urine red blood cell (RBC), urine white blood cell (WBC), cast (CAST)</w:t>
            </w:r>
          </w:p>
        </w:tc>
      </w:tr>
      <w:tr w:rsidR="0005712D" w:rsidRPr="00101741" w14:paraId="295805E0" w14:textId="77777777" w:rsidTr="007226EC">
        <w:tc>
          <w:tcPr>
            <w:tcW w:w="755" w:type="pct"/>
            <w:vMerge/>
            <w:tcMar>
              <w:top w:w="57" w:type="dxa"/>
              <w:left w:w="57" w:type="dxa"/>
              <w:bottom w:w="57" w:type="dxa"/>
              <w:right w:w="57" w:type="dxa"/>
            </w:tcMar>
          </w:tcPr>
          <w:p w14:paraId="68FF9122"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tcPr>
          <w:p w14:paraId="2F6FB632"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Urine protein-creatinine ratio</w:t>
            </w:r>
          </w:p>
        </w:tc>
        <w:tc>
          <w:tcPr>
            <w:tcW w:w="3308" w:type="pct"/>
            <w:tcMar>
              <w:top w:w="57" w:type="dxa"/>
              <w:left w:w="57" w:type="dxa"/>
              <w:bottom w:w="57" w:type="dxa"/>
              <w:right w:w="57" w:type="dxa"/>
            </w:tcMar>
          </w:tcPr>
          <w:p w14:paraId="6BAD64C4"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kern w:val="2"/>
                <w:sz w:val="20"/>
                <w:szCs w:val="20"/>
              </w:rPr>
            </w:pPr>
            <w:r w:rsidRPr="00101741">
              <w:rPr>
                <w:rFonts w:cs="Times New Roman"/>
                <w:sz w:val="20"/>
                <w:szCs w:val="20"/>
              </w:rPr>
              <w:t>Urine albumin/creatinine ratio (UACR)</w:t>
            </w:r>
          </w:p>
        </w:tc>
      </w:tr>
      <w:tr w:rsidR="0005712D" w:rsidRPr="00101741" w14:paraId="67FE2503" w14:textId="77777777" w:rsidTr="007226EC">
        <w:tc>
          <w:tcPr>
            <w:tcW w:w="755" w:type="pct"/>
            <w:vMerge/>
            <w:tcMar>
              <w:top w:w="57" w:type="dxa"/>
              <w:left w:w="57" w:type="dxa"/>
              <w:bottom w:w="57" w:type="dxa"/>
              <w:right w:w="57" w:type="dxa"/>
            </w:tcMar>
          </w:tcPr>
          <w:p w14:paraId="628D4BC8"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tcPr>
          <w:p w14:paraId="61A11551"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Coagulation test</w:t>
            </w:r>
          </w:p>
        </w:tc>
        <w:tc>
          <w:tcPr>
            <w:tcW w:w="3308" w:type="pct"/>
            <w:tcMar>
              <w:top w:w="57" w:type="dxa"/>
              <w:left w:w="57" w:type="dxa"/>
              <w:bottom w:w="57" w:type="dxa"/>
              <w:right w:w="57" w:type="dxa"/>
            </w:tcMar>
          </w:tcPr>
          <w:p w14:paraId="7BBBA036"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kern w:val="2"/>
                <w:sz w:val="20"/>
                <w:szCs w:val="20"/>
              </w:rPr>
            </w:pPr>
            <w:r w:rsidRPr="00101741">
              <w:rPr>
                <w:rFonts w:cs="Times New Roman"/>
                <w:sz w:val="20"/>
                <w:szCs w:val="20"/>
              </w:rPr>
              <w:t>Thrombin time (TT), activated partial thromboplastin time (APTT), prothrombin time (PT), international normalized ratio (INR), and fibrinogen (FBG)</w:t>
            </w:r>
          </w:p>
        </w:tc>
      </w:tr>
      <w:tr w:rsidR="0005712D" w:rsidRPr="00101741" w14:paraId="002F446E" w14:textId="77777777" w:rsidTr="007226EC">
        <w:tc>
          <w:tcPr>
            <w:tcW w:w="755" w:type="pct"/>
            <w:vMerge/>
            <w:tcMar>
              <w:top w:w="57" w:type="dxa"/>
              <w:left w:w="57" w:type="dxa"/>
              <w:bottom w:w="57" w:type="dxa"/>
              <w:right w:w="57" w:type="dxa"/>
            </w:tcMar>
          </w:tcPr>
          <w:p w14:paraId="2BE0E205"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tcPr>
          <w:p w14:paraId="6D4BA006"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color w:val="000000"/>
                <w:sz w:val="20"/>
                <w:szCs w:val="20"/>
              </w:rPr>
              <w:t>Pregnancy test</w:t>
            </w:r>
          </w:p>
        </w:tc>
        <w:tc>
          <w:tcPr>
            <w:tcW w:w="3308" w:type="pct"/>
            <w:tcMar>
              <w:top w:w="57" w:type="dxa"/>
              <w:left w:w="57" w:type="dxa"/>
              <w:bottom w:w="57" w:type="dxa"/>
              <w:right w:w="57" w:type="dxa"/>
            </w:tcMar>
          </w:tcPr>
          <w:p w14:paraId="0946E797"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Blood human chorionic gonadotropin (HCG)</w:t>
            </w:r>
          </w:p>
        </w:tc>
      </w:tr>
      <w:tr w:rsidR="0005712D" w:rsidRPr="00101741" w14:paraId="64AFB79F" w14:textId="77777777" w:rsidTr="007226EC">
        <w:tc>
          <w:tcPr>
            <w:tcW w:w="755" w:type="pct"/>
            <w:vMerge/>
            <w:tcMar>
              <w:top w:w="57" w:type="dxa"/>
              <w:left w:w="57" w:type="dxa"/>
              <w:bottom w:w="57" w:type="dxa"/>
              <w:right w:w="57" w:type="dxa"/>
            </w:tcMar>
          </w:tcPr>
          <w:p w14:paraId="298E1C07"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tcPr>
          <w:p w14:paraId="4BD600B3"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color w:val="000000"/>
                <w:sz w:val="20"/>
                <w:szCs w:val="20"/>
              </w:rPr>
              <w:t>Calcitonin</w:t>
            </w:r>
          </w:p>
        </w:tc>
        <w:tc>
          <w:tcPr>
            <w:tcW w:w="3308" w:type="pct"/>
            <w:tcMar>
              <w:top w:w="57" w:type="dxa"/>
              <w:left w:w="57" w:type="dxa"/>
              <w:bottom w:w="57" w:type="dxa"/>
              <w:right w:w="57" w:type="dxa"/>
            </w:tcMar>
          </w:tcPr>
          <w:p w14:paraId="6BE5A9CB"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kern w:val="2"/>
                <w:sz w:val="20"/>
                <w:szCs w:val="20"/>
              </w:rPr>
            </w:pPr>
            <w:r w:rsidRPr="00101741">
              <w:rPr>
                <w:rFonts w:cs="Times New Roman"/>
                <w:sz w:val="20"/>
                <w:szCs w:val="20"/>
              </w:rPr>
              <w:t>Serum calcitonin</w:t>
            </w:r>
          </w:p>
        </w:tc>
      </w:tr>
      <w:tr w:rsidR="0005712D" w:rsidRPr="00101741" w14:paraId="0A6EF49C" w14:textId="77777777" w:rsidTr="007226EC">
        <w:tc>
          <w:tcPr>
            <w:tcW w:w="755" w:type="pct"/>
            <w:vMerge/>
            <w:tcMar>
              <w:top w:w="57" w:type="dxa"/>
              <w:left w:w="57" w:type="dxa"/>
              <w:bottom w:w="57" w:type="dxa"/>
              <w:right w:w="57" w:type="dxa"/>
            </w:tcMar>
          </w:tcPr>
          <w:p w14:paraId="6CABB0B1"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vAlign w:val="center"/>
          </w:tcPr>
          <w:p w14:paraId="11A66D4A"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Five-item thyroid function panel</w:t>
            </w:r>
          </w:p>
        </w:tc>
        <w:tc>
          <w:tcPr>
            <w:tcW w:w="3308" w:type="pct"/>
            <w:tcMar>
              <w:top w:w="57" w:type="dxa"/>
              <w:left w:w="57" w:type="dxa"/>
              <w:bottom w:w="57" w:type="dxa"/>
              <w:right w:w="57" w:type="dxa"/>
            </w:tcMar>
          </w:tcPr>
          <w:p w14:paraId="38BB7471"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kern w:val="2"/>
                <w:sz w:val="20"/>
                <w:szCs w:val="20"/>
              </w:rPr>
            </w:pPr>
            <w:bookmarkStart w:id="74" w:name="_Hlk116489112"/>
            <w:r w:rsidRPr="00101741">
              <w:rPr>
                <w:rFonts w:cs="Times New Roman"/>
                <w:sz w:val="20"/>
                <w:szCs w:val="20"/>
              </w:rPr>
              <w:t>Thyroid-stimulating hormone (TSH), thyroxine (T4), triiodothyronine (T3), free T3 (FT3), free T4 (FT4)</w:t>
            </w:r>
            <w:bookmarkEnd w:id="74"/>
          </w:p>
        </w:tc>
      </w:tr>
      <w:tr w:rsidR="0005712D" w:rsidRPr="00101741" w14:paraId="0B054549" w14:textId="77777777" w:rsidTr="007226EC">
        <w:tc>
          <w:tcPr>
            <w:tcW w:w="755" w:type="pct"/>
            <w:vMerge/>
            <w:tcMar>
              <w:top w:w="57" w:type="dxa"/>
              <w:left w:w="57" w:type="dxa"/>
              <w:bottom w:w="57" w:type="dxa"/>
              <w:right w:w="57" w:type="dxa"/>
            </w:tcMar>
          </w:tcPr>
          <w:p w14:paraId="5F6A17EB" w14:textId="77777777" w:rsidR="0005712D" w:rsidRPr="00101741" w:rsidRDefault="0005712D" w:rsidP="00101741">
            <w:pPr>
              <w:widowControl/>
              <w:overflowPunct w:val="0"/>
              <w:autoSpaceDE w:val="0"/>
              <w:autoSpaceDN w:val="0"/>
              <w:adjustRightInd w:val="0"/>
              <w:snapToGrid w:val="0"/>
              <w:spacing w:before="0" w:after="0" w:line="240" w:lineRule="auto"/>
              <w:jc w:val="center"/>
              <w:rPr>
                <w:rFonts w:cs="Times New Roman"/>
                <w:b/>
                <w:bCs/>
                <w:sz w:val="20"/>
                <w:szCs w:val="20"/>
              </w:rPr>
            </w:pPr>
          </w:p>
        </w:tc>
        <w:tc>
          <w:tcPr>
            <w:tcW w:w="937" w:type="pct"/>
            <w:tcMar>
              <w:top w:w="57" w:type="dxa"/>
              <w:left w:w="57" w:type="dxa"/>
              <w:bottom w:w="57" w:type="dxa"/>
              <w:right w:w="57" w:type="dxa"/>
            </w:tcMar>
            <w:vAlign w:val="center"/>
          </w:tcPr>
          <w:p w14:paraId="04247F65"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sz w:val="20"/>
                <w:szCs w:val="20"/>
              </w:rPr>
              <w:t>T-lymphocyte subsets</w:t>
            </w:r>
          </w:p>
        </w:tc>
        <w:tc>
          <w:tcPr>
            <w:tcW w:w="3308" w:type="pct"/>
            <w:tcMar>
              <w:top w:w="57" w:type="dxa"/>
              <w:left w:w="57" w:type="dxa"/>
              <w:bottom w:w="57" w:type="dxa"/>
              <w:right w:w="57" w:type="dxa"/>
            </w:tcMar>
          </w:tcPr>
          <w:p w14:paraId="0738042F"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kern w:val="2"/>
                <w:sz w:val="20"/>
                <w:szCs w:val="20"/>
              </w:rPr>
            </w:pPr>
            <w:r w:rsidRPr="00101741">
              <w:rPr>
                <w:rFonts w:cs="Times New Roman"/>
                <w:sz w:val="20"/>
                <w:szCs w:val="20"/>
              </w:rPr>
              <w:t>CD3</w:t>
            </w:r>
            <w:r w:rsidRPr="00101741">
              <w:rPr>
                <w:rFonts w:cs="Times New Roman"/>
                <w:sz w:val="20"/>
                <w:szCs w:val="20"/>
                <w:vertAlign w:val="superscript"/>
              </w:rPr>
              <w:t>+</w:t>
            </w:r>
            <w:r w:rsidRPr="00101741">
              <w:rPr>
                <w:rFonts w:cs="Times New Roman"/>
                <w:sz w:val="20"/>
                <w:szCs w:val="20"/>
              </w:rPr>
              <w:t>, CD4</w:t>
            </w:r>
            <w:r w:rsidRPr="00101741">
              <w:rPr>
                <w:rFonts w:cs="Times New Roman"/>
                <w:sz w:val="20"/>
                <w:szCs w:val="20"/>
                <w:vertAlign w:val="superscript"/>
              </w:rPr>
              <w:t>+</w:t>
            </w:r>
            <w:r w:rsidRPr="00101741">
              <w:rPr>
                <w:rFonts w:cs="Times New Roman"/>
                <w:sz w:val="20"/>
                <w:szCs w:val="20"/>
              </w:rPr>
              <w:t>, CD8</w:t>
            </w:r>
            <w:r w:rsidRPr="00101741">
              <w:rPr>
                <w:rFonts w:cs="Times New Roman"/>
                <w:sz w:val="20"/>
                <w:szCs w:val="20"/>
                <w:vertAlign w:val="superscript"/>
              </w:rPr>
              <w:t>+</w:t>
            </w:r>
            <w:r w:rsidRPr="00101741">
              <w:rPr>
                <w:rFonts w:cs="Times New Roman"/>
                <w:sz w:val="20"/>
                <w:szCs w:val="20"/>
              </w:rPr>
              <w:t>, CD4</w:t>
            </w:r>
            <w:r w:rsidRPr="00101741">
              <w:rPr>
                <w:rFonts w:cs="Times New Roman"/>
                <w:sz w:val="20"/>
                <w:szCs w:val="20"/>
                <w:vertAlign w:val="superscript"/>
              </w:rPr>
              <w:t>+</w:t>
            </w:r>
            <w:r w:rsidRPr="00101741">
              <w:rPr>
                <w:rFonts w:cs="Times New Roman"/>
                <w:sz w:val="20"/>
                <w:szCs w:val="20"/>
              </w:rPr>
              <w:t>/CD8</w:t>
            </w:r>
            <w:r w:rsidRPr="00101741">
              <w:rPr>
                <w:rFonts w:cs="Times New Roman"/>
                <w:sz w:val="20"/>
                <w:szCs w:val="20"/>
                <w:vertAlign w:val="superscript"/>
              </w:rPr>
              <w:t>+</w:t>
            </w:r>
            <w:r w:rsidRPr="00101741">
              <w:rPr>
                <w:rFonts w:cs="Times New Roman"/>
                <w:sz w:val="20"/>
                <w:szCs w:val="20"/>
              </w:rPr>
              <w:t xml:space="preserve"> counts or percentages</w:t>
            </w:r>
          </w:p>
        </w:tc>
      </w:tr>
      <w:tr w:rsidR="0005712D" w:rsidRPr="00101741" w14:paraId="4FE83C6F" w14:textId="77777777" w:rsidTr="007226EC">
        <w:tc>
          <w:tcPr>
            <w:tcW w:w="755" w:type="pct"/>
            <w:tcMar>
              <w:top w:w="57" w:type="dxa"/>
              <w:left w:w="57" w:type="dxa"/>
              <w:bottom w:w="57" w:type="dxa"/>
              <w:right w:w="57" w:type="dxa"/>
            </w:tcMar>
            <w:vAlign w:val="center"/>
          </w:tcPr>
          <w:p w14:paraId="3060E8C2" w14:textId="77777777" w:rsidR="0005712D" w:rsidRPr="00101741" w:rsidRDefault="00CF2A39" w:rsidP="00101741">
            <w:pPr>
              <w:widowControl/>
              <w:overflowPunct w:val="0"/>
              <w:autoSpaceDE w:val="0"/>
              <w:autoSpaceDN w:val="0"/>
              <w:adjustRightInd w:val="0"/>
              <w:snapToGrid w:val="0"/>
              <w:spacing w:before="0" w:after="0" w:line="240" w:lineRule="auto"/>
              <w:ind w:left="113" w:right="113"/>
              <w:jc w:val="left"/>
              <w:rPr>
                <w:rFonts w:cs="Times New Roman"/>
                <w:b/>
                <w:bCs/>
                <w:sz w:val="20"/>
                <w:szCs w:val="20"/>
              </w:rPr>
            </w:pPr>
            <w:r w:rsidRPr="00101741">
              <w:rPr>
                <w:rFonts w:cs="Times New Roman"/>
                <w:b/>
                <w:bCs/>
                <w:sz w:val="20"/>
                <w:szCs w:val="20"/>
              </w:rPr>
              <w:t>Vital signs</w:t>
            </w:r>
          </w:p>
        </w:tc>
        <w:tc>
          <w:tcPr>
            <w:tcW w:w="4245" w:type="pct"/>
            <w:gridSpan w:val="2"/>
            <w:tcMar>
              <w:top w:w="57" w:type="dxa"/>
              <w:left w:w="57" w:type="dxa"/>
              <w:bottom w:w="57" w:type="dxa"/>
              <w:right w:w="57" w:type="dxa"/>
            </w:tcMar>
            <w:vAlign w:val="center"/>
          </w:tcPr>
          <w:p w14:paraId="10CE282F"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color w:val="000000"/>
                <w:sz w:val="20"/>
                <w:szCs w:val="20"/>
              </w:rPr>
            </w:pPr>
            <w:r w:rsidRPr="00101741">
              <w:rPr>
                <w:rFonts w:cs="Times New Roman"/>
                <w:color w:val="000000"/>
                <w:sz w:val="20"/>
                <w:szCs w:val="20"/>
              </w:rPr>
              <w:t>Body temperature, respiratory rate, blood pressure, and pulse</w:t>
            </w:r>
          </w:p>
        </w:tc>
      </w:tr>
      <w:tr w:rsidR="0005712D" w:rsidRPr="00101741" w14:paraId="61CD78FB" w14:textId="77777777" w:rsidTr="007226EC">
        <w:tc>
          <w:tcPr>
            <w:tcW w:w="755" w:type="pct"/>
            <w:tcMar>
              <w:top w:w="57" w:type="dxa"/>
              <w:left w:w="57" w:type="dxa"/>
              <w:bottom w:w="57" w:type="dxa"/>
              <w:right w:w="57" w:type="dxa"/>
            </w:tcMar>
            <w:vAlign w:val="center"/>
          </w:tcPr>
          <w:p w14:paraId="1B63525B" w14:textId="77777777" w:rsidR="0005712D" w:rsidRPr="00101741" w:rsidRDefault="00CF2A39" w:rsidP="00101741">
            <w:pPr>
              <w:widowControl/>
              <w:overflowPunct w:val="0"/>
              <w:autoSpaceDE w:val="0"/>
              <w:autoSpaceDN w:val="0"/>
              <w:adjustRightInd w:val="0"/>
              <w:snapToGrid w:val="0"/>
              <w:spacing w:before="0" w:after="0" w:line="240" w:lineRule="auto"/>
              <w:ind w:left="113" w:right="113"/>
              <w:jc w:val="left"/>
              <w:rPr>
                <w:rFonts w:cs="Times New Roman"/>
                <w:b/>
                <w:bCs/>
                <w:sz w:val="20"/>
                <w:szCs w:val="20"/>
              </w:rPr>
            </w:pPr>
            <w:r w:rsidRPr="00101741">
              <w:rPr>
                <w:rFonts w:cs="Times New Roman"/>
                <w:b/>
                <w:bCs/>
                <w:sz w:val="20"/>
                <w:szCs w:val="20"/>
              </w:rPr>
              <w:t>Physical examination</w:t>
            </w:r>
          </w:p>
        </w:tc>
        <w:tc>
          <w:tcPr>
            <w:tcW w:w="4245" w:type="pct"/>
            <w:gridSpan w:val="2"/>
            <w:tcMar>
              <w:top w:w="57" w:type="dxa"/>
              <w:left w:w="57" w:type="dxa"/>
              <w:bottom w:w="57" w:type="dxa"/>
              <w:right w:w="57" w:type="dxa"/>
            </w:tcMar>
            <w:vAlign w:val="center"/>
          </w:tcPr>
          <w:p w14:paraId="4C5B3357"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color w:val="000000"/>
                <w:sz w:val="20"/>
                <w:szCs w:val="20"/>
              </w:rPr>
            </w:pPr>
            <w:bookmarkStart w:id="75" w:name="OLE_LINK6"/>
            <w:r w:rsidRPr="00101741">
              <w:rPr>
                <w:rFonts w:cs="Times New Roman"/>
                <w:color w:val="000000"/>
                <w:sz w:val="20"/>
                <w:szCs w:val="20"/>
              </w:rPr>
              <w:t>General condition, skin/mucosa, lymph nodes, head, neck, chest, abdomen, spine/limbs, nervous system</w:t>
            </w:r>
            <w:bookmarkEnd w:id="75"/>
          </w:p>
        </w:tc>
      </w:tr>
      <w:tr w:rsidR="0005712D" w:rsidRPr="00101741" w14:paraId="4E24272A" w14:textId="77777777" w:rsidTr="007226EC">
        <w:tc>
          <w:tcPr>
            <w:tcW w:w="755" w:type="pct"/>
            <w:tcMar>
              <w:top w:w="57" w:type="dxa"/>
              <w:left w:w="57" w:type="dxa"/>
              <w:bottom w:w="57" w:type="dxa"/>
              <w:right w:w="57" w:type="dxa"/>
            </w:tcMar>
            <w:vAlign w:val="center"/>
          </w:tcPr>
          <w:p w14:paraId="22A71000" w14:textId="77777777" w:rsidR="0005712D" w:rsidRPr="00101741" w:rsidRDefault="00CF2A39" w:rsidP="00101741">
            <w:pPr>
              <w:widowControl/>
              <w:overflowPunct w:val="0"/>
              <w:autoSpaceDE w:val="0"/>
              <w:autoSpaceDN w:val="0"/>
              <w:adjustRightInd w:val="0"/>
              <w:snapToGrid w:val="0"/>
              <w:spacing w:before="0" w:after="0" w:line="240" w:lineRule="auto"/>
              <w:ind w:left="113" w:right="113"/>
              <w:jc w:val="left"/>
              <w:rPr>
                <w:rFonts w:cs="Times New Roman"/>
                <w:b/>
                <w:bCs/>
                <w:sz w:val="20"/>
                <w:szCs w:val="20"/>
              </w:rPr>
            </w:pPr>
            <w:r w:rsidRPr="00101741">
              <w:rPr>
                <w:rFonts w:cs="Times New Roman"/>
                <w:b/>
                <w:bCs/>
                <w:sz w:val="20"/>
                <w:szCs w:val="20"/>
              </w:rPr>
              <w:t>12-lead ECG</w:t>
            </w:r>
          </w:p>
        </w:tc>
        <w:tc>
          <w:tcPr>
            <w:tcW w:w="4245" w:type="pct"/>
            <w:gridSpan w:val="2"/>
            <w:tcMar>
              <w:top w:w="57" w:type="dxa"/>
              <w:left w:w="57" w:type="dxa"/>
              <w:bottom w:w="57" w:type="dxa"/>
              <w:right w:w="57" w:type="dxa"/>
            </w:tcMar>
            <w:vAlign w:val="center"/>
          </w:tcPr>
          <w:p w14:paraId="7E1D892B"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color w:val="000000"/>
                <w:sz w:val="20"/>
                <w:szCs w:val="20"/>
              </w:rPr>
            </w:pPr>
            <w:r w:rsidRPr="00101741">
              <w:rPr>
                <w:rFonts w:cs="Times New Roman"/>
                <w:color w:val="000000"/>
                <w:sz w:val="20"/>
                <w:szCs w:val="20"/>
              </w:rPr>
              <w:t>Heart rate, PR interval, RR interval, QT interval, QTcF</w:t>
            </w:r>
          </w:p>
        </w:tc>
      </w:tr>
      <w:tr w:rsidR="0005712D" w:rsidRPr="00101741" w14:paraId="02C48FB3" w14:textId="77777777" w:rsidTr="007226EC">
        <w:tc>
          <w:tcPr>
            <w:tcW w:w="755" w:type="pct"/>
            <w:tcMar>
              <w:top w:w="57" w:type="dxa"/>
              <w:left w:w="57" w:type="dxa"/>
              <w:bottom w:w="57" w:type="dxa"/>
              <w:right w:w="57" w:type="dxa"/>
            </w:tcMar>
            <w:vAlign w:val="center"/>
          </w:tcPr>
          <w:p w14:paraId="78EE315B" w14:textId="77777777" w:rsidR="0005712D" w:rsidRPr="00101741" w:rsidRDefault="00CF2A39" w:rsidP="00101741">
            <w:pPr>
              <w:widowControl/>
              <w:overflowPunct w:val="0"/>
              <w:autoSpaceDE w:val="0"/>
              <w:autoSpaceDN w:val="0"/>
              <w:adjustRightInd w:val="0"/>
              <w:snapToGrid w:val="0"/>
              <w:spacing w:before="0" w:after="0" w:line="240" w:lineRule="auto"/>
              <w:ind w:left="113" w:right="113"/>
              <w:jc w:val="left"/>
              <w:rPr>
                <w:rFonts w:cs="Times New Roman"/>
                <w:b/>
                <w:bCs/>
                <w:sz w:val="20"/>
                <w:szCs w:val="20"/>
              </w:rPr>
            </w:pPr>
            <w:r w:rsidRPr="00101741">
              <w:rPr>
                <w:rFonts w:cs="Times New Roman"/>
                <w:b/>
                <w:bCs/>
                <w:sz w:val="20"/>
                <w:szCs w:val="20"/>
              </w:rPr>
              <w:t>Funduscopic examination</w:t>
            </w:r>
          </w:p>
        </w:tc>
        <w:tc>
          <w:tcPr>
            <w:tcW w:w="4245" w:type="pct"/>
            <w:gridSpan w:val="2"/>
            <w:tcMar>
              <w:top w:w="57" w:type="dxa"/>
              <w:left w:w="57" w:type="dxa"/>
              <w:bottom w:w="57" w:type="dxa"/>
              <w:right w:w="57" w:type="dxa"/>
            </w:tcMar>
            <w:vAlign w:val="center"/>
          </w:tcPr>
          <w:p w14:paraId="64E8792D"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color w:val="000000"/>
                <w:sz w:val="20"/>
                <w:szCs w:val="20"/>
              </w:rPr>
            </w:pPr>
            <w:r w:rsidRPr="00101741">
              <w:rPr>
                <w:rFonts w:cs="Times New Roman"/>
                <w:color w:val="000000"/>
                <w:sz w:val="20"/>
                <w:szCs w:val="20"/>
              </w:rPr>
              <w:t>/</w:t>
            </w:r>
          </w:p>
        </w:tc>
      </w:tr>
      <w:tr w:rsidR="0005712D" w:rsidRPr="00101741" w14:paraId="0C27E81E" w14:textId="77777777" w:rsidTr="007226EC">
        <w:tc>
          <w:tcPr>
            <w:tcW w:w="755" w:type="pct"/>
            <w:tcMar>
              <w:top w:w="57" w:type="dxa"/>
              <w:left w:w="57" w:type="dxa"/>
              <w:bottom w:w="57" w:type="dxa"/>
              <w:right w:w="57" w:type="dxa"/>
            </w:tcMar>
            <w:vAlign w:val="center"/>
          </w:tcPr>
          <w:p w14:paraId="1CA603C5" w14:textId="77777777" w:rsidR="0005712D" w:rsidRPr="00101741" w:rsidRDefault="00CF2A39" w:rsidP="00101741">
            <w:pPr>
              <w:widowControl/>
              <w:overflowPunct w:val="0"/>
              <w:autoSpaceDE w:val="0"/>
              <w:autoSpaceDN w:val="0"/>
              <w:adjustRightInd w:val="0"/>
              <w:snapToGrid w:val="0"/>
              <w:spacing w:before="0" w:after="0" w:line="240" w:lineRule="auto"/>
              <w:ind w:left="113" w:right="113"/>
              <w:jc w:val="left"/>
              <w:rPr>
                <w:rFonts w:cs="Times New Roman"/>
                <w:b/>
                <w:bCs/>
                <w:sz w:val="20"/>
                <w:szCs w:val="20"/>
              </w:rPr>
            </w:pPr>
            <w:r w:rsidRPr="00101741">
              <w:rPr>
                <w:rFonts w:cs="Times New Roman"/>
                <w:b/>
                <w:bCs/>
                <w:sz w:val="20"/>
                <w:szCs w:val="20"/>
              </w:rPr>
              <w:t>PHQ-9</w:t>
            </w:r>
          </w:p>
        </w:tc>
        <w:tc>
          <w:tcPr>
            <w:tcW w:w="4245" w:type="pct"/>
            <w:gridSpan w:val="2"/>
            <w:tcMar>
              <w:top w:w="57" w:type="dxa"/>
              <w:left w:w="57" w:type="dxa"/>
              <w:bottom w:w="57" w:type="dxa"/>
              <w:right w:w="57" w:type="dxa"/>
            </w:tcMar>
            <w:vAlign w:val="center"/>
          </w:tcPr>
          <w:p w14:paraId="27EB6254" w14:textId="287FAE73"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color w:val="000000"/>
                <w:sz w:val="20"/>
                <w:szCs w:val="20"/>
              </w:rPr>
            </w:pPr>
            <w:r w:rsidRPr="00101741">
              <w:rPr>
                <w:rFonts w:cs="Times New Roman"/>
                <w:color w:val="000000"/>
                <w:sz w:val="20"/>
                <w:szCs w:val="20"/>
              </w:rPr>
              <w:t>This questionnaire includes 9 items; see Appendix 4 of the protocol for details</w:t>
            </w:r>
          </w:p>
        </w:tc>
      </w:tr>
      <w:tr w:rsidR="0005712D" w:rsidRPr="00101741" w14:paraId="30A3F48D" w14:textId="77777777" w:rsidTr="007226EC">
        <w:tc>
          <w:tcPr>
            <w:tcW w:w="755" w:type="pct"/>
            <w:tcMar>
              <w:top w:w="57" w:type="dxa"/>
              <w:left w:w="57" w:type="dxa"/>
              <w:bottom w:w="57" w:type="dxa"/>
              <w:right w:w="57" w:type="dxa"/>
            </w:tcMar>
            <w:vAlign w:val="center"/>
          </w:tcPr>
          <w:p w14:paraId="55FD6D4C" w14:textId="77777777" w:rsidR="0005712D" w:rsidRPr="00101741" w:rsidRDefault="00CF2A39" w:rsidP="00101741">
            <w:pPr>
              <w:widowControl/>
              <w:overflowPunct w:val="0"/>
              <w:autoSpaceDE w:val="0"/>
              <w:autoSpaceDN w:val="0"/>
              <w:adjustRightInd w:val="0"/>
              <w:snapToGrid w:val="0"/>
              <w:spacing w:before="0" w:after="0" w:line="240" w:lineRule="auto"/>
              <w:jc w:val="center"/>
              <w:rPr>
                <w:rFonts w:cs="Times New Roman"/>
                <w:b/>
                <w:bCs/>
                <w:sz w:val="20"/>
                <w:szCs w:val="20"/>
              </w:rPr>
            </w:pPr>
            <w:r w:rsidRPr="00101741">
              <w:rPr>
                <w:rFonts w:cs="Times New Roman"/>
                <w:b/>
                <w:bCs/>
                <w:sz w:val="20"/>
                <w:szCs w:val="20"/>
              </w:rPr>
              <w:t>Adverse event</w:t>
            </w:r>
          </w:p>
        </w:tc>
        <w:tc>
          <w:tcPr>
            <w:tcW w:w="4245" w:type="pct"/>
            <w:gridSpan w:val="2"/>
            <w:tcMar>
              <w:top w:w="57" w:type="dxa"/>
              <w:left w:w="57" w:type="dxa"/>
              <w:bottom w:w="57" w:type="dxa"/>
              <w:right w:w="57" w:type="dxa"/>
            </w:tcMar>
            <w:vAlign w:val="center"/>
          </w:tcPr>
          <w:p w14:paraId="6DB0BF33" w14:textId="77777777" w:rsidR="0005712D" w:rsidRPr="00101741" w:rsidRDefault="00CF2A39" w:rsidP="00101741">
            <w:pPr>
              <w:pStyle w:val="aff"/>
              <w:numPr>
                <w:ilvl w:val="0"/>
                <w:numId w:val="11"/>
              </w:numPr>
              <w:overflowPunct w:val="0"/>
              <w:autoSpaceDE w:val="0"/>
              <w:autoSpaceDN w:val="0"/>
              <w:adjustRightInd w:val="0"/>
              <w:snapToGrid w:val="0"/>
              <w:ind w:firstLineChars="0"/>
              <w:jc w:val="left"/>
              <w:rPr>
                <w:color w:val="000000"/>
                <w:sz w:val="20"/>
                <w:szCs w:val="20"/>
              </w:rPr>
            </w:pPr>
            <w:r w:rsidRPr="00101741">
              <w:rPr>
                <w:sz w:val="20"/>
                <w:szCs w:val="20"/>
              </w:rPr>
              <w:t>An adverse event (AE) refers to any untoward medical occurrence in a study subject and the event does not necessarily have a causal relationship with this treatment.</w:t>
            </w:r>
          </w:p>
        </w:tc>
      </w:tr>
    </w:tbl>
    <w:p w14:paraId="64756079"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76" w:name="_Toc126522253"/>
      <w:bookmarkStart w:id="77" w:name="_Toc126522820"/>
      <w:bookmarkStart w:id="78" w:name="_Toc126533014"/>
      <w:bookmarkStart w:id="79" w:name="_Toc121783247"/>
      <w:bookmarkStart w:id="80" w:name="_Toc126527408"/>
      <w:bookmarkStart w:id="81" w:name="_Toc126569379"/>
      <w:bookmarkStart w:id="82" w:name="_Toc121783248"/>
      <w:bookmarkStart w:id="83" w:name="_Toc121783259"/>
      <w:bookmarkStart w:id="84" w:name="_Toc121783249"/>
      <w:bookmarkStart w:id="85" w:name="_Toc121783260"/>
      <w:bookmarkStart w:id="86" w:name="_Toc216186551"/>
      <w:bookmarkEnd w:id="76"/>
      <w:bookmarkEnd w:id="77"/>
      <w:bookmarkEnd w:id="78"/>
      <w:bookmarkEnd w:id="79"/>
      <w:bookmarkEnd w:id="80"/>
      <w:bookmarkEnd w:id="81"/>
      <w:bookmarkEnd w:id="82"/>
      <w:bookmarkEnd w:id="83"/>
      <w:bookmarkEnd w:id="84"/>
      <w:bookmarkEnd w:id="85"/>
      <w:r w:rsidRPr="00F72DDB">
        <w:rPr>
          <w:rFonts w:ascii="Times New Roman" w:hAnsi="Times New Roman" w:cs="Times New Roman"/>
          <w:sz w:val="24"/>
          <w:szCs w:val="24"/>
        </w:rPr>
        <w:t>Efficacy Evaluation Endpoints</w:t>
      </w:r>
      <w:bookmarkEnd w:id="86"/>
    </w:p>
    <w:p w14:paraId="2A088D71"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87" w:name="_Toc216186552"/>
      <w:bookmarkStart w:id="88" w:name="OLE_LINK13"/>
      <w:r w:rsidRPr="00F72DDB">
        <w:rPr>
          <w:rFonts w:ascii="Times New Roman" w:hAnsi="Times New Roman" w:cs="Times New Roman"/>
          <w:szCs w:val="24"/>
        </w:rPr>
        <w:t>Primary endpoint</w:t>
      </w:r>
      <w:bookmarkEnd w:id="87"/>
    </w:p>
    <w:p w14:paraId="1648BA1F" w14:textId="77777777" w:rsidR="0005712D" w:rsidRPr="00F72DDB" w:rsidRDefault="00CF2A39" w:rsidP="007226EC">
      <w:pPr>
        <w:pStyle w:val="aff"/>
        <w:numPr>
          <w:ilvl w:val="0"/>
          <w:numId w:val="12"/>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Change from baseline in HbA1c at Week 24 of treatment</w:t>
      </w:r>
    </w:p>
    <w:p w14:paraId="3839810D"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89" w:name="_Toc125069260"/>
      <w:bookmarkStart w:id="90" w:name="_Toc126444762"/>
      <w:bookmarkStart w:id="91" w:name="_Toc125055797"/>
      <w:bookmarkStart w:id="92" w:name="_Toc126533018"/>
      <w:bookmarkStart w:id="93" w:name="_Toc123721083"/>
      <w:bookmarkStart w:id="94" w:name="_Toc125055679"/>
      <w:bookmarkStart w:id="95" w:name="_Toc125070463"/>
      <w:bookmarkStart w:id="96" w:name="_Toc125118554"/>
      <w:bookmarkStart w:id="97" w:name="_Toc126436528"/>
      <w:bookmarkStart w:id="98" w:name="_Toc125702848"/>
      <w:bookmarkStart w:id="99" w:name="_Toc125069380"/>
      <w:bookmarkStart w:id="100" w:name="_Toc125066988"/>
      <w:bookmarkStart w:id="101" w:name="_Toc126522824"/>
      <w:bookmarkStart w:id="102" w:name="_Toc126527412"/>
      <w:bookmarkStart w:id="103" w:name="_Toc126569383"/>
      <w:bookmarkStart w:id="104" w:name="_Toc125118184"/>
      <w:bookmarkStart w:id="105" w:name="_Toc126522257"/>
      <w:bookmarkStart w:id="106" w:name="_Toc216186553"/>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F72DDB">
        <w:rPr>
          <w:rFonts w:ascii="Times New Roman" w:hAnsi="Times New Roman" w:cs="Times New Roman"/>
          <w:szCs w:val="24"/>
        </w:rPr>
        <w:t>Secondary endpoints</w:t>
      </w:r>
      <w:bookmarkEnd w:id="106"/>
    </w:p>
    <w:p w14:paraId="27551C32" w14:textId="45542BB2"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Percentages of subjects with HbA1c &lt; 7%, HbA1c ≤ 6.5%, and HbA1c ≤ 5.7% at each post-baseline visit;</w:t>
      </w:r>
    </w:p>
    <w:p w14:paraId="4DDE561C" w14:textId="77777777" w:rsidR="0005712D" w:rsidRPr="00F72DDB" w:rsidRDefault="00CF2A39" w:rsidP="007226EC">
      <w:pPr>
        <w:pStyle w:val="aff"/>
        <w:pageBreakBefore/>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lastRenderedPageBreak/>
        <w:t>Proportion of subjects with ≥ 5% weight loss and HbA1c &lt; 7% at each post-baseline visit;</w:t>
      </w:r>
    </w:p>
    <w:p w14:paraId="3729CD60"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Change from baseline in HbA1c at Weeks 4, 8, 12, 16, 20, and 26 of treatment;</w:t>
      </w:r>
    </w:p>
    <w:p w14:paraId="07277A0B"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Change from baseline in fasting plasma glucose at each post-baseline visit;</w:t>
      </w:r>
    </w:p>
    <w:p w14:paraId="10819D3D"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 xml:space="preserve">Change from baseline in body weight, waist circumference, waist-to-hip ratio, and BMI at each post-baseline visit; </w:t>
      </w:r>
    </w:p>
    <w:p w14:paraId="0128B290" w14:textId="491D352A"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Change from baseline in blood lipids at each post-baseline visit</w:t>
      </w:r>
      <w:r w:rsidRPr="00F72DDB">
        <w:rPr>
          <w:rFonts w:hint="eastAsia"/>
          <w:sz w:val="24"/>
          <w:szCs w:val="24"/>
        </w:rPr>
        <w:t xml:space="preserve">; </w:t>
      </w:r>
    </w:p>
    <w:p w14:paraId="5779EB33" w14:textId="77777777" w:rsidR="0005712D" w:rsidRPr="00F72DDB" w:rsidRDefault="00CF2A39" w:rsidP="007226EC">
      <w:pPr>
        <w:pStyle w:val="aff"/>
        <w:overflowPunct w:val="0"/>
        <w:autoSpaceDE w:val="0"/>
        <w:autoSpaceDN w:val="0"/>
        <w:adjustRightInd w:val="0"/>
        <w:snapToGrid w:val="0"/>
        <w:spacing w:beforeLines="50" w:before="120" w:afterLines="50" w:after="120" w:line="300" w:lineRule="auto"/>
        <w:ind w:leftChars="210" w:left="441" w:firstLineChars="0" w:firstLine="0"/>
        <w:jc w:val="left"/>
        <w:rPr>
          <w:sz w:val="24"/>
          <w:szCs w:val="24"/>
        </w:rPr>
      </w:pPr>
      <w:r w:rsidRPr="00F72DDB">
        <w:rPr>
          <w:sz w:val="24"/>
          <w:szCs w:val="24"/>
        </w:rPr>
        <w:t>including total cholesterol (TC), low-density lipoprotein cholesterol (LDL-C), high-density lipoprotein cholesterol (HDL-C), non-high-density lipoprotein cholesterol (non-HDL-C), triglycerides (TG), and free fatty acids (FFA);</w:t>
      </w:r>
    </w:p>
    <w:p w14:paraId="622A7D04"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Change from baseline in blood pressure (diastolic versus systolic) at each post-baseline visit;</w:t>
      </w:r>
    </w:p>
    <w:p w14:paraId="2A60C12B"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Proportion of subjects achieving weight-loss targets (weight loss ≥ 5%, ≥ 10%, ≥ 15%, ≥ 20%) at Weeks 12 and 24 of treatment;</w:t>
      </w:r>
    </w:p>
    <w:p w14:paraId="69AFA46A"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Change from baseline in ALT, AST, GGT, uric acid, urinary UACR, and eGFR at Weeks 12 and 24 of treatment;</w:t>
      </w:r>
    </w:p>
    <w:p w14:paraId="2EF42749" w14:textId="77777777" w:rsidR="0005712D" w:rsidRPr="00F72DDB" w:rsidRDefault="00CF2A39" w:rsidP="007226EC">
      <w:pPr>
        <w:pStyle w:val="aff"/>
        <w:numPr>
          <w:ilvl w:val="0"/>
          <w:numId w:val="13"/>
        </w:numPr>
        <w:overflowPunct w:val="0"/>
        <w:autoSpaceDE w:val="0"/>
        <w:autoSpaceDN w:val="0"/>
        <w:adjustRightInd w:val="0"/>
        <w:snapToGrid w:val="0"/>
        <w:spacing w:beforeLines="50" w:before="120" w:afterLines="50" w:after="120" w:line="300" w:lineRule="auto"/>
        <w:ind w:left="440" w:firstLineChars="0"/>
        <w:jc w:val="left"/>
        <w:rPr>
          <w:sz w:val="24"/>
          <w:szCs w:val="24"/>
        </w:rPr>
      </w:pPr>
      <w:r w:rsidRPr="00F72DDB">
        <w:rPr>
          <w:sz w:val="24"/>
          <w:szCs w:val="24"/>
        </w:rPr>
        <w:t>Proportion of subjects whose abnormal ALT, AST, GGT, blood lipids, uric acid, UACR, or blood pressure at baseline return to normal at Week 24 of treatment.</w:t>
      </w:r>
    </w:p>
    <w:p w14:paraId="61EEE2E2"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107" w:name="_Toc216186554"/>
      <w:r w:rsidRPr="00F72DDB">
        <w:rPr>
          <w:rFonts w:ascii="Times New Roman" w:hAnsi="Times New Roman" w:cs="Times New Roman"/>
          <w:sz w:val="24"/>
          <w:szCs w:val="24"/>
        </w:rPr>
        <w:t>Pharmacokinetic Endpoints</w:t>
      </w:r>
      <w:bookmarkEnd w:id="107"/>
    </w:p>
    <w:p w14:paraId="13606646" w14:textId="4A22AF4F"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b/>
          <w:bCs/>
          <w:color w:val="000000"/>
          <w:sz w:val="24"/>
        </w:rPr>
        <w:t>Part A and Part B expansion study</w:t>
      </w:r>
      <w:r w:rsidRPr="00F72DDB">
        <w:rPr>
          <w:rFonts w:cs="Times New Roman"/>
          <w:color w:val="000000"/>
          <w:sz w:val="24"/>
        </w:rPr>
        <w:t>: RAY1225 PK samples will be collected at the following time points: before the first dose; pre-dose at Weeks 4, 8, 12, and 16; pre-dose and once within 4–72 h and once within 96–240 h post-dose at Week 22; once at Week 24 or Week 26; and at early withdrawal. A maximum of 10 blood samples will be collected, with approximately 4 mL collected at each time;</w:t>
      </w:r>
    </w:p>
    <w:p w14:paraId="74403743"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b/>
          <w:bCs/>
          <w:color w:val="000000"/>
          <w:sz w:val="24"/>
        </w:rPr>
        <w:t>Part B dose escalation study</w:t>
      </w:r>
      <w:r w:rsidRPr="00F72DDB">
        <w:rPr>
          <w:rFonts w:cs="Times New Roman"/>
          <w:color w:val="000000"/>
          <w:sz w:val="24"/>
        </w:rPr>
        <w:t>: PK samples of RAY1225 will be collected before the first dose; pre-dose at Weeks 4, 8, 12, and 16; pre-dose at Week 22; and at 4 h, 8 h, 24 h, 48 h, 72 h, 168 h, 240 h, 336 h, 504 h, 672 h, 840 h, 1008 h post-dose and at early withdrawal. A maximum of 18 blood samples will be collected, with approximately 4 mL collected at each time.</w:t>
      </w:r>
    </w:p>
    <w:p w14:paraId="3A3BD95B"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b/>
          <w:bCs/>
          <w:color w:val="000000"/>
          <w:sz w:val="24"/>
        </w:rPr>
        <w:t>PK sample collection for acetaminophen (dose escalation group 1 only)</w:t>
      </w:r>
      <w:r w:rsidRPr="00F72DDB">
        <w:rPr>
          <w:rFonts w:cs="Times New Roman"/>
          <w:color w:val="000000"/>
          <w:sz w:val="24"/>
        </w:rPr>
        <w:t>: Subjects in dose escalation group 1 will undergo two intensive PK blood sampling schedules for acetaminophen, with samples collected within 2 within 2 h before each of the two acetaminophen administrations, and at 0.25, 0.5, 0.75, 1, 2, 3, 4, 6, 9, 12, and 24 h post-dose, to determine plasma acetaminophen concentrations. A total of 24 blood samples will be collected, with approximately 3 mL collected at each time.</w:t>
      </w:r>
    </w:p>
    <w:p w14:paraId="6240722C"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szCs w:val="24"/>
        </w:rPr>
      </w:pPr>
      <w:r w:rsidRPr="00F72DDB">
        <w:rPr>
          <w:rFonts w:cs="Times New Roman"/>
          <w:szCs w:val="24"/>
        </w:rPr>
        <w:lastRenderedPageBreak/>
        <w:t>The main PK parameters of RAY1225 in the dose-escalation study include: T</w:t>
      </w:r>
      <w:r w:rsidRPr="00F72DDB">
        <w:rPr>
          <w:rFonts w:cs="Times New Roman"/>
          <w:szCs w:val="24"/>
          <w:vertAlign w:val="subscript"/>
        </w:rPr>
        <w:t>max</w:t>
      </w:r>
      <w:r w:rsidRPr="00F72DDB">
        <w:rPr>
          <w:rFonts w:cs="Times New Roman"/>
          <w:szCs w:val="24"/>
        </w:rPr>
        <w:t>, C</w:t>
      </w:r>
      <w:r w:rsidRPr="00F72DDB">
        <w:rPr>
          <w:rFonts w:cs="Times New Roman"/>
          <w:szCs w:val="24"/>
          <w:vertAlign w:val="subscript"/>
        </w:rPr>
        <w:t>max,ss</w:t>
      </w:r>
      <w:r w:rsidRPr="00F72DDB">
        <w:rPr>
          <w:rFonts w:cs="Times New Roman"/>
          <w:szCs w:val="24"/>
        </w:rPr>
        <w:t>, C</w:t>
      </w:r>
      <w:r w:rsidRPr="00F72DDB">
        <w:rPr>
          <w:rFonts w:cs="Times New Roman"/>
          <w:szCs w:val="24"/>
          <w:vertAlign w:val="subscript"/>
        </w:rPr>
        <w:t>min,ss</w:t>
      </w:r>
      <w:r w:rsidRPr="00F72DDB">
        <w:rPr>
          <w:rFonts w:cs="Times New Roman"/>
          <w:szCs w:val="24"/>
        </w:rPr>
        <w:t>, C</w:t>
      </w:r>
      <w:r w:rsidRPr="00F72DDB">
        <w:rPr>
          <w:rFonts w:cs="Times New Roman"/>
          <w:szCs w:val="24"/>
          <w:vertAlign w:val="subscript"/>
        </w:rPr>
        <w:t>av,ss</w:t>
      </w:r>
      <w:r w:rsidRPr="00F72DDB">
        <w:rPr>
          <w:rFonts w:cs="Times New Roman"/>
          <w:szCs w:val="24"/>
        </w:rPr>
        <w:t>, t</w:t>
      </w:r>
      <w:r w:rsidRPr="00F72DDB">
        <w:rPr>
          <w:rFonts w:cs="Times New Roman"/>
          <w:szCs w:val="24"/>
          <w:vertAlign w:val="subscript"/>
        </w:rPr>
        <w:t>1/2</w:t>
      </w:r>
      <w:r w:rsidRPr="00F72DDB">
        <w:rPr>
          <w:rFonts w:cs="Times New Roman"/>
          <w:szCs w:val="24"/>
        </w:rPr>
        <w:t>, AUC</w:t>
      </w:r>
      <w:r w:rsidRPr="00F72DDB">
        <w:rPr>
          <w:rFonts w:cs="Times New Roman"/>
          <w:szCs w:val="24"/>
          <w:vertAlign w:val="subscript"/>
        </w:rPr>
        <w:t>0-τ,ss</w:t>
      </w:r>
      <w:r w:rsidRPr="00F72DDB">
        <w:rPr>
          <w:rFonts w:cs="Times New Roman"/>
          <w:szCs w:val="24"/>
        </w:rPr>
        <w:t>, AUC</w:t>
      </w:r>
      <w:r w:rsidRPr="00F72DDB">
        <w:rPr>
          <w:rFonts w:cs="Times New Roman"/>
          <w:szCs w:val="24"/>
          <w:vertAlign w:val="subscript"/>
        </w:rPr>
        <w:t>0-∞</w:t>
      </w:r>
      <w:r w:rsidRPr="00F72DDB">
        <w:rPr>
          <w:rFonts w:cs="Times New Roman"/>
          <w:szCs w:val="24"/>
        </w:rPr>
        <w:t>, AUC</w:t>
      </w:r>
      <w:r w:rsidRPr="00F72DDB">
        <w:rPr>
          <w:rFonts w:cs="Times New Roman"/>
          <w:szCs w:val="24"/>
          <w:vertAlign w:val="subscript"/>
        </w:rPr>
        <w:t>0-t</w:t>
      </w:r>
      <w:r w:rsidRPr="00F72DDB">
        <w:rPr>
          <w:rFonts w:cs="Times New Roman"/>
          <w:szCs w:val="24"/>
        </w:rPr>
        <w:t>, CL/F, V</w:t>
      </w:r>
      <w:r w:rsidRPr="00F72DDB">
        <w:rPr>
          <w:rFonts w:cs="Times New Roman"/>
          <w:color w:val="000000" w:themeColor="text1"/>
          <w:szCs w:val="24"/>
          <w:vertAlign w:val="subscript"/>
        </w:rPr>
        <w:t>z</w:t>
      </w:r>
      <w:r w:rsidRPr="00F72DDB">
        <w:rPr>
          <w:rFonts w:cs="Times New Roman"/>
          <w:szCs w:val="24"/>
        </w:rPr>
        <w:t>/F, DF, MRT, AUC</w:t>
      </w:r>
      <w:r w:rsidRPr="00F72DDB">
        <w:rPr>
          <w:rFonts w:cs="Times New Roman"/>
          <w:szCs w:val="24"/>
          <w:vertAlign w:val="subscript"/>
        </w:rPr>
        <w:t>_%Extrap</w:t>
      </w:r>
      <w:r w:rsidRPr="00F72DDB">
        <w:rPr>
          <w:rFonts w:cs="Times New Roman"/>
          <w:szCs w:val="24"/>
        </w:rPr>
        <w:t>, and λ</w:t>
      </w:r>
      <w:r w:rsidRPr="00F72DDB">
        <w:rPr>
          <w:rFonts w:cs="Times New Roman"/>
          <w:szCs w:val="24"/>
          <w:vertAlign w:val="subscript"/>
        </w:rPr>
        <w:t>z</w:t>
      </w:r>
      <w:bookmarkStart w:id="108" w:name="OLE_LINK64"/>
      <w:bookmarkEnd w:id="108"/>
      <w:r w:rsidRPr="00F72DDB">
        <w:rPr>
          <w:rFonts w:cs="Times New Roman"/>
          <w:szCs w:val="24"/>
        </w:rPr>
        <w:t>.</w:t>
      </w:r>
    </w:p>
    <w:p w14:paraId="4CBF803D"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szCs w:val="24"/>
        </w:rPr>
      </w:pPr>
      <w:r w:rsidRPr="00F72DDB">
        <w:rPr>
          <w:rFonts w:cs="Times New Roman"/>
          <w:color w:val="auto"/>
          <w:szCs w:val="24"/>
        </w:rPr>
        <w:t>The PK parameters of RAY1225 are defined as follows:</w:t>
      </w:r>
    </w:p>
    <w:tbl>
      <w:tblPr>
        <w:tblW w:w="5000" w:type="pct"/>
        <w:tblBorders>
          <w:top w:val="single" w:sz="4" w:space="0" w:color="auto"/>
          <w:bottom w:val="single" w:sz="4" w:space="0" w:color="auto"/>
        </w:tblBorders>
        <w:tblLook w:val="04A0" w:firstRow="1" w:lastRow="0" w:firstColumn="1" w:lastColumn="0" w:noHBand="0" w:noVBand="1"/>
      </w:tblPr>
      <w:tblGrid>
        <w:gridCol w:w="3364"/>
        <w:gridCol w:w="6112"/>
      </w:tblGrid>
      <w:tr w:rsidR="0005712D" w:rsidRPr="00101741" w14:paraId="47D1F8B7" w14:textId="77777777" w:rsidTr="007226EC">
        <w:tc>
          <w:tcPr>
            <w:tcW w:w="1775" w:type="pct"/>
            <w:tcBorders>
              <w:top w:val="single" w:sz="4" w:space="0" w:color="auto"/>
              <w:bottom w:val="single" w:sz="4" w:space="0" w:color="auto"/>
            </w:tcBorders>
            <w:shd w:val="clear" w:color="auto" w:fill="D9D9D9"/>
            <w:tcMar>
              <w:top w:w="57" w:type="dxa"/>
              <w:left w:w="57" w:type="dxa"/>
              <w:bottom w:w="57" w:type="dxa"/>
              <w:right w:w="57" w:type="dxa"/>
            </w:tcMar>
            <w:vAlign w:val="center"/>
          </w:tcPr>
          <w:p w14:paraId="4284DC3B"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sz w:val="20"/>
                <w:szCs w:val="20"/>
              </w:rPr>
            </w:pPr>
            <w:r w:rsidRPr="00101741">
              <w:rPr>
                <w:rFonts w:cs="Times New Roman"/>
                <w:b/>
                <w:sz w:val="20"/>
                <w:szCs w:val="20"/>
              </w:rPr>
              <w:t>PK parameter</w:t>
            </w:r>
          </w:p>
        </w:tc>
        <w:tc>
          <w:tcPr>
            <w:tcW w:w="3225" w:type="pct"/>
            <w:tcBorders>
              <w:top w:val="single" w:sz="4" w:space="0" w:color="auto"/>
              <w:bottom w:val="single" w:sz="4" w:space="0" w:color="auto"/>
            </w:tcBorders>
            <w:shd w:val="clear" w:color="auto" w:fill="D9D9D9"/>
            <w:tcMar>
              <w:top w:w="57" w:type="dxa"/>
              <w:left w:w="57" w:type="dxa"/>
              <w:bottom w:w="57" w:type="dxa"/>
              <w:right w:w="57" w:type="dxa"/>
            </w:tcMar>
            <w:vAlign w:val="center"/>
          </w:tcPr>
          <w:p w14:paraId="7E018C8F"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sz w:val="20"/>
                <w:szCs w:val="20"/>
              </w:rPr>
            </w:pPr>
            <w:r w:rsidRPr="00101741">
              <w:rPr>
                <w:rFonts w:cs="Times New Roman"/>
                <w:b/>
                <w:sz w:val="20"/>
                <w:szCs w:val="20"/>
              </w:rPr>
              <w:t>Definition</w:t>
            </w:r>
          </w:p>
        </w:tc>
      </w:tr>
      <w:tr w:rsidR="0005712D" w:rsidRPr="00101741" w14:paraId="3B577039" w14:textId="77777777" w:rsidTr="007226EC">
        <w:tc>
          <w:tcPr>
            <w:tcW w:w="1775" w:type="pct"/>
            <w:tcMar>
              <w:top w:w="57" w:type="dxa"/>
              <w:left w:w="57" w:type="dxa"/>
              <w:bottom w:w="57" w:type="dxa"/>
              <w:right w:w="57" w:type="dxa"/>
            </w:tcMar>
            <w:vAlign w:val="center"/>
          </w:tcPr>
          <w:p w14:paraId="1C19794B"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highlight w:val="yellow"/>
              </w:rPr>
            </w:pPr>
            <w:r w:rsidRPr="00101741">
              <w:rPr>
                <w:rFonts w:cs="Times New Roman"/>
                <w:sz w:val="20"/>
                <w:szCs w:val="20"/>
              </w:rPr>
              <w:t>Tmax</w:t>
            </w:r>
          </w:p>
        </w:tc>
        <w:tc>
          <w:tcPr>
            <w:tcW w:w="3225" w:type="pct"/>
            <w:tcMar>
              <w:top w:w="57" w:type="dxa"/>
              <w:left w:w="57" w:type="dxa"/>
              <w:bottom w:w="57" w:type="dxa"/>
              <w:right w:w="57" w:type="dxa"/>
            </w:tcMar>
            <w:vAlign w:val="center"/>
          </w:tcPr>
          <w:p w14:paraId="184F00A0"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highlight w:val="yellow"/>
              </w:rPr>
            </w:pPr>
            <w:r w:rsidRPr="00101741">
              <w:rPr>
                <w:rFonts w:cs="Times New Roman"/>
                <w:sz w:val="20"/>
                <w:szCs w:val="20"/>
              </w:rPr>
              <w:t>Time to maximum drug concentration, directly obtained from the measured plasma concentration-time data.</w:t>
            </w:r>
          </w:p>
        </w:tc>
      </w:tr>
      <w:tr w:rsidR="0005712D" w:rsidRPr="00101741" w14:paraId="4E7B383D" w14:textId="77777777" w:rsidTr="007226EC">
        <w:tc>
          <w:tcPr>
            <w:tcW w:w="1775" w:type="pct"/>
            <w:tcMar>
              <w:top w:w="57" w:type="dxa"/>
              <w:left w:w="57" w:type="dxa"/>
              <w:bottom w:w="57" w:type="dxa"/>
              <w:right w:w="57" w:type="dxa"/>
            </w:tcMar>
            <w:vAlign w:val="center"/>
          </w:tcPr>
          <w:p w14:paraId="5225FEE0"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w:t>
            </w:r>
            <w:r w:rsidRPr="00101741">
              <w:rPr>
                <w:rFonts w:cs="Times New Roman"/>
                <w:sz w:val="20"/>
                <w:szCs w:val="20"/>
                <w:vertAlign w:val="subscript"/>
              </w:rPr>
              <w:t>max</w:t>
            </w:r>
            <w:r w:rsidRPr="00101741">
              <w:rPr>
                <w:rFonts w:cs="Times New Roman"/>
                <w:sz w:val="20"/>
                <w:szCs w:val="20"/>
                <w:vertAlign w:val="subscript"/>
              </w:rPr>
              <w:t>，</w:t>
            </w:r>
            <w:r w:rsidRPr="00101741">
              <w:rPr>
                <w:rFonts w:cs="Times New Roman"/>
                <w:sz w:val="20"/>
                <w:szCs w:val="20"/>
                <w:vertAlign w:val="subscript"/>
              </w:rPr>
              <w:t>ss</w:t>
            </w:r>
          </w:p>
        </w:tc>
        <w:tc>
          <w:tcPr>
            <w:tcW w:w="3225" w:type="pct"/>
            <w:tcMar>
              <w:top w:w="57" w:type="dxa"/>
              <w:left w:w="57" w:type="dxa"/>
              <w:bottom w:w="57" w:type="dxa"/>
              <w:right w:w="57" w:type="dxa"/>
            </w:tcMar>
            <w:vAlign w:val="center"/>
          </w:tcPr>
          <w:p w14:paraId="16AFB902" w14:textId="2FAC3980"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Maximum concentration at steady state</w:t>
            </w:r>
            <w:r w:rsidRPr="00101741">
              <w:rPr>
                <w:rFonts w:cs="Times New Roman" w:hint="eastAsia"/>
                <w:sz w:val="20"/>
                <w:szCs w:val="20"/>
              </w:rPr>
              <w:t>.</w:t>
            </w:r>
          </w:p>
        </w:tc>
      </w:tr>
      <w:tr w:rsidR="0005712D" w:rsidRPr="00101741" w14:paraId="136F311A" w14:textId="77777777" w:rsidTr="007226EC">
        <w:tc>
          <w:tcPr>
            <w:tcW w:w="1775" w:type="pct"/>
            <w:tcMar>
              <w:top w:w="57" w:type="dxa"/>
              <w:left w:w="57" w:type="dxa"/>
              <w:bottom w:w="57" w:type="dxa"/>
              <w:right w:w="57" w:type="dxa"/>
            </w:tcMar>
            <w:vAlign w:val="center"/>
          </w:tcPr>
          <w:p w14:paraId="734050AF"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w:t>
            </w:r>
            <w:r w:rsidRPr="00101741">
              <w:rPr>
                <w:rFonts w:cs="Times New Roman"/>
                <w:sz w:val="20"/>
                <w:szCs w:val="20"/>
                <w:vertAlign w:val="subscript"/>
              </w:rPr>
              <w:t>min</w:t>
            </w:r>
            <w:r w:rsidRPr="00101741">
              <w:rPr>
                <w:rFonts w:cs="Times New Roman"/>
                <w:sz w:val="20"/>
                <w:szCs w:val="20"/>
                <w:vertAlign w:val="subscript"/>
              </w:rPr>
              <w:t>，</w:t>
            </w:r>
            <w:r w:rsidRPr="00101741">
              <w:rPr>
                <w:rFonts w:cs="Times New Roman"/>
                <w:sz w:val="20"/>
                <w:szCs w:val="20"/>
                <w:vertAlign w:val="subscript"/>
              </w:rPr>
              <w:t>ss</w:t>
            </w:r>
          </w:p>
        </w:tc>
        <w:tc>
          <w:tcPr>
            <w:tcW w:w="3225" w:type="pct"/>
            <w:tcMar>
              <w:top w:w="57" w:type="dxa"/>
              <w:left w:w="57" w:type="dxa"/>
              <w:bottom w:w="57" w:type="dxa"/>
              <w:right w:w="57" w:type="dxa"/>
            </w:tcMar>
            <w:vAlign w:val="center"/>
          </w:tcPr>
          <w:p w14:paraId="05643ED7"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i/>
                <w:sz w:val="20"/>
                <w:szCs w:val="20"/>
              </w:rPr>
            </w:pPr>
            <w:r w:rsidRPr="00101741">
              <w:rPr>
                <w:rFonts w:cs="Times New Roman"/>
                <w:sz w:val="20"/>
                <w:szCs w:val="20"/>
              </w:rPr>
              <w:t>Steady-state minimum concentration. Indicates the minimum concentration during the dosing interval, usually determined as the lowest concentration observed from immediately after dosing at steady state up to just before the next dose.</w:t>
            </w:r>
          </w:p>
        </w:tc>
      </w:tr>
      <w:tr w:rsidR="0005712D" w:rsidRPr="00101741" w14:paraId="5FC8B6EA" w14:textId="77777777" w:rsidTr="007226EC">
        <w:tc>
          <w:tcPr>
            <w:tcW w:w="1775" w:type="pct"/>
            <w:tcMar>
              <w:top w:w="57" w:type="dxa"/>
              <w:left w:w="57" w:type="dxa"/>
              <w:bottom w:w="57" w:type="dxa"/>
              <w:right w:w="57" w:type="dxa"/>
            </w:tcMar>
            <w:vAlign w:val="center"/>
          </w:tcPr>
          <w:p w14:paraId="0ED71409"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w:t>
            </w:r>
            <w:r w:rsidRPr="00101741">
              <w:rPr>
                <w:rFonts w:cs="Times New Roman"/>
                <w:sz w:val="20"/>
                <w:szCs w:val="20"/>
                <w:vertAlign w:val="subscript"/>
              </w:rPr>
              <w:t>trough,ss</w:t>
            </w:r>
          </w:p>
        </w:tc>
        <w:tc>
          <w:tcPr>
            <w:tcW w:w="3225" w:type="pct"/>
            <w:tcMar>
              <w:top w:w="57" w:type="dxa"/>
              <w:left w:w="57" w:type="dxa"/>
              <w:bottom w:w="57" w:type="dxa"/>
              <w:right w:w="57" w:type="dxa"/>
            </w:tcMar>
            <w:vAlign w:val="center"/>
          </w:tcPr>
          <w:p w14:paraId="77231709"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Trough concentration at steady state</w:t>
            </w:r>
          </w:p>
          <w:p w14:paraId="6C284414"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 xml:space="preserve">The concentration at the end of the dosing interval at steady state. If observed values are available, they will be obtained directly from the observed plasma concentration-time data. Otherwise, a predicted concentration value will be used.  </w:t>
            </w:r>
          </w:p>
        </w:tc>
      </w:tr>
      <w:tr w:rsidR="0005712D" w:rsidRPr="00101741" w14:paraId="3D1D8137" w14:textId="77777777" w:rsidTr="007226EC">
        <w:tc>
          <w:tcPr>
            <w:tcW w:w="1775" w:type="pct"/>
            <w:tcMar>
              <w:top w:w="57" w:type="dxa"/>
              <w:left w:w="57" w:type="dxa"/>
              <w:bottom w:w="57" w:type="dxa"/>
              <w:right w:w="57" w:type="dxa"/>
            </w:tcMar>
            <w:vAlign w:val="center"/>
          </w:tcPr>
          <w:p w14:paraId="265DE0F5"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Cav,ss</w:t>
            </w:r>
          </w:p>
        </w:tc>
        <w:tc>
          <w:tcPr>
            <w:tcW w:w="3225" w:type="pct"/>
            <w:tcMar>
              <w:top w:w="57" w:type="dxa"/>
              <w:left w:w="57" w:type="dxa"/>
              <w:bottom w:w="57" w:type="dxa"/>
              <w:right w:w="57" w:type="dxa"/>
            </w:tcMar>
            <w:vAlign w:val="center"/>
          </w:tcPr>
          <w:p w14:paraId="7A8BD0C5"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Mean steady-state plasma concentration. Cav,ss = AUC</w:t>
            </w:r>
            <w:r w:rsidRPr="00101741">
              <w:rPr>
                <w:rFonts w:cs="Times New Roman"/>
                <w:sz w:val="20"/>
                <w:szCs w:val="20"/>
                <w:vertAlign w:val="subscript"/>
              </w:rPr>
              <w:t>τ,ss</w:t>
            </w:r>
            <w:r w:rsidRPr="00101741">
              <w:rPr>
                <w:rFonts w:cs="Times New Roman"/>
                <w:sz w:val="20"/>
                <w:szCs w:val="20"/>
              </w:rPr>
              <w:t>/τ, where τ is the dosing interval.</w:t>
            </w:r>
          </w:p>
        </w:tc>
      </w:tr>
      <w:tr w:rsidR="0005712D" w:rsidRPr="00101741" w14:paraId="3452F4F4" w14:textId="77777777" w:rsidTr="007226EC">
        <w:tc>
          <w:tcPr>
            <w:tcW w:w="1775" w:type="pct"/>
            <w:tcMar>
              <w:top w:w="57" w:type="dxa"/>
              <w:left w:w="57" w:type="dxa"/>
              <w:bottom w:w="57" w:type="dxa"/>
              <w:right w:w="57" w:type="dxa"/>
            </w:tcMar>
          </w:tcPr>
          <w:p w14:paraId="69F31569"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DF</w:t>
            </w:r>
          </w:p>
        </w:tc>
        <w:tc>
          <w:tcPr>
            <w:tcW w:w="3225" w:type="pct"/>
            <w:tcMar>
              <w:top w:w="57" w:type="dxa"/>
              <w:left w:w="57" w:type="dxa"/>
              <w:bottom w:w="57" w:type="dxa"/>
              <w:right w:w="57" w:type="dxa"/>
            </w:tcMar>
          </w:tcPr>
          <w:p w14:paraId="2D8958C7" w14:textId="77777777" w:rsidR="0005712D" w:rsidRPr="00101741" w:rsidRDefault="00CF2A39" w:rsidP="00306959">
            <w:pPr>
              <w:tabs>
                <w:tab w:val="left" w:pos="705"/>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Fluctuation index; Percentage fluctuation at steady state = 100% × (C</w:t>
            </w:r>
            <w:r w:rsidRPr="00101741">
              <w:rPr>
                <w:rFonts w:cs="Times New Roman"/>
                <w:sz w:val="20"/>
                <w:szCs w:val="20"/>
                <w:vertAlign w:val="subscript"/>
              </w:rPr>
              <w:t>max,ss</w:t>
            </w:r>
            <w:r w:rsidRPr="00101741">
              <w:rPr>
                <w:rFonts w:cs="Times New Roman"/>
                <w:sz w:val="20"/>
                <w:szCs w:val="20"/>
              </w:rPr>
              <w:t xml:space="preserve"> – C</w:t>
            </w:r>
            <w:r w:rsidRPr="00101741">
              <w:rPr>
                <w:rFonts w:cs="Times New Roman"/>
                <w:sz w:val="20"/>
                <w:szCs w:val="20"/>
                <w:vertAlign w:val="subscript"/>
              </w:rPr>
              <w:t>min,ss</w:t>
            </w:r>
            <w:r w:rsidRPr="00101741">
              <w:rPr>
                <w:rFonts w:cs="Times New Roman"/>
                <w:sz w:val="20"/>
                <w:szCs w:val="20"/>
              </w:rPr>
              <w:t>)/C</w:t>
            </w:r>
            <w:r w:rsidRPr="00101741">
              <w:rPr>
                <w:rFonts w:cs="Times New Roman"/>
                <w:sz w:val="20"/>
                <w:szCs w:val="20"/>
                <w:vertAlign w:val="subscript"/>
              </w:rPr>
              <w:t>av</w:t>
            </w:r>
            <w:r w:rsidRPr="00101741">
              <w:rPr>
                <w:rFonts w:cs="Times New Roman" w:hint="eastAsia"/>
                <w:sz w:val="20"/>
                <w:szCs w:val="20"/>
                <w:vertAlign w:val="subscript"/>
              </w:rPr>
              <w:t>g</w:t>
            </w:r>
            <w:r w:rsidRPr="00101741">
              <w:rPr>
                <w:rFonts w:cs="Times New Roman"/>
                <w:sz w:val="20"/>
                <w:szCs w:val="20"/>
                <w:vertAlign w:val="subscript"/>
              </w:rPr>
              <w:t>,ss</w:t>
            </w:r>
            <w:r w:rsidRPr="00101741">
              <w:rPr>
                <w:rFonts w:cs="Times New Roman"/>
                <w:sz w:val="20"/>
                <w:szCs w:val="20"/>
              </w:rPr>
              <w:t>.</w:t>
            </w:r>
          </w:p>
        </w:tc>
      </w:tr>
      <w:tr w:rsidR="0005712D" w:rsidRPr="00101741" w14:paraId="0A83C768" w14:textId="77777777" w:rsidTr="007226EC">
        <w:tc>
          <w:tcPr>
            <w:tcW w:w="1775" w:type="pct"/>
            <w:tcMar>
              <w:top w:w="57" w:type="dxa"/>
              <w:left w:w="57" w:type="dxa"/>
              <w:bottom w:w="57" w:type="dxa"/>
              <w:right w:w="57" w:type="dxa"/>
            </w:tcMar>
            <w:vAlign w:val="center"/>
          </w:tcPr>
          <w:p w14:paraId="1C39516D"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w:t>
            </w:r>
            <w:r w:rsidRPr="00101741">
              <w:rPr>
                <w:rFonts w:cs="Times New Roman"/>
                <w:sz w:val="20"/>
                <w:szCs w:val="20"/>
                <w:vertAlign w:val="subscript"/>
              </w:rPr>
              <w:t>1/2</w:t>
            </w:r>
          </w:p>
        </w:tc>
        <w:tc>
          <w:tcPr>
            <w:tcW w:w="3225" w:type="pct"/>
            <w:tcMar>
              <w:top w:w="57" w:type="dxa"/>
              <w:left w:w="57" w:type="dxa"/>
              <w:bottom w:w="57" w:type="dxa"/>
              <w:right w:w="57" w:type="dxa"/>
            </w:tcMar>
            <w:vAlign w:val="center"/>
          </w:tcPr>
          <w:p w14:paraId="5DF579F8"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Elimination half-life. t</w:t>
            </w:r>
            <w:r w:rsidRPr="00101741">
              <w:rPr>
                <w:rFonts w:cs="Times New Roman"/>
                <w:sz w:val="20"/>
                <w:szCs w:val="20"/>
                <w:vertAlign w:val="subscript"/>
              </w:rPr>
              <w:t>1/2</w:t>
            </w:r>
            <w:r w:rsidRPr="00101741">
              <w:rPr>
                <w:rFonts w:cs="Times New Roman"/>
                <w:sz w:val="20"/>
                <w:szCs w:val="20"/>
              </w:rPr>
              <w:t xml:space="preserve"> = Ln(2)/λ</w:t>
            </w:r>
            <w:r w:rsidRPr="00101741">
              <w:rPr>
                <w:rFonts w:cs="Times New Roman"/>
                <w:sz w:val="20"/>
                <w:szCs w:val="20"/>
                <w:vertAlign w:val="subscript"/>
              </w:rPr>
              <w:t>z</w:t>
            </w:r>
          </w:p>
        </w:tc>
      </w:tr>
      <w:tr w:rsidR="0005712D" w:rsidRPr="00101741" w14:paraId="0120A201" w14:textId="77777777" w:rsidTr="007226EC">
        <w:tc>
          <w:tcPr>
            <w:tcW w:w="1775" w:type="pct"/>
            <w:tcMar>
              <w:top w:w="57" w:type="dxa"/>
              <w:left w:w="57" w:type="dxa"/>
              <w:bottom w:w="57" w:type="dxa"/>
              <w:right w:w="57" w:type="dxa"/>
            </w:tcMar>
            <w:vAlign w:val="center"/>
          </w:tcPr>
          <w:p w14:paraId="3134CB1C"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λz</w:t>
            </w:r>
          </w:p>
        </w:tc>
        <w:tc>
          <w:tcPr>
            <w:tcW w:w="3225" w:type="pct"/>
            <w:tcMar>
              <w:top w:w="57" w:type="dxa"/>
              <w:left w:w="57" w:type="dxa"/>
              <w:bottom w:w="57" w:type="dxa"/>
              <w:right w:w="57" w:type="dxa"/>
            </w:tcMar>
            <w:vAlign w:val="center"/>
          </w:tcPr>
          <w:p w14:paraId="5160AC84"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Terminal phase elimination rate constant</w:t>
            </w:r>
            <w:r w:rsidRPr="00101741">
              <w:rPr>
                <w:rFonts w:cs="Times New Roman" w:hint="eastAsia"/>
                <w:sz w:val="20"/>
                <w:szCs w:val="20"/>
              </w:rPr>
              <w:t>.</w:t>
            </w:r>
            <w:r w:rsidRPr="00101741">
              <w:rPr>
                <w:rFonts w:cs="Times New Roman"/>
                <w:sz w:val="20"/>
                <w:szCs w:val="20"/>
              </w:rPr>
              <w:t xml:space="preserve"> The negative slope value was obtained from linear regression of the logarithm of plasma concentration over time. At least 3 data points will be included in the calculation of λ</w:t>
            </w:r>
            <w:r w:rsidRPr="00101741">
              <w:rPr>
                <w:rFonts w:cs="Times New Roman"/>
                <w:sz w:val="20"/>
                <w:szCs w:val="20"/>
                <w:vertAlign w:val="subscript"/>
              </w:rPr>
              <w:t>z</w:t>
            </w:r>
            <w:r w:rsidRPr="00101741">
              <w:rPr>
                <w:rFonts w:cs="Times New Roman"/>
                <w:sz w:val="20"/>
                <w:szCs w:val="20"/>
              </w:rPr>
              <w:t>.</w:t>
            </w:r>
          </w:p>
        </w:tc>
      </w:tr>
      <w:tr w:rsidR="0005712D" w:rsidRPr="00101741" w14:paraId="0FB96A19" w14:textId="77777777" w:rsidTr="007226EC">
        <w:tc>
          <w:tcPr>
            <w:tcW w:w="1775" w:type="pct"/>
            <w:tcMar>
              <w:top w:w="57" w:type="dxa"/>
              <w:left w:w="57" w:type="dxa"/>
              <w:bottom w:w="57" w:type="dxa"/>
              <w:right w:w="57" w:type="dxa"/>
            </w:tcMar>
            <w:vAlign w:val="center"/>
          </w:tcPr>
          <w:p w14:paraId="64FFCFBA"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sz w:val="20"/>
                <w:szCs w:val="20"/>
              </w:rPr>
            </w:pPr>
            <w:bookmarkStart w:id="109" w:name="OLE_LINK4"/>
            <w:r w:rsidRPr="00101741">
              <w:rPr>
                <w:rFonts w:cs="Times New Roman"/>
                <w:sz w:val="20"/>
                <w:szCs w:val="20"/>
                <w:lang w:eastAsia="zh-TW"/>
              </w:rPr>
              <w:t>AUC</w:t>
            </w:r>
            <w:r w:rsidRPr="00101741">
              <w:rPr>
                <w:rFonts w:cs="Times New Roman"/>
                <w:sz w:val="20"/>
                <w:szCs w:val="20"/>
                <w:vertAlign w:val="subscript"/>
                <w:lang w:eastAsia="zh-TW"/>
              </w:rPr>
              <w:t>0-τ,ss</w:t>
            </w:r>
            <w:bookmarkEnd w:id="109"/>
          </w:p>
        </w:tc>
        <w:tc>
          <w:tcPr>
            <w:tcW w:w="3225" w:type="pct"/>
            <w:tcMar>
              <w:top w:w="57" w:type="dxa"/>
              <w:left w:w="57" w:type="dxa"/>
              <w:bottom w:w="57" w:type="dxa"/>
              <w:right w:w="57" w:type="dxa"/>
            </w:tcMar>
            <w:vAlign w:val="center"/>
          </w:tcPr>
          <w:p w14:paraId="44D10822"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b/>
                <w:sz w:val="20"/>
                <w:szCs w:val="20"/>
              </w:rPr>
            </w:pPr>
            <w:r w:rsidRPr="00101741">
              <w:rPr>
                <w:rFonts w:cs="Times New Roman"/>
                <w:sz w:val="20"/>
                <w:szCs w:val="20"/>
              </w:rPr>
              <w:t>Area under the plasma concentration-time curve within a given dosing interval at steady state</w:t>
            </w:r>
            <w:r w:rsidRPr="00101741">
              <w:rPr>
                <w:rFonts w:cs="Times New Roman" w:hint="eastAsia"/>
                <w:sz w:val="20"/>
                <w:szCs w:val="20"/>
              </w:rPr>
              <w:t>.</w:t>
            </w:r>
          </w:p>
        </w:tc>
      </w:tr>
      <w:tr w:rsidR="0005712D" w:rsidRPr="00101741" w14:paraId="6BDEC392" w14:textId="77777777" w:rsidTr="007226EC">
        <w:tc>
          <w:tcPr>
            <w:tcW w:w="1775" w:type="pct"/>
            <w:tcMar>
              <w:top w:w="57" w:type="dxa"/>
              <w:left w:w="57" w:type="dxa"/>
              <w:bottom w:w="57" w:type="dxa"/>
              <w:right w:w="57" w:type="dxa"/>
            </w:tcMar>
            <w:vAlign w:val="center"/>
          </w:tcPr>
          <w:p w14:paraId="6D83BBDC"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AUC</w:t>
            </w:r>
            <w:r w:rsidRPr="00101741">
              <w:rPr>
                <w:rFonts w:cs="Times New Roman"/>
                <w:sz w:val="20"/>
                <w:szCs w:val="20"/>
                <w:vertAlign w:val="subscript"/>
              </w:rPr>
              <w:t>0-∞</w:t>
            </w:r>
          </w:p>
        </w:tc>
        <w:tc>
          <w:tcPr>
            <w:tcW w:w="3225" w:type="pct"/>
            <w:tcMar>
              <w:top w:w="57" w:type="dxa"/>
              <w:left w:w="57" w:type="dxa"/>
              <w:bottom w:w="57" w:type="dxa"/>
              <w:right w:w="57" w:type="dxa"/>
            </w:tcMar>
            <w:vAlign w:val="center"/>
          </w:tcPr>
          <w:p w14:paraId="71CACCAC" w14:textId="77777777"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Area under the concentration-time curve extrapolated from time 0 to infinity. AUC</w:t>
            </w:r>
            <w:r w:rsidRPr="00101741">
              <w:rPr>
                <w:rFonts w:cs="Times New Roman"/>
                <w:sz w:val="20"/>
                <w:szCs w:val="20"/>
                <w:vertAlign w:val="subscript"/>
              </w:rPr>
              <w:t>0-∞</w:t>
            </w:r>
            <w:r w:rsidRPr="00101741">
              <w:rPr>
                <w:rFonts w:cs="Times New Roman"/>
                <w:sz w:val="20"/>
                <w:szCs w:val="20"/>
              </w:rPr>
              <w:t xml:space="preserve"> = AUC</w:t>
            </w:r>
            <w:r w:rsidRPr="00101741">
              <w:rPr>
                <w:rFonts w:cs="Times New Roman"/>
                <w:sz w:val="20"/>
                <w:szCs w:val="20"/>
                <w:vertAlign w:val="subscript"/>
              </w:rPr>
              <w:t>0–t</w:t>
            </w:r>
            <w:r w:rsidRPr="00101741">
              <w:rPr>
                <w:rFonts w:cs="Times New Roman"/>
                <w:sz w:val="20"/>
                <w:szCs w:val="20"/>
              </w:rPr>
              <w:t xml:space="preserve"> + C</w:t>
            </w:r>
            <w:r w:rsidRPr="00101741">
              <w:rPr>
                <w:rFonts w:cs="Times New Roman"/>
                <w:sz w:val="20"/>
                <w:szCs w:val="20"/>
                <w:vertAlign w:val="subscript"/>
              </w:rPr>
              <w:t>t</w:t>
            </w:r>
            <w:r w:rsidRPr="00101741">
              <w:rPr>
                <w:rFonts w:cs="Times New Roman"/>
                <w:sz w:val="20"/>
                <w:szCs w:val="20"/>
              </w:rPr>
              <w:t>/λ</w:t>
            </w:r>
            <w:r w:rsidRPr="00101741">
              <w:rPr>
                <w:rFonts w:cs="Times New Roman"/>
                <w:sz w:val="20"/>
                <w:szCs w:val="20"/>
                <w:vertAlign w:val="subscript"/>
              </w:rPr>
              <w:t>z</w:t>
            </w:r>
            <w:r w:rsidRPr="00101741">
              <w:rPr>
                <w:rFonts w:cs="Times New Roman"/>
                <w:sz w:val="20"/>
                <w:szCs w:val="20"/>
              </w:rPr>
              <w:t xml:space="preserve"> (C</w:t>
            </w:r>
            <w:r w:rsidRPr="00101741">
              <w:rPr>
                <w:rFonts w:cs="Times New Roman"/>
                <w:sz w:val="20"/>
                <w:szCs w:val="20"/>
                <w:vertAlign w:val="subscript"/>
              </w:rPr>
              <w:t>t</w:t>
            </w:r>
            <w:r w:rsidRPr="00101741">
              <w:rPr>
                <w:rFonts w:cs="Times New Roman"/>
                <w:sz w:val="20"/>
                <w:szCs w:val="20"/>
              </w:rPr>
              <w:t xml:space="preserve"> is the last plasma concentration that can be accurately measured, and λz is the terminal elimination rate constant).</w:t>
            </w:r>
          </w:p>
        </w:tc>
      </w:tr>
      <w:tr w:rsidR="0005712D" w:rsidRPr="00101741" w14:paraId="3FF5DB7B" w14:textId="77777777" w:rsidTr="007226EC">
        <w:tc>
          <w:tcPr>
            <w:tcW w:w="1775" w:type="pct"/>
            <w:tcMar>
              <w:top w:w="57" w:type="dxa"/>
              <w:left w:w="57" w:type="dxa"/>
              <w:bottom w:w="57" w:type="dxa"/>
              <w:right w:w="57" w:type="dxa"/>
            </w:tcMar>
            <w:vAlign w:val="center"/>
          </w:tcPr>
          <w:p w14:paraId="7C946168"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AUC</w:t>
            </w:r>
            <w:r w:rsidRPr="00101741">
              <w:rPr>
                <w:rFonts w:cs="Times New Roman"/>
                <w:sz w:val="20"/>
                <w:szCs w:val="20"/>
                <w:vertAlign w:val="subscript"/>
              </w:rPr>
              <w:t>0-t</w:t>
            </w:r>
          </w:p>
        </w:tc>
        <w:tc>
          <w:tcPr>
            <w:tcW w:w="3225" w:type="pct"/>
            <w:tcMar>
              <w:top w:w="57" w:type="dxa"/>
              <w:left w:w="57" w:type="dxa"/>
              <w:bottom w:w="57" w:type="dxa"/>
              <w:right w:w="57" w:type="dxa"/>
            </w:tcMar>
            <w:vAlign w:val="center"/>
          </w:tcPr>
          <w:p w14:paraId="6369DB4C" w14:textId="25250BCD"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Area under the plasma concentration-time curve from time 0 to the time point t of the last measurable concentration calculated by the linear trapezoidal linear interpolation method.</w:t>
            </w:r>
          </w:p>
        </w:tc>
      </w:tr>
      <w:tr w:rsidR="0005712D" w:rsidRPr="00101741" w14:paraId="1524665C" w14:textId="77777777" w:rsidTr="007226EC">
        <w:tc>
          <w:tcPr>
            <w:tcW w:w="1775" w:type="pct"/>
            <w:tcMar>
              <w:top w:w="57" w:type="dxa"/>
              <w:left w:w="57" w:type="dxa"/>
              <w:bottom w:w="57" w:type="dxa"/>
              <w:right w:w="57" w:type="dxa"/>
            </w:tcMar>
          </w:tcPr>
          <w:p w14:paraId="2B40EA57"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AUC</w:t>
            </w:r>
            <w:r w:rsidRPr="00101741">
              <w:rPr>
                <w:rFonts w:cs="Times New Roman"/>
                <w:sz w:val="20"/>
                <w:szCs w:val="20"/>
                <w:vertAlign w:val="subscript"/>
              </w:rPr>
              <w:t>_%Extrap</w:t>
            </w:r>
          </w:p>
        </w:tc>
        <w:tc>
          <w:tcPr>
            <w:tcW w:w="3225" w:type="pct"/>
            <w:tcMar>
              <w:top w:w="57" w:type="dxa"/>
              <w:left w:w="57" w:type="dxa"/>
              <w:bottom w:w="57" w:type="dxa"/>
              <w:right w:w="57" w:type="dxa"/>
            </w:tcMar>
          </w:tcPr>
          <w:p w14:paraId="746AD4F5" w14:textId="67D8B166" w:rsidR="0005712D" w:rsidRPr="00101741" w:rsidRDefault="00EB7508" w:rsidP="00306959">
            <w:pPr>
              <w:overflowPunct w:val="0"/>
              <w:autoSpaceDE w:val="0"/>
              <w:autoSpaceDN w:val="0"/>
              <w:adjustRightInd w:val="0"/>
              <w:snapToGrid w:val="0"/>
              <w:spacing w:before="0" w:after="0" w:line="240" w:lineRule="auto"/>
              <w:jc w:val="left"/>
              <w:rPr>
                <w:rFonts w:cs="Times New Roman"/>
                <w:sz w:val="20"/>
                <w:szCs w:val="20"/>
              </w:rPr>
            </w:pPr>
            <w:r w:rsidRPr="00EB7508">
              <w:rPr>
                <w:rFonts w:cs="Times New Roman"/>
                <w:sz w:val="20"/>
                <w:szCs w:val="20"/>
              </w:rPr>
              <w:t>Percentage of the area under the curve extrapolated</w:t>
            </w:r>
            <w:r>
              <w:rPr>
                <w:rFonts w:cs="Times New Roman" w:hint="eastAsia"/>
                <w:sz w:val="20"/>
                <w:szCs w:val="20"/>
              </w:rPr>
              <w:t>.</w:t>
            </w:r>
            <w:r w:rsidR="00CF2A39" w:rsidRPr="00101741">
              <w:rPr>
                <w:rFonts w:cs="Times New Roman"/>
                <w:sz w:val="20"/>
                <w:szCs w:val="20"/>
              </w:rPr>
              <w:t xml:space="preserve"> The proportion of AUC extrapolated from the time of the last measurable concentration to infinity in AUC</w:t>
            </w:r>
            <w:r w:rsidR="00CF2A39" w:rsidRPr="00101741">
              <w:rPr>
                <w:rFonts w:cs="Times New Roman"/>
                <w:sz w:val="20"/>
                <w:szCs w:val="20"/>
                <w:vertAlign w:val="subscript"/>
              </w:rPr>
              <w:t>0-∞</w:t>
            </w:r>
            <w:r w:rsidR="00CF2A39" w:rsidRPr="00101741">
              <w:rPr>
                <w:rFonts w:cs="Times New Roman"/>
                <w:sz w:val="20"/>
                <w:szCs w:val="20"/>
              </w:rPr>
              <w:t>. AUC</w:t>
            </w:r>
            <w:r w:rsidR="00CF2A39" w:rsidRPr="00101741">
              <w:rPr>
                <w:rFonts w:cs="Times New Roman"/>
                <w:sz w:val="20"/>
                <w:szCs w:val="20"/>
                <w:vertAlign w:val="subscript"/>
              </w:rPr>
              <w:t>_%Extrap</w:t>
            </w:r>
            <w:r w:rsidR="00CF2A39" w:rsidRPr="00101741">
              <w:rPr>
                <w:rFonts w:cs="Times New Roman"/>
                <w:sz w:val="20"/>
                <w:szCs w:val="20"/>
              </w:rPr>
              <w:t xml:space="preserve"> = 100% × (AUC</w:t>
            </w:r>
            <w:r w:rsidR="00CF2A39" w:rsidRPr="00101741">
              <w:rPr>
                <w:rFonts w:cs="Times New Roman"/>
                <w:sz w:val="20"/>
                <w:szCs w:val="20"/>
                <w:vertAlign w:val="subscript"/>
              </w:rPr>
              <w:t>0-∞</w:t>
            </w:r>
            <w:r w:rsidR="00CF2A39" w:rsidRPr="00101741">
              <w:rPr>
                <w:rFonts w:cs="Times New Roman"/>
                <w:sz w:val="20"/>
                <w:szCs w:val="20"/>
              </w:rPr>
              <w:t xml:space="preserve"> – AUC</w:t>
            </w:r>
            <w:r w:rsidR="00CF2A39" w:rsidRPr="00101741">
              <w:rPr>
                <w:rFonts w:cs="Times New Roman"/>
                <w:sz w:val="20"/>
                <w:szCs w:val="20"/>
                <w:vertAlign w:val="subscript"/>
              </w:rPr>
              <w:t>0-t</w:t>
            </w:r>
            <w:r w:rsidR="00CF2A39" w:rsidRPr="00101741">
              <w:rPr>
                <w:rFonts w:cs="Times New Roman"/>
                <w:sz w:val="20"/>
                <w:szCs w:val="20"/>
              </w:rPr>
              <w:t>)/AUC</w:t>
            </w:r>
            <w:r w:rsidR="00CF2A39" w:rsidRPr="00101741">
              <w:rPr>
                <w:rFonts w:cs="Times New Roman"/>
                <w:sz w:val="20"/>
                <w:szCs w:val="20"/>
                <w:vertAlign w:val="subscript"/>
              </w:rPr>
              <w:t>0-∞</w:t>
            </w:r>
          </w:p>
        </w:tc>
      </w:tr>
      <w:tr w:rsidR="0005712D" w:rsidRPr="00101741" w14:paraId="295C24D2" w14:textId="77777777" w:rsidTr="007226EC">
        <w:tc>
          <w:tcPr>
            <w:tcW w:w="1775" w:type="pct"/>
            <w:tcMar>
              <w:top w:w="57" w:type="dxa"/>
              <w:left w:w="57" w:type="dxa"/>
              <w:bottom w:w="57" w:type="dxa"/>
              <w:right w:w="57" w:type="dxa"/>
            </w:tcMar>
            <w:vAlign w:val="center"/>
          </w:tcPr>
          <w:p w14:paraId="4EB2DD96"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CL/F</w:t>
            </w:r>
          </w:p>
        </w:tc>
        <w:tc>
          <w:tcPr>
            <w:tcW w:w="3225" w:type="pct"/>
            <w:tcMar>
              <w:top w:w="57" w:type="dxa"/>
              <w:left w:w="57" w:type="dxa"/>
              <w:bottom w:w="57" w:type="dxa"/>
              <w:right w:w="57" w:type="dxa"/>
            </w:tcMar>
            <w:vAlign w:val="center"/>
          </w:tcPr>
          <w:p w14:paraId="4CEFECF8" w14:textId="77777777"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Apparent clearance, i.e., the volume of drug-containing fluid that is completely and effectively removed by the eliminating organ per unit of time.</w:t>
            </w:r>
          </w:p>
          <w:p w14:paraId="3EEB99F6" w14:textId="77777777"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vertAlign w:val="subscript"/>
              </w:rPr>
            </w:pPr>
            <w:r w:rsidRPr="00101741">
              <w:rPr>
                <w:rFonts w:cs="Times New Roman"/>
                <w:sz w:val="20"/>
                <w:szCs w:val="20"/>
              </w:rPr>
              <w:t xml:space="preserve">Calculation formula for multiple doses: CL/F = Dose/AUC </w:t>
            </w:r>
            <w:r w:rsidRPr="00101741">
              <w:rPr>
                <w:rFonts w:cs="Times New Roman"/>
                <w:sz w:val="20"/>
                <w:szCs w:val="20"/>
                <w:vertAlign w:val="subscript"/>
              </w:rPr>
              <w:t>0-τ</w:t>
            </w:r>
          </w:p>
        </w:tc>
      </w:tr>
      <w:tr w:rsidR="0005712D" w:rsidRPr="00101741" w14:paraId="78C9A584" w14:textId="77777777" w:rsidTr="007226EC">
        <w:tc>
          <w:tcPr>
            <w:tcW w:w="1775" w:type="pct"/>
            <w:tcMar>
              <w:top w:w="57" w:type="dxa"/>
              <w:left w:w="57" w:type="dxa"/>
              <w:bottom w:w="57" w:type="dxa"/>
              <w:right w:w="57" w:type="dxa"/>
            </w:tcMar>
            <w:vAlign w:val="center"/>
          </w:tcPr>
          <w:p w14:paraId="59053888"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V</w:t>
            </w:r>
            <w:r w:rsidRPr="00101741">
              <w:rPr>
                <w:rFonts w:cs="Times New Roman"/>
                <w:color w:val="000000" w:themeColor="text1"/>
                <w:sz w:val="20"/>
                <w:szCs w:val="20"/>
                <w:vertAlign w:val="subscript"/>
              </w:rPr>
              <w:t>z</w:t>
            </w:r>
            <w:r w:rsidRPr="00101741">
              <w:rPr>
                <w:rFonts w:cs="Times New Roman"/>
                <w:sz w:val="20"/>
                <w:szCs w:val="20"/>
              </w:rPr>
              <w:t>/F</w:t>
            </w:r>
          </w:p>
        </w:tc>
        <w:tc>
          <w:tcPr>
            <w:tcW w:w="3225" w:type="pct"/>
            <w:tcMar>
              <w:top w:w="57" w:type="dxa"/>
              <w:left w:w="57" w:type="dxa"/>
              <w:bottom w:w="57" w:type="dxa"/>
              <w:right w:w="57" w:type="dxa"/>
            </w:tcMar>
            <w:vAlign w:val="center"/>
          </w:tcPr>
          <w:p w14:paraId="0014A7C4" w14:textId="77777777"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Apparent volume of distribution.</w:t>
            </w:r>
          </w:p>
          <w:p w14:paraId="38569D23" w14:textId="2A2FAB66"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color w:val="000000" w:themeColor="text1"/>
                <w:sz w:val="20"/>
                <w:szCs w:val="20"/>
              </w:rPr>
              <w:t>Formula for multiple-dose calculation: V</w:t>
            </w:r>
            <w:r w:rsidRPr="00101741">
              <w:rPr>
                <w:rFonts w:cs="Times New Roman"/>
                <w:color w:val="000000" w:themeColor="text1"/>
                <w:sz w:val="20"/>
                <w:szCs w:val="20"/>
                <w:vertAlign w:val="subscript"/>
              </w:rPr>
              <w:t>z</w:t>
            </w:r>
            <w:r w:rsidRPr="00101741">
              <w:rPr>
                <w:rFonts w:cs="Times New Roman"/>
                <w:color w:val="000000" w:themeColor="text1"/>
                <w:sz w:val="20"/>
                <w:szCs w:val="20"/>
              </w:rPr>
              <w:t>/F =</w:t>
            </w:r>
            <w:r w:rsidRPr="00101741">
              <w:rPr>
                <w:rFonts w:cs="Times New Roman"/>
                <w:sz w:val="20"/>
                <w:szCs w:val="20"/>
              </w:rPr>
              <w:t xml:space="preserve"> Dose</w:t>
            </w:r>
            <w:r w:rsidRPr="00101741">
              <w:rPr>
                <w:rFonts w:cs="Times New Roman"/>
                <w:color w:val="000000" w:themeColor="text1"/>
                <w:sz w:val="20"/>
                <w:szCs w:val="20"/>
              </w:rPr>
              <w:t>/(λ</w:t>
            </w:r>
            <w:r w:rsidRPr="00101741">
              <w:rPr>
                <w:rFonts w:cs="Times New Roman"/>
                <w:color w:val="000000" w:themeColor="text1"/>
                <w:sz w:val="20"/>
                <w:szCs w:val="20"/>
                <w:vertAlign w:val="subscript"/>
              </w:rPr>
              <w:t>z</w:t>
            </w:r>
            <w:r w:rsidRPr="00101741">
              <w:rPr>
                <w:rFonts w:cs="Times New Roman"/>
                <w:color w:val="000000" w:themeColor="text1"/>
                <w:sz w:val="20"/>
                <w:szCs w:val="20"/>
              </w:rPr>
              <w:t xml:space="preserve"> × AUC</w:t>
            </w:r>
            <w:r w:rsidRPr="00101741">
              <w:rPr>
                <w:rFonts w:cs="Times New Roman"/>
                <w:color w:val="000000" w:themeColor="text1"/>
                <w:sz w:val="20"/>
                <w:szCs w:val="20"/>
                <w:vertAlign w:val="subscript"/>
              </w:rPr>
              <w:t>0-τ</w:t>
            </w:r>
            <w:r w:rsidRPr="00101741">
              <w:rPr>
                <w:rFonts w:cs="Times New Roman"/>
                <w:color w:val="000000" w:themeColor="text1"/>
                <w:sz w:val="20"/>
                <w:szCs w:val="20"/>
              </w:rPr>
              <w:t>).</w:t>
            </w:r>
          </w:p>
        </w:tc>
      </w:tr>
      <w:tr w:rsidR="0005712D" w:rsidRPr="00101741" w14:paraId="4099330E" w14:textId="77777777" w:rsidTr="007226EC">
        <w:tc>
          <w:tcPr>
            <w:tcW w:w="1775" w:type="pct"/>
            <w:tcMar>
              <w:top w:w="57" w:type="dxa"/>
              <w:left w:w="57" w:type="dxa"/>
              <w:bottom w:w="57" w:type="dxa"/>
              <w:right w:w="57" w:type="dxa"/>
            </w:tcMar>
          </w:tcPr>
          <w:p w14:paraId="6FD345E7"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MRT</w:t>
            </w:r>
            <w:r w:rsidRPr="00101741">
              <w:rPr>
                <w:rFonts w:cs="Times New Roman"/>
                <w:color w:val="000000" w:themeColor="text1"/>
                <w:sz w:val="20"/>
                <w:szCs w:val="20"/>
                <w:vertAlign w:val="subscript"/>
              </w:rPr>
              <w:t>0-</w:t>
            </w:r>
            <w:r w:rsidRPr="00101741">
              <w:rPr>
                <w:rFonts w:cs="Times New Roman"/>
                <w:sz w:val="20"/>
                <w:szCs w:val="20"/>
                <w:vertAlign w:val="subscript"/>
              </w:rPr>
              <w:t>∞</w:t>
            </w:r>
          </w:p>
        </w:tc>
        <w:tc>
          <w:tcPr>
            <w:tcW w:w="3225" w:type="pct"/>
            <w:tcMar>
              <w:top w:w="57" w:type="dxa"/>
              <w:left w:w="57" w:type="dxa"/>
              <w:bottom w:w="57" w:type="dxa"/>
              <w:right w:w="57" w:type="dxa"/>
            </w:tcMar>
          </w:tcPr>
          <w:p w14:paraId="172DAEAC" w14:textId="21DB29BF"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Mean residence time (MRT</w:t>
            </w:r>
            <w:r w:rsidRPr="00101741">
              <w:rPr>
                <w:rFonts w:cs="Times New Roman"/>
                <w:sz w:val="20"/>
                <w:szCs w:val="20"/>
                <w:vertAlign w:val="subscript"/>
              </w:rPr>
              <w:t>0-∞</w:t>
            </w:r>
            <w:r w:rsidRPr="00101741">
              <w:rPr>
                <w:rFonts w:cs="Times New Roman"/>
                <w:sz w:val="20"/>
                <w:szCs w:val="20"/>
              </w:rPr>
              <w:t>) = AUMC</w:t>
            </w:r>
            <w:r w:rsidRPr="00101741">
              <w:rPr>
                <w:rFonts w:cs="Times New Roman"/>
                <w:sz w:val="20"/>
                <w:szCs w:val="20"/>
                <w:vertAlign w:val="subscript"/>
              </w:rPr>
              <w:t>0-∞</w:t>
            </w:r>
            <w:r w:rsidRPr="00101741">
              <w:rPr>
                <w:rFonts w:cs="Times New Roman"/>
                <w:sz w:val="20"/>
                <w:szCs w:val="20"/>
              </w:rPr>
              <w:t>/AUC</w:t>
            </w:r>
            <w:r w:rsidRPr="00101741">
              <w:rPr>
                <w:rFonts w:cs="Times New Roman"/>
                <w:sz w:val="20"/>
                <w:szCs w:val="20"/>
                <w:vertAlign w:val="subscript"/>
              </w:rPr>
              <w:t>0-∞</w:t>
            </w:r>
            <w:r w:rsidR="00394C27" w:rsidRPr="00101741">
              <w:rPr>
                <w:rFonts w:cs="Times New Roman" w:hint="eastAsia"/>
                <w:sz w:val="20"/>
                <w:szCs w:val="20"/>
                <w:vertAlign w:val="subscript"/>
              </w:rPr>
              <w:t>.</w:t>
            </w:r>
          </w:p>
        </w:tc>
      </w:tr>
    </w:tbl>
    <w:p w14:paraId="5D68E078" w14:textId="77777777" w:rsidR="0005712D" w:rsidRPr="00F72DDB" w:rsidRDefault="00CF2A39" w:rsidP="004F1FD9">
      <w:pPr>
        <w:pStyle w:val="a9"/>
        <w:numPr>
          <w:ilvl w:val="255"/>
          <w:numId w:val="0"/>
        </w:numPr>
        <w:overflowPunct w:val="0"/>
        <w:autoSpaceDE w:val="0"/>
        <w:autoSpaceDN w:val="0"/>
        <w:adjustRightInd w:val="0"/>
        <w:snapToGrid w:val="0"/>
        <w:spacing w:beforeLines="50" w:before="120" w:afterLines="50" w:line="300" w:lineRule="auto"/>
        <w:jc w:val="left"/>
        <w:rPr>
          <w:rFonts w:cs="Times New Roman"/>
          <w:sz w:val="24"/>
        </w:rPr>
      </w:pPr>
      <w:r w:rsidRPr="00F72DDB">
        <w:rPr>
          <w:rFonts w:cs="Times New Roman"/>
          <w:sz w:val="24"/>
        </w:rPr>
        <w:t>The PK parameters of acetaminophen mainly included: T</w:t>
      </w:r>
      <w:r w:rsidRPr="00F72DDB">
        <w:rPr>
          <w:rFonts w:cs="Times New Roman"/>
          <w:sz w:val="24"/>
          <w:vertAlign w:val="subscript"/>
        </w:rPr>
        <w:t>max</w:t>
      </w:r>
      <w:r w:rsidRPr="00F72DDB">
        <w:rPr>
          <w:rFonts w:cs="Times New Roman"/>
          <w:sz w:val="24"/>
        </w:rPr>
        <w:t>, T</w:t>
      </w:r>
      <w:r w:rsidRPr="00F72DDB">
        <w:rPr>
          <w:rFonts w:cs="Times New Roman"/>
          <w:sz w:val="24"/>
          <w:vertAlign w:val="subscript"/>
        </w:rPr>
        <w:t>lag</w:t>
      </w:r>
      <w:r w:rsidRPr="00F72DDB">
        <w:rPr>
          <w:rFonts w:cs="Times New Roman"/>
          <w:sz w:val="24"/>
        </w:rPr>
        <w:t>, C</w:t>
      </w:r>
      <w:r w:rsidRPr="00F72DDB">
        <w:rPr>
          <w:rFonts w:cs="Times New Roman"/>
          <w:sz w:val="24"/>
          <w:vertAlign w:val="subscript"/>
        </w:rPr>
        <w:t>max</w:t>
      </w:r>
      <w:r w:rsidRPr="00F72DDB">
        <w:rPr>
          <w:rFonts w:cs="Times New Roman"/>
          <w:sz w:val="24"/>
        </w:rPr>
        <w:t>, t</w:t>
      </w:r>
      <w:r w:rsidRPr="00F72DDB">
        <w:rPr>
          <w:rFonts w:cs="Times New Roman"/>
          <w:sz w:val="24"/>
          <w:vertAlign w:val="subscript"/>
        </w:rPr>
        <w:t>1/2</w:t>
      </w:r>
      <w:r w:rsidRPr="00F72DDB">
        <w:rPr>
          <w:rFonts w:cs="Times New Roman"/>
          <w:sz w:val="24"/>
        </w:rPr>
        <w:t>, AUC</w:t>
      </w:r>
      <w:r w:rsidRPr="00F72DDB">
        <w:rPr>
          <w:rFonts w:cs="Times New Roman"/>
          <w:sz w:val="24"/>
          <w:vertAlign w:val="subscript"/>
        </w:rPr>
        <w:t>0-∞</w:t>
      </w:r>
      <w:r w:rsidRPr="00F72DDB">
        <w:rPr>
          <w:rFonts w:cs="Times New Roman"/>
          <w:sz w:val="24"/>
        </w:rPr>
        <w:t>, AUC</w:t>
      </w:r>
      <w:r w:rsidRPr="00F72DDB">
        <w:rPr>
          <w:rFonts w:cs="Times New Roman"/>
          <w:sz w:val="24"/>
          <w:vertAlign w:val="subscript"/>
        </w:rPr>
        <w:t>0-t</w:t>
      </w:r>
      <w:r w:rsidRPr="00F72DDB">
        <w:rPr>
          <w:rFonts w:cs="Times New Roman"/>
          <w:sz w:val="24"/>
        </w:rPr>
        <w:t xml:space="preserve">, </w:t>
      </w:r>
      <w:r w:rsidRPr="00F72DDB">
        <w:rPr>
          <w:rFonts w:cs="Times New Roman"/>
          <w:sz w:val="24"/>
        </w:rPr>
        <w:lastRenderedPageBreak/>
        <w:t>CL/F, MRT, V</w:t>
      </w:r>
      <w:r w:rsidRPr="00F72DDB">
        <w:rPr>
          <w:rFonts w:cs="Times New Roman"/>
          <w:sz w:val="24"/>
          <w:vertAlign w:val="subscript"/>
        </w:rPr>
        <w:t>z</w:t>
      </w:r>
      <w:r w:rsidRPr="00F72DDB">
        <w:rPr>
          <w:rFonts w:cs="Times New Roman"/>
          <w:sz w:val="24"/>
        </w:rPr>
        <w:t>F, AUC</w:t>
      </w:r>
      <w:r w:rsidRPr="00F72DDB">
        <w:rPr>
          <w:rFonts w:cs="Times New Roman"/>
          <w:sz w:val="24"/>
          <w:vertAlign w:val="subscript"/>
        </w:rPr>
        <w:t>_%Extrap</w:t>
      </w:r>
      <w:r w:rsidRPr="00F72DDB">
        <w:rPr>
          <w:rFonts w:cs="Times New Roman"/>
          <w:sz w:val="24"/>
        </w:rPr>
        <w:t xml:space="preserve">, and </w:t>
      </w:r>
      <w:r w:rsidRPr="00F72DDB">
        <w:rPr>
          <w:rFonts w:cs="Times New Roman"/>
          <w:sz w:val="24"/>
        </w:rPr>
        <w:sym w:font="Symbol" w:char="F06C"/>
      </w:r>
      <w:r w:rsidRPr="00F72DDB">
        <w:rPr>
          <w:rFonts w:cs="Times New Roman"/>
          <w:sz w:val="24"/>
        </w:rPr>
        <w:t>z.</w:t>
      </w:r>
    </w:p>
    <w:p w14:paraId="74A6711F" w14:textId="77777777" w:rsidR="0005712D" w:rsidRPr="00F72DDB" w:rsidRDefault="00CF2A39" w:rsidP="004F1FD9">
      <w:pPr>
        <w:pStyle w:val="a9"/>
        <w:numPr>
          <w:ilvl w:val="255"/>
          <w:numId w:val="0"/>
        </w:numPr>
        <w:overflowPunct w:val="0"/>
        <w:autoSpaceDE w:val="0"/>
        <w:autoSpaceDN w:val="0"/>
        <w:adjustRightInd w:val="0"/>
        <w:snapToGrid w:val="0"/>
        <w:spacing w:beforeLines="50" w:before="120" w:afterLines="50" w:line="300" w:lineRule="auto"/>
        <w:jc w:val="left"/>
        <w:rPr>
          <w:rFonts w:cs="Times New Roman"/>
          <w:sz w:val="24"/>
        </w:rPr>
      </w:pPr>
      <w:r w:rsidRPr="00F72DDB">
        <w:rPr>
          <w:rFonts w:cs="Times New Roman"/>
          <w:sz w:val="24"/>
        </w:rPr>
        <w:t>The PK parameters for acetaminophen are defined as follows:</w:t>
      </w:r>
    </w:p>
    <w:tbl>
      <w:tblPr>
        <w:tblW w:w="5000" w:type="pct"/>
        <w:tblBorders>
          <w:top w:val="single" w:sz="4" w:space="0" w:color="auto"/>
          <w:bottom w:val="single" w:sz="4" w:space="0" w:color="auto"/>
        </w:tblBorders>
        <w:tblLook w:val="04A0" w:firstRow="1" w:lastRow="0" w:firstColumn="1" w:lastColumn="0" w:noHBand="0" w:noVBand="1"/>
      </w:tblPr>
      <w:tblGrid>
        <w:gridCol w:w="1391"/>
        <w:gridCol w:w="8085"/>
      </w:tblGrid>
      <w:tr w:rsidR="0005712D" w:rsidRPr="00101741" w14:paraId="3C773011" w14:textId="77777777" w:rsidTr="007226EC">
        <w:tc>
          <w:tcPr>
            <w:tcW w:w="734" w:type="pct"/>
            <w:tcBorders>
              <w:top w:val="single" w:sz="4" w:space="0" w:color="auto"/>
              <w:bottom w:val="single" w:sz="4" w:space="0" w:color="auto"/>
            </w:tcBorders>
            <w:shd w:val="clear" w:color="auto" w:fill="D9D9D9"/>
            <w:tcMar>
              <w:top w:w="28" w:type="dxa"/>
              <w:left w:w="57" w:type="dxa"/>
              <w:bottom w:w="28" w:type="dxa"/>
              <w:right w:w="57" w:type="dxa"/>
            </w:tcMar>
            <w:vAlign w:val="center"/>
          </w:tcPr>
          <w:p w14:paraId="0575430B"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sz w:val="20"/>
                <w:szCs w:val="20"/>
              </w:rPr>
            </w:pPr>
            <w:r w:rsidRPr="00101741">
              <w:rPr>
                <w:rFonts w:cs="Times New Roman"/>
                <w:b/>
                <w:sz w:val="20"/>
                <w:szCs w:val="20"/>
              </w:rPr>
              <w:t>PK parameter</w:t>
            </w:r>
          </w:p>
        </w:tc>
        <w:tc>
          <w:tcPr>
            <w:tcW w:w="4266" w:type="pct"/>
            <w:tcBorders>
              <w:top w:val="single" w:sz="4" w:space="0" w:color="auto"/>
              <w:bottom w:val="single" w:sz="4" w:space="0" w:color="auto"/>
            </w:tcBorders>
            <w:shd w:val="clear" w:color="auto" w:fill="D9D9D9"/>
            <w:tcMar>
              <w:top w:w="28" w:type="dxa"/>
              <w:left w:w="57" w:type="dxa"/>
              <w:bottom w:w="28" w:type="dxa"/>
              <w:right w:w="57" w:type="dxa"/>
            </w:tcMar>
            <w:vAlign w:val="center"/>
          </w:tcPr>
          <w:p w14:paraId="7E99A2AE"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sz w:val="20"/>
                <w:szCs w:val="20"/>
              </w:rPr>
            </w:pPr>
            <w:r w:rsidRPr="00101741">
              <w:rPr>
                <w:rFonts w:cs="Times New Roman"/>
                <w:b/>
                <w:sz w:val="20"/>
                <w:szCs w:val="20"/>
              </w:rPr>
              <w:t>Definition</w:t>
            </w:r>
          </w:p>
        </w:tc>
      </w:tr>
      <w:tr w:rsidR="0005712D" w:rsidRPr="00101741" w14:paraId="67606FDF" w14:textId="77777777" w:rsidTr="007226EC">
        <w:tc>
          <w:tcPr>
            <w:tcW w:w="734" w:type="pct"/>
            <w:tcMar>
              <w:top w:w="28" w:type="dxa"/>
              <w:left w:w="57" w:type="dxa"/>
              <w:bottom w:w="28" w:type="dxa"/>
              <w:right w:w="57" w:type="dxa"/>
            </w:tcMar>
            <w:vAlign w:val="center"/>
          </w:tcPr>
          <w:p w14:paraId="78745524"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highlight w:val="yellow"/>
              </w:rPr>
            </w:pPr>
            <w:r w:rsidRPr="00101741">
              <w:rPr>
                <w:rFonts w:cs="Times New Roman"/>
                <w:sz w:val="20"/>
                <w:szCs w:val="20"/>
              </w:rPr>
              <w:t>Tmax</w:t>
            </w:r>
          </w:p>
        </w:tc>
        <w:tc>
          <w:tcPr>
            <w:tcW w:w="4266" w:type="pct"/>
            <w:tcMar>
              <w:top w:w="28" w:type="dxa"/>
              <w:left w:w="57" w:type="dxa"/>
              <w:bottom w:w="28" w:type="dxa"/>
              <w:right w:w="57" w:type="dxa"/>
            </w:tcMar>
            <w:vAlign w:val="center"/>
          </w:tcPr>
          <w:p w14:paraId="21F35066"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highlight w:val="yellow"/>
              </w:rPr>
            </w:pPr>
            <w:r w:rsidRPr="00101741">
              <w:rPr>
                <w:rFonts w:cs="Times New Roman"/>
                <w:sz w:val="20"/>
                <w:szCs w:val="20"/>
              </w:rPr>
              <w:t>Time to maximum drug concentration, directly obtained from the measured plasma concentration-time data.</w:t>
            </w:r>
          </w:p>
        </w:tc>
      </w:tr>
      <w:tr w:rsidR="0005712D" w:rsidRPr="00101741" w14:paraId="176F6415" w14:textId="77777777" w:rsidTr="007226EC">
        <w:tc>
          <w:tcPr>
            <w:tcW w:w="734" w:type="pct"/>
            <w:tcMar>
              <w:top w:w="28" w:type="dxa"/>
              <w:left w:w="57" w:type="dxa"/>
              <w:bottom w:w="28" w:type="dxa"/>
              <w:right w:w="57" w:type="dxa"/>
            </w:tcMar>
            <w:vAlign w:val="center"/>
          </w:tcPr>
          <w:p w14:paraId="17997A64"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lang w:eastAsia="zh-TW"/>
              </w:rPr>
              <w:t>T</w:t>
            </w:r>
            <w:r w:rsidRPr="00101741">
              <w:rPr>
                <w:rFonts w:cs="Times New Roman"/>
                <w:sz w:val="20"/>
                <w:szCs w:val="20"/>
                <w:vertAlign w:val="subscript"/>
                <w:lang w:eastAsia="zh-TW"/>
              </w:rPr>
              <w:t>lag</w:t>
            </w:r>
          </w:p>
        </w:tc>
        <w:tc>
          <w:tcPr>
            <w:tcW w:w="4266" w:type="pct"/>
            <w:tcMar>
              <w:top w:w="28" w:type="dxa"/>
              <w:left w:w="57" w:type="dxa"/>
              <w:bottom w:w="28" w:type="dxa"/>
              <w:right w:w="57" w:type="dxa"/>
            </w:tcMar>
            <w:vAlign w:val="center"/>
          </w:tcPr>
          <w:p w14:paraId="75F8FA29"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Lag time.</w:t>
            </w:r>
          </w:p>
        </w:tc>
      </w:tr>
      <w:tr w:rsidR="0005712D" w:rsidRPr="00101741" w14:paraId="646EB2BF" w14:textId="77777777" w:rsidTr="007226EC">
        <w:tc>
          <w:tcPr>
            <w:tcW w:w="734" w:type="pct"/>
            <w:tcMar>
              <w:top w:w="28" w:type="dxa"/>
              <w:left w:w="57" w:type="dxa"/>
              <w:bottom w:w="28" w:type="dxa"/>
              <w:right w:w="57" w:type="dxa"/>
            </w:tcMar>
            <w:vAlign w:val="center"/>
          </w:tcPr>
          <w:p w14:paraId="3B4FDCC5"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w:t>
            </w:r>
            <w:r w:rsidRPr="00101741">
              <w:rPr>
                <w:rFonts w:cs="Times New Roman"/>
                <w:sz w:val="20"/>
                <w:szCs w:val="20"/>
                <w:vertAlign w:val="subscript"/>
              </w:rPr>
              <w:t>max</w:t>
            </w:r>
          </w:p>
        </w:tc>
        <w:tc>
          <w:tcPr>
            <w:tcW w:w="4266" w:type="pct"/>
            <w:tcMar>
              <w:top w:w="28" w:type="dxa"/>
              <w:left w:w="57" w:type="dxa"/>
              <w:bottom w:w="28" w:type="dxa"/>
              <w:right w:w="57" w:type="dxa"/>
            </w:tcMar>
            <w:vAlign w:val="center"/>
          </w:tcPr>
          <w:p w14:paraId="01D54005"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Maximum concentration, directly obtained from the measured plasma concentration-time data.</w:t>
            </w:r>
          </w:p>
        </w:tc>
      </w:tr>
      <w:tr w:rsidR="0005712D" w:rsidRPr="00101741" w14:paraId="26B81687" w14:textId="77777777" w:rsidTr="007226EC">
        <w:tc>
          <w:tcPr>
            <w:tcW w:w="734" w:type="pct"/>
            <w:tcMar>
              <w:top w:w="28" w:type="dxa"/>
              <w:left w:w="57" w:type="dxa"/>
              <w:bottom w:w="28" w:type="dxa"/>
              <w:right w:w="57" w:type="dxa"/>
            </w:tcMar>
            <w:vAlign w:val="center"/>
          </w:tcPr>
          <w:p w14:paraId="0FC1AA28"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w:t>
            </w:r>
            <w:r w:rsidRPr="00101741">
              <w:rPr>
                <w:rFonts w:cs="Times New Roman"/>
                <w:sz w:val="20"/>
                <w:szCs w:val="20"/>
                <w:vertAlign w:val="subscript"/>
              </w:rPr>
              <w:t>1/2</w:t>
            </w:r>
          </w:p>
        </w:tc>
        <w:tc>
          <w:tcPr>
            <w:tcW w:w="4266" w:type="pct"/>
            <w:tcMar>
              <w:top w:w="28" w:type="dxa"/>
              <w:left w:w="57" w:type="dxa"/>
              <w:bottom w:w="28" w:type="dxa"/>
              <w:right w:w="57" w:type="dxa"/>
            </w:tcMar>
            <w:vAlign w:val="center"/>
          </w:tcPr>
          <w:p w14:paraId="13A96CD1"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Elimination half-life. t</w:t>
            </w:r>
            <w:r w:rsidRPr="00101741">
              <w:rPr>
                <w:rFonts w:cs="Times New Roman"/>
                <w:sz w:val="20"/>
                <w:szCs w:val="20"/>
                <w:vertAlign w:val="subscript"/>
              </w:rPr>
              <w:t>1/2</w:t>
            </w:r>
            <w:r w:rsidRPr="00101741">
              <w:rPr>
                <w:rFonts w:cs="Times New Roman"/>
                <w:sz w:val="20"/>
                <w:szCs w:val="20"/>
              </w:rPr>
              <w:t xml:space="preserve"> = 0.693/λ</w:t>
            </w:r>
            <w:r w:rsidRPr="00101741">
              <w:rPr>
                <w:rFonts w:cs="Times New Roman"/>
                <w:sz w:val="20"/>
                <w:szCs w:val="20"/>
                <w:vertAlign w:val="subscript"/>
              </w:rPr>
              <w:t>z</w:t>
            </w:r>
          </w:p>
        </w:tc>
      </w:tr>
      <w:tr w:rsidR="0005712D" w:rsidRPr="00101741" w14:paraId="2F697B39" w14:textId="77777777" w:rsidTr="007226EC">
        <w:tc>
          <w:tcPr>
            <w:tcW w:w="734" w:type="pct"/>
            <w:tcMar>
              <w:top w:w="28" w:type="dxa"/>
              <w:left w:w="57" w:type="dxa"/>
              <w:bottom w:w="28" w:type="dxa"/>
              <w:right w:w="57" w:type="dxa"/>
            </w:tcMar>
            <w:vAlign w:val="center"/>
          </w:tcPr>
          <w:p w14:paraId="1D9C66F1"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λz</w:t>
            </w:r>
          </w:p>
        </w:tc>
        <w:tc>
          <w:tcPr>
            <w:tcW w:w="4266" w:type="pct"/>
            <w:tcMar>
              <w:top w:w="28" w:type="dxa"/>
              <w:left w:w="57" w:type="dxa"/>
              <w:bottom w:w="28" w:type="dxa"/>
              <w:right w:w="57" w:type="dxa"/>
            </w:tcMar>
            <w:vAlign w:val="center"/>
          </w:tcPr>
          <w:p w14:paraId="1425FC2D"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Terminal phase elimination rate constant. The negative slope value was obtained from linear regression of the logarithm of plasma concentration over time. At least 3 data points will be included in the calculation of λ</w:t>
            </w:r>
            <w:r w:rsidRPr="00101741">
              <w:rPr>
                <w:rFonts w:cs="Times New Roman"/>
                <w:sz w:val="20"/>
                <w:szCs w:val="20"/>
                <w:vertAlign w:val="subscript"/>
              </w:rPr>
              <w:t>z</w:t>
            </w:r>
            <w:r w:rsidRPr="00101741">
              <w:rPr>
                <w:rFonts w:cs="Times New Roman"/>
                <w:sz w:val="20"/>
                <w:szCs w:val="20"/>
              </w:rPr>
              <w:t>.</w:t>
            </w:r>
          </w:p>
        </w:tc>
      </w:tr>
      <w:tr w:rsidR="0005712D" w:rsidRPr="00101741" w14:paraId="018C00E0" w14:textId="77777777" w:rsidTr="007226EC">
        <w:tc>
          <w:tcPr>
            <w:tcW w:w="734" w:type="pct"/>
            <w:tcMar>
              <w:top w:w="28" w:type="dxa"/>
              <w:left w:w="57" w:type="dxa"/>
              <w:bottom w:w="28" w:type="dxa"/>
              <w:right w:w="57" w:type="dxa"/>
            </w:tcMar>
            <w:vAlign w:val="center"/>
          </w:tcPr>
          <w:p w14:paraId="3770BBD7"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AUC</w:t>
            </w:r>
            <w:r w:rsidRPr="00101741">
              <w:rPr>
                <w:rFonts w:cs="Times New Roman"/>
                <w:sz w:val="20"/>
                <w:szCs w:val="20"/>
                <w:vertAlign w:val="subscript"/>
              </w:rPr>
              <w:t>0-∞</w:t>
            </w:r>
          </w:p>
        </w:tc>
        <w:tc>
          <w:tcPr>
            <w:tcW w:w="4266" w:type="pct"/>
            <w:tcMar>
              <w:top w:w="28" w:type="dxa"/>
              <w:left w:w="57" w:type="dxa"/>
              <w:bottom w:w="28" w:type="dxa"/>
              <w:right w:w="57" w:type="dxa"/>
            </w:tcMar>
            <w:vAlign w:val="center"/>
          </w:tcPr>
          <w:p w14:paraId="7AE2ED9C" w14:textId="77777777"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Area under the concentration-time curve extrapolated from time 0 to infinity. AUC</w:t>
            </w:r>
            <w:r w:rsidRPr="00101741">
              <w:rPr>
                <w:rFonts w:cs="Times New Roman"/>
                <w:sz w:val="20"/>
                <w:szCs w:val="20"/>
                <w:vertAlign w:val="subscript"/>
              </w:rPr>
              <w:t>0-∞</w:t>
            </w:r>
            <w:r w:rsidRPr="00101741">
              <w:rPr>
                <w:rFonts w:cs="Times New Roman"/>
                <w:sz w:val="20"/>
                <w:szCs w:val="20"/>
              </w:rPr>
              <w:t xml:space="preserve"> = AUC</w:t>
            </w:r>
            <w:r w:rsidRPr="00101741">
              <w:rPr>
                <w:rFonts w:cs="Times New Roman"/>
                <w:sz w:val="20"/>
                <w:szCs w:val="20"/>
                <w:vertAlign w:val="subscript"/>
              </w:rPr>
              <w:t>0–t</w:t>
            </w:r>
            <w:r w:rsidRPr="00101741">
              <w:rPr>
                <w:rFonts w:cs="Times New Roman"/>
                <w:sz w:val="20"/>
                <w:szCs w:val="20"/>
              </w:rPr>
              <w:t xml:space="preserve"> + C</w:t>
            </w:r>
            <w:r w:rsidRPr="00101741">
              <w:rPr>
                <w:rFonts w:cs="Times New Roman"/>
                <w:sz w:val="20"/>
                <w:szCs w:val="20"/>
                <w:vertAlign w:val="subscript"/>
              </w:rPr>
              <w:t>t</w:t>
            </w:r>
            <w:r w:rsidRPr="00101741">
              <w:rPr>
                <w:rFonts w:cs="Times New Roman"/>
                <w:sz w:val="20"/>
                <w:szCs w:val="20"/>
              </w:rPr>
              <w:t>/λ</w:t>
            </w:r>
            <w:r w:rsidRPr="00101741">
              <w:rPr>
                <w:rFonts w:cs="Times New Roman"/>
                <w:sz w:val="20"/>
                <w:szCs w:val="20"/>
                <w:vertAlign w:val="subscript"/>
              </w:rPr>
              <w:t>z</w:t>
            </w:r>
            <w:r w:rsidRPr="00101741">
              <w:rPr>
                <w:rFonts w:cs="Times New Roman"/>
                <w:sz w:val="20"/>
                <w:szCs w:val="20"/>
              </w:rPr>
              <w:t xml:space="preserve"> (C</w:t>
            </w:r>
            <w:r w:rsidRPr="00101741">
              <w:rPr>
                <w:rFonts w:cs="Times New Roman"/>
                <w:sz w:val="20"/>
                <w:szCs w:val="20"/>
                <w:vertAlign w:val="subscript"/>
              </w:rPr>
              <w:t>t</w:t>
            </w:r>
            <w:r w:rsidRPr="00101741">
              <w:rPr>
                <w:rFonts w:cs="Times New Roman"/>
                <w:sz w:val="20"/>
                <w:szCs w:val="20"/>
              </w:rPr>
              <w:t xml:space="preserve"> is the last plasma concentration that can be accurately measured, and λz is the terminal elimination rate constant).</w:t>
            </w:r>
          </w:p>
        </w:tc>
      </w:tr>
      <w:tr w:rsidR="0005712D" w:rsidRPr="00101741" w14:paraId="0C0FE8C2" w14:textId="77777777" w:rsidTr="007226EC">
        <w:tc>
          <w:tcPr>
            <w:tcW w:w="734" w:type="pct"/>
            <w:tcMar>
              <w:top w:w="28" w:type="dxa"/>
              <w:left w:w="57" w:type="dxa"/>
              <w:bottom w:w="28" w:type="dxa"/>
              <w:right w:w="57" w:type="dxa"/>
            </w:tcMar>
            <w:vAlign w:val="center"/>
          </w:tcPr>
          <w:p w14:paraId="355A3D17"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AUC</w:t>
            </w:r>
            <w:r w:rsidRPr="00101741">
              <w:rPr>
                <w:rFonts w:cs="Times New Roman"/>
                <w:sz w:val="20"/>
                <w:szCs w:val="20"/>
                <w:vertAlign w:val="subscript"/>
              </w:rPr>
              <w:t>0-t</w:t>
            </w:r>
          </w:p>
        </w:tc>
        <w:tc>
          <w:tcPr>
            <w:tcW w:w="4266" w:type="pct"/>
            <w:tcMar>
              <w:top w:w="28" w:type="dxa"/>
              <w:left w:w="57" w:type="dxa"/>
              <w:bottom w:w="28" w:type="dxa"/>
              <w:right w:w="57" w:type="dxa"/>
            </w:tcMar>
            <w:vAlign w:val="center"/>
          </w:tcPr>
          <w:p w14:paraId="61E67C16" w14:textId="03D585C2"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Area under the concentration-time curve from time 0 to the last quantifiable sampling time t. Calculated by the linear trapezoidal rule: AUC</w:t>
            </w:r>
            <w:r w:rsidRPr="00101741">
              <w:rPr>
                <w:rFonts w:cs="Times New Roman"/>
                <w:sz w:val="20"/>
                <w:szCs w:val="20"/>
                <w:vertAlign w:val="subscript"/>
              </w:rPr>
              <w:t>(I, i+1)</w:t>
            </w:r>
            <w:r w:rsidRPr="00101741">
              <w:rPr>
                <w:rFonts w:cs="Times New Roman"/>
                <w:sz w:val="20"/>
                <w:szCs w:val="20"/>
              </w:rPr>
              <w:t xml:space="preserve"> = (T</w:t>
            </w:r>
            <w:r w:rsidRPr="00101741">
              <w:rPr>
                <w:rFonts w:cs="Times New Roman"/>
                <w:sz w:val="20"/>
                <w:szCs w:val="20"/>
                <w:vertAlign w:val="subscript"/>
              </w:rPr>
              <w:t>i+1</w:t>
            </w:r>
            <w:r w:rsidRPr="00101741">
              <w:rPr>
                <w:rFonts w:cs="Times New Roman"/>
                <w:sz w:val="20"/>
                <w:szCs w:val="20"/>
              </w:rPr>
              <w:t xml:space="preserve"> – T</w:t>
            </w:r>
            <w:r w:rsidRPr="00101741">
              <w:rPr>
                <w:rFonts w:cs="Times New Roman"/>
                <w:sz w:val="20"/>
                <w:szCs w:val="20"/>
                <w:vertAlign w:val="subscript"/>
              </w:rPr>
              <w:t>i</w:t>
            </w:r>
            <w:r w:rsidRPr="00101741">
              <w:rPr>
                <w:rFonts w:cs="Times New Roman"/>
                <w:sz w:val="20"/>
                <w:szCs w:val="20"/>
              </w:rPr>
              <w:t>) (C</w:t>
            </w:r>
            <w:r w:rsidRPr="00101741">
              <w:rPr>
                <w:rFonts w:cs="Times New Roman"/>
                <w:sz w:val="20"/>
                <w:szCs w:val="20"/>
                <w:vertAlign w:val="subscript"/>
              </w:rPr>
              <w:t>i</w:t>
            </w:r>
            <w:r w:rsidRPr="00101741">
              <w:rPr>
                <w:rFonts w:cs="Times New Roman"/>
                <w:sz w:val="20"/>
                <w:szCs w:val="20"/>
              </w:rPr>
              <w:t xml:space="preserve"> + C</w:t>
            </w:r>
            <w:r w:rsidRPr="00101741">
              <w:rPr>
                <w:rFonts w:cs="Times New Roman"/>
                <w:sz w:val="20"/>
                <w:szCs w:val="20"/>
                <w:vertAlign w:val="subscript"/>
              </w:rPr>
              <w:t>i+1</w:t>
            </w:r>
            <w:r w:rsidRPr="00101741">
              <w:rPr>
                <w:rFonts w:cs="Times New Roman"/>
                <w:sz w:val="20"/>
                <w:szCs w:val="20"/>
              </w:rPr>
              <w:t>)/2, where AUC</w:t>
            </w:r>
            <w:r w:rsidRPr="00101741">
              <w:rPr>
                <w:rFonts w:cs="Times New Roman"/>
                <w:sz w:val="20"/>
                <w:szCs w:val="20"/>
                <w:vertAlign w:val="subscript"/>
              </w:rPr>
              <w:t>0-t</w:t>
            </w:r>
            <w:r w:rsidRPr="00101741">
              <w:rPr>
                <w:rFonts w:cs="Times New Roman"/>
                <w:sz w:val="20"/>
                <w:szCs w:val="20"/>
              </w:rPr>
              <w:t xml:space="preserve"> is the sum of all AUC</w:t>
            </w:r>
            <w:r w:rsidRPr="00101741">
              <w:rPr>
                <w:rFonts w:cs="Times New Roman"/>
                <w:sz w:val="20"/>
                <w:szCs w:val="20"/>
                <w:vertAlign w:val="subscript"/>
              </w:rPr>
              <w:t>(I, i+1)</w:t>
            </w:r>
            <w:r w:rsidRPr="00101741">
              <w:rPr>
                <w:rFonts w:cs="Times New Roman"/>
                <w:sz w:val="20"/>
                <w:szCs w:val="20"/>
              </w:rPr>
              <w:t>.</w:t>
            </w:r>
          </w:p>
        </w:tc>
      </w:tr>
      <w:tr w:rsidR="0005712D" w:rsidRPr="00101741" w14:paraId="15D2A1E3" w14:textId="77777777" w:rsidTr="007226EC">
        <w:tc>
          <w:tcPr>
            <w:tcW w:w="734" w:type="pct"/>
            <w:tcMar>
              <w:top w:w="28" w:type="dxa"/>
              <w:left w:w="57" w:type="dxa"/>
              <w:bottom w:w="28" w:type="dxa"/>
              <w:right w:w="57" w:type="dxa"/>
            </w:tcMar>
          </w:tcPr>
          <w:p w14:paraId="63E88912"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AUC</w:t>
            </w:r>
            <w:r w:rsidRPr="00101741">
              <w:rPr>
                <w:rFonts w:cs="Times New Roman"/>
                <w:sz w:val="20"/>
                <w:szCs w:val="20"/>
                <w:vertAlign w:val="subscript"/>
              </w:rPr>
              <w:t>_%Extrap</w:t>
            </w:r>
          </w:p>
        </w:tc>
        <w:tc>
          <w:tcPr>
            <w:tcW w:w="4266" w:type="pct"/>
            <w:tcMar>
              <w:top w:w="28" w:type="dxa"/>
              <w:left w:w="57" w:type="dxa"/>
              <w:bottom w:w="28" w:type="dxa"/>
              <w:right w:w="57" w:type="dxa"/>
            </w:tcMar>
          </w:tcPr>
          <w:p w14:paraId="6ADF683B" w14:textId="331741C6" w:rsidR="0005712D" w:rsidRPr="00101741" w:rsidRDefault="00EB7508" w:rsidP="00306959">
            <w:pPr>
              <w:overflowPunct w:val="0"/>
              <w:autoSpaceDE w:val="0"/>
              <w:autoSpaceDN w:val="0"/>
              <w:adjustRightInd w:val="0"/>
              <w:snapToGrid w:val="0"/>
              <w:spacing w:before="0" w:after="0" w:line="240" w:lineRule="auto"/>
              <w:jc w:val="left"/>
              <w:rPr>
                <w:rFonts w:cs="Times New Roman"/>
                <w:sz w:val="20"/>
                <w:szCs w:val="20"/>
              </w:rPr>
            </w:pPr>
            <w:r w:rsidRPr="00EB7508">
              <w:rPr>
                <w:rFonts w:cs="Times New Roman"/>
                <w:sz w:val="20"/>
                <w:szCs w:val="20"/>
              </w:rPr>
              <w:t>Percentage of the area under the curve extrapolated</w:t>
            </w:r>
            <w:r>
              <w:rPr>
                <w:rFonts w:cs="Times New Roman" w:hint="eastAsia"/>
                <w:sz w:val="20"/>
                <w:szCs w:val="20"/>
              </w:rPr>
              <w:t>.</w:t>
            </w:r>
            <w:r w:rsidR="00CF2A39" w:rsidRPr="00101741">
              <w:rPr>
                <w:rFonts w:cs="Times New Roman"/>
                <w:sz w:val="20"/>
                <w:szCs w:val="20"/>
              </w:rPr>
              <w:t xml:space="preserve"> The proportion of AUC extrapolated from the time of the last measurable concentration to infinity in AUC</w:t>
            </w:r>
            <w:r w:rsidR="00CF2A39" w:rsidRPr="00101741">
              <w:rPr>
                <w:rFonts w:cs="Times New Roman"/>
                <w:sz w:val="20"/>
                <w:szCs w:val="20"/>
                <w:vertAlign w:val="subscript"/>
              </w:rPr>
              <w:t>0-∞</w:t>
            </w:r>
            <w:r w:rsidR="00CF2A39" w:rsidRPr="00101741">
              <w:rPr>
                <w:rFonts w:cs="Times New Roman"/>
                <w:sz w:val="20"/>
                <w:szCs w:val="20"/>
              </w:rPr>
              <w:t>. AUC</w:t>
            </w:r>
            <w:r w:rsidR="00CF2A39" w:rsidRPr="00101741">
              <w:rPr>
                <w:rFonts w:cs="Times New Roman"/>
                <w:sz w:val="20"/>
                <w:szCs w:val="20"/>
                <w:vertAlign w:val="subscript"/>
              </w:rPr>
              <w:t>_%Extrap</w:t>
            </w:r>
            <w:r w:rsidR="00CF2A39" w:rsidRPr="00101741">
              <w:rPr>
                <w:rFonts w:cs="Times New Roman"/>
                <w:sz w:val="20"/>
                <w:szCs w:val="20"/>
              </w:rPr>
              <w:t xml:space="preserve"> = 100% × (AUC</w:t>
            </w:r>
            <w:r w:rsidR="00CF2A39" w:rsidRPr="00101741">
              <w:rPr>
                <w:rFonts w:cs="Times New Roman"/>
                <w:sz w:val="20"/>
                <w:szCs w:val="20"/>
                <w:vertAlign w:val="subscript"/>
              </w:rPr>
              <w:t>0-∞</w:t>
            </w:r>
            <w:r w:rsidR="00CF2A39" w:rsidRPr="00101741">
              <w:rPr>
                <w:rFonts w:cs="Times New Roman"/>
                <w:sz w:val="20"/>
                <w:szCs w:val="20"/>
              </w:rPr>
              <w:t xml:space="preserve"> – AUC</w:t>
            </w:r>
            <w:r w:rsidR="00CF2A39" w:rsidRPr="00101741">
              <w:rPr>
                <w:rFonts w:cs="Times New Roman"/>
                <w:sz w:val="20"/>
                <w:szCs w:val="20"/>
                <w:vertAlign w:val="subscript"/>
              </w:rPr>
              <w:t>0-t</w:t>
            </w:r>
            <w:r w:rsidR="00CF2A39" w:rsidRPr="00101741">
              <w:rPr>
                <w:rFonts w:cs="Times New Roman"/>
                <w:sz w:val="20"/>
                <w:szCs w:val="20"/>
              </w:rPr>
              <w:t>)/AUC</w:t>
            </w:r>
            <w:r w:rsidR="00CF2A39" w:rsidRPr="00101741">
              <w:rPr>
                <w:rFonts w:cs="Times New Roman"/>
                <w:sz w:val="20"/>
                <w:szCs w:val="20"/>
                <w:vertAlign w:val="subscript"/>
              </w:rPr>
              <w:t>0-∞</w:t>
            </w:r>
          </w:p>
        </w:tc>
      </w:tr>
      <w:tr w:rsidR="0005712D" w:rsidRPr="00101741" w14:paraId="24EF4C2D" w14:textId="77777777" w:rsidTr="007226EC">
        <w:tc>
          <w:tcPr>
            <w:tcW w:w="734" w:type="pct"/>
            <w:tcMar>
              <w:top w:w="28" w:type="dxa"/>
              <w:left w:w="57" w:type="dxa"/>
              <w:bottom w:w="28" w:type="dxa"/>
              <w:right w:w="57" w:type="dxa"/>
            </w:tcMar>
            <w:vAlign w:val="center"/>
          </w:tcPr>
          <w:p w14:paraId="1C8337C3"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CL/F</w:t>
            </w:r>
          </w:p>
        </w:tc>
        <w:tc>
          <w:tcPr>
            <w:tcW w:w="4266" w:type="pct"/>
            <w:tcMar>
              <w:top w:w="28" w:type="dxa"/>
              <w:left w:w="57" w:type="dxa"/>
              <w:bottom w:w="28" w:type="dxa"/>
              <w:right w:w="57" w:type="dxa"/>
            </w:tcMar>
            <w:vAlign w:val="center"/>
          </w:tcPr>
          <w:p w14:paraId="70FF0835" w14:textId="317928B7"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Clearance, calculated from the ratio of dose to AUC</w:t>
            </w:r>
            <w:r w:rsidRPr="00101741">
              <w:rPr>
                <w:rFonts w:cs="Times New Roman"/>
                <w:sz w:val="20"/>
                <w:szCs w:val="20"/>
                <w:vertAlign w:val="subscript"/>
              </w:rPr>
              <w:t>0-∞</w:t>
            </w:r>
            <w:r w:rsidRPr="00101741">
              <w:rPr>
                <w:rFonts w:cs="Times New Roman"/>
                <w:sz w:val="20"/>
                <w:szCs w:val="20"/>
              </w:rPr>
              <w:t>.</w:t>
            </w:r>
          </w:p>
        </w:tc>
      </w:tr>
      <w:tr w:rsidR="0005712D" w:rsidRPr="00101741" w14:paraId="2515FED0" w14:textId="77777777" w:rsidTr="007226EC">
        <w:tc>
          <w:tcPr>
            <w:tcW w:w="734" w:type="pct"/>
            <w:tcMar>
              <w:top w:w="28" w:type="dxa"/>
              <w:left w:w="57" w:type="dxa"/>
              <w:bottom w:w="28" w:type="dxa"/>
              <w:right w:w="57" w:type="dxa"/>
            </w:tcMar>
            <w:vAlign w:val="center"/>
          </w:tcPr>
          <w:p w14:paraId="03ED8E8D"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V</w:t>
            </w:r>
            <w:r w:rsidRPr="00101741">
              <w:rPr>
                <w:rFonts w:cs="Times New Roman"/>
                <w:color w:val="000000" w:themeColor="text1"/>
                <w:sz w:val="20"/>
                <w:szCs w:val="20"/>
                <w:vertAlign w:val="subscript"/>
              </w:rPr>
              <w:t>z</w:t>
            </w:r>
            <w:r w:rsidRPr="00101741">
              <w:rPr>
                <w:rFonts w:cs="Times New Roman"/>
                <w:sz w:val="20"/>
                <w:szCs w:val="20"/>
              </w:rPr>
              <w:t>/F</w:t>
            </w:r>
          </w:p>
        </w:tc>
        <w:tc>
          <w:tcPr>
            <w:tcW w:w="4266" w:type="pct"/>
            <w:tcMar>
              <w:top w:w="28" w:type="dxa"/>
              <w:left w:w="57" w:type="dxa"/>
              <w:bottom w:w="28" w:type="dxa"/>
              <w:right w:w="57" w:type="dxa"/>
            </w:tcMar>
            <w:vAlign w:val="center"/>
          </w:tcPr>
          <w:p w14:paraId="4B827112" w14:textId="101BB8A9" w:rsidR="0005712D"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 xml:space="preserve">Apparent volume of distribution. </w:t>
            </w:r>
            <w:r w:rsidRPr="00101741">
              <w:rPr>
                <w:rFonts w:cs="Times New Roman"/>
                <w:color w:val="000000" w:themeColor="text1"/>
                <w:sz w:val="20"/>
                <w:szCs w:val="20"/>
              </w:rPr>
              <w:t>V</w:t>
            </w:r>
            <w:r w:rsidRPr="00101741">
              <w:rPr>
                <w:rFonts w:cs="Times New Roman"/>
                <w:color w:val="000000" w:themeColor="text1"/>
                <w:sz w:val="20"/>
                <w:szCs w:val="20"/>
                <w:vertAlign w:val="subscript"/>
              </w:rPr>
              <w:t>z</w:t>
            </w:r>
            <w:r w:rsidRPr="00101741">
              <w:rPr>
                <w:rFonts w:cs="Times New Roman"/>
                <w:color w:val="000000" w:themeColor="text1"/>
                <w:sz w:val="20"/>
                <w:szCs w:val="20"/>
              </w:rPr>
              <w:t>/F = Administered dose/(λ</w:t>
            </w:r>
            <w:r w:rsidRPr="00101741">
              <w:rPr>
                <w:rFonts w:cs="Times New Roman"/>
                <w:color w:val="000000" w:themeColor="text1"/>
                <w:sz w:val="20"/>
                <w:szCs w:val="20"/>
                <w:vertAlign w:val="subscript"/>
              </w:rPr>
              <w:t>z</w:t>
            </w:r>
            <w:r w:rsidRPr="00101741">
              <w:rPr>
                <w:rFonts w:cs="Times New Roman"/>
                <w:color w:val="000000" w:themeColor="text1"/>
                <w:sz w:val="20"/>
                <w:szCs w:val="20"/>
              </w:rPr>
              <w:t xml:space="preserve"> × AUC</w:t>
            </w:r>
            <w:r w:rsidRPr="00101741">
              <w:rPr>
                <w:rFonts w:cs="Times New Roman"/>
                <w:color w:val="000000" w:themeColor="text1"/>
                <w:sz w:val="20"/>
                <w:szCs w:val="20"/>
                <w:vertAlign w:val="subscript"/>
              </w:rPr>
              <w:t>0-∞</w:t>
            </w:r>
            <w:r w:rsidRPr="00101741">
              <w:rPr>
                <w:rFonts w:cs="Times New Roman"/>
                <w:color w:val="000000" w:themeColor="text1"/>
                <w:sz w:val="20"/>
                <w:szCs w:val="20"/>
              </w:rPr>
              <w:t>).</w:t>
            </w:r>
          </w:p>
        </w:tc>
      </w:tr>
      <w:tr w:rsidR="0005712D" w:rsidRPr="00101741" w14:paraId="5708F804" w14:textId="77777777" w:rsidTr="007226EC">
        <w:tc>
          <w:tcPr>
            <w:tcW w:w="734" w:type="pct"/>
            <w:tcMar>
              <w:top w:w="28" w:type="dxa"/>
              <w:left w:w="57" w:type="dxa"/>
              <w:bottom w:w="28" w:type="dxa"/>
              <w:right w:w="57" w:type="dxa"/>
            </w:tcMar>
          </w:tcPr>
          <w:p w14:paraId="2360BF69" w14:textId="77777777" w:rsidR="0005712D" w:rsidRPr="00101741" w:rsidRDefault="00CF2A39" w:rsidP="00306959">
            <w:pPr>
              <w:overflowPunct w:val="0"/>
              <w:autoSpaceDE w:val="0"/>
              <w:autoSpaceDN w:val="0"/>
              <w:adjustRightInd w:val="0"/>
              <w:snapToGrid w:val="0"/>
              <w:spacing w:before="0" w:after="0" w:line="240" w:lineRule="auto"/>
              <w:jc w:val="left"/>
              <w:rPr>
                <w:rFonts w:cs="Times New Roman"/>
                <w:sz w:val="20"/>
                <w:szCs w:val="20"/>
              </w:rPr>
            </w:pPr>
            <w:r w:rsidRPr="00101741">
              <w:rPr>
                <w:rFonts w:cs="Times New Roman"/>
                <w:sz w:val="20"/>
                <w:szCs w:val="20"/>
              </w:rPr>
              <w:t>MRT</w:t>
            </w:r>
          </w:p>
        </w:tc>
        <w:tc>
          <w:tcPr>
            <w:tcW w:w="4266" w:type="pct"/>
            <w:tcMar>
              <w:top w:w="28" w:type="dxa"/>
              <w:left w:w="57" w:type="dxa"/>
              <w:bottom w:w="28" w:type="dxa"/>
              <w:right w:w="57" w:type="dxa"/>
            </w:tcMar>
          </w:tcPr>
          <w:p w14:paraId="519BE594" w14:textId="59194C16" w:rsidR="00394C27" w:rsidRPr="00101741" w:rsidRDefault="00CF2A39" w:rsidP="00306959">
            <w:pPr>
              <w:tabs>
                <w:tab w:val="left" w:pos="1080"/>
              </w:tabs>
              <w:overflowPunct w:val="0"/>
              <w:autoSpaceDE w:val="0"/>
              <w:autoSpaceDN w:val="0"/>
              <w:adjustRightInd w:val="0"/>
              <w:snapToGrid w:val="0"/>
              <w:spacing w:before="0" w:after="0" w:line="240" w:lineRule="auto"/>
              <w:jc w:val="left"/>
              <w:rPr>
                <w:rFonts w:cs="Times New Roman"/>
                <w:sz w:val="20"/>
                <w:szCs w:val="20"/>
                <w:vertAlign w:val="subscript"/>
              </w:rPr>
            </w:pPr>
            <w:r w:rsidRPr="00101741">
              <w:rPr>
                <w:rFonts w:cs="Times New Roman"/>
                <w:sz w:val="20"/>
                <w:szCs w:val="20"/>
              </w:rPr>
              <w:t>Mean residence time, calculated using two methods, i.e., MRT</w:t>
            </w:r>
            <w:r w:rsidRPr="00101741">
              <w:rPr>
                <w:rFonts w:cs="Times New Roman"/>
                <w:sz w:val="20"/>
                <w:szCs w:val="20"/>
                <w:vertAlign w:val="subscript"/>
              </w:rPr>
              <w:t>0-t</w:t>
            </w:r>
            <w:r w:rsidRPr="00101741">
              <w:rPr>
                <w:rFonts w:cs="Times New Roman"/>
                <w:sz w:val="20"/>
                <w:szCs w:val="20"/>
              </w:rPr>
              <w:t xml:space="preserve"> = AUMC</w:t>
            </w:r>
            <w:r w:rsidRPr="00101741">
              <w:rPr>
                <w:rFonts w:cs="Times New Roman"/>
                <w:sz w:val="20"/>
                <w:szCs w:val="20"/>
                <w:vertAlign w:val="subscript"/>
              </w:rPr>
              <w:t>0-t</w:t>
            </w:r>
            <w:r w:rsidRPr="00101741">
              <w:rPr>
                <w:rFonts w:cs="Times New Roman"/>
                <w:sz w:val="20"/>
                <w:szCs w:val="20"/>
              </w:rPr>
              <w:t>/AUC</w:t>
            </w:r>
            <w:r w:rsidRPr="00101741">
              <w:rPr>
                <w:rFonts w:cs="Times New Roman"/>
                <w:sz w:val="20"/>
                <w:szCs w:val="20"/>
                <w:vertAlign w:val="subscript"/>
              </w:rPr>
              <w:t>0-t</w:t>
            </w:r>
            <w:r w:rsidRPr="00101741">
              <w:rPr>
                <w:rFonts w:cs="Times New Roman"/>
                <w:sz w:val="20"/>
                <w:szCs w:val="20"/>
              </w:rPr>
              <w:t xml:space="preserve"> or MRT</w:t>
            </w:r>
            <w:r w:rsidRPr="00101741">
              <w:rPr>
                <w:rFonts w:cs="Times New Roman"/>
                <w:sz w:val="20"/>
                <w:szCs w:val="20"/>
                <w:vertAlign w:val="subscript"/>
              </w:rPr>
              <w:t>0-∞</w:t>
            </w:r>
            <w:r w:rsidRPr="00101741">
              <w:rPr>
                <w:rFonts w:cs="Times New Roman"/>
                <w:sz w:val="20"/>
                <w:szCs w:val="20"/>
              </w:rPr>
              <w:t xml:space="preserve"> = AUMC</w:t>
            </w:r>
            <w:r w:rsidRPr="00101741">
              <w:rPr>
                <w:rFonts w:cs="Times New Roman"/>
                <w:sz w:val="20"/>
                <w:szCs w:val="20"/>
                <w:vertAlign w:val="subscript"/>
              </w:rPr>
              <w:t>0-∞</w:t>
            </w:r>
            <w:r w:rsidRPr="00101741">
              <w:rPr>
                <w:rFonts w:cs="Times New Roman"/>
                <w:sz w:val="20"/>
                <w:szCs w:val="20"/>
              </w:rPr>
              <w:t>/AUC</w:t>
            </w:r>
            <w:r w:rsidRPr="00101741">
              <w:rPr>
                <w:rFonts w:cs="Times New Roman"/>
                <w:sz w:val="20"/>
                <w:szCs w:val="20"/>
                <w:vertAlign w:val="subscript"/>
              </w:rPr>
              <w:t>0-∞</w:t>
            </w:r>
            <w:r w:rsidR="00394C27" w:rsidRPr="00101741">
              <w:rPr>
                <w:rFonts w:cs="Times New Roman" w:hint="eastAsia"/>
                <w:sz w:val="20"/>
                <w:szCs w:val="20"/>
                <w:vertAlign w:val="subscript"/>
              </w:rPr>
              <w:t>.</w:t>
            </w:r>
          </w:p>
        </w:tc>
      </w:tr>
    </w:tbl>
    <w:p w14:paraId="17A7AB6E"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110" w:name="_Toc216186555"/>
      <w:r w:rsidRPr="00F72DDB">
        <w:rPr>
          <w:rFonts w:ascii="Times New Roman" w:hAnsi="Times New Roman" w:cs="Times New Roman"/>
          <w:sz w:val="24"/>
          <w:szCs w:val="24"/>
        </w:rPr>
        <w:t>Immunogenicity Endpoints</w:t>
      </w:r>
      <w:bookmarkEnd w:id="110"/>
    </w:p>
    <w:p w14:paraId="7901D059" w14:textId="1287DADD" w:rsidR="0005712D" w:rsidRPr="00F72DDB" w:rsidRDefault="00CF2A39" w:rsidP="00306959">
      <w:pPr>
        <w:pStyle w:val="aff2"/>
        <w:numPr>
          <w:ilvl w:val="0"/>
          <w:numId w:val="14"/>
        </w:numPr>
        <w:overflowPunct w:val="0"/>
        <w:autoSpaceDE w:val="0"/>
        <w:autoSpaceDN w:val="0"/>
        <w:adjustRightInd w:val="0"/>
        <w:snapToGrid w:val="0"/>
        <w:spacing w:beforeLines="50" w:before="120" w:afterLines="50" w:after="120" w:line="300" w:lineRule="auto"/>
        <w:ind w:left="426" w:firstLineChars="0" w:hanging="425"/>
        <w:jc w:val="left"/>
        <w:rPr>
          <w:color w:val="auto"/>
        </w:rPr>
      </w:pPr>
      <w:r w:rsidRPr="00F72DDB">
        <w:rPr>
          <w:b/>
          <w:bCs/>
        </w:rPr>
        <w:t>Part A and Part B extension study</w:t>
      </w:r>
      <w:r w:rsidRPr="00F72DDB">
        <w:t>: Blood samples will be collected before the first dose and at 2, 4, 12, 22, and 26 weeks after the first dose</w:t>
      </w:r>
      <w:r w:rsidRPr="00F72DDB">
        <w:rPr>
          <w:rFonts w:hint="eastAsia"/>
        </w:rPr>
        <w:t>;</w:t>
      </w:r>
    </w:p>
    <w:p w14:paraId="55A2ED47" w14:textId="77777777" w:rsidR="0005712D" w:rsidRPr="00F72DDB" w:rsidRDefault="00CF2A39" w:rsidP="00306959">
      <w:pPr>
        <w:pStyle w:val="aff2"/>
        <w:numPr>
          <w:ilvl w:val="0"/>
          <w:numId w:val="14"/>
        </w:numPr>
        <w:overflowPunct w:val="0"/>
        <w:autoSpaceDE w:val="0"/>
        <w:autoSpaceDN w:val="0"/>
        <w:adjustRightInd w:val="0"/>
        <w:snapToGrid w:val="0"/>
        <w:spacing w:beforeLines="50" w:before="120" w:afterLines="50" w:after="120" w:line="300" w:lineRule="auto"/>
        <w:ind w:left="426" w:firstLineChars="0" w:hanging="425"/>
        <w:jc w:val="left"/>
        <w:rPr>
          <w:color w:val="auto"/>
        </w:rPr>
      </w:pPr>
      <w:r w:rsidRPr="00F72DDB">
        <w:rPr>
          <w:b/>
          <w:bCs/>
          <w:color w:val="auto"/>
        </w:rPr>
        <w:t>Part B dose escalation study:</w:t>
      </w:r>
      <w:r w:rsidRPr="00F72DDB">
        <w:rPr>
          <w:color w:val="auto"/>
        </w:rPr>
        <w:t xml:space="preserve"> Blood samples will be collected before the first dose and at 2, 4, 12, 22, 26, and 28 weeks after the first dose.</w:t>
      </w:r>
    </w:p>
    <w:p w14:paraId="5BFC4C23" w14:textId="77777777" w:rsidR="0005712D" w:rsidRPr="00F72DDB" w:rsidRDefault="00CF2A39" w:rsidP="007226EC">
      <w:pPr>
        <w:pStyle w:val="Normal2"/>
        <w:overflowPunct w:val="0"/>
        <w:autoSpaceDE w:val="0"/>
        <w:autoSpaceDN w:val="0"/>
        <w:adjustRightInd w:val="0"/>
        <w:snapToGrid w:val="0"/>
        <w:spacing w:beforeLines="50" w:before="120" w:afterLines="50" w:after="120" w:line="300" w:lineRule="auto"/>
        <w:ind w:firstLine="0"/>
        <w:jc w:val="left"/>
        <w:rPr>
          <w:rFonts w:cs="Times New Roman"/>
          <w:b/>
          <w:bCs/>
          <w:color w:val="000000" w:themeColor="text1"/>
          <w:sz w:val="24"/>
        </w:rPr>
      </w:pPr>
      <w:r w:rsidRPr="00F72DDB">
        <w:rPr>
          <w:rFonts w:cs="Times New Roman"/>
          <w:b/>
          <w:bCs/>
          <w:color w:val="000000" w:themeColor="text1"/>
          <w:sz w:val="24"/>
        </w:rPr>
        <w:t>Immunogenicity evaluation endpoints:</w:t>
      </w:r>
    </w:p>
    <w:p w14:paraId="2EFF4866" w14:textId="00E4199B" w:rsidR="0005712D" w:rsidRPr="00F72DDB" w:rsidRDefault="00CF2A39" w:rsidP="007226EC">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Incidence of anti-drug antibody (ADA) and neutralizing antibody (Nab) against RAY1225</w:t>
      </w:r>
    </w:p>
    <w:p w14:paraId="23E84A27"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8"/>
          <w:szCs w:val="28"/>
        </w:rPr>
      </w:pPr>
      <w:bookmarkStart w:id="111" w:name="_Toc126522842"/>
      <w:bookmarkStart w:id="112" w:name="_Toc125118202"/>
      <w:bookmarkStart w:id="113" w:name="_Toc123721095"/>
      <w:bookmarkStart w:id="114" w:name="_Toc125069394"/>
      <w:bookmarkStart w:id="115" w:name="_Toc125070477"/>
      <w:bookmarkStart w:id="116" w:name="_Toc125067002"/>
      <w:bookmarkStart w:id="117" w:name="_Toc126533036"/>
      <w:bookmarkStart w:id="118" w:name="_Toc125069274"/>
      <w:bookmarkStart w:id="119" w:name="_Toc126444780"/>
      <w:bookmarkStart w:id="120" w:name="_Toc125118572"/>
      <w:bookmarkStart w:id="121" w:name="_Toc126522275"/>
      <w:bookmarkStart w:id="122" w:name="_Toc126527430"/>
      <w:bookmarkStart w:id="123" w:name="_Toc125702866"/>
      <w:bookmarkStart w:id="124" w:name="_Toc126436546"/>
      <w:bookmarkStart w:id="125" w:name="_Toc125055693"/>
      <w:bookmarkStart w:id="126" w:name="_Toc125055811"/>
      <w:bookmarkStart w:id="127" w:name="_Toc126436548"/>
      <w:bookmarkStart w:id="128" w:name="_Toc125055813"/>
      <w:bookmarkStart w:id="129" w:name="_Toc107182469"/>
      <w:bookmarkStart w:id="130" w:name="_Toc125069396"/>
      <w:bookmarkStart w:id="131" w:name="_Toc125067004"/>
      <w:bookmarkStart w:id="132" w:name="_Toc126522844"/>
      <w:bookmarkStart w:id="133" w:name="_Toc125070479"/>
      <w:bookmarkStart w:id="134" w:name="_Toc126522277"/>
      <w:bookmarkStart w:id="135" w:name="_Toc125069276"/>
      <w:bookmarkStart w:id="136" w:name="_Toc125118204"/>
      <w:bookmarkStart w:id="137" w:name="_Toc126444782"/>
      <w:bookmarkStart w:id="138" w:name="_Toc126569403"/>
      <w:bookmarkStart w:id="139" w:name="_Toc125118574"/>
      <w:bookmarkStart w:id="140" w:name="_Toc125055695"/>
      <w:bookmarkStart w:id="141" w:name="_Toc125702868"/>
      <w:bookmarkStart w:id="142" w:name="_Toc126533038"/>
      <w:bookmarkStart w:id="143" w:name="_Toc126569401"/>
      <w:bookmarkStart w:id="144" w:name="_Toc126527432"/>
      <w:bookmarkStart w:id="145" w:name="_Toc107182312"/>
      <w:bookmarkStart w:id="146" w:name="_Toc216186556"/>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4F1FD9">
        <w:rPr>
          <w:rFonts w:ascii="Times New Roman" w:hAnsi="Times New Roman" w:cs="Times New Roman"/>
          <w:color w:val="000000" w:themeColor="text1"/>
          <w:sz w:val="28"/>
          <w:szCs w:val="28"/>
        </w:rPr>
        <w:t>STATISTICAL ANALYSIS METHODS</w:t>
      </w:r>
      <w:bookmarkEnd w:id="146"/>
    </w:p>
    <w:p w14:paraId="387ECB6A"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147" w:name="_Toc216186557"/>
      <w:r w:rsidRPr="00F72DDB">
        <w:rPr>
          <w:rFonts w:ascii="Times New Roman" w:hAnsi="Times New Roman" w:cs="Times New Roman"/>
          <w:color w:val="000000" w:themeColor="text1"/>
          <w:sz w:val="24"/>
          <w:szCs w:val="24"/>
        </w:rPr>
        <w:t>General Description of Statistical Analysis</w:t>
      </w:r>
      <w:bookmarkEnd w:id="147"/>
    </w:p>
    <w:p w14:paraId="1009FC1F"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148" w:name="_Toc216186558"/>
      <w:r w:rsidRPr="00F72DDB">
        <w:rPr>
          <w:rFonts w:ascii="Times New Roman" w:hAnsi="Times New Roman" w:cs="Times New Roman"/>
          <w:color w:val="000000" w:themeColor="text1"/>
          <w:szCs w:val="24"/>
        </w:rPr>
        <w:t>General principles</w:t>
      </w:r>
      <w:bookmarkEnd w:id="148"/>
    </w:p>
    <w:p w14:paraId="2C6C3AD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 xml:space="preserve">This study will be primarily based on descriptive analyses; no hypothesis testing will be performed for the efficacy analyses. The PK data analysis will be performed using WinNonlin </w:t>
      </w:r>
      <w:r w:rsidRPr="007226EC">
        <w:rPr>
          <w:rFonts w:cs="Times New Roman"/>
          <w:spacing w:val="-2"/>
          <w:sz w:val="24"/>
        </w:rPr>
        <w:t>(v8.3 or later), and the remaining statistical analyses will be performed using SAS</w:t>
      </w:r>
      <w:r w:rsidRPr="007226EC">
        <w:rPr>
          <w:rFonts w:cs="Times New Roman"/>
          <w:spacing w:val="-2"/>
          <w:sz w:val="24"/>
          <w:vertAlign w:val="superscript"/>
        </w:rPr>
        <w:t>®</w:t>
      </w:r>
      <w:r w:rsidRPr="007226EC">
        <w:rPr>
          <w:rFonts w:cs="Times New Roman"/>
          <w:spacing w:val="-2"/>
          <w:sz w:val="24"/>
        </w:rPr>
        <w:t xml:space="preserve"> (v9.4 or later).</w:t>
      </w:r>
    </w:p>
    <w:p w14:paraId="4F1A81D4"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 xml:space="preserve">Unless otherwise specified, quantitative data will be statistically described using the number of </w:t>
      </w:r>
      <w:r w:rsidRPr="00F72DDB">
        <w:rPr>
          <w:rFonts w:cs="Times New Roman"/>
          <w:sz w:val="24"/>
        </w:rPr>
        <w:lastRenderedPageBreak/>
        <w:t xml:space="preserve">subjects (including missing), mean, standard deviation, median, quartiles (Q1 and Q3), minimum, and maximum; qualitative data will be statistically described using frequency and percentage, and the percentage will be calculated using the number of subjects in each group in the analysis set as the denominator; all statistical tests will be performed using two-sided tests with a significance level of </w:t>
      </w:r>
      <w:r w:rsidRPr="00F72DDB">
        <w:rPr>
          <w:rFonts w:cs="Times New Roman"/>
          <w:i/>
          <w:iCs/>
          <w:sz w:val="24"/>
        </w:rPr>
        <w:t>α</w:t>
      </w:r>
      <w:r w:rsidRPr="00F72DDB">
        <w:rPr>
          <w:rFonts w:cs="Times New Roman"/>
          <w:sz w:val="24"/>
        </w:rPr>
        <w:t xml:space="preserve"> = 0.05. The statistics will be rounded for presentation. In the statistical analysis, subjects receiving the placebo in each part of the study will be combined into a placebo group for analysis.</w:t>
      </w:r>
    </w:p>
    <w:p w14:paraId="46F38A8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sz w:val="24"/>
        </w:rPr>
      </w:pPr>
      <w:r w:rsidRPr="00F72DDB">
        <w:rPr>
          <w:rFonts w:cs="Times New Roman"/>
          <w:color w:val="000000"/>
          <w:sz w:val="24"/>
        </w:rPr>
        <w:t>The number of decimal places for statistical analysis follows the following rules unless otherwise specified:</w:t>
      </w:r>
    </w:p>
    <w:p w14:paraId="21ABD3F4" w14:textId="77777777" w:rsidR="0005712D" w:rsidRPr="00F72DDB" w:rsidRDefault="00CF2A39" w:rsidP="007226EC">
      <w:pPr>
        <w:pStyle w:val="SAPTable"/>
        <w:keepNext w:val="0"/>
        <w:widowControl w:val="0"/>
        <w:adjustRightInd w:val="0"/>
        <w:spacing w:beforeLines="50" w:afterLines="50" w:line="300" w:lineRule="auto"/>
        <w:contextualSpacing w:val="0"/>
        <w:rPr>
          <w:sz w:val="24"/>
        </w:rPr>
      </w:pPr>
      <w:r w:rsidRPr="00F72DDB">
        <w:rPr>
          <w:sz w:val="24"/>
        </w:rPr>
        <w:t>General rules for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0"/>
        <w:gridCol w:w="5756"/>
      </w:tblGrid>
      <w:tr w:rsidR="0005712D" w:rsidRPr="00101741" w14:paraId="663477E5" w14:textId="77777777" w:rsidTr="00CC0491">
        <w:trPr>
          <w:jc w:val="center"/>
        </w:trPr>
        <w:tc>
          <w:tcPr>
            <w:tcW w:w="1963" w:type="pct"/>
            <w:shd w:val="pct15" w:color="auto" w:fill="auto"/>
            <w:tcMar>
              <w:top w:w="57" w:type="dxa"/>
              <w:left w:w="57" w:type="dxa"/>
              <w:bottom w:w="57" w:type="dxa"/>
              <w:right w:w="57" w:type="dxa"/>
            </w:tcMar>
          </w:tcPr>
          <w:p w14:paraId="2B388B8E"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themeColor="text1"/>
                <w:sz w:val="20"/>
                <w:szCs w:val="20"/>
              </w:rPr>
            </w:pPr>
            <w:r w:rsidRPr="00101741">
              <w:rPr>
                <w:rFonts w:cs="Times New Roman"/>
                <w:b/>
                <w:bCs/>
                <w:color w:val="000000" w:themeColor="text1"/>
                <w:sz w:val="20"/>
                <w:szCs w:val="20"/>
              </w:rPr>
              <w:t>Statistics</w:t>
            </w:r>
          </w:p>
        </w:tc>
        <w:tc>
          <w:tcPr>
            <w:tcW w:w="3037" w:type="pct"/>
            <w:shd w:val="pct15" w:color="auto" w:fill="auto"/>
            <w:tcMar>
              <w:top w:w="57" w:type="dxa"/>
              <w:left w:w="57" w:type="dxa"/>
              <w:bottom w:w="57" w:type="dxa"/>
              <w:right w:w="57" w:type="dxa"/>
            </w:tcMar>
          </w:tcPr>
          <w:p w14:paraId="334E8441"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themeColor="text1"/>
                <w:sz w:val="20"/>
                <w:szCs w:val="20"/>
              </w:rPr>
            </w:pPr>
            <w:r w:rsidRPr="00101741">
              <w:rPr>
                <w:rFonts w:cs="Times New Roman"/>
                <w:b/>
                <w:bCs/>
                <w:color w:val="000000" w:themeColor="text1"/>
                <w:sz w:val="20"/>
                <w:szCs w:val="20"/>
              </w:rPr>
              <w:t>Decimal place</w:t>
            </w:r>
          </w:p>
        </w:tc>
      </w:tr>
      <w:tr w:rsidR="0005712D" w:rsidRPr="00101741" w14:paraId="3F5EFE56" w14:textId="77777777" w:rsidTr="00CC0491">
        <w:trPr>
          <w:jc w:val="center"/>
        </w:trPr>
        <w:tc>
          <w:tcPr>
            <w:tcW w:w="1963" w:type="pct"/>
            <w:tcMar>
              <w:top w:w="57" w:type="dxa"/>
              <w:left w:w="57" w:type="dxa"/>
              <w:bottom w:w="57" w:type="dxa"/>
              <w:right w:w="57" w:type="dxa"/>
            </w:tcMar>
          </w:tcPr>
          <w:p w14:paraId="7BDA4117"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Minimum and maximum</w:t>
            </w:r>
          </w:p>
        </w:tc>
        <w:tc>
          <w:tcPr>
            <w:tcW w:w="3037" w:type="pct"/>
            <w:tcMar>
              <w:top w:w="57" w:type="dxa"/>
              <w:left w:w="57" w:type="dxa"/>
              <w:bottom w:w="57" w:type="dxa"/>
              <w:right w:w="57" w:type="dxa"/>
            </w:tcMar>
          </w:tcPr>
          <w:p w14:paraId="7F0008D0"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Same decimal places as source data</w:t>
            </w:r>
          </w:p>
        </w:tc>
      </w:tr>
      <w:tr w:rsidR="0005712D" w:rsidRPr="00101741" w14:paraId="140A8E55" w14:textId="77777777" w:rsidTr="00CC0491">
        <w:trPr>
          <w:jc w:val="center"/>
        </w:trPr>
        <w:tc>
          <w:tcPr>
            <w:tcW w:w="1963" w:type="pct"/>
            <w:tcMar>
              <w:top w:w="57" w:type="dxa"/>
              <w:left w:w="57" w:type="dxa"/>
              <w:bottom w:w="57" w:type="dxa"/>
              <w:right w:w="57" w:type="dxa"/>
            </w:tcMar>
          </w:tcPr>
          <w:p w14:paraId="3A4FFCF0"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Mean, median, Q1, Q3</w:t>
            </w:r>
          </w:p>
        </w:tc>
        <w:tc>
          <w:tcPr>
            <w:tcW w:w="3037" w:type="pct"/>
            <w:tcMar>
              <w:top w:w="57" w:type="dxa"/>
              <w:left w:w="57" w:type="dxa"/>
              <w:bottom w:w="57" w:type="dxa"/>
              <w:right w:w="57" w:type="dxa"/>
            </w:tcMar>
          </w:tcPr>
          <w:p w14:paraId="29A758E8"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1 more decimal place than the source data</w:t>
            </w:r>
          </w:p>
        </w:tc>
      </w:tr>
      <w:tr w:rsidR="0005712D" w:rsidRPr="00101741" w14:paraId="5836CD31" w14:textId="77777777" w:rsidTr="00CC0491">
        <w:trPr>
          <w:jc w:val="center"/>
        </w:trPr>
        <w:tc>
          <w:tcPr>
            <w:tcW w:w="1963" w:type="pct"/>
            <w:tcMar>
              <w:top w:w="57" w:type="dxa"/>
              <w:left w:w="57" w:type="dxa"/>
              <w:bottom w:w="57" w:type="dxa"/>
              <w:right w:w="57" w:type="dxa"/>
            </w:tcMar>
          </w:tcPr>
          <w:p w14:paraId="74030261"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Standard deviation</w:t>
            </w:r>
          </w:p>
        </w:tc>
        <w:tc>
          <w:tcPr>
            <w:tcW w:w="3037" w:type="pct"/>
            <w:tcMar>
              <w:top w:w="57" w:type="dxa"/>
              <w:left w:w="57" w:type="dxa"/>
              <w:bottom w:w="57" w:type="dxa"/>
              <w:right w:w="57" w:type="dxa"/>
            </w:tcMar>
          </w:tcPr>
          <w:p w14:paraId="327F4996"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2 more decimal places than the source data</w:t>
            </w:r>
          </w:p>
        </w:tc>
      </w:tr>
      <w:tr w:rsidR="0005712D" w:rsidRPr="00101741" w14:paraId="395C38BA" w14:textId="77777777" w:rsidTr="00CC0491">
        <w:trPr>
          <w:jc w:val="center"/>
        </w:trPr>
        <w:tc>
          <w:tcPr>
            <w:tcW w:w="1963" w:type="pct"/>
            <w:tcMar>
              <w:top w:w="57" w:type="dxa"/>
              <w:left w:w="57" w:type="dxa"/>
              <w:bottom w:w="57" w:type="dxa"/>
              <w:right w:w="57" w:type="dxa"/>
            </w:tcMar>
          </w:tcPr>
          <w:p w14:paraId="51E4A650"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Derived data</w:t>
            </w:r>
          </w:p>
        </w:tc>
        <w:tc>
          <w:tcPr>
            <w:tcW w:w="3037" w:type="pct"/>
            <w:tcMar>
              <w:top w:w="57" w:type="dxa"/>
              <w:left w:w="57" w:type="dxa"/>
              <w:bottom w:w="57" w:type="dxa"/>
              <w:right w:w="57" w:type="dxa"/>
            </w:tcMar>
          </w:tcPr>
          <w:p w14:paraId="4BCD3DED"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2 decimal places (unless otherwise specified)</w:t>
            </w:r>
          </w:p>
          <w:p w14:paraId="1BCD9866" w14:textId="77777777" w:rsidR="0005712D" w:rsidRPr="00101741" w:rsidRDefault="00CF2A39" w:rsidP="00101741">
            <w:pPr>
              <w:pStyle w:val="aff"/>
              <w:numPr>
                <w:ilvl w:val="0"/>
                <w:numId w:val="15"/>
              </w:numPr>
              <w:overflowPunct w:val="0"/>
              <w:autoSpaceDE w:val="0"/>
              <w:autoSpaceDN w:val="0"/>
              <w:adjustRightInd w:val="0"/>
              <w:snapToGrid w:val="0"/>
              <w:ind w:firstLineChars="0"/>
              <w:jc w:val="left"/>
              <w:rPr>
                <w:color w:val="000000" w:themeColor="text1"/>
                <w:sz w:val="20"/>
                <w:szCs w:val="20"/>
              </w:rPr>
            </w:pPr>
            <w:r w:rsidRPr="00101741">
              <w:rPr>
                <w:color w:val="000000" w:themeColor="text1"/>
                <w:sz w:val="20"/>
                <w:szCs w:val="20"/>
              </w:rPr>
              <w:t>Presented to 2 significant digits when &lt; 0.01</w:t>
            </w:r>
          </w:p>
        </w:tc>
      </w:tr>
      <w:tr w:rsidR="0005712D" w:rsidRPr="00101741" w14:paraId="62CE0D9C" w14:textId="77777777" w:rsidTr="00CC0491">
        <w:trPr>
          <w:jc w:val="center"/>
        </w:trPr>
        <w:tc>
          <w:tcPr>
            <w:tcW w:w="1963" w:type="pct"/>
            <w:tcMar>
              <w:top w:w="57" w:type="dxa"/>
              <w:left w:w="57" w:type="dxa"/>
              <w:bottom w:w="57" w:type="dxa"/>
              <w:right w:w="57" w:type="dxa"/>
            </w:tcMar>
          </w:tcPr>
          <w:p w14:paraId="21F90FD7"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Frequency</w:t>
            </w:r>
          </w:p>
        </w:tc>
        <w:tc>
          <w:tcPr>
            <w:tcW w:w="3037" w:type="pct"/>
            <w:tcMar>
              <w:top w:w="57" w:type="dxa"/>
              <w:left w:w="57" w:type="dxa"/>
              <w:bottom w:w="57" w:type="dxa"/>
              <w:right w:w="57" w:type="dxa"/>
            </w:tcMar>
          </w:tcPr>
          <w:p w14:paraId="6AE15D88"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0 decimal places</w:t>
            </w:r>
          </w:p>
        </w:tc>
      </w:tr>
      <w:tr w:rsidR="0005712D" w:rsidRPr="00101741" w14:paraId="5CF4D2A2" w14:textId="77777777" w:rsidTr="00CC0491">
        <w:trPr>
          <w:jc w:val="center"/>
        </w:trPr>
        <w:tc>
          <w:tcPr>
            <w:tcW w:w="1963" w:type="pct"/>
            <w:tcBorders>
              <w:bottom w:val="single" w:sz="4" w:space="0" w:color="auto"/>
            </w:tcBorders>
            <w:tcMar>
              <w:top w:w="57" w:type="dxa"/>
              <w:left w:w="57" w:type="dxa"/>
              <w:bottom w:w="57" w:type="dxa"/>
              <w:right w:w="57" w:type="dxa"/>
            </w:tcMar>
          </w:tcPr>
          <w:p w14:paraId="15ED0665"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Percentage</w:t>
            </w:r>
          </w:p>
        </w:tc>
        <w:tc>
          <w:tcPr>
            <w:tcW w:w="3037" w:type="pct"/>
            <w:tcBorders>
              <w:bottom w:val="single" w:sz="4" w:space="0" w:color="auto"/>
            </w:tcBorders>
            <w:tcMar>
              <w:top w:w="57" w:type="dxa"/>
              <w:left w:w="57" w:type="dxa"/>
              <w:bottom w:w="57" w:type="dxa"/>
              <w:right w:w="57" w:type="dxa"/>
            </w:tcMar>
          </w:tcPr>
          <w:p w14:paraId="411B19AC"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Percent to 1 decimal place</w:t>
            </w:r>
          </w:p>
          <w:p w14:paraId="47B4B22D" w14:textId="77777777" w:rsidR="0005712D" w:rsidRPr="00101741" w:rsidRDefault="00CF2A39" w:rsidP="00101741">
            <w:pPr>
              <w:pStyle w:val="aff"/>
              <w:numPr>
                <w:ilvl w:val="0"/>
                <w:numId w:val="16"/>
              </w:numPr>
              <w:overflowPunct w:val="0"/>
              <w:autoSpaceDE w:val="0"/>
              <w:autoSpaceDN w:val="0"/>
              <w:adjustRightInd w:val="0"/>
              <w:snapToGrid w:val="0"/>
              <w:ind w:firstLineChars="0"/>
              <w:jc w:val="left"/>
              <w:rPr>
                <w:color w:val="000000" w:themeColor="text1"/>
                <w:sz w:val="20"/>
                <w:szCs w:val="20"/>
              </w:rPr>
            </w:pPr>
            <w:r w:rsidRPr="00101741">
              <w:rPr>
                <w:color w:val="000000" w:themeColor="text1"/>
                <w:sz w:val="20"/>
                <w:szCs w:val="20"/>
              </w:rPr>
              <w:t>Presented as 0, rather than a percentage, if the frequency is 0</w:t>
            </w:r>
          </w:p>
          <w:p w14:paraId="7A244841" w14:textId="77777777" w:rsidR="0005712D" w:rsidRPr="00101741" w:rsidRDefault="00CF2A39" w:rsidP="00101741">
            <w:pPr>
              <w:pStyle w:val="aff"/>
              <w:numPr>
                <w:ilvl w:val="0"/>
                <w:numId w:val="16"/>
              </w:numPr>
              <w:overflowPunct w:val="0"/>
              <w:autoSpaceDE w:val="0"/>
              <w:autoSpaceDN w:val="0"/>
              <w:adjustRightInd w:val="0"/>
              <w:snapToGrid w:val="0"/>
              <w:ind w:firstLineChars="0"/>
              <w:jc w:val="left"/>
              <w:rPr>
                <w:color w:val="000000" w:themeColor="text1"/>
                <w:sz w:val="20"/>
                <w:szCs w:val="20"/>
              </w:rPr>
            </w:pPr>
            <w:r w:rsidRPr="00101741">
              <w:rPr>
                <w:color w:val="000000" w:themeColor="text1"/>
                <w:sz w:val="20"/>
                <w:szCs w:val="20"/>
              </w:rPr>
              <w:t>Presented as "100%" if it is 100%</w:t>
            </w:r>
          </w:p>
        </w:tc>
      </w:tr>
      <w:tr w:rsidR="0005712D" w:rsidRPr="00101741" w14:paraId="0E82306A" w14:textId="77777777" w:rsidTr="00CC0491">
        <w:trPr>
          <w:jc w:val="center"/>
        </w:trPr>
        <w:tc>
          <w:tcPr>
            <w:tcW w:w="1963" w:type="pct"/>
            <w:tcMar>
              <w:top w:w="57" w:type="dxa"/>
              <w:left w:w="57" w:type="dxa"/>
              <w:bottom w:w="57" w:type="dxa"/>
              <w:right w:w="57" w:type="dxa"/>
            </w:tcMar>
          </w:tcPr>
          <w:p w14:paraId="2BAF2DF6"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i/>
                <w:color w:val="000000" w:themeColor="text1"/>
                <w:sz w:val="20"/>
                <w:szCs w:val="20"/>
              </w:rPr>
              <w:t>P</w:t>
            </w:r>
            <w:r w:rsidRPr="00101741">
              <w:rPr>
                <w:rFonts w:cs="Times New Roman"/>
                <w:color w:val="000000" w:themeColor="text1"/>
                <w:sz w:val="20"/>
                <w:szCs w:val="20"/>
              </w:rPr>
              <w:t xml:space="preserve"> value</w:t>
            </w:r>
          </w:p>
        </w:tc>
        <w:tc>
          <w:tcPr>
            <w:tcW w:w="3037" w:type="pct"/>
            <w:tcMar>
              <w:top w:w="57" w:type="dxa"/>
              <w:left w:w="57" w:type="dxa"/>
              <w:bottom w:w="57" w:type="dxa"/>
              <w:right w:w="57" w:type="dxa"/>
            </w:tcMar>
          </w:tcPr>
          <w:p w14:paraId="12126B75"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4 decimal places</w:t>
            </w:r>
          </w:p>
          <w:p w14:paraId="14194F3A" w14:textId="77777777" w:rsidR="0005712D" w:rsidRPr="00101741" w:rsidRDefault="00CF2A39" w:rsidP="00101741">
            <w:pPr>
              <w:pStyle w:val="aff"/>
              <w:numPr>
                <w:ilvl w:val="0"/>
                <w:numId w:val="16"/>
              </w:numPr>
              <w:overflowPunct w:val="0"/>
              <w:autoSpaceDE w:val="0"/>
              <w:autoSpaceDN w:val="0"/>
              <w:adjustRightInd w:val="0"/>
              <w:snapToGrid w:val="0"/>
              <w:ind w:firstLineChars="0"/>
              <w:jc w:val="left"/>
              <w:rPr>
                <w:color w:val="000000" w:themeColor="text1"/>
                <w:sz w:val="20"/>
                <w:szCs w:val="20"/>
              </w:rPr>
            </w:pPr>
            <w:r w:rsidRPr="00101741">
              <w:rPr>
                <w:color w:val="000000" w:themeColor="text1"/>
                <w:sz w:val="20"/>
                <w:szCs w:val="20"/>
              </w:rPr>
              <w:t xml:space="preserve">Presented as "&lt; 0.0001" if </w:t>
            </w:r>
            <w:r w:rsidRPr="00101741">
              <w:rPr>
                <w:i/>
                <w:iCs/>
                <w:color w:val="000000" w:themeColor="text1"/>
                <w:sz w:val="20"/>
                <w:szCs w:val="20"/>
              </w:rPr>
              <w:t>P</w:t>
            </w:r>
            <w:r w:rsidRPr="00101741">
              <w:rPr>
                <w:color w:val="000000" w:themeColor="text1"/>
                <w:sz w:val="20"/>
                <w:szCs w:val="20"/>
              </w:rPr>
              <w:t xml:space="preserve"> &lt; 0.0001</w:t>
            </w:r>
          </w:p>
          <w:p w14:paraId="7A82FF1F" w14:textId="77777777" w:rsidR="0005712D" w:rsidRPr="00101741" w:rsidRDefault="00CF2A39" w:rsidP="00101741">
            <w:pPr>
              <w:pStyle w:val="aff"/>
              <w:numPr>
                <w:ilvl w:val="0"/>
                <w:numId w:val="16"/>
              </w:numPr>
              <w:overflowPunct w:val="0"/>
              <w:autoSpaceDE w:val="0"/>
              <w:autoSpaceDN w:val="0"/>
              <w:adjustRightInd w:val="0"/>
              <w:snapToGrid w:val="0"/>
              <w:ind w:firstLineChars="0"/>
              <w:jc w:val="left"/>
              <w:rPr>
                <w:color w:val="000000" w:themeColor="text1"/>
                <w:sz w:val="20"/>
                <w:szCs w:val="20"/>
              </w:rPr>
            </w:pPr>
            <w:r w:rsidRPr="00101741">
              <w:rPr>
                <w:color w:val="000000" w:themeColor="text1"/>
                <w:sz w:val="20"/>
                <w:szCs w:val="20"/>
              </w:rPr>
              <w:t xml:space="preserve">Presented as "&gt; 0.9999" if </w:t>
            </w:r>
            <w:r w:rsidRPr="00101741">
              <w:rPr>
                <w:i/>
                <w:iCs/>
                <w:color w:val="000000" w:themeColor="text1"/>
                <w:sz w:val="20"/>
                <w:szCs w:val="20"/>
              </w:rPr>
              <w:t>P</w:t>
            </w:r>
            <w:r w:rsidRPr="00101741">
              <w:rPr>
                <w:color w:val="000000" w:themeColor="text1"/>
                <w:sz w:val="20"/>
                <w:szCs w:val="20"/>
              </w:rPr>
              <w:t xml:space="preserve"> &gt; 0.9999</w:t>
            </w:r>
          </w:p>
        </w:tc>
      </w:tr>
      <w:tr w:rsidR="0005712D" w:rsidRPr="00101741" w14:paraId="03D1E27E" w14:textId="77777777" w:rsidTr="00CC0491">
        <w:trPr>
          <w:jc w:val="center"/>
        </w:trPr>
        <w:tc>
          <w:tcPr>
            <w:tcW w:w="1963" w:type="pct"/>
            <w:tcBorders>
              <w:bottom w:val="single" w:sz="4" w:space="0" w:color="auto"/>
            </w:tcBorders>
            <w:tcMar>
              <w:top w:w="57" w:type="dxa"/>
              <w:left w:w="57" w:type="dxa"/>
              <w:bottom w:w="57" w:type="dxa"/>
              <w:right w:w="57" w:type="dxa"/>
            </w:tcMar>
          </w:tcPr>
          <w:p w14:paraId="1E549643"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iCs/>
                <w:color w:val="000000" w:themeColor="text1"/>
                <w:sz w:val="20"/>
                <w:szCs w:val="20"/>
              </w:rPr>
            </w:pPr>
            <w:r w:rsidRPr="00101741">
              <w:rPr>
                <w:rFonts w:cs="Times New Roman"/>
                <w:iCs/>
                <w:color w:val="000000" w:themeColor="text1"/>
                <w:sz w:val="20"/>
                <w:szCs w:val="20"/>
              </w:rPr>
              <w:t>Confidence interval (CI)</w:t>
            </w:r>
          </w:p>
        </w:tc>
        <w:tc>
          <w:tcPr>
            <w:tcW w:w="3037" w:type="pct"/>
            <w:tcBorders>
              <w:bottom w:val="single" w:sz="4" w:space="0" w:color="auto"/>
            </w:tcBorders>
            <w:tcMar>
              <w:top w:w="57" w:type="dxa"/>
              <w:left w:w="57" w:type="dxa"/>
              <w:bottom w:w="57" w:type="dxa"/>
              <w:right w:w="57" w:type="dxa"/>
            </w:tcMar>
          </w:tcPr>
          <w:p w14:paraId="2E1557B1"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themeColor="text1"/>
                <w:sz w:val="20"/>
                <w:szCs w:val="20"/>
              </w:rPr>
            </w:pPr>
            <w:r w:rsidRPr="00101741">
              <w:rPr>
                <w:rFonts w:cs="Times New Roman"/>
                <w:color w:val="000000" w:themeColor="text1"/>
                <w:sz w:val="20"/>
                <w:szCs w:val="20"/>
              </w:rPr>
              <w:t>Same number of decimal places as corresponding statistics</w:t>
            </w:r>
          </w:p>
        </w:tc>
      </w:tr>
    </w:tbl>
    <w:p w14:paraId="2A4622D1" w14:textId="77777777" w:rsidR="0005712D" w:rsidRPr="00CC0491" w:rsidRDefault="00CF2A39" w:rsidP="004F1FD9">
      <w:pPr>
        <w:pStyle w:val="a0"/>
        <w:numPr>
          <w:ilvl w:val="0"/>
          <w:numId w:val="0"/>
        </w:numPr>
        <w:overflowPunct w:val="0"/>
        <w:autoSpaceDE w:val="0"/>
        <w:autoSpaceDN w:val="0"/>
        <w:adjustRightInd w:val="0"/>
        <w:spacing w:beforeLines="50" w:afterLines="50" w:line="300" w:lineRule="auto"/>
        <w:jc w:val="left"/>
        <w:rPr>
          <w:rFonts w:cs="Times New Roman"/>
          <w:sz w:val="20"/>
          <w:szCs w:val="20"/>
        </w:rPr>
      </w:pPr>
      <w:r w:rsidRPr="00CC0491">
        <w:rPr>
          <w:rFonts w:cs="Times New Roman"/>
          <w:sz w:val="20"/>
          <w:szCs w:val="20"/>
          <w:vertAlign w:val="superscript"/>
        </w:rPr>
        <w:t>*</w:t>
      </w:r>
      <w:r w:rsidRPr="00CC0491">
        <w:rPr>
          <w:rFonts w:cs="Times New Roman"/>
          <w:sz w:val="20"/>
          <w:szCs w:val="20"/>
        </w:rPr>
        <w:t>All statistics will be presented to a maximum of 4 decimal places.</w:t>
      </w:r>
    </w:p>
    <w:p w14:paraId="044446C5"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149" w:name="_Toc216186559"/>
      <w:r w:rsidRPr="00F72DDB">
        <w:rPr>
          <w:rFonts w:ascii="Times New Roman" w:hAnsi="Times New Roman" w:cs="Times New Roman"/>
          <w:color w:val="000000" w:themeColor="text1"/>
          <w:szCs w:val="24"/>
        </w:rPr>
        <w:t>Baseline value</w:t>
      </w:r>
      <w:bookmarkEnd w:id="149"/>
    </w:p>
    <w:p w14:paraId="45B5603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Unless otherwise specified, the baseline value is defined as the last non-missing observation before the first dose of the investigational medicinal product. For quantitative parameters, change from baseline/percentage change from baseline will be calculated as appropriate, and if either the baseline value or the post-baseline observation is missing, the change from baseline/percentage change from baseline will also be set as missing. Unscheduled visits will be used for the derivation of baseline values.</w:t>
      </w:r>
    </w:p>
    <w:p w14:paraId="383789FC"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Change from baseline = Value at a specific visit post-dose − Baseline value</w:t>
      </w:r>
    </w:p>
    <w:p w14:paraId="5FE9D951" w14:textId="77777777" w:rsidR="0005712D" w:rsidRPr="00F72DDB" w:rsidRDefault="00CF2A39" w:rsidP="004F1FD9">
      <w:pPr>
        <w:pStyle w:val="Formular"/>
        <w:overflowPunct w:val="0"/>
        <w:autoSpaceDE w:val="0"/>
        <w:autoSpaceDN w:val="0"/>
        <w:adjustRightInd w:val="0"/>
        <w:snapToGrid w:val="0"/>
        <w:spacing w:beforeLines="50" w:before="120" w:afterLines="50" w:after="120" w:line="300" w:lineRule="auto"/>
        <w:ind w:firstLine="0"/>
        <w:contextualSpacing w:val="0"/>
        <w:jc w:val="left"/>
        <w:rPr>
          <w:rFonts w:cs="Times New Roman"/>
          <w:sz w:val="24"/>
        </w:rPr>
      </w:pPr>
      <w:r w:rsidRPr="00F72DDB">
        <w:rPr>
          <w:rFonts w:cs="Times New Roman"/>
          <w:sz w:val="24"/>
        </w:rPr>
        <w:t>Percentage change from baseline (%) = (Value at a specific visit post-dose − Baseline value)/Baseline value × 100%</w:t>
      </w:r>
    </w:p>
    <w:p w14:paraId="7EE447EB" w14:textId="77777777" w:rsidR="0005712D" w:rsidRPr="00F72DDB" w:rsidRDefault="00CF2A39" w:rsidP="00CC0491">
      <w:pPr>
        <w:pStyle w:val="3"/>
        <w:keepNext w:val="0"/>
        <w:keepLines w:val="0"/>
        <w:overflowPunct w:val="0"/>
        <w:autoSpaceDE w:val="0"/>
        <w:autoSpaceDN w:val="0"/>
        <w:adjustRightInd w:val="0"/>
        <w:spacing w:beforeLines="50" w:afterLines="50" w:line="288" w:lineRule="auto"/>
        <w:rPr>
          <w:rFonts w:ascii="Times New Roman" w:hAnsi="Times New Roman" w:cs="Times New Roman"/>
          <w:color w:val="000000" w:themeColor="text1"/>
          <w:szCs w:val="24"/>
        </w:rPr>
      </w:pPr>
      <w:bookmarkStart w:id="150" w:name="_Toc126533044"/>
      <w:bookmarkStart w:id="151" w:name="_Toc126533045"/>
      <w:bookmarkStart w:id="152" w:name="_Toc126569409"/>
      <w:bookmarkStart w:id="153" w:name="_Toc126569410"/>
      <w:bookmarkStart w:id="154" w:name="_Toc216186560"/>
      <w:bookmarkEnd w:id="150"/>
      <w:bookmarkEnd w:id="151"/>
      <w:bookmarkEnd w:id="152"/>
      <w:bookmarkEnd w:id="153"/>
      <w:r w:rsidRPr="00F72DDB">
        <w:rPr>
          <w:rFonts w:ascii="Times New Roman" w:hAnsi="Times New Roman" w:cs="Times New Roman"/>
          <w:color w:val="000000" w:themeColor="text1"/>
          <w:szCs w:val="24"/>
        </w:rPr>
        <w:lastRenderedPageBreak/>
        <w:t>Definition of study day</w:t>
      </w:r>
      <w:bookmarkEnd w:id="154"/>
    </w:p>
    <w:p w14:paraId="68E005C7" w14:textId="55533CF0" w:rsidR="0005712D" w:rsidRPr="00144ED6" w:rsidRDefault="00CF2A39" w:rsidP="00144ED6">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Study day 0 is defined as the date of the first dose of the investigational medicinal product. Other study days are defined as relative to study day 0; the first day post baseline is D1, and the day before study day 0 is D</w:t>
      </w:r>
      <w:r w:rsidRPr="00F72DDB">
        <w:rPr>
          <w:sz w:val="24"/>
        </w:rPr>
        <w:t>-</w:t>
      </w:r>
      <w:r w:rsidRPr="00F72DDB">
        <w:rPr>
          <w:rFonts w:cs="Times New Roman"/>
          <w:sz w:val="24"/>
        </w:rPr>
        <w:t>1. The calculation formula</w:t>
      </w:r>
      <w:r w:rsidR="00BA0B17">
        <w:rPr>
          <w:rFonts w:cs="Times New Roman" w:hint="eastAsia"/>
          <w:sz w:val="24"/>
        </w:rPr>
        <w:t xml:space="preserve"> is</w:t>
      </w:r>
      <w:r w:rsidRPr="00F72DDB">
        <w:rPr>
          <w:rFonts w:cs="Times New Roman"/>
          <w:sz w:val="24"/>
        </w:rPr>
        <w:t xml:space="preserve"> as follows</w:t>
      </w:r>
      <w:r w:rsidRPr="00144ED6">
        <w:rPr>
          <w:rFonts w:cs="Times New Roman"/>
          <w:sz w:val="24"/>
        </w:rPr>
        <w:t>:</w:t>
      </w:r>
      <w:r w:rsidR="00144ED6" w:rsidRPr="00144ED6">
        <w:rPr>
          <w:rFonts w:cs="Times New Roman" w:hint="eastAsia"/>
          <w:sz w:val="24"/>
        </w:rPr>
        <w:t xml:space="preserve"> </w:t>
      </w:r>
      <w:r w:rsidRPr="00144ED6">
        <w:rPr>
          <w:rFonts w:cs="Times New Roman"/>
          <w:color w:val="000000" w:themeColor="text1"/>
          <w:sz w:val="24"/>
        </w:rPr>
        <w:t>Study day = Assessment/event date − Derived variable of date of the first dose of the investigational medicinal product</w:t>
      </w:r>
    </w:p>
    <w:p w14:paraId="07D1CC13" w14:textId="77777777" w:rsidR="0005712D" w:rsidRPr="00940FCF" w:rsidRDefault="00CF2A39" w:rsidP="00940FCF">
      <w:pPr>
        <w:pStyle w:val="BT6161"/>
        <w:spacing w:line="300" w:lineRule="auto"/>
      </w:pPr>
      <w:bookmarkStart w:id="155" w:name="_Toc216186561"/>
      <w:r w:rsidRPr="00940FCF">
        <w:t>Time interval</w:t>
      </w:r>
      <w:bookmarkEnd w:id="155"/>
    </w:p>
    <w:p w14:paraId="754A800D"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Unless otherwise specified, the study duration is calculated as "End date – Start date".</w:t>
      </w:r>
    </w:p>
    <w:p w14:paraId="461F6DFB"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The conversion of time units follows the following rules:</w:t>
      </w:r>
    </w:p>
    <w:p w14:paraId="3ECB0861" w14:textId="77777777" w:rsidR="0005712D" w:rsidRPr="00F72DDB" w:rsidRDefault="00CF2A39" w:rsidP="00CC0491">
      <w:pPr>
        <w:pStyle w:val="20"/>
        <w:overflowPunct w:val="0"/>
        <w:autoSpaceDE w:val="0"/>
        <w:autoSpaceDN w:val="0"/>
        <w:spacing w:beforeLines="50" w:afterLines="50" w:line="288" w:lineRule="auto"/>
        <w:ind w:left="480" w:hangingChars="200" w:hanging="480"/>
        <w:jc w:val="left"/>
        <w:rPr>
          <w:rFonts w:cs="Times New Roman"/>
          <w:sz w:val="24"/>
        </w:rPr>
      </w:pPr>
      <w:r w:rsidRPr="00F72DDB">
        <w:rPr>
          <w:rFonts w:cs="Times New Roman"/>
          <w:sz w:val="24"/>
        </w:rPr>
        <w:t>1 month = 30.4375 days</w:t>
      </w:r>
    </w:p>
    <w:p w14:paraId="306790F9" w14:textId="77777777" w:rsidR="0005712D" w:rsidRPr="00F72DDB" w:rsidRDefault="00CF2A39" w:rsidP="00CC0491">
      <w:pPr>
        <w:pStyle w:val="20"/>
        <w:overflowPunct w:val="0"/>
        <w:autoSpaceDE w:val="0"/>
        <w:autoSpaceDN w:val="0"/>
        <w:spacing w:beforeLines="50" w:afterLines="50" w:line="288" w:lineRule="auto"/>
        <w:ind w:left="480" w:hangingChars="200" w:hanging="480"/>
        <w:jc w:val="left"/>
        <w:rPr>
          <w:rFonts w:cs="Times New Roman"/>
          <w:sz w:val="24"/>
        </w:rPr>
      </w:pPr>
      <w:r w:rsidRPr="00F72DDB">
        <w:rPr>
          <w:rFonts w:cs="Times New Roman"/>
          <w:sz w:val="24"/>
        </w:rPr>
        <w:t>1 year = 365.25 days</w:t>
      </w:r>
    </w:p>
    <w:p w14:paraId="5D0D6144" w14:textId="77777777" w:rsidR="0005712D" w:rsidRPr="00F72DDB" w:rsidRDefault="00CF2A39" w:rsidP="00CC0491">
      <w:pPr>
        <w:pStyle w:val="20"/>
        <w:overflowPunct w:val="0"/>
        <w:autoSpaceDE w:val="0"/>
        <w:autoSpaceDN w:val="0"/>
        <w:spacing w:beforeLines="50" w:afterLines="50" w:line="288" w:lineRule="auto"/>
        <w:ind w:left="480" w:hangingChars="200" w:hanging="480"/>
        <w:jc w:val="left"/>
        <w:rPr>
          <w:rFonts w:cs="Times New Roman"/>
          <w:sz w:val="24"/>
        </w:rPr>
      </w:pPr>
      <w:r w:rsidRPr="00F72DDB">
        <w:rPr>
          <w:rFonts w:cs="Times New Roman"/>
          <w:sz w:val="24"/>
        </w:rPr>
        <w:t>1 week = 7 days</w:t>
      </w:r>
    </w:p>
    <w:p w14:paraId="585758D1" w14:textId="44CE8F18" w:rsidR="0005712D" w:rsidRPr="00F72DDB" w:rsidRDefault="00BA0B17" w:rsidP="00CC0491">
      <w:pPr>
        <w:pStyle w:val="3"/>
        <w:keepNext w:val="0"/>
        <w:keepLines w:val="0"/>
        <w:overflowPunct w:val="0"/>
        <w:autoSpaceDE w:val="0"/>
        <w:autoSpaceDN w:val="0"/>
        <w:adjustRightInd w:val="0"/>
        <w:spacing w:beforeLines="50" w:afterLines="50" w:line="288" w:lineRule="auto"/>
        <w:rPr>
          <w:rFonts w:ascii="Times New Roman" w:hAnsi="Times New Roman" w:cs="Times New Roman"/>
          <w:szCs w:val="24"/>
        </w:rPr>
      </w:pPr>
      <w:bookmarkStart w:id="156" w:name="_Toc126444795"/>
      <w:bookmarkStart w:id="157" w:name="_Toc126527443"/>
      <w:bookmarkStart w:id="158" w:name="_Toc126522856"/>
      <w:bookmarkStart w:id="159" w:name="_Toc125702879"/>
      <w:bookmarkStart w:id="160" w:name="_Toc126569418"/>
      <w:bookmarkStart w:id="161" w:name="_Toc126522288"/>
      <w:bookmarkStart w:id="162" w:name="_Toc126436559"/>
      <w:bookmarkStart w:id="163" w:name="_Toc126522855"/>
      <w:bookmarkStart w:id="164" w:name="_Toc126436561"/>
      <w:bookmarkStart w:id="165" w:name="_Toc126444793"/>
      <w:bookmarkStart w:id="166" w:name="_Toc126533051"/>
      <w:bookmarkStart w:id="167" w:name="_Toc126522289"/>
      <w:bookmarkStart w:id="168" w:name="_Toc126522290"/>
      <w:bookmarkStart w:id="169" w:name="_Toc126527445"/>
      <w:bookmarkStart w:id="170" w:name="_Toc126533052"/>
      <w:bookmarkStart w:id="171" w:name="_Toc126533053"/>
      <w:bookmarkStart w:id="172" w:name="_Toc126569417"/>
      <w:bookmarkStart w:id="173" w:name="_Toc126522857"/>
      <w:bookmarkStart w:id="174" w:name="_Toc126444794"/>
      <w:bookmarkStart w:id="175" w:name="_Toc125702881"/>
      <w:bookmarkStart w:id="176" w:name="_Toc126436560"/>
      <w:bookmarkStart w:id="177" w:name="_Toc125702880"/>
      <w:bookmarkStart w:id="178" w:name="_Toc126527444"/>
      <w:bookmarkStart w:id="179" w:name="_Toc126569416"/>
      <w:bookmarkStart w:id="180" w:name="_Toc216186562"/>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BA0B17">
        <w:rPr>
          <w:rFonts w:ascii="Times New Roman" w:hAnsi="Times New Roman" w:cs="Times New Roman"/>
          <w:szCs w:val="24"/>
        </w:rPr>
        <w:t xml:space="preserve">Analysis </w:t>
      </w:r>
      <w:r w:rsidR="00911B65">
        <w:rPr>
          <w:rFonts w:ascii="Times New Roman" w:hAnsi="Times New Roman" w:cs="Times New Roman" w:hint="eastAsia"/>
          <w:szCs w:val="24"/>
        </w:rPr>
        <w:t>v</w:t>
      </w:r>
      <w:r w:rsidRPr="00BA0B17">
        <w:rPr>
          <w:rFonts w:ascii="Times New Roman" w:hAnsi="Times New Roman" w:cs="Times New Roman"/>
          <w:szCs w:val="24"/>
        </w:rPr>
        <w:t>isit</w:t>
      </w:r>
      <w:bookmarkEnd w:id="180"/>
    </w:p>
    <w:p w14:paraId="1C3477C4"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Statistical analysis of all post-baseline data will be based on visit labels in the dataset; data absent within a visit label will be treated as missing.</w:t>
      </w:r>
    </w:p>
    <w:p w14:paraId="5CD4E480"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For the analysis of HbA1c, the data of dropouts will be sorted out according to the scheduled visit date ± 14 days.</w:t>
      </w:r>
    </w:p>
    <w:p w14:paraId="0274462F"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Observations labeled as "unscheduled visit" will be used for derivation of baseline values and post-treatment worst outcomes. Unless otherwise specified, observations with a visit label of "unscheduled visit" will not be included in tabular or graphical summaries by visit, but all unscheduled visit data will be presented in the listings.</w:t>
      </w:r>
    </w:p>
    <w:p w14:paraId="72DA38AE" w14:textId="77777777" w:rsidR="0005712D" w:rsidRPr="00F72DDB" w:rsidRDefault="00CF2A39" w:rsidP="00CC0491">
      <w:pPr>
        <w:pStyle w:val="3"/>
        <w:keepNext w:val="0"/>
        <w:keepLines w:val="0"/>
        <w:overflowPunct w:val="0"/>
        <w:autoSpaceDE w:val="0"/>
        <w:autoSpaceDN w:val="0"/>
        <w:adjustRightInd w:val="0"/>
        <w:spacing w:beforeLines="50" w:afterLines="50" w:line="288" w:lineRule="auto"/>
        <w:rPr>
          <w:rFonts w:ascii="Times New Roman" w:hAnsi="Times New Roman" w:cs="Times New Roman"/>
          <w:szCs w:val="24"/>
        </w:rPr>
      </w:pPr>
      <w:bookmarkStart w:id="181" w:name="_Ref102771852"/>
      <w:bookmarkStart w:id="182" w:name="_Toc216186563"/>
      <w:r w:rsidRPr="00F72DDB">
        <w:rPr>
          <w:rFonts w:ascii="Times New Roman" w:hAnsi="Times New Roman" w:cs="Times New Roman"/>
          <w:szCs w:val="24"/>
        </w:rPr>
        <w:t>Handling of missing data</w:t>
      </w:r>
      <w:bookmarkEnd w:id="181"/>
      <w:bookmarkEnd w:id="182"/>
    </w:p>
    <w:p w14:paraId="487E7C13" w14:textId="77777777" w:rsidR="0005712D" w:rsidRPr="00CC0491" w:rsidRDefault="00CF2A39" w:rsidP="00AC124B">
      <w:pPr>
        <w:pStyle w:val="BT6161"/>
      </w:pPr>
      <w:bookmarkStart w:id="183" w:name="_Toc93579675"/>
      <w:bookmarkStart w:id="184" w:name="_Toc216186564"/>
      <w:r w:rsidRPr="00CC0491">
        <w:t>Handling of missing efficacy data</w:t>
      </w:r>
      <w:bookmarkEnd w:id="183"/>
      <w:bookmarkEnd w:id="184"/>
    </w:p>
    <w:p w14:paraId="2592DF22"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color w:val="000000" w:themeColor="text1"/>
          <w:sz w:val="24"/>
        </w:rPr>
      </w:pPr>
      <w:r w:rsidRPr="00F72DDB">
        <w:rPr>
          <w:rFonts w:cs="Times New Roman"/>
          <w:sz w:val="24"/>
        </w:rPr>
        <w:t>Unless otherwise specified, no imputation will be performed for missing efficacy data in this study; statistical analysis will be conducted based on observed collected data.</w:t>
      </w:r>
    </w:p>
    <w:p w14:paraId="72561DA7"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color w:val="000000" w:themeColor="text1"/>
          <w:sz w:val="24"/>
        </w:rPr>
      </w:pPr>
      <w:r w:rsidRPr="00F72DDB">
        <w:rPr>
          <w:rFonts w:cs="Times New Roman"/>
          <w:color w:val="000000" w:themeColor="text1"/>
          <w:sz w:val="24"/>
        </w:rPr>
        <w:t>The method for imputing missing data in the primary efficacy analysis will be described in detail in the section on primary efficacy analysis methods.</w:t>
      </w:r>
    </w:p>
    <w:p w14:paraId="018D0809" w14:textId="77777777" w:rsidR="0005712D" w:rsidRPr="00CC0491" w:rsidRDefault="00CF2A39" w:rsidP="00AC124B">
      <w:pPr>
        <w:pStyle w:val="BT6161"/>
      </w:pPr>
      <w:bookmarkStart w:id="185" w:name="_Toc216186565"/>
      <w:r w:rsidRPr="00CC0491">
        <w:t>Processing of missing dates</w:t>
      </w:r>
      <w:bookmarkEnd w:id="185"/>
    </w:p>
    <w:p w14:paraId="0061BBB1" w14:textId="77777777" w:rsidR="0005712D" w:rsidRPr="00F72DDB" w:rsidRDefault="00CF2A39" w:rsidP="00CC0491">
      <w:pPr>
        <w:pStyle w:val="Normal2"/>
        <w:overflowPunct w:val="0"/>
        <w:autoSpaceDE w:val="0"/>
        <w:autoSpaceDN w:val="0"/>
        <w:adjustRightInd w:val="0"/>
        <w:snapToGrid w:val="0"/>
        <w:spacing w:beforeLines="50" w:before="120" w:afterLines="50" w:after="120" w:line="288" w:lineRule="auto"/>
        <w:ind w:firstLine="0"/>
        <w:jc w:val="left"/>
        <w:rPr>
          <w:rFonts w:cs="Times New Roman"/>
          <w:sz w:val="24"/>
        </w:rPr>
      </w:pPr>
      <w:r w:rsidRPr="00F72DDB">
        <w:rPr>
          <w:rFonts w:cs="Times New Roman"/>
          <w:sz w:val="24"/>
        </w:rPr>
        <w:t>If the dates of AEs, concomitant medications/treatments, etc., are missing but comparison with the first dose or data analysis cutoff point is required, e.g., to judge a post-dose AE or a concomitant medication/therapy, the following methods should be used to impute missing dates before judgment, unless otherwise specified.</w:t>
      </w:r>
    </w:p>
    <w:p w14:paraId="406A276E" w14:textId="77777777" w:rsidR="0005712D" w:rsidRPr="00F72DDB" w:rsidRDefault="00CF2A39" w:rsidP="00144ED6">
      <w:pPr>
        <w:pStyle w:val="SAPEmphasis"/>
        <w:pageBreakBefore/>
        <w:overflowPunct w:val="0"/>
        <w:autoSpaceDE w:val="0"/>
        <w:autoSpaceDN w:val="0"/>
        <w:adjustRightInd w:val="0"/>
        <w:snapToGrid w:val="0"/>
        <w:spacing w:beforeLines="50" w:before="120" w:afterLines="50" w:after="120" w:line="300" w:lineRule="auto"/>
        <w:jc w:val="left"/>
        <w:rPr>
          <w:rFonts w:ascii="Times New Roman" w:hAnsi="Times New Roman" w:cs="Times New Roman"/>
          <w:sz w:val="24"/>
        </w:rPr>
      </w:pPr>
      <w:r w:rsidRPr="00F72DDB">
        <w:rPr>
          <w:rFonts w:ascii="Times New Roman" w:hAnsi="Times New Roman" w:cs="Times New Roman"/>
          <w:sz w:val="24"/>
        </w:rPr>
        <w:lastRenderedPageBreak/>
        <w:t>Processing of missing AE dates: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5"/>
        <w:gridCol w:w="872"/>
        <w:gridCol w:w="872"/>
        <w:gridCol w:w="6747"/>
      </w:tblGrid>
      <w:tr w:rsidR="0005712D" w:rsidRPr="00101741" w14:paraId="3EEAC302" w14:textId="77777777" w:rsidTr="00CC0491">
        <w:trPr>
          <w:jc w:val="center"/>
        </w:trPr>
        <w:tc>
          <w:tcPr>
            <w:tcW w:w="1440" w:type="pct"/>
            <w:gridSpan w:val="3"/>
            <w:shd w:val="pct10" w:color="auto" w:fill="auto"/>
            <w:tcMar>
              <w:top w:w="28" w:type="dxa"/>
              <w:left w:w="57" w:type="dxa"/>
              <w:bottom w:w="28" w:type="dxa"/>
              <w:right w:w="57" w:type="dxa"/>
            </w:tcMar>
            <w:vAlign w:val="center"/>
          </w:tcPr>
          <w:p w14:paraId="43776E4B"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Missing AE onset date</w:t>
            </w:r>
          </w:p>
        </w:tc>
        <w:tc>
          <w:tcPr>
            <w:tcW w:w="3560" w:type="pct"/>
            <w:vMerge w:val="restart"/>
            <w:shd w:val="pct10" w:color="auto" w:fill="auto"/>
            <w:tcMar>
              <w:top w:w="28" w:type="dxa"/>
              <w:left w:w="57" w:type="dxa"/>
              <w:bottom w:w="28" w:type="dxa"/>
              <w:right w:w="57" w:type="dxa"/>
            </w:tcMar>
            <w:vAlign w:val="bottom"/>
          </w:tcPr>
          <w:p w14:paraId="57CF1879" w14:textId="77777777" w:rsidR="0005712D" w:rsidRPr="00101741" w:rsidRDefault="00CF2A39" w:rsidP="00101741">
            <w:pPr>
              <w:overflowPunct w:val="0"/>
              <w:autoSpaceDE w:val="0"/>
              <w:autoSpaceDN w:val="0"/>
              <w:adjustRightInd w:val="0"/>
              <w:snapToGrid w:val="0"/>
              <w:spacing w:before="0" w:after="0" w:line="240" w:lineRule="auto"/>
              <w:ind w:leftChars="86" w:left="181"/>
              <w:jc w:val="center"/>
              <w:rPr>
                <w:rFonts w:cs="Times New Roman"/>
                <w:b/>
                <w:bCs/>
                <w:color w:val="000000"/>
                <w:sz w:val="20"/>
                <w:szCs w:val="20"/>
              </w:rPr>
            </w:pPr>
            <w:r w:rsidRPr="00101741">
              <w:rPr>
                <w:rFonts w:cs="Times New Roman"/>
                <w:b/>
                <w:bCs/>
                <w:color w:val="000000"/>
                <w:sz w:val="20"/>
                <w:szCs w:val="20"/>
              </w:rPr>
              <w:t>Imputation rule for AE onset date</w:t>
            </w:r>
          </w:p>
        </w:tc>
      </w:tr>
      <w:tr w:rsidR="0005712D" w:rsidRPr="00101741" w14:paraId="626D46DF" w14:textId="77777777" w:rsidTr="00CC0491">
        <w:trPr>
          <w:jc w:val="center"/>
        </w:trPr>
        <w:tc>
          <w:tcPr>
            <w:tcW w:w="520" w:type="pct"/>
            <w:tcBorders>
              <w:bottom w:val="single" w:sz="4" w:space="0" w:color="auto"/>
            </w:tcBorders>
            <w:shd w:val="pct10" w:color="auto" w:fill="auto"/>
            <w:tcMar>
              <w:top w:w="28" w:type="dxa"/>
              <w:left w:w="57" w:type="dxa"/>
              <w:bottom w:w="28" w:type="dxa"/>
              <w:right w:w="57" w:type="dxa"/>
            </w:tcMar>
            <w:vAlign w:val="center"/>
          </w:tcPr>
          <w:p w14:paraId="4F47F087"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Year</w:t>
            </w:r>
          </w:p>
        </w:tc>
        <w:tc>
          <w:tcPr>
            <w:tcW w:w="460" w:type="pct"/>
            <w:tcBorders>
              <w:bottom w:val="single" w:sz="4" w:space="0" w:color="auto"/>
            </w:tcBorders>
            <w:shd w:val="pct10" w:color="auto" w:fill="auto"/>
            <w:tcMar>
              <w:top w:w="28" w:type="dxa"/>
              <w:left w:w="57" w:type="dxa"/>
              <w:bottom w:w="28" w:type="dxa"/>
              <w:right w:w="57" w:type="dxa"/>
            </w:tcMar>
            <w:vAlign w:val="center"/>
          </w:tcPr>
          <w:p w14:paraId="15E34BDA"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Month</w:t>
            </w:r>
          </w:p>
        </w:tc>
        <w:tc>
          <w:tcPr>
            <w:tcW w:w="460" w:type="pct"/>
            <w:tcBorders>
              <w:bottom w:val="single" w:sz="4" w:space="0" w:color="auto"/>
            </w:tcBorders>
            <w:shd w:val="pct10" w:color="auto" w:fill="auto"/>
            <w:tcMar>
              <w:top w:w="28" w:type="dxa"/>
              <w:left w:w="57" w:type="dxa"/>
              <w:bottom w:w="28" w:type="dxa"/>
              <w:right w:w="57" w:type="dxa"/>
            </w:tcMar>
            <w:vAlign w:val="center"/>
          </w:tcPr>
          <w:p w14:paraId="4BE1B7BF"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Day</w:t>
            </w:r>
          </w:p>
        </w:tc>
        <w:tc>
          <w:tcPr>
            <w:tcW w:w="3560" w:type="pct"/>
            <w:vMerge/>
            <w:tcBorders>
              <w:bottom w:val="single" w:sz="4" w:space="0" w:color="auto"/>
            </w:tcBorders>
            <w:shd w:val="pct10" w:color="auto" w:fill="auto"/>
            <w:tcMar>
              <w:top w:w="28" w:type="dxa"/>
              <w:left w:w="57" w:type="dxa"/>
              <w:bottom w:w="28" w:type="dxa"/>
              <w:right w:w="57" w:type="dxa"/>
            </w:tcMar>
          </w:tcPr>
          <w:p w14:paraId="2D52F427" w14:textId="77777777" w:rsidR="0005712D" w:rsidRPr="00101741" w:rsidRDefault="0005712D" w:rsidP="00101741">
            <w:pPr>
              <w:overflowPunct w:val="0"/>
              <w:autoSpaceDE w:val="0"/>
              <w:autoSpaceDN w:val="0"/>
              <w:adjustRightInd w:val="0"/>
              <w:snapToGrid w:val="0"/>
              <w:spacing w:before="0" w:after="0" w:line="240" w:lineRule="auto"/>
              <w:ind w:leftChars="86" w:left="181" w:firstLine="422"/>
              <w:jc w:val="center"/>
              <w:rPr>
                <w:rFonts w:cs="Times New Roman"/>
                <w:b/>
                <w:bCs/>
                <w:color w:val="000000"/>
                <w:sz w:val="20"/>
                <w:szCs w:val="20"/>
              </w:rPr>
            </w:pPr>
          </w:p>
        </w:tc>
      </w:tr>
      <w:tr w:rsidR="0005712D" w:rsidRPr="00101741" w14:paraId="00C43886" w14:textId="77777777" w:rsidTr="00CC0491">
        <w:trPr>
          <w:jc w:val="center"/>
        </w:trPr>
        <w:tc>
          <w:tcPr>
            <w:tcW w:w="520" w:type="pct"/>
            <w:tcMar>
              <w:top w:w="28" w:type="dxa"/>
              <w:left w:w="57" w:type="dxa"/>
              <w:bottom w:w="28" w:type="dxa"/>
              <w:right w:w="57" w:type="dxa"/>
            </w:tcMar>
            <w:vAlign w:val="center"/>
          </w:tcPr>
          <w:p w14:paraId="1544B686"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Not missing</w:t>
            </w:r>
          </w:p>
        </w:tc>
        <w:tc>
          <w:tcPr>
            <w:tcW w:w="460" w:type="pct"/>
            <w:tcMar>
              <w:top w:w="28" w:type="dxa"/>
              <w:left w:w="57" w:type="dxa"/>
              <w:bottom w:w="28" w:type="dxa"/>
              <w:right w:w="57" w:type="dxa"/>
            </w:tcMar>
            <w:vAlign w:val="center"/>
          </w:tcPr>
          <w:p w14:paraId="081B0089"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Not missing</w:t>
            </w:r>
          </w:p>
        </w:tc>
        <w:tc>
          <w:tcPr>
            <w:tcW w:w="460" w:type="pct"/>
            <w:tcMar>
              <w:top w:w="28" w:type="dxa"/>
              <w:left w:w="57" w:type="dxa"/>
              <w:bottom w:w="28" w:type="dxa"/>
              <w:right w:w="57" w:type="dxa"/>
            </w:tcMar>
            <w:vAlign w:val="center"/>
          </w:tcPr>
          <w:p w14:paraId="0EF030AF"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3560" w:type="pct"/>
            <w:tcMar>
              <w:top w:w="28" w:type="dxa"/>
              <w:left w:w="57" w:type="dxa"/>
              <w:bottom w:w="28" w:type="dxa"/>
              <w:right w:w="57" w:type="dxa"/>
            </w:tcMar>
          </w:tcPr>
          <w:p w14:paraId="2F8863CB"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color w:val="000000"/>
                <w:sz w:val="20"/>
                <w:szCs w:val="20"/>
              </w:rPr>
              <w:t>Missing days will be imputed according to the following rules:</w:t>
            </w:r>
          </w:p>
          <w:p w14:paraId="1E6941C2" w14:textId="77777777" w:rsidR="0005712D" w:rsidRPr="00101741" w:rsidRDefault="00CF2A39" w:rsidP="00101741">
            <w:pPr>
              <w:pStyle w:val="aff"/>
              <w:numPr>
                <w:ilvl w:val="0"/>
                <w:numId w:val="17"/>
              </w:numPr>
              <w:overflowPunct w:val="0"/>
              <w:autoSpaceDE w:val="0"/>
              <w:autoSpaceDN w:val="0"/>
              <w:adjustRightInd w:val="0"/>
              <w:snapToGrid w:val="0"/>
              <w:ind w:leftChars="86" w:left="601" w:firstLineChars="0"/>
              <w:jc w:val="left"/>
              <w:rPr>
                <w:b/>
                <w:bCs/>
                <w:color w:val="000000"/>
                <w:sz w:val="20"/>
                <w:szCs w:val="20"/>
              </w:rPr>
            </w:pPr>
            <w:r w:rsidRPr="00101741">
              <w:rPr>
                <w:color w:val="000000"/>
                <w:sz w:val="20"/>
                <w:szCs w:val="20"/>
              </w:rPr>
              <w:t>When the year is earlier than the year of the date of the first dose, or when the year is the same but the month is earlier than the month of the date of the first dose, the day will be imputed as the last day of the known month</w:t>
            </w:r>
          </w:p>
          <w:p w14:paraId="470C6F3E" w14:textId="77777777" w:rsidR="0005712D" w:rsidRPr="00101741" w:rsidRDefault="00CF2A39" w:rsidP="00101741">
            <w:pPr>
              <w:pStyle w:val="aff"/>
              <w:numPr>
                <w:ilvl w:val="0"/>
                <w:numId w:val="17"/>
              </w:numPr>
              <w:overflowPunct w:val="0"/>
              <w:autoSpaceDE w:val="0"/>
              <w:autoSpaceDN w:val="0"/>
              <w:adjustRightInd w:val="0"/>
              <w:snapToGrid w:val="0"/>
              <w:ind w:leftChars="86" w:left="601" w:firstLineChars="0"/>
              <w:jc w:val="left"/>
              <w:rPr>
                <w:b/>
                <w:bCs/>
                <w:color w:val="000000"/>
                <w:sz w:val="20"/>
                <w:szCs w:val="20"/>
              </w:rPr>
            </w:pPr>
            <w:r w:rsidRPr="00101741">
              <w:rPr>
                <w:color w:val="000000"/>
                <w:sz w:val="20"/>
                <w:szCs w:val="20"/>
              </w:rPr>
              <w:t xml:space="preserve">When the year and month are the same as the year and month of the date of </w:t>
            </w:r>
            <w:r w:rsidRPr="00CC0491">
              <w:rPr>
                <w:color w:val="000000"/>
                <w:spacing w:val="-2"/>
                <w:sz w:val="20"/>
                <w:szCs w:val="20"/>
              </w:rPr>
              <w:t>the first dose, the day will be imputed as the day of the date of the first dose</w:t>
            </w:r>
          </w:p>
          <w:p w14:paraId="4314671A" w14:textId="77777777" w:rsidR="0005712D" w:rsidRPr="00101741" w:rsidRDefault="00CF2A39" w:rsidP="00101741">
            <w:pPr>
              <w:pStyle w:val="aff"/>
              <w:numPr>
                <w:ilvl w:val="0"/>
                <w:numId w:val="17"/>
              </w:numPr>
              <w:overflowPunct w:val="0"/>
              <w:autoSpaceDE w:val="0"/>
              <w:autoSpaceDN w:val="0"/>
              <w:adjustRightInd w:val="0"/>
              <w:snapToGrid w:val="0"/>
              <w:ind w:leftChars="86" w:left="601" w:firstLineChars="0"/>
              <w:jc w:val="left"/>
              <w:rPr>
                <w:b/>
                <w:bCs/>
                <w:color w:val="000000"/>
                <w:sz w:val="20"/>
                <w:szCs w:val="20"/>
              </w:rPr>
            </w:pPr>
            <w:r w:rsidRPr="00101741">
              <w:rPr>
                <w:color w:val="000000"/>
                <w:sz w:val="20"/>
                <w:szCs w:val="20"/>
              </w:rPr>
              <w:t>When the year is later than the year of the date of the first dose, or when the year is the same but the month is later than the month of the date of the first dose, the day will be imputed as "1"</w:t>
            </w:r>
          </w:p>
        </w:tc>
      </w:tr>
      <w:tr w:rsidR="0005712D" w:rsidRPr="00101741" w14:paraId="413331AE" w14:textId="77777777" w:rsidTr="00CC0491">
        <w:trPr>
          <w:jc w:val="center"/>
        </w:trPr>
        <w:tc>
          <w:tcPr>
            <w:tcW w:w="520" w:type="pct"/>
            <w:tcMar>
              <w:top w:w="28" w:type="dxa"/>
              <w:left w:w="57" w:type="dxa"/>
              <w:bottom w:w="28" w:type="dxa"/>
              <w:right w:w="57" w:type="dxa"/>
            </w:tcMar>
            <w:vAlign w:val="center"/>
          </w:tcPr>
          <w:p w14:paraId="02B92BA0"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Not missing</w:t>
            </w:r>
          </w:p>
        </w:tc>
        <w:tc>
          <w:tcPr>
            <w:tcW w:w="460" w:type="pct"/>
            <w:tcMar>
              <w:top w:w="28" w:type="dxa"/>
              <w:left w:w="57" w:type="dxa"/>
              <w:bottom w:w="28" w:type="dxa"/>
              <w:right w:w="57" w:type="dxa"/>
            </w:tcMar>
            <w:vAlign w:val="center"/>
          </w:tcPr>
          <w:p w14:paraId="14CB3C6C"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460" w:type="pct"/>
            <w:tcMar>
              <w:top w:w="28" w:type="dxa"/>
              <w:left w:w="57" w:type="dxa"/>
              <w:bottom w:w="28" w:type="dxa"/>
              <w:right w:w="57" w:type="dxa"/>
            </w:tcMar>
            <w:vAlign w:val="center"/>
          </w:tcPr>
          <w:p w14:paraId="53D9A90D"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3560" w:type="pct"/>
            <w:tcMar>
              <w:top w:w="28" w:type="dxa"/>
              <w:left w:w="57" w:type="dxa"/>
              <w:bottom w:w="28" w:type="dxa"/>
              <w:right w:w="57" w:type="dxa"/>
            </w:tcMar>
          </w:tcPr>
          <w:p w14:paraId="6037308C"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color w:val="000000"/>
                <w:sz w:val="20"/>
                <w:szCs w:val="20"/>
              </w:rPr>
            </w:pPr>
            <w:r w:rsidRPr="00101741">
              <w:rPr>
                <w:rFonts w:cs="Times New Roman"/>
                <w:color w:val="000000"/>
                <w:sz w:val="20"/>
                <w:szCs w:val="20"/>
              </w:rPr>
              <w:t>Missing months and days will be imputed according to the following rules:</w:t>
            </w:r>
          </w:p>
          <w:p w14:paraId="404E64B1" w14:textId="77777777" w:rsidR="0005712D" w:rsidRPr="00101741" w:rsidRDefault="00CF2A39" w:rsidP="00101741">
            <w:pPr>
              <w:pStyle w:val="aff"/>
              <w:numPr>
                <w:ilvl w:val="0"/>
                <w:numId w:val="17"/>
              </w:numPr>
              <w:overflowPunct w:val="0"/>
              <w:autoSpaceDE w:val="0"/>
              <w:autoSpaceDN w:val="0"/>
              <w:adjustRightInd w:val="0"/>
              <w:snapToGrid w:val="0"/>
              <w:ind w:leftChars="86" w:left="601" w:firstLineChars="0"/>
              <w:jc w:val="left"/>
              <w:rPr>
                <w:b/>
                <w:bCs/>
                <w:color w:val="000000"/>
                <w:sz w:val="20"/>
                <w:szCs w:val="20"/>
              </w:rPr>
            </w:pPr>
            <w:r w:rsidRPr="00101741">
              <w:rPr>
                <w:color w:val="000000"/>
                <w:sz w:val="20"/>
                <w:szCs w:val="20"/>
              </w:rPr>
              <w:t>When the year is earlier than the year of the date of the first dose, the month and day will be imputed as "Dec. 31"</w:t>
            </w:r>
          </w:p>
          <w:p w14:paraId="1A79C17B" w14:textId="77777777" w:rsidR="0005712D" w:rsidRPr="00101741" w:rsidRDefault="00CF2A39" w:rsidP="00101741">
            <w:pPr>
              <w:pStyle w:val="aff"/>
              <w:numPr>
                <w:ilvl w:val="0"/>
                <w:numId w:val="17"/>
              </w:numPr>
              <w:overflowPunct w:val="0"/>
              <w:autoSpaceDE w:val="0"/>
              <w:autoSpaceDN w:val="0"/>
              <w:adjustRightInd w:val="0"/>
              <w:snapToGrid w:val="0"/>
              <w:ind w:leftChars="86" w:left="601" w:firstLineChars="0"/>
              <w:jc w:val="left"/>
              <w:rPr>
                <w:b/>
                <w:bCs/>
                <w:color w:val="000000"/>
                <w:sz w:val="20"/>
                <w:szCs w:val="20"/>
              </w:rPr>
            </w:pPr>
            <w:r w:rsidRPr="00CC0491">
              <w:rPr>
                <w:color w:val="000000"/>
                <w:spacing w:val="-2"/>
                <w:sz w:val="20"/>
                <w:szCs w:val="20"/>
              </w:rPr>
              <w:t xml:space="preserve">When the year is the same as the year of the date of the first dose, the month </w:t>
            </w:r>
            <w:r w:rsidRPr="00101741">
              <w:rPr>
                <w:color w:val="000000"/>
                <w:sz w:val="20"/>
                <w:szCs w:val="20"/>
              </w:rPr>
              <w:t>and day will be imputed as the month and day of the date of the first dose</w:t>
            </w:r>
          </w:p>
          <w:p w14:paraId="4C0043BB" w14:textId="77777777" w:rsidR="0005712D" w:rsidRPr="00101741" w:rsidRDefault="00CF2A39" w:rsidP="00101741">
            <w:pPr>
              <w:pStyle w:val="aff"/>
              <w:numPr>
                <w:ilvl w:val="0"/>
                <w:numId w:val="17"/>
              </w:numPr>
              <w:overflowPunct w:val="0"/>
              <w:autoSpaceDE w:val="0"/>
              <w:autoSpaceDN w:val="0"/>
              <w:adjustRightInd w:val="0"/>
              <w:snapToGrid w:val="0"/>
              <w:ind w:leftChars="86" w:left="601" w:firstLineChars="0"/>
              <w:jc w:val="left"/>
              <w:rPr>
                <w:b/>
                <w:bCs/>
                <w:color w:val="000000"/>
                <w:sz w:val="20"/>
                <w:szCs w:val="20"/>
              </w:rPr>
            </w:pPr>
            <w:r w:rsidRPr="00101741">
              <w:rPr>
                <w:color w:val="000000"/>
                <w:sz w:val="20"/>
                <w:szCs w:val="20"/>
              </w:rPr>
              <w:t>When the year is later than the year of the date of the first dose, the month and day will be imputed as "Jan. 1"</w:t>
            </w:r>
          </w:p>
        </w:tc>
      </w:tr>
      <w:tr w:rsidR="0005712D" w:rsidRPr="00101741" w14:paraId="1B694CAD" w14:textId="77777777" w:rsidTr="00CC0491">
        <w:trPr>
          <w:jc w:val="center"/>
        </w:trPr>
        <w:tc>
          <w:tcPr>
            <w:tcW w:w="520" w:type="pct"/>
            <w:tcMar>
              <w:top w:w="28" w:type="dxa"/>
              <w:left w:w="57" w:type="dxa"/>
              <w:bottom w:w="28" w:type="dxa"/>
              <w:right w:w="57" w:type="dxa"/>
            </w:tcMar>
            <w:vAlign w:val="center"/>
          </w:tcPr>
          <w:p w14:paraId="6405A465"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460" w:type="pct"/>
            <w:tcMar>
              <w:top w:w="28" w:type="dxa"/>
              <w:left w:w="57" w:type="dxa"/>
              <w:bottom w:w="28" w:type="dxa"/>
              <w:right w:w="57" w:type="dxa"/>
            </w:tcMar>
            <w:vAlign w:val="center"/>
          </w:tcPr>
          <w:p w14:paraId="47809BC5"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460" w:type="pct"/>
            <w:tcMar>
              <w:top w:w="28" w:type="dxa"/>
              <w:left w:w="57" w:type="dxa"/>
              <w:bottom w:w="28" w:type="dxa"/>
              <w:right w:w="57" w:type="dxa"/>
            </w:tcMar>
            <w:vAlign w:val="center"/>
          </w:tcPr>
          <w:p w14:paraId="2BE4AFAE"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3560" w:type="pct"/>
            <w:tcMar>
              <w:top w:w="28" w:type="dxa"/>
              <w:left w:w="57" w:type="dxa"/>
              <w:bottom w:w="28" w:type="dxa"/>
              <w:right w:w="57" w:type="dxa"/>
            </w:tcMar>
          </w:tcPr>
          <w:p w14:paraId="7F347B40" w14:textId="77777777" w:rsidR="0005712D" w:rsidRPr="00101741" w:rsidRDefault="00CF2A39" w:rsidP="00101741">
            <w:pPr>
              <w:overflowPunct w:val="0"/>
              <w:autoSpaceDE w:val="0"/>
              <w:autoSpaceDN w:val="0"/>
              <w:adjustRightInd w:val="0"/>
              <w:snapToGrid w:val="0"/>
              <w:spacing w:before="0" w:after="0" w:line="240" w:lineRule="auto"/>
              <w:jc w:val="left"/>
              <w:rPr>
                <w:rFonts w:cs="Times New Roman"/>
                <w:b/>
                <w:bCs/>
                <w:color w:val="000000"/>
                <w:sz w:val="20"/>
                <w:szCs w:val="20"/>
              </w:rPr>
            </w:pPr>
            <w:r w:rsidRPr="00101741">
              <w:rPr>
                <w:rFonts w:cs="Times New Roman"/>
                <w:color w:val="000000"/>
                <w:sz w:val="20"/>
                <w:szCs w:val="20"/>
              </w:rPr>
              <w:t>Imputed as the date of the first dose</w:t>
            </w:r>
          </w:p>
        </w:tc>
      </w:tr>
      <w:tr w:rsidR="0005712D" w:rsidRPr="00101741" w14:paraId="0E2D107B" w14:textId="77777777" w:rsidTr="00CC0491">
        <w:trPr>
          <w:jc w:val="center"/>
        </w:trPr>
        <w:tc>
          <w:tcPr>
            <w:tcW w:w="1440" w:type="pct"/>
            <w:gridSpan w:val="3"/>
            <w:shd w:val="pct10" w:color="auto" w:fill="auto"/>
            <w:tcMar>
              <w:top w:w="28" w:type="dxa"/>
              <w:left w:w="57" w:type="dxa"/>
              <w:bottom w:w="28" w:type="dxa"/>
              <w:right w:w="57" w:type="dxa"/>
            </w:tcMar>
            <w:vAlign w:val="center"/>
          </w:tcPr>
          <w:p w14:paraId="31AF373B"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Missing AE end date</w:t>
            </w:r>
          </w:p>
        </w:tc>
        <w:tc>
          <w:tcPr>
            <w:tcW w:w="3560" w:type="pct"/>
            <w:vMerge w:val="restart"/>
            <w:shd w:val="pct10" w:color="auto" w:fill="auto"/>
            <w:tcMar>
              <w:top w:w="28" w:type="dxa"/>
              <w:left w:w="57" w:type="dxa"/>
              <w:bottom w:w="28" w:type="dxa"/>
              <w:right w:w="57" w:type="dxa"/>
            </w:tcMar>
            <w:vAlign w:val="bottom"/>
          </w:tcPr>
          <w:p w14:paraId="29E6969F" w14:textId="77777777" w:rsidR="0005712D" w:rsidRPr="00101741" w:rsidRDefault="00CF2A39" w:rsidP="00101741">
            <w:pPr>
              <w:overflowPunct w:val="0"/>
              <w:autoSpaceDE w:val="0"/>
              <w:autoSpaceDN w:val="0"/>
              <w:adjustRightInd w:val="0"/>
              <w:snapToGrid w:val="0"/>
              <w:spacing w:before="0" w:after="0" w:line="240" w:lineRule="auto"/>
              <w:ind w:leftChars="86" w:left="181"/>
              <w:jc w:val="center"/>
              <w:rPr>
                <w:rFonts w:cs="Times New Roman"/>
                <w:b/>
                <w:bCs/>
                <w:color w:val="000000"/>
                <w:sz w:val="20"/>
                <w:szCs w:val="20"/>
              </w:rPr>
            </w:pPr>
            <w:r w:rsidRPr="00101741">
              <w:rPr>
                <w:rFonts w:cs="Times New Roman"/>
                <w:b/>
                <w:bCs/>
                <w:color w:val="000000"/>
                <w:sz w:val="20"/>
                <w:szCs w:val="20"/>
              </w:rPr>
              <w:t>Imputation rule for AE end date</w:t>
            </w:r>
          </w:p>
        </w:tc>
      </w:tr>
      <w:tr w:rsidR="0005712D" w:rsidRPr="00101741" w14:paraId="738D1834" w14:textId="77777777" w:rsidTr="00CC0491">
        <w:trPr>
          <w:jc w:val="center"/>
        </w:trPr>
        <w:tc>
          <w:tcPr>
            <w:tcW w:w="520" w:type="pct"/>
            <w:shd w:val="pct10" w:color="auto" w:fill="auto"/>
            <w:tcMar>
              <w:top w:w="28" w:type="dxa"/>
              <w:left w:w="57" w:type="dxa"/>
              <w:bottom w:w="28" w:type="dxa"/>
              <w:right w:w="57" w:type="dxa"/>
            </w:tcMar>
            <w:vAlign w:val="center"/>
          </w:tcPr>
          <w:p w14:paraId="71DDF36E"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Year</w:t>
            </w:r>
          </w:p>
        </w:tc>
        <w:tc>
          <w:tcPr>
            <w:tcW w:w="460" w:type="pct"/>
            <w:shd w:val="pct10" w:color="auto" w:fill="auto"/>
            <w:tcMar>
              <w:top w:w="28" w:type="dxa"/>
              <w:left w:w="57" w:type="dxa"/>
              <w:bottom w:w="28" w:type="dxa"/>
              <w:right w:w="57" w:type="dxa"/>
            </w:tcMar>
            <w:vAlign w:val="center"/>
          </w:tcPr>
          <w:p w14:paraId="6AD0BE5E"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Month</w:t>
            </w:r>
          </w:p>
        </w:tc>
        <w:tc>
          <w:tcPr>
            <w:tcW w:w="460" w:type="pct"/>
            <w:shd w:val="pct10" w:color="auto" w:fill="auto"/>
            <w:tcMar>
              <w:top w:w="28" w:type="dxa"/>
              <w:left w:w="57" w:type="dxa"/>
              <w:bottom w:w="28" w:type="dxa"/>
              <w:right w:w="57" w:type="dxa"/>
            </w:tcMar>
            <w:vAlign w:val="center"/>
          </w:tcPr>
          <w:p w14:paraId="6523FC48"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Day</w:t>
            </w:r>
          </w:p>
        </w:tc>
        <w:tc>
          <w:tcPr>
            <w:tcW w:w="3560" w:type="pct"/>
            <w:vMerge/>
            <w:shd w:val="pct10" w:color="auto" w:fill="auto"/>
            <w:tcMar>
              <w:top w:w="28" w:type="dxa"/>
              <w:left w:w="57" w:type="dxa"/>
              <w:bottom w:w="28" w:type="dxa"/>
              <w:right w:w="57" w:type="dxa"/>
            </w:tcMar>
          </w:tcPr>
          <w:p w14:paraId="309231CB" w14:textId="77777777" w:rsidR="0005712D" w:rsidRPr="00101741" w:rsidRDefault="0005712D" w:rsidP="00101741">
            <w:pPr>
              <w:overflowPunct w:val="0"/>
              <w:autoSpaceDE w:val="0"/>
              <w:autoSpaceDN w:val="0"/>
              <w:adjustRightInd w:val="0"/>
              <w:snapToGrid w:val="0"/>
              <w:spacing w:before="0" w:after="0" w:line="240" w:lineRule="auto"/>
              <w:ind w:leftChars="86" w:left="181" w:firstLine="422"/>
              <w:jc w:val="center"/>
              <w:rPr>
                <w:rFonts w:cs="Times New Roman"/>
                <w:b/>
                <w:bCs/>
                <w:color w:val="000000"/>
                <w:sz w:val="20"/>
                <w:szCs w:val="20"/>
              </w:rPr>
            </w:pPr>
          </w:p>
        </w:tc>
      </w:tr>
      <w:tr w:rsidR="0005712D" w:rsidRPr="00101741" w14:paraId="61D23C0E" w14:textId="77777777" w:rsidTr="00CC0491">
        <w:trPr>
          <w:jc w:val="center"/>
        </w:trPr>
        <w:tc>
          <w:tcPr>
            <w:tcW w:w="520" w:type="pct"/>
            <w:tcMar>
              <w:top w:w="28" w:type="dxa"/>
              <w:left w:w="57" w:type="dxa"/>
              <w:bottom w:w="28" w:type="dxa"/>
              <w:right w:w="57" w:type="dxa"/>
            </w:tcMar>
            <w:vAlign w:val="center"/>
          </w:tcPr>
          <w:p w14:paraId="06E66C78"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Not missing</w:t>
            </w:r>
          </w:p>
        </w:tc>
        <w:tc>
          <w:tcPr>
            <w:tcW w:w="460" w:type="pct"/>
            <w:tcMar>
              <w:top w:w="28" w:type="dxa"/>
              <w:left w:w="57" w:type="dxa"/>
              <w:bottom w:w="28" w:type="dxa"/>
              <w:right w:w="57" w:type="dxa"/>
            </w:tcMar>
            <w:vAlign w:val="center"/>
          </w:tcPr>
          <w:p w14:paraId="50DBE885"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Not missing</w:t>
            </w:r>
          </w:p>
        </w:tc>
        <w:tc>
          <w:tcPr>
            <w:tcW w:w="460" w:type="pct"/>
            <w:tcMar>
              <w:top w:w="28" w:type="dxa"/>
              <w:left w:w="57" w:type="dxa"/>
              <w:bottom w:w="28" w:type="dxa"/>
              <w:right w:w="57" w:type="dxa"/>
            </w:tcMar>
            <w:vAlign w:val="center"/>
          </w:tcPr>
          <w:p w14:paraId="1F74279C"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3560" w:type="pct"/>
            <w:tcMar>
              <w:top w:w="28" w:type="dxa"/>
              <w:left w:w="57" w:type="dxa"/>
              <w:bottom w:w="28" w:type="dxa"/>
              <w:right w:w="57" w:type="dxa"/>
            </w:tcMar>
          </w:tcPr>
          <w:p w14:paraId="462057B9" w14:textId="77777777" w:rsidR="0005712D" w:rsidRPr="00101741" w:rsidRDefault="00CF2A39" w:rsidP="00101741">
            <w:pPr>
              <w:overflowPunct w:val="0"/>
              <w:autoSpaceDE w:val="0"/>
              <w:autoSpaceDN w:val="0"/>
              <w:adjustRightInd w:val="0"/>
              <w:snapToGrid w:val="0"/>
              <w:spacing w:before="0" w:after="0" w:line="240" w:lineRule="auto"/>
              <w:ind w:leftChars="86" w:left="181"/>
              <w:jc w:val="center"/>
              <w:rPr>
                <w:rFonts w:cs="Times New Roman"/>
                <w:color w:val="000000"/>
                <w:sz w:val="20"/>
                <w:szCs w:val="20"/>
              </w:rPr>
            </w:pPr>
            <w:r w:rsidRPr="00101741">
              <w:rPr>
                <w:rFonts w:cs="Times New Roman"/>
                <w:color w:val="000000"/>
                <w:sz w:val="20"/>
                <w:szCs w:val="20"/>
              </w:rPr>
              <w:t>The day will be imputed as the last day of the known month</w:t>
            </w:r>
          </w:p>
        </w:tc>
      </w:tr>
      <w:tr w:rsidR="0005712D" w:rsidRPr="00101741" w14:paraId="019F257E" w14:textId="77777777" w:rsidTr="00CC0491">
        <w:trPr>
          <w:jc w:val="center"/>
        </w:trPr>
        <w:tc>
          <w:tcPr>
            <w:tcW w:w="520" w:type="pct"/>
            <w:tcMar>
              <w:top w:w="28" w:type="dxa"/>
              <w:left w:w="57" w:type="dxa"/>
              <w:bottom w:w="28" w:type="dxa"/>
              <w:right w:w="57" w:type="dxa"/>
            </w:tcMar>
            <w:vAlign w:val="center"/>
          </w:tcPr>
          <w:p w14:paraId="5956DBD9"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Not missing</w:t>
            </w:r>
          </w:p>
        </w:tc>
        <w:tc>
          <w:tcPr>
            <w:tcW w:w="460" w:type="pct"/>
            <w:tcMar>
              <w:top w:w="28" w:type="dxa"/>
              <w:left w:w="57" w:type="dxa"/>
              <w:bottom w:w="28" w:type="dxa"/>
              <w:right w:w="57" w:type="dxa"/>
            </w:tcMar>
            <w:vAlign w:val="center"/>
          </w:tcPr>
          <w:p w14:paraId="743CE9D9"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460" w:type="pct"/>
            <w:tcMar>
              <w:top w:w="28" w:type="dxa"/>
              <w:left w:w="57" w:type="dxa"/>
              <w:bottom w:w="28" w:type="dxa"/>
              <w:right w:w="57" w:type="dxa"/>
            </w:tcMar>
            <w:vAlign w:val="center"/>
          </w:tcPr>
          <w:p w14:paraId="5FE417C0"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3560" w:type="pct"/>
            <w:tcMar>
              <w:top w:w="28" w:type="dxa"/>
              <w:left w:w="57" w:type="dxa"/>
              <w:bottom w:w="28" w:type="dxa"/>
              <w:right w:w="57" w:type="dxa"/>
            </w:tcMar>
          </w:tcPr>
          <w:p w14:paraId="4C700C92" w14:textId="77777777" w:rsidR="0005712D" w:rsidRPr="00101741" w:rsidRDefault="00CF2A39" w:rsidP="00101741">
            <w:pPr>
              <w:overflowPunct w:val="0"/>
              <w:autoSpaceDE w:val="0"/>
              <w:autoSpaceDN w:val="0"/>
              <w:adjustRightInd w:val="0"/>
              <w:snapToGrid w:val="0"/>
              <w:spacing w:before="0" w:after="0" w:line="240" w:lineRule="auto"/>
              <w:ind w:leftChars="86" w:left="181"/>
              <w:jc w:val="center"/>
              <w:rPr>
                <w:rFonts w:cs="Times New Roman"/>
                <w:color w:val="000000"/>
                <w:sz w:val="20"/>
                <w:szCs w:val="20"/>
              </w:rPr>
            </w:pPr>
            <w:r w:rsidRPr="00101741">
              <w:rPr>
                <w:rFonts w:cs="Times New Roman"/>
                <w:color w:val="000000"/>
                <w:sz w:val="20"/>
                <w:szCs w:val="20"/>
              </w:rPr>
              <w:t>The month and day will be imputed as "Dec. 31"</w:t>
            </w:r>
          </w:p>
        </w:tc>
      </w:tr>
      <w:tr w:rsidR="0005712D" w:rsidRPr="00101741" w14:paraId="6E599F55" w14:textId="77777777" w:rsidTr="00CC0491">
        <w:trPr>
          <w:jc w:val="center"/>
        </w:trPr>
        <w:tc>
          <w:tcPr>
            <w:tcW w:w="520" w:type="pct"/>
            <w:tcMar>
              <w:top w:w="28" w:type="dxa"/>
              <w:left w:w="57" w:type="dxa"/>
              <w:bottom w:w="28" w:type="dxa"/>
              <w:right w:w="57" w:type="dxa"/>
            </w:tcMar>
            <w:vAlign w:val="center"/>
          </w:tcPr>
          <w:p w14:paraId="516E0E31"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460" w:type="pct"/>
            <w:tcMar>
              <w:top w:w="28" w:type="dxa"/>
              <w:left w:w="57" w:type="dxa"/>
              <w:bottom w:w="28" w:type="dxa"/>
              <w:right w:w="57" w:type="dxa"/>
            </w:tcMar>
            <w:vAlign w:val="center"/>
          </w:tcPr>
          <w:p w14:paraId="06234938"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460" w:type="pct"/>
            <w:tcMar>
              <w:top w:w="28" w:type="dxa"/>
              <w:left w:w="57" w:type="dxa"/>
              <w:bottom w:w="28" w:type="dxa"/>
              <w:right w:w="57" w:type="dxa"/>
            </w:tcMar>
            <w:vAlign w:val="center"/>
          </w:tcPr>
          <w:p w14:paraId="12BC9900" w14:textId="77777777" w:rsidR="0005712D" w:rsidRPr="00101741" w:rsidRDefault="00CF2A39" w:rsidP="0010174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3560" w:type="pct"/>
            <w:tcMar>
              <w:top w:w="28" w:type="dxa"/>
              <w:left w:w="57" w:type="dxa"/>
              <w:bottom w:w="28" w:type="dxa"/>
              <w:right w:w="57" w:type="dxa"/>
            </w:tcMar>
          </w:tcPr>
          <w:p w14:paraId="68465C8E" w14:textId="77777777" w:rsidR="0005712D" w:rsidRPr="00101741" w:rsidRDefault="00CF2A39" w:rsidP="00101741">
            <w:pPr>
              <w:overflowPunct w:val="0"/>
              <w:autoSpaceDE w:val="0"/>
              <w:autoSpaceDN w:val="0"/>
              <w:adjustRightInd w:val="0"/>
              <w:snapToGrid w:val="0"/>
              <w:spacing w:before="0" w:after="0" w:line="240" w:lineRule="auto"/>
              <w:ind w:leftChars="86" w:left="181"/>
              <w:jc w:val="center"/>
              <w:rPr>
                <w:rFonts w:cs="Times New Roman"/>
                <w:color w:val="000000"/>
                <w:sz w:val="20"/>
                <w:szCs w:val="20"/>
              </w:rPr>
            </w:pPr>
            <w:r w:rsidRPr="00101741">
              <w:rPr>
                <w:rFonts w:cs="Times New Roman"/>
                <w:color w:val="000000"/>
                <w:sz w:val="20"/>
                <w:szCs w:val="20"/>
              </w:rPr>
              <w:t>No imputation</w:t>
            </w:r>
          </w:p>
        </w:tc>
      </w:tr>
      <w:tr w:rsidR="0005712D" w:rsidRPr="00101741" w14:paraId="79E9FAA2" w14:textId="77777777" w:rsidTr="00CC0491">
        <w:trPr>
          <w:jc w:val="center"/>
        </w:trPr>
        <w:tc>
          <w:tcPr>
            <w:tcW w:w="5000" w:type="pct"/>
            <w:gridSpan w:val="4"/>
            <w:tcMar>
              <w:top w:w="28" w:type="dxa"/>
              <w:left w:w="57" w:type="dxa"/>
              <w:bottom w:w="28" w:type="dxa"/>
              <w:right w:w="57" w:type="dxa"/>
            </w:tcMar>
          </w:tcPr>
          <w:p w14:paraId="7F42615B"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Notes:</w:t>
            </w:r>
          </w:p>
          <w:p w14:paraId="309DEC67"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1. If the imputed onset date is after the end date, the end date will be used as the start date.</w:t>
            </w:r>
          </w:p>
          <w:p w14:paraId="3582E723"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2. All other unspecified situations will be considered as missing and will not be imputed.</w:t>
            </w:r>
          </w:p>
        </w:tc>
      </w:tr>
    </w:tbl>
    <w:p w14:paraId="20411FA6" w14:textId="77777777" w:rsidR="0005712D" w:rsidRPr="00F72DDB" w:rsidRDefault="00CF2A39" w:rsidP="00306959">
      <w:pPr>
        <w:pStyle w:val="SAPEmphasis"/>
        <w:overflowPunct w:val="0"/>
        <w:autoSpaceDE w:val="0"/>
        <w:autoSpaceDN w:val="0"/>
        <w:adjustRightInd w:val="0"/>
        <w:snapToGrid w:val="0"/>
        <w:spacing w:beforeLines="50" w:before="120" w:afterLines="50" w:after="120" w:line="300" w:lineRule="auto"/>
        <w:jc w:val="left"/>
        <w:rPr>
          <w:rFonts w:ascii="Times New Roman" w:hAnsi="Times New Roman" w:cs="Times New Roman"/>
          <w:sz w:val="24"/>
        </w:rPr>
      </w:pPr>
      <w:r w:rsidRPr="00F72DDB">
        <w:rPr>
          <w:rFonts w:ascii="Times New Roman" w:hAnsi="Times New Roman" w:cs="Times New Roman"/>
          <w:sz w:val="24"/>
        </w:rPr>
        <w:t>Handling of missing dates for prior/concomitant medications/therapies: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86"/>
        <w:gridCol w:w="1507"/>
        <w:gridCol w:w="1050"/>
        <w:gridCol w:w="5233"/>
      </w:tblGrid>
      <w:tr w:rsidR="0005712D" w:rsidRPr="00101741" w14:paraId="3211A4C2" w14:textId="77777777" w:rsidTr="00CC0491">
        <w:trPr>
          <w:jc w:val="center"/>
        </w:trPr>
        <w:tc>
          <w:tcPr>
            <w:tcW w:w="2239" w:type="pct"/>
            <w:gridSpan w:val="3"/>
            <w:shd w:val="pct10" w:color="auto" w:fill="auto"/>
            <w:tcMar>
              <w:top w:w="28" w:type="dxa"/>
              <w:left w:w="57" w:type="dxa"/>
              <w:bottom w:w="28" w:type="dxa"/>
              <w:right w:w="57" w:type="dxa"/>
            </w:tcMar>
            <w:vAlign w:val="center"/>
          </w:tcPr>
          <w:p w14:paraId="7D67F473" w14:textId="77777777" w:rsidR="0005712D" w:rsidRPr="00101741" w:rsidRDefault="00CF2A39" w:rsidP="00101741">
            <w:pPr>
              <w:overflowPunct w:val="0"/>
              <w:autoSpaceDE w:val="0"/>
              <w:autoSpaceDN w:val="0"/>
              <w:adjustRightInd w:val="0"/>
              <w:snapToGrid w:val="0"/>
              <w:spacing w:before="0" w:after="0" w:line="240" w:lineRule="auto"/>
              <w:ind w:leftChars="86" w:left="181"/>
              <w:jc w:val="center"/>
              <w:rPr>
                <w:rFonts w:cs="Times New Roman"/>
                <w:b/>
                <w:bCs/>
                <w:color w:val="000000"/>
                <w:sz w:val="20"/>
                <w:szCs w:val="20"/>
              </w:rPr>
            </w:pPr>
            <w:r w:rsidRPr="00101741">
              <w:rPr>
                <w:rFonts w:cs="Times New Roman"/>
                <w:b/>
                <w:bCs/>
                <w:color w:val="000000"/>
                <w:sz w:val="20"/>
                <w:szCs w:val="20"/>
              </w:rPr>
              <w:t>Missing medication/therapy start date</w:t>
            </w:r>
          </w:p>
        </w:tc>
        <w:tc>
          <w:tcPr>
            <w:tcW w:w="2761" w:type="pct"/>
            <w:vMerge w:val="restart"/>
            <w:shd w:val="pct10" w:color="auto" w:fill="auto"/>
            <w:tcMar>
              <w:top w:w="28" w:type="dxa"/>
              <w:left w:w="57" w:type="dxa"/>
              <w:bottom w:w="28" w:type="dxa"/>
              <w:right w:w="57" w:type="dxa"/>
            </w:tcMar>
            <w:vAlign w:val="center"/>
          </w:tcPr>
          <w:p w14:paraId="1819D51E" w14:textId="77777777" w:rsidR="0005712D" w:rsidRPr="00101741" w:rsidRDefault="00CF2A39" w:rsidP="004500B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Imputation rule for medication/therapy start date</w:t>
            </w:r>
          </w:p>
        </w:tc>
      </w:tr>
      <w:tr w:rsidR="0005712D" w:rsidRPr="00101741" w14:paraId="47C8872D" w14:textId="77777777" w:rsidTr="00CC0491">
        <w:trPr>
          <w:jc w:val="center"/>
        </w:trPr>
        <w:tc>
          <w:tcPr>
            <w:tcW w:w="890" w:type="pct"/>
            <w:tcBorders>
              <w:bottom w:val="single" w:sz="4" w:space="0" w:color="auto"/>
            </w:tcBorders>
            <w:shd w:val="pct10" w:color="auto" w:fill="auto"/>
            <w:tcMar>
              <w:top w:w="28" w:type="dxa"/>
              <w:left w:w="57" w:type="dxa"/>
              <w:bottom w:w="28" w:type="dxa"/>
              <w:right w:w="57" w:type="dxa"/>
            </w:tcMar>
            <w:vAlign w:val="center"/>
          </w:tcPr>
          <w:p w14:paraId="69EA7D8A"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Year</w:t>
            </w:r>
          </w:p>
        </w:tc>
        <w:tc>
          <w:tcPr>
            <w:tcW w:w="795" w:type="pct"/>
            <w:tcBorders>
              <w:bottom w:val="single" w:sz="4" w:space="0" w:color="auto"/>
            </w:tcBorders>
            <w:shd w:val="pct10" w:color="auto" w:fill="auto"/>
            <w:tcMar>
              <w:top w:w="28" w:type="dxa"/>
              <w:left w:w="57" w:type="dxa"/>
              <w:bottom w:w="28" w:type="dxa"/>
              <w:right w:w="57" w:type="dxa"/>
            </w:tcMar>
            <w:vAlign w:val="center"/>
          </w:tcPr>
          <w:p w14:paraId="63DF19E1"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Month</w:t>
            </w:r>
          </w:p>
        </w:tc>
        <w:tc>
          <w:tcPr>
            <w:tcW w:w="554" w:type="pct"/>
            <w:tcBorders>
              <w:bottom w:val="single" w:sz="4" w:space="0" w:color="auto"/>
            </w:tcBorders>
            <w:shd w:val="pct10" w:color="auto" w:fill="auto"/>
            <w:tcMar>
              <w:top w:w="28" w:type="dxa"/>
              <w:left w:w="57" w:type="dxa"/>
              <w:bottom w:w="28" w:type="dxa"/>
              <w:right w:w="57" w:type="dxa"/>
            </w:tcMar>
            <w:vAlign w:val="center"/>
          </w:tcPr>
          <w:p w14:paraId="00F0CB85"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Day</w:t>
            </w:r>
          </w:p>
        </w:tc>
        <w:tc>
          <w:tcPr>
            <w:tcW w:w="2761" w:type="pct"/>
            <w:vMerge/>
            <w:tcBorders>
              <w:bottom w:val="single" w:sz="4" w:space="0" w:color="auto"/>
            </w:tcBorders>
            <w:shd w:val="pct10" w:color="auto" w:fill="auto"/>
            <w:tcMar>
              <w:top w:w="28" w:type="dxa"/>
              <w:left w:w="57" w:type="dxa"/>
              <w:bottom w:w="28" w:type="dxa"/>
              <w:right w:w="57" w:type="dxa"/>
            </w:tcMar>
            <w:vAlign w:val="center"/>
          </w:tcPr>
          <w:p w14:paraId="30BC6DAE" w14:textId="77777777" w:rsidR="0005712D" w:rsidRPr="00101741" w:rsidRDefault="0005712D" w:rsidP="00101741">
            <w:pPr>
              <w:overflowPunct w:val="0"/>
              <w:autoSpaceDE w:val="0"/>
              <w:autoSpaceDN w:val="0"/>
              <w:adjustRightInd w:val="0"/>
              <w:snapToGrid w:val="0"/>
              <w:spacing w:before="0" w:after="0" w:line="240" w:lineRule="auto"/>
              <w:ind w:leftChars="86" w:left="181" w:firstLine="422"/>
              <w:jc w:val="center"/>
              <w:rPr>
                <w:rFonts w:cs="Times New Roman"/>
                <w:b/>
                <w:bCs/>
                <w:color w:val="000000"/>
                <w:sz w:val="20"/>
                <w:szCs w:val="20"/>
              </w:rPr>
            </w:pPr>
          </w:p>
        </w:tc>
      </w:tr>
      <w:tr w:rsidR="0005712D" w:rsidRPr="00101741" w14:paraId="775FB1BF" w14:textId="77777777" w:rsidTr="00CC0491">
        <w:trPr>
          <w:jc w:val="center"/>
        </w:trPr>
        <w:tc>
          <w:tcPr>
            <w:tcW w:w="890" w:type="pct"/>
            <w:tcMar>
              <w:top w:w="28" w:type="dxa"/>
              <w:left w:w="57" w:type="dxa"/>
              <w:bottom w:w="28" w:type="dxa"/>
              <w:right w:w="57" w:type="dxa"/>
            </w:tcMar>
            <w:vAlign w:val="center"/>
          </w:tcPr>
          <w:p w14:paraId="72F69BF4"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Not missing</w:t>
            </w:r>
          </w:p>
        </w:tc>
        <w:tc>
          <w:tcPr>
            <w:tcW w:w="795" w:type="pct"/>
            <w:tcMar>
              <w:top w:w="28" w:type="dxa"/>
              <w:left w:w="57" w:type="dxa"/>
              <w:bottom w:w="28" w:type="dxa"/>
              <w:right w:w="57" w:type="dxa"/>
            </w:tcMar>
            <w:vAlign w:val="center"/>
          </w:tcPr>
          <w:p w14:paraId="79C9D6A0"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Not missing</w:t>
            </w:r>
          </w:p>
        </w:tc>
        <w:tc>
          <w:tcPr>
            <w:tcW w:w="554" w:type="pct"/>
            <w:tcMar>
              <w:top w:w="28" w:type="dxa"/>
              <w:left w:w="57" w:type="dxa"/>
              <w:bottom w:w="28" w:type="dxa"/>
              <w:right w:w="57" w:type="dxa"/>
            </w:tcMar>
            <w:vAlign w:val="center"/>
          </w:tcPr>
          <w:p w14:paraId="4F3BA30C"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2761" w:type="pct"/>
            <w:tcMar>
              <w:top w:w="28" w:type="dxa"/>
              <w:left w:w="57" w:type="dxa"/>
              <w:bottom w:w="28" w:type="dxa"/>
              <w:right w:w="57" w:type="dxa"/>
            </w:tcMar>
            <w:vAlign w:val="center"/>
          </w:tcPr>
          <w:p w14:paraId="3DEAE4FE" w14:textId="3CB00504"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The day will be imputed as "1"</w:t>
            </w:r>
          </w:p>
        </w:tc>
      </w:tr>
      <w:tr w:rsidR="0005712D" w:rsidRPr="00101741" w14:paraId="1EB5727F" w14:textId="77777777" w:rsidTr="00CC0491">
        <w:trPr>
          <w:jc w:val="center"/>
        </w:trPr>
        <w:tc>
          <w:tcPr>
            <w:tcW w:w="890" w:type="pct"/>
            <w:tcMar>
              <w:top w:w="28" w:type="dxa"/>
              <w:left w:w="57" w:type="dxa"/>
              <w:bottom w:w="28" w:type="dxa"/>
              <w:right w:w="57" w:type="dxa"/>
            </w:tcMar>
            <w:vAlign w:val="center"/>
          </w:tcPr>
          <w:p w14:paraId="2D32E58C"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Not missing</w:t>
            </w:r>
          </w:p>
        </w:tc>
        <w:tc>
          <w:tcPr>
            <w:tcW w:w="795" w:type="pct"/>
            <w:tcMar>
              <w:top w:w="28" w:type="dxa"/>
              <w:left w:w="57" w:type="dxa"/>
              <w:bottom w:w="28" w:type="dxa"/>
              <w:right w:w="57" w:type="dxa"/>
            </w:tcMar>
            <w:vAlign w:val="center"/>
          </w:tcPr>
          <w:p w14:paraId="149CFAC3"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554" w:type="pct"/>
            <w:tcMar>
              <w:top w:w="28" w:type="dxa"/>
              <w:left w:w="57" w:type="dxa"/>
              <w:bottom w:w="28" w:type="dxa"/>
              <w:right w:w="57" w:type="dxa"/>
            </w:tcMar>
            <w:vAlign w:val="center"/>
          </w:tcPr>
          <w:p w14:paraId="654CC894"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2761" w:type="pct"/>
            <w:tcMar>
              <w:top w:w="28" w:type="dxa"/>
              <w:left w:w="57" w:type="dxa"/>
              <w:bottom w:w="28" w:type="dxa"/>
              <w:right w:w="57" w:type="dxa"/>
            </w:tcMar>
            <w:vAlign w:val="center"/>
          </w:tcPr>
          <w:p w14:paraId="4DB7C961"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The month and day will be imputed as "Jan. 1"</w:t>
            </w:r>
          </w:p>
        </w:tc>
      </w:tr>
      <w:tr w:rsidR="0005712D" w:rsidRPr="00101741" w14:paraId="24DA5384" w14:textId="77777777" w:rsidTr="00CC0491">
        <w:trPr>
          <w:jc w:val="center"/>
        </w:trPr>
        <w:tc>
          <w:tcPr>
            <w:tcW w:w="890" w:type="pct"/>
            <w:tcMar>
              <w:top w:w="28" w:type="dxa"/>
              <w:left w:w="57" w:type="dxa"/>
              <w:bottom w:w="28" w:type="dxa"/>
              <w:right w:w="57" w:type="dxa"/>
            </w:tcMar>
            <w:vAlign w:val="center"/>
          </w:tcPr>
          <w:p w14:paraId="31F626F6"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795" w:type="pct"/>
            <w:tcMar>
              <w:top w:w="28" w:type="dxa"/>
              <w:left w:w="57" w:type="dxa"/>
              <w:bottom w:w="28" w:type="dxa"/>
              <w:right w:w="57" w:type="dxa"/>
            </w:tcMar>
            <w:vAlign w:val="center"/>
          </w:tcPr>
          <w:p w14:paraId="4B418761"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554" w:type="pct"/>
            <w:tcMar>
              <w:top w:w="28" w:type="dxa"/>
              <w:left w:w="57" w:type="dxa"/>
              <w:bottom w:w="28" w:type="dxa"/>
              <w:right w:w="57" w:type="dxa"/>
            </w:tcMar>
            <w:vAlign w:val="center"/>
          </w:tcPr>
          <w:p w14:paraId="2BF3702D"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color w:val="000000"/>
                <w:sz w:val="20"/>
                <w:szCs w:val="20"/>
              </w:rPr>
              <w:t>Missing</w:t>
            </w:r>
          </w:p>
        </w:tc>
        <w:tc>
          <w:tcPr>
            <w:tcW w:w="2761" w:type="pct"/>
            <w:tcMar>
              <w:top w:w="28" w:type="dxa"/>
              <w:left w:w="57" w:type="dxa"/>
              <w:bottom w:w="28" w:type="dxa"/>
              <w:right w:w="57" w:type="dxa"/>
            </w:tcMar>
            <w:vAlign w:val="center"/>
          </w:tcPr>
          <w:p w14:paraId="35234351"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Imputed as the date of the first dose</w:t>
            </w:r>
          </w:p>
        </w:tc>
      </w:tr>
      <w:tr w:rsidR="0005712D" w:rsidRPr="00101741" w14:paraId="2356DEE7" w14:textId="77777777" w:rsidTr="00CC0491">
        <w:trPr>
          <w:jc w:val="center"/>
        </w:trPr>
        <w:tc>
          <w:tcPr>
            <w:tcW w:w="2239" w:type="pct"/>
            <w:gridSpan w:val="3"/>
            <w:shd w:val="pct10" w:color="auto" w:fill="auto"/>
            <w:tcMar>
              <w:top w:w="28" w:type="dxa"/>
              <w:left w:w="57" w:type="dxa"/>
              <w:bottom w:w="28" w:type="dxa"/>
              <w:right w:w="57" w:type="dxa"/>
            </w:tcMar>
            <w:vAlign w:val="center"/>
          </w:tcPr>
          <w:p w14:paraId="66C2C7AB"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Missing medication/therapy end date</w:t>
            </w:r>
          </w:p>
        </w:tc>
        <w:tc>
          <w:tcPr>
            <w:tcW w:w="2761" w:type="pct"/>
            <w:vMerge w:val="restart"/>
            <w:shd w:val="pct10" w:color="auto" w:fill="auto"/>
            <w:tcMar>
              <w:top w:w="28" w:type="dxa"/>
              <w:left w:w="57" w:type="dxa"/>
              <w:bottom w:w="28" w:type="dxa"/>
              <w:right w:w="57" w:type="dxa"/>
            </w:tcMar>
            <w:vAlign w:val="center"/>
          </w:tcPr>
          <w:p w14:paraId="5972C75B"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Imputation rule for medication/therapy end date</w:t>
            </w:r>
          </w:p>
        </w:tc>
      </w:tr>
      <w:tr w:rsidR="0005712D" w:rsidRPr="00101741" w14:paraId="66762936" w14:textId="77777777" w:rsidTr="00CC0491">
        <w:trPr>
          <w:jc w:val="center"/>
        </w:trPr>
        <w:tc>
          <w:tcPr>
            <w:tcW w:w="890" w:type="pct"/>
            <w:shd w:val="pct10" w:color="auto" w:fill="auto"/>
            <w:tcMar>
              <w:top w:w="28" w:type="dxa"/>
              <w:left w:w="57" w:type="dxa"/>
              <w:bottom w:w="28" w:type="dxa"/>
              <w:right w:w="57" w:type="dxa"/>
            </w:tcMar>
            <w:vAlign w:val="center"/>
          </w:tcPr>
          <w:p w14:paraId="56B20C86"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Year</w:t>
            </w:r>
          </w:p>
        </w:tc>
        <w:tc>
          <w:tcPr>
            <w:tcW w:w="795" w:type="pct"/>
            <w:shd w:val="pct10" w:color="auto" w:fill="auto"/>
            <w:tcMar>
              <w:top w:w="28" w:type="dxa"/>
              <w:left w:w="57" w:type="dxa"/>
              <w:bottom w:w="28" w:type="dxa"/>
              <w:right w:w="57" w:type="dxa"/>
            </w:tcMar>
            <w:vAlign w:val="center"/>
          </w:tcPr>
          <w:p w14:paraId="07974AE6"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Month</w:t>
            </w:r>
          </w:p>
        </w:tc>
        <w:tc>
          <w:tcPr>
            <w:tcW w:w="554" w:type="pct"/>
            <w:shd w:val="pct10" w:color="auto" w:fill="auto"/>
            <w:tcMar>
              <w:top w:w="28" w:type="dxa"/>
              <w:left w:w="57" w:type="dxa"/>
              <w:bottom w:w="28" w:type="dxa"/>
              <w:right w:w="57" w:type="dxa"/>
            </w:tcMar>
            <w:vAlign w:val="center"/>
          </w:tcPr>
          <w:p w14:paraId="52210157"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b/>
                <w:bCs/>
                <w:color w:val="000000"/>
                <w:sz w:val="20"/>
                <w:szCs w:val="20"/>
              </w:rPr>
            </w:pPr>
            <w:r w:rsidRPr="00101741">
              <w:rPr>
                <w:rFonts w:cs="Times New Roman"/>
                <w:b/>
                <w:bCs/>
                <w:color w:val="000000"/>
                <w:sz w:val="20"/>
                <w:szCs w:val="20"/>
              </w:rPr>
              <w:t>Day</w:t>
            </w:r>
          </w:p>
        </w:tc>
        <w:tc>
          <w:tcPr>
            <w:tcW w:w="2761" w:type="pct"/>
            <w:vMerge/>
            <w:shd w:val="pct10" w:color="auto" w:fill="auto"/>
            <w:tcMar>
              <w:top w:w="28" w:type="dxa"/>
              <w:left w:w="57" w:type="dxa"/>
              <w:bottom w:w="28" w:type="dxa"/>
              <w:right w:w="57" w:type="dxa"/>
            </w:tcMar>
            <w:vAlign w:val="center"/>
          </w:tcPr>
          <w:p w14:paraId="573D51C0" w14:textId="77777777" w:rsidR="0005712D" w:rsidRPr="00101741" w:rsidRDefault="0005712D" w:rsidP="00CC0491">
            <w:pPr>
              <w:overflowPunct w:val="0"/>
              <w:autoSpaceDE w:val="0"/>
              <w:autoSpaceDN w:val="0"/>
              <w:adjustRightInd w:val="0"/>
              <w:snapToGrid w:val="0"/>
              <w:spacing w:before="0" w:after="0" w:line="240" w:lineRule="auto"/>
              <w:jc w:val="center"/>
              <w:rPr>
                <w:rFonts w:cs="Times New Roman"/>
                <w:b/>
                <w:bCs/>
                <w:color w:val="000000"/>
                <w:sz w:val="20"/>
                <w:szCs w:val="20"/>
              </w:rPr>
            </w:pPr>
          </w:p>
        </w:tc>
      </w:tr>
      <w:tr w:rsidR="0005712D" w:rsidRPr="00101741" w14:paraId="581E5722" w14:textId="77777777" w:rsidTr="00CC0491">
        <w:trPr>
          <w:jc w:val="center"/>
        </w:trPr>
        <w:tc>
          <w:tcPr>
            <w:tcW w:w="890" w:type="pct"/>
            <w:tcMar>
              <w:top w:w="28" w:type="dxa"/>
              <w:left w:w="57" w:type="dxa"/>
              <w:bottom w:w="28" w:type="dxa"/>
              <w:right w:w="57" w:type="dxa"/>
            </w:tcMar>
            <w:vAlign w:val="center"/>
          </w:tcPr>
          <w:p w14:paraId="5E17DD20"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Not missing</w:t>
            </w:r>
          </w:p>
        </w:tc>
        <w:tc>
          <w:tcPr>
            <w:tcW w:w="795" w:type="pct"/>
            <w:tcMar>
              <w:top w:w="28" w:type="dxa"/>
              <w:left w:w="57" w:type="dxa"/>
              <w:bottom w:w="28" w:type="dxa"/>
              <w:right w:w="57" w:type="dxa"/>
            </w:tcMar>
            <w:vAlign w:val="center"/>
          </w:tcPr>
          <w:p w14:paraId="548AECAA"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Not missing</w:t>
            </w:r>
          </w:p>
        </w:tc>
        <w:tc>
          <w:tcPr>
            <w:tcW w:w="554" w:type="pct"/>
            <w:tcMar>
              <w:top w:w="28" w:type="dxa"/>
              <w:left w:w="57" w:type="dxa"/>
              <w:bottom w:w="28" w:type="dxa"/>
              <w:right w:w="57" w:type="dxa"/>
            </w:tcMar>
            <w:vAlign w:val="center"/>
          </w:tcPr>
          <w:p w14:paraId="70A62001"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2761" w:type="pct"/>
            <w:tcMar>
              <w:top w:w="28" w:type="dxa"/>
              <w:left w:w="57" w:type="dxa"/>
              <w:bottom w:w="28" w:type="dxa"/>
              <w:right w:w="57" w:type="dxa"/>
            </w:tcMar>
            <w:vAlign w:val="center"/>
          </w:tcPr>
          <w:p w14:paraId="3026B5EF"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The day will be imputed as the last day of the known month</w:t>
            </w:r>
          </w:p>
        </w:tc>
      </w:tr>
      <w:tr w:rsidR="0005712D" w:rsidRPr="00101741" w14:paraId="22AEDD07" w14:textId="77777777" w:rsidTr="00CC0491">
        <w:trPr>
          <w:jc w:val="center"/>
        </w:trPr>
        <w:tc>
          <w:tcPr>
            <w:tcW w:w="890" w:type="pct"/>
            <w:tcMar>
              <w:top w:w="28" w:type="dxa"/>
              <w:left w:w="57" w:type="dxa"/>
              <w:bottom w:w="28" w:type="dxa"/>
              <w:right w:w="57" w:type="dxa"/>
            </w:tcMar>
            <w:vAlign w:val="center"/>
          </w:tcPr>
          <w:p w14:paraId="1F018DDE"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Not missing</w:t>
            </w:r>
          </w:p>
        </w:tc>
        <w:tc>
          <w:tcPr>
            <w:tcW w:w="795" w:type="pct"/>
            <w:tcMar>
              <w:top w:w="28" w:type="dxa"/>
              <w:left w:w="57" w:type="dxa"/>
              <w:bottom w:w="28" w:type="dxa"/>
              <w:right w:w="57" w:type="dxa"/>
            </w:tcMar>
            <w:vAlign w:val="center"/>
          </w:tcPr>
          <w:p w14:paraId="19AC4150"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554" w:type="pct"/>
            <w:tcMar>
              <w:top w:w="28" w:type="dxa"/>
              <w:left w:w="57" w:type="dxa"/>
              <w:bottom w:w="28" w:type="dxa"/>
              <w:right w:w="57" w:type="dxa"/>
            </w:tcMar>
            <w:vAlign w:val="center"/>
          </w:tcPr>
          <w:p w14:paraId="00524E5E"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2761" w:type="pct"/>
            <w:tcMar>
              <w:top w:w="28" w:type="dxa"/>
              <w:left w:w="57" w:type="dxa"/>
              <w:bottom w:w="28" w:type="dxa"/>
              <w:right w:w="57" w:type="dxa"/>
            </w:tcMar>
            <w:vAlign w:val="center"/>
          </w:tcPr>
          <w:p w14:paraId="70951761"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The month and day will be imputed as "Dec. 31"</w:t>
            </w:r>
          </w:p>
        </w:tc>
      </w:tr>
      <w:tr w:rsidR="0005712D" w:rsidRPr="00101741" w14:paraId="57EC14BA" w14:textId="77777777" w:rsidTr="00CC0491">
        <w:trPr>
          <w:jc w:val="center"/>
        </w:trPr>
        <w:tc>
          <w:tcPr>
            <w:tcW w:w="890" w:type="pct"/>
            <w:tcMar>
              <w:top w:w="28" w:type="dxa"/>
              <w:left w:w="57" w:type="dxa"/>
              <w:bottom w:w="28" w:type="dxa"/>
              <w:right w:w="57" w:type="dxa"/>
            </w:tcMar>
            <w:vAlign w:val="center"/>
          </w:tcPr>
          <w:p w14:paraId="29620FEA"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795" w:type="pct"/>
            <w:tcMar>
              <w:top w:w="28" w:type="dxa"/>
              <w:left w:w="57" w:type="dxa"/>
              <w:bottom w:w="28" w:type="dxa"/>
              <w:right w:w="57" w:type="dxa"/>
            </w:tcMar>
            <w:vAlign w:val="center"/>
          </w:tcPr>
          <w:p w14:paraId="32094A97"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554" w:type="pct"/>
            <w:tcMar>
              <w:top w:w="28" w:type="dxa"/>
              <w:left w:w="57" w:type="dxa"/>
              <w:bottom w:w="28" w:type="dxa"/>
              <w:right w:w="57" w:type="dxa"/>
            </w:tcMar>
            <w:vAlign w:val="center"/>
          </w:tcPr>
          <w:p w14:paraId="297F60BE"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Missing</w:t>
            </w:r>
          </w:p>
        </w:tc>
        <w:tc>
          <w:tcPr>
            <w:tcW w:w="2761" w:type="pct"/>
            <w:tcMar>
              <w:top w:w="28" w:type="dxa"/>
              <w:left w:w="57" w:type="dxa"/>
              <w:bottom w:w="28" w:type="dxa"/>
              <w:right w:w="57" w:type="dxa"/>
            </w:tcMar>
            <w:vAlign w:val="center"/>
          </w:tcPr>
          <w:p w14:paraId="16AF235B" w14:textId="77777777" w:rsidR="0005712D" w:rsidRPr="00101741" w:rsidRDefault="00CF2A39" w:rsidP="00CC0491">
            <w:pPr>
              <w:overflowPunct w:val="0"/>
              <w:autoSpaceDE w:val="0"/>
              <w:autoSpaceDN w:val="0"/>
              <w:adjustRightInd w:val="0"/>
              <w:snapToGrid w:val="0"/>
              <w:spacing w:before="0" w:after="0" w:line="240" w:lineRule="auto"/>
              <w:jc w:val="center"/>
              <w:rPr>
                <w:rFonts w:cs="Times New Roman"/>
                <w:color w:val="000000"/>
                <w:sz w:val="20"/>
                <w:szCs w:val="20"/>
              </w:rPr>
            </w:pPr>
            <w:r w:rsidRPr="00101741">
              <w:rPr>
                <w:rFonts w:cs="Times New Roman"/>
                <w:color w:val="000000"/>
                <w:sz w:val="20"/>
                <w:szCs w:val="20"/>
              </w:rPr>
              <w:t>Imputed as end of treatment date + 14 days</w:t>
            </w:r>
          </w:p>
        </w:tc>
      </w:tr>
      <w:tr w:rsidR="0005712D" w:rsidRPr="00101741" w14:paraId="2B6E3DF8" w14:textId="77777777" w:rsidTr="00CC0491">
        <w:trPr>
          <w:jc w:val="center"/>
        </w:trPr>
        <w:tc>
          <w:tcPr>
            <w:tcW w:w="5000" w:type="pct"/>
            <w:gridSpan w:val="4"/>
            <w:tcMar>
              <w:top w:w="28" w:type="dxa"/>
              <w:left w:w="57" w:type="dxa"/>
              <w:bottom w:w="28" w:type="dxa"/>
              <w:right w:w="57" w:type="dxa"/>
            </w:tcMar>
            <w:vAlign w:val="center"/>
          </w:tcPr>
          <w:p w14:paraId="16E40607"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Notes:</w:t>
            </w:r>
          </w:p>
          <w:p w14:paraId="44C807F2"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1. If the imputed end date is after the date of the final follow-up, the date of the final follow-up will be used as the end date.</w:t>
            </w:r>
          </w:p>
          <w:p w14:paraId="1BC2953E"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2. All other unspecified situations will be considered as missing and will not be imputed.</w:t>
            </w:r>
          </w:p>
          <w:p w14:paraId="48E59ABE" w14:textId="77777777" w:rsidR="0005712D" w:rsidRPr="00101741" w:rsidRDefault="00CF2A39" w:rsidP="00101741">
            <w:pPr>
              <w:overflowPunct w:val="0"/>
              <w:autoSpaceDE w:val="0"/>
              <w:autoSpaceDN w:val="0"/>
              <w:adjustRightInd w:val="0"/>
              <w:snapToGrid w:val="0"/>
              <w:spacing w:before="0" w:after="0" w:line="240" w:lineRule="auto"/>
              <w:ind w:leftChars="86" w:left="181"/>
              <w:jc w:val="left"/>
              <w:rPr>
                <w:rFonts w:cs="Times New Roman"/>
                <w:i/>
                <w:iCs/>
                <w:color w:val="000000"/>
                <w:sz w:val="20"/>
                <w:szCs w:val="20"/>
              </w:rPr>
            </w:pPr>
            <w:r w:rsidRPr="00101741">
              <w:rPr>
                <w:rFonts w:cs="Times New Roman"/>
                <w:i/>
                <w:iCs/>
                <w:color w:val="000000"/>
                <w:sz w:val="20"/>
                <w:szCs w:val="20"/>
              </w:rPr>
              <w:t>3. For died subjects, the end date of concomitant medication/therapy will be imputed as the date of death.</w:t>
            </w:r>
          </w:p>
        </w:tc>
      </w:tr>
    </w:tbl>
    <w:p w14:paraId="61C30EDC"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186" w:name="_Toc216186566"/>
      <w:r w:rsidRPr="00F72DDB">
        <w:rPr>
          <w:rFonts w:ascii="Times New Roman" w:hAnsi="Times New Roman" w:cs="Times New Roman"/>
          <w:color w:val="000000" w:themeColor="text1"/>
          <w:sz w:val="24"/>
          <w:szCs w:val="24"/>
        </w:rPr>
        <w:lastRenderedPageBreak/>
        <w:t>Subject Characteristics</w:t>
      </w:r>
      <w:bookmarkEnd w:id="186"/>
    </w:p>
    <w:p w14:paraId="23BF45C9"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187" w:name="_Toc216186567"/>
      <w:r w:rsidRPr="00F72DDB">
        <w:rPr>
          <w:rFonts w:ascii="Times New Roman" w:hAnsi="Times New Roman" w:cs="Times New Roman"/>
          <w:szCs w:val="24"/>
        </w:rPr>
        <w:t>Subject disposition</w:t>
      </w:r>
      <w:bookmarkEnd w:id="187"/>
    </w:p>
    <w:p w14:paraId="27F1E2E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subjects who have signed the informed consent form (ICF) will be included in the summary of subject disposition, and the summary information is as follows:</w:t>
      </w:r>
    </w:p>
    <w:p w14:paraId="1345F7AF"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For all screened subjects, a subject disposition flowchart will be used to describe subject disposition throughout the study.</w:t>
      </w:r>
    </w:p>
    <w:p w14:paraId="3B7BD205"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For all screened subjects, the total number of screened subjects will be summarized, along with the number and percentage of screen failures and the specific reasons for screen failure.</w:t>
      </w:r>
    </w:p>
    <w:p w14:paraId="03CEC147"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For all randomized subjects, the total number of randomized subjects will be summarized. The numbers and percentages of subjects who have completed the study, who are randomized but not treated, who are randomized and treated but have no post-baseline efficacy data, and who have withdrawn early will be summarized by treatment group and overall, along with the primary reasons for withdrawal. The numbers and percentages of subjects included in each analysis set will also be summarized.</w:t>
      </w:r>
    </w:p>
    <w:p w14:paraId="506FEE4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Detailed information for all non-randomized subjects, all randomized subjects’ randomization information, subjects who discontinued the trial early, and subjects not included in each analysis set will be listed by site, group, subject screening number, and randomization number.</w:t>
      </w:r>
    </w:p>
    <w:p w14:paraId="3E04E031"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188" w:name="_Toc216186568"/>
      <w:r w:rsidRPr="00F72DDB">
        <w:rPr>
          <w:rFonts w:ascii="Times New Roman" w:hAnsi="Times New Roman" w:cs="Times New Roman"/>
          <w:szCs w:val="24"/>
        </w:rPr>
        <w:t>Protocol deviations</w:t>
      </w:r>
      <w:bookmarkEnd w:id="188"/>
    </w:p>
    <w:p w14:paraId="3D8FA08B"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themeColor="text1"/>
          <w:sz w:val="24"/>
        </w:rPr>
      </w:pPr>
      <w:r w:rsidRPr="00F72DDB">
        <w:rPr>
          <w:rFonts w:cs="Times New Roman"/>
          <w:sz w:val="24"/>
        </w:rPr>
        <w:t xml:space="preserve">All protocol deviations will be analyzed using the FAS. </w:t>
      </w:r>
      <w:r w:rsidRPr="00F72DDB">
        <w:rPr>
          <w:rFonts w:cs="Times New Roman"/>
          <w:color w:val="000000" w:themeColor="text1"/>
          <w:sz w:val="24"/>
        </w:rPr>
        <w:t>Protocol deviations will be summarized by group, and the number of cases, number of subjects, and percentage will be summarized by severity and type of deviation.</w:t>
      </w:r>
    </w:p>
    <w:p w14:paraId="04E99CB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sz w:val="24"/>
        </w:rPr>
      </w:pPr>
      <w:r w:rsidRPr="00F72DDB">
        <w:rPr>
          <w:rFonts w:cs="Times New Roman"/>
          <w:sz w:val="24"/>
        </w:rPr>
        <w:t>All protocol deviations will be listed by subject and will be sorted by site, group, subject screening number, and randomization number.</w:t>
      </w:r>
    </w:p>
    <w:p w14:paraId="2C36DD05"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189" w:name="_Toc216186569"/>
      <w:r w:rsidRPr="00F72DDB">
        <w:rPr>
          <w:rFonts w:ascii="Times New Roman" w:hAnsi="Times New Roman" w:cs="Times New Roman"/>
          <w:szCs w:val="24"/>
        </w:rPr>
        <w:t>Demographic data and baseline characteristics</w:t>
      </w:r>
      <w:bookmarkEnd w:id="189"/>
    </w:p>
    <w:p w14:paraId="39AE469E" w14:textId="77777777" w:rsidR="0005712D" w:rsidRPr="004500B1" w:rsidRDefault="00CF2A39" w:rsidP="00AC124B">
      <w:pPr>
        <w:pStyle w:val="BT6161"/>
        <w:spacing w:line="300" w:lineRule="auto"/>
      </w:pPr>
      <w:bookmarkStart w:id="190" w:name="_Toc216186570"/>
      <w:r w:rsidRPr="004500B1">
        <w:t>Demographics</w:t>
      </w:r>
      <w:bookmarkEnd w:id="190"/>
    </w:p>
    <w:p w14:paraId="4986E8AB"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of demographic data will be performed using the FAS by treatment group and dose group. For quantitative data, the number of subjects (including missing), mean, standard deviation, median, quartiles (Q1 and Q3), minimum, and maximum will be calculated. For qualitative data, frequency and percentage will be calculated.</w:t>
      </w:r>
    </w:p>
    <w:p w14:paraId="38B3170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demographic data will be listed by subject and will be sorted by site, group, subject screening number, and randomization number.</w:t>
      </w:r>
    </w:p>
    <w:p w14:paraId="3778A7BE" w14:textId="77777777" w:rsidR="0005712D" w:rsidRPr="00AC124B" w:rsidRDefault="00CF2A39" w:rsidP="00AC124B">
      <w:pPr>
        <w:pStyle w:val="BT6161"/>
        <w:spacing w:line="300" w:lineRule="auto"/>
      </w:pPr>
      <w:bookmarkStart w:id="191" w:name="_Toc216186571"/>
      <w:r w:rsidRPr="00AC124B">
        <w:lastRenderedPageBreak/>
        <w:t>Other baseline characteristics</w:t>
      </w:r>
      <w:bookmarkEnd w:id="191"/>
    </w:p>
    <w:p w14:paraId="34D48DA0"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bookmarkStart w:id="192" w:name="OLE_LINK1"/>
      <w:bookmarkStart w:id="193" w:name="OLE_LINK2"/>
      <w:r w:rsidRPr="00F72DDB">
        <w:rPr>
          <w:rFonts w:cs="Times New Roman"/>
          <w:sz w:val="24"/>
        </w:rPr>
        <w:t>Descriptive statistics of other baseline characteristics will be performed using the FAS by treatment group and dose group. For quantitative data, the number of subjects (including missing), mean, standard deviation, median, quartiles (Q1 and Q3), minimum, and maximum will be calculated. For qualitative data, frequency and percentage will be calculated.</w:t>
      </w:r>
    </w:p>
    <w:bookmarkEnd w:id="192"/>
    <w:bookmarkEnd w:id="193"/>
    <w:p w14:paraId="51D3B3F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Detailed information on medical history of type 2 diabetes mellitus and personal history will be listed by subject, sorted by site, group, subject screening number, and randomization number.</w:t>
      </w:r>
    </w:p>
    <w:p w14:paraId="403AF0E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For screening period tests, including chest X-ray (anteroposterior and lateral), infectious disease testing, urine drug screening, alcohol breath test, and follicle-stimulating hormone test, results will be listed by subject and visit (as applicable), including unscheduled visits. Listings will be sorted by site number, group, subject screening number, randomization number, test item, and visit.</w:t>
      </w:r>
    </w:p>
    <w:p w14:paraId="2353DC25"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194" w:name="_Toc216186572"/>
      <w:r w:rsidRPr="00F72DDB">
        <w:rPr>
          <w:rFonts w:ascii="Times New Roman" w:hAnsi="Times New Roman" w:cs="Times New Roman"/>
          <w:szCs w:val="24"/>
        </w:rPr>
        <w:t>Prior medical history/surgical history/current medical history</w:t>
      </w:r>
      <w:bookmarkEnd w:id="194"/>
    </w:p>
    <w:p w14:paraId="7C02B4B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 medical history, surgical history, and current medical history of subjects will be coded using the Medical Dictionary for Regulatory Activities (MedDRA) v27.0 or later.</w:t>
      </w:r>
    </w:p>
    <w:p w14:paraId="0EDB373C"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of coded prior medical history, surgical history, and current medical history will be performed using the FAS by treatment group and dose group. Summaries will be presented by system organ class (SOC) and preferred term (PT), with the number of cases, number of subjects, and percentage calculated for each category. For the same subject, multiple records of prior medical history, surgical history, or current medical history within the same SOC or PT will be counted only once.</w:t>
      </w:r>
    </w:p>
    <w:p w14:paraId="0AE2A42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 medical history, surgical history, and current medical history for each subject will be listed and sorted by site, group, subject screening number, and randomization number.</w:t>
      </w:r>
    </w:p>
    <w:p w14:paraId="16CD2245"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195" w:name="_Toc216186573"/>
      <w:r w:rsidRPr="00F72DDB">
        <w:rPr>
          <w:rFonts w:ascii="Times New Roman" w:hAnsi="Times New Roman" w:cs="Times New Roman"/>
          <w:szCs w:val="24"/>
        </w:rPr>
        <w:t>Prior/concomitant medications and non-drug therapies</w:t>
      </w:r>
      <w:bookmarkEnd w:id="195"/>
    </w:p>
    <w:p w14:paraId="0941AC60"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sz w:val="24"/>
        </w:rPr>
        <w:t>Analysis of prior/concomitant medications and prior/concomitant non-drug therapies will be performed using the SS by treatment group and dose group.</w:t>
      </w:r>
    </w:p>
    <w:p w14:paraId="10A99B3D" w14:textId="77777777" w:rsidR="0005712D" w:rsidRPr="004500B1" w:rsidRDefault="00CF2A39" w:rsidP="00AC124B">
      <w:pPr>
        <w:pStyle w:val="BT6161"/>
        <w:spacing w:line="300" w:lineRule="auto"/>
        <w:rPr>
          <w:color w:val="000000" w:themeColor="text1"/>
        </w:rPr>
      </w:pPr>
      <w:bookmarkStart w:id="196" w:name="_Toc93579686"/>
      <w:bookmarkStart w:id="197" w:name="_Toc216186574"/>
      <w:r w:rsidRPr="004500B1">
        <w:t>Prior/concomitant medications</w:t>
      </w:r>
      <w:bookmarkEnd w:id="196"/>
      <w:bookmarkEnd w:id="197"/>
    </w:p>
    <w:p w14:paraId="0F7A62B1" w14:textId="54DAD21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 and concomitant medications will be coded using the WHO Drug Global (Chinese B3, March 1, 2024 or later). Summaries of coded past medications and concomitant medications will be provided by treatment group and dose group, according to Anatomical Therapeutic Chemical (ATC) classification and preferred name (PN), with the number of cases, number of subjects, and percentage calculated for each category. For the same subject, multiple medication records within the same ATC or PN classification will be counted only once.</w:t>
      </w:r>
    </w:p>
    <w:p w14:paraId="0EFB368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lastRenderedPageBreak/>
        <w:t>Detailed information on prior and concomitant medications for each subject will be listed and sorted by site, group, subject screening number, and randomization number</w:t>
      </w:r>
    </w:p>
    <w:p w14:paraId="5668D501" w14:textId="77777777" w:rsidR="0005712D" w:rsidRPr="004500B1" w:rsidRDefault="00CF2A39" w:rsidP="00AC124B">
      <w:pPr>
        <w:pStyle w:val="BT6161"/>
        <w:spacing w:line="300" w:lineRule="auto"/>
      </w:pPr>
      <w:bookmarkStart w:id="198" w:name="_Toc89272453"/>
      <w:bookmarkStart w:id="199" w:name="_Toc93579687"/>
      <w:bookmarkStart w:id="200" w:name="_Toc216186575"/>
      <w:r w:rsidRPr="004500B1">
        <w:t>Prior/concomitant non-drug therapies</w:t>
      </w:r>
      <w:bookmarkEnd w:id="198"/>
      <w:bookmarkEnd w:id="199"/>
      <w:bookmarkEnd w:id="200"/>
    </w:p>
    <w:p w14:paraId="0EC0650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 and concomitant non-drug therapies for subjects will be categorized using a similar judgment rule to that for prior/concomitant medications (see Section 5.1.3).</w:t>
      </w:r>
    </w:p>
    <w:p w14:paraId="05F072F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Prior/concomitant non-drug therapies will be coded using MedDRA v27.0 or later, and the prior/concomitant non-drug therapies coded by SOC and PT will be summarized by treatment group and dose group, with the number of cases, number of subjects, and percentage calculated for each category. For the same subject, multiple records of non-drug therapies within the same SOC or PT will be counted only once.</w:t>
      </w:r>
    </w:p>
    <w:p w14:paraId="5EC73802"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Detailed information on prior and concomitant non-drug therapies for each subject will be listed and sorted by site, group, subject screening number, and randomization number.</w:t>
      </w:r>
    </w:p>
    <w:p w14:paraId="0B28FB16"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201" w:name="_Toc216186576"/>
      <w:r w:rsidRPr="00F72DDB">
        <w:rPr>
          <w:rFonts w:ascii="Times New Roman" w:hAnsi="Times New Roman" w:cs="Times New Roman"/>
          <w:szCs w:val="24"/>
        </w:rPr>
        <w:t>Drug exposure and compliance</w:t>
      </w:r>
      <w:bookmarkEnd w:id="201"/>
    </w:p>
    <w:p w14:paraId="0FB4E3E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of drug exposure and compliance will be performed using the SS by treatment group and dose group. For quantitative data, the number of subjects (including missing), mean, standard deviation, median, quartiles (Q1 and Q3), minimum, and maximum will be calculated. For qualitative data, frequency and percentage will be calculated.</w:t>
      </w:r>
    </w:p>
    <w:p w14:paraId="3AD03071"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records of investigational medicinal product administration, drug exposure, and compliance for each subject will be listed and sorted by site, group, subject screening number, and randomization number.</w:t>
      </w:r>
    </w:p>
    <w:p w14:paraId="664E649A"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color w:val="000000" w:themeColor="text1"/>
          <w:sz w:val="24"/>
          <w:szCs w:val="24"/>
        </w:rPr>
      </w:pPr>
      <w:bookmarkStart w:id="202" w:name="_Toc216186577"/>
      <w:r w:rsidRPr="00F72DDB">
        <w:rPr>
          <w:rFonts w:ascii="Times New Roman" w:hAnsi="Times New Roman" w:cs="Times New Roman"/>
          <w:color w:val="000000" w:themeColor="text1"/>
          <w:sz w:val="24"/>
          <w:szCs w:val="24"/>
        </w:rPr>
        <w:t>Safety Analysis</w:t>
      </w:r>
      <w:bookmarkEnd w:id="202"/>
    </w:p>
    <w:p w14:paraId="6876470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safety endpoints will be analyzed based on the SS using descriptive statistics; no statistical inference will be performed unless otherwise specified.</w:t>
      </w:r>
    </w:p>
    <w:p w14:paraId="1C8FC4A4"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203" w:name="_Toc60852153"/>
      <w:bookmarkStart w:id="204" w:name="_Toc216186578"/>
      <w:r w:rsidRPr="00F72DDB">
        <w:rPr>
          <w:rFonts w:ascii="Times New Roman" w:hAnsi="Times New Roman" w:cs="Times New Roman"/>
          <w:color w:val="000000" w:themeColor="text1"/>
          <w:szCs w:val="24"/>
        </w:rPr>
        <w:t>Adverse events</w:t>
      </w:r>
      <w:bookmarkEnd w:id="203"/>
      <w:bookmarkEnd w:id="204"/>
    </w:p>
    <w:p w14:paraId="52778D09"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proofErr w:type="gramStart"/>
      <w:r w:rsidRPr="00F72DDB">
        <w:rPr>
          <w:rFonts w:cs="Times New Roman"/>
          <w:sz w:val="24"/>
        </w:rPr>
        <w:t>For the purpose of</w:t>
      </w:r>
      <w:proofErr w:type="gramEnd"/>
      <w:r w:rsidRPr="00F72DDB">
        <w:rPr>
          <w:rFonts w:cs="Times New Roman"/>
          <w:sz w:val="24"/>
        </w:rPr>
        <w:t xml:space="preserve"> statistical analysis, AEs will be divided into pre-treatment adverse events and treatment-emergent adverse events (TEAEs). A TEAE is defined as any AE that newly occurs or worsens after the first dose of the investigational medicinal product. The determination of TEAE will be made according to the following rules:</w:t>
      </w:r>
    </w:p>
    <w:p w14:paraId="4F6A7AB8" w14:textId="77777777" w:rsidR="0005712D" w:rsidRPr="00F72DDB" w:rsidRDefault="00CF2A39" w:rsidP="004500B1">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If the onset date or end date of AE is before the first dose, then the AE will be considered as pre-treatment AE</w:t>
      </w:r>
    </w:p>
    <w:p w14:paraId="42F2C6A0" w14:textId="77777777" w:rsidR="0005712D" w:rsidRPr="00F72DDB" w:rsidRDefault="00CF2A39" w:rsidP="004500B1">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AE that occurs on or after treatment, or AE that occurs before treatment but worsens during the study will be recorded as TEAE</w:t>
      </w:r>
    </w:p>
    <w:p w14:paraId="76BAC389" w14:textId="77777777" w:rsidR="0005712D" w:rsidRPr="00F72DDB" w:rsidRDefault="00CF2A39" w:rsidP="004500B1">
      <w:pPr>
        <w:pStyle w:val="20"/>
        <w:tabs>
          <w:tab w:val="clear" w:pos="839"/>
        </w:tabs>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lastRenderedPageBreak/>
        <w:t xml:space="preserve">If the onset date or end date of AE is missing, and the chronological relationship between </w:t>
      </w:r>
      <w:r w:rsidRPr="004500B1">
        <w:rPr>
          <w:rFonts w:cs="Times New Roman"/>
          <w:spacing w:val="-2"/>
          <w:sz w:val="24"/>
        </w:rPr>
        <w:t>the occurrence of AE and administration cannot be judged, the AE will be recorded as TEAE</w:t>
      </w:r>
    </w:p>
    <w:p w14:paraId="75EC4FA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sz w:val="24"/>
        </w:rPr>
      </w:pPr>
      <w:r w:rsidRPr="00F72DDB">
        <w:rPr>
          <w:rFonts w:cs="Times New Roman"/>
          <w:sz w:val="24"/>
        </w:rPr>
        <w:t xml:space="preserve">According to the criteria for the causality between the drug and AEs, the correlation between AEs and the use of investigational medicinal product will be classified into five categories: </w:t>
      </w:r>
      <w:proofErr w:type="gramStart"/>
      <w:r w:rsidRPr="00F72DDB">
        <w:rPr>
          <w:rFonts w:cs="Times New Roman"/>
          <w:sz w:val="24"/>
        </w:rPr>
        <w:t>definitely related</w:t>
      </w:r>
      <w:proofErr w:type="gramEnd"/>
      <w:r w:rsidRPr="00F72DDB">
        <w:rPr>
          <w:rFonts w:cs="Times New Roman"/>
          <w:sz w:val="24"/>
        </w:rPr>
        <w:t xml:space="preserve">, probably related, possibly related, unlikely related, and not related. AEs that are </w:t>
      </w:r>
      <w:proofErr w:type="gramStart"/>
      <w:r w:rsidRPr="00F72DDB">
        <w:rPr>
          <w:rFonts w:cs="Times New Roman"/>
          <w:sz w:val="24"/>
        </w:rPr>
        <w:t>definitely related</w:t>
      </w:r>
      <w:proofErr w:type="gramEnd"/>
      <w:r w:rsidRPr="00F72DDB">
        <w:rPr>
          <w:rFonts w:cs="Times New Roman"/>
          <w:sz w:val="24"/>
        </w:rPr>
        <w:t xml:space="preserve">, probably related, and possibly related will be listed as adverse drug reactions (ADRs). </w:t>
      </w:r>
      <w:r w:rsidRPr="00F72DDB">
        <w:rPr>
          <w:rFonts w:cs="Times New Roman"/>
          <w:color w:val="000000"/>
          <w:sz w:val="24"/>
        </w:rPr>
        <w:t>If the causality between an AE and the investigational medicinal product is missing or unknown, it will be judged as related to the investigational medicinal product under conservative principles. If a subject experiences multiple AEs within the same SOC or PT, these AEs will be judged as related to the investigational medicinal product as long as one of them is related to the investigational medicinal product.</w:t>
      </w:r>
    </w:p>
    <w:p w14:paraId="05B9E29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Significant AEs refer to AEs, other than SAEs, that lead to the use of specific medical measures (e.g., discontinuation, dose reduction, and symptomatic treatment). In this study, significant AEs are defined as AEs for which actions taken with the investigational medicinal product on the eCRF AE page include dose reduction, dose interruption, or permanent discontinuation, as well as AEs for which actions taken for the subject include concomitant medication or concomitant non-drug therapy.</w:t>
      </w:r>
    </w:p>
    <w:p w14:paraId="5668229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Adverse events of special interest (AESIs) include hypoglycemia, hypersensitivity reactions, injection site reactions, pancreatitis, acute cholecystic disease, and malignant thyroid neoplasm.</w:t>
      </w:r>
    </w:p>
    <w:p w14:paraId="69C6589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Gastrointestinal AEs include nausea, vomiting, diarrhea, constipation, and abdominal distension.</w:t>
      </w:r>
    </w:p>
    <w:p w14:paraId="473671A1"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 TEAE leading to treatment discontinuation refers to a TEAE for which the action taken with the investigational medicinal product is "permanent discontinuation" or "dose interruption". A TEAE leading to treatment dose modification refers to a TEAE for which the action taken with the investigational medicinal product is "dose reduction". A TEAE leading to subject withdrawal refers to a TEAE for which "yes" is selected for study withdrawal due to the adverse event. TEAEs leading to death refer to adverse events with the outcome of "death".</w:t>
      </w:r>
    </w:p>
    <w:p w14:paraId="0EB1FED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AEs will be coded using the MedDRA v27.0 or later and will be summarized by SOC and PT. The severity of AEs will be graded according to the Common Terminology Criteria for Adverse Events (CTCAE V5.0). Unless otherwise specified, all statistical analyses related to AEs will be based on TEAEs.</w:t>
      </w:r>
    </w:p>
    <w:p w14:paraId="5D8B21CD" w14:textId="77777777" w:rsidR="0005712D" w:rsidRPr="004500B1" w:rsidRDefault="00CF2A39" w:rsidP="00AC124B">
      <w:pPr>
        <w:pStyle w:val="BT6161"/>
        <w:spacing w:line="300" w:lineRule="auto"/>
      </w:pPr>
      <w:bookmarkStart w:id="205" w:name="_Toc95410050"/>
      <w:bookmarkStart w:id="206" w:name="_Toc216186579"/>
      <w:r w:rsidRPr="004500B1">
        <w:t>Summary table of all AEs</w:t>
      </w:r>
      <w:bookmarkEnd w:id="205"/>
      <w:bookmarkEnd w:id="206"/>
    </w:p>
    <w:p w14:paraId="21458DE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The summary and analysis of AEs will be performed only for TEAEs, and pre-treatment AEs will be presented in listings.</w:t>
      </w:r>
    </w:p>
    <w:p w14:paraId="3D9C942F" w14:textId="77777777" w:rsidR="0005712D" w:rsidRPr="00F72DDB" w:rsidRDefault="00CF2A39" w:rsidP="004500B1">
      <w:pPr>
        <w:pStyle w:val="Normal2"/>
        <w:pageBreakBefore/>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lastRenderedPageBreak/>
        <w:t>All AEs of the subjects will be described overall by treatment group and dose group, and the number of cases, number of subjects, and incidence will be summarized. For the calculation of the number of subjects and incidence, multiple occurrences of the same adverse event in the same subject will be counted only once. Summary tables of AEs include:</w:t>
      </w:r>
    </w:p>
    <w:p w14:paraId="3AED9954"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All TEAEs</w:t>
      </w:r>
    </w:p>
    <w:p w14:paraId="48200594"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Treatment-emergent serious adverse events (TESAEs)</w:t>
      </w:r>
    </w:p>
    <w:p w14:paraId="0F82E559"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Treatment-related TEAEs (TRAEs)</w:t>
      </w:r>
    </w:p>
    <w:p w14:paraId="2BA52DFF"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Treatment-related TESAEs (TRSAEs)</w:t>
      </w:r>
    </w:p>
    <w:p w14:paraId="5998BCC1"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Hypoglycemic events</w:t>
      </w:r>
    </w:p>
    <w:p w14:paraId="4931E2FA"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Treatment-related hypoglycemic events</w:t>
      </w:r>
    </w:p>
    <w:p w14:paraId="7AE25EFC"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Significant AEs</w:t>
      </w:r>
    </w:p>
    <w:p w14:paraId="5962D119"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Treatment-related significant AEs</w:t>
      </w:r>
    </w:p>
    <w:p w14:paraId="568ECE60"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of special interest</w:t>
      </w:r>
    </w:p>
    <w:p w14:paraId="71A7207D"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of special interest</w:t>
      </w:r>
    </w:p>
    <w:p w14:paraId="27DDB1B4"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Gastrointestinal adverse events</w:t>
      </w:r>
    </w:p>
    <w:p w14:paraId="37E66156"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Gastrointestinal adverse reactions</w:t>
      </w:r>
    </w:p>
    <w:p w14:paraId="013469C6"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CTCAE Grade ≥ 3 TEAEs</w:t>
      </w:r>
    </w:p>
    <w:p w14:paraId="5D5E715C"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CTCAE Grade ≥ 3 TRAEs</w:t>
      </w:r>
    </w:p>
    <w:p w14:paraId="3EFC871F"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leading to dose interruption</w:t>
      </w:r>
    </w:p>
    <w:p w14:paraId="083ADACA"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leading to dose interruption</w:t>
      </w:r>
    </w:p>
    <w:p w14:paraId="1E6EBF9B"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leading to dose modification</w:t>
      </w:r>
    </w:p>
    <w:p w14:paraId="4C9EDFEB"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leading to dose modification</w:t>
      </w:r>
    </w:p>
    <w:p w14:paraId="555D0560"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with an incidence of ≥ 10%</w:t>
      </w:r>
    </w:p>
    <w:p w14:paraId="2A734AB2"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with an incidence of ≥ 10%</w:t>
      </w:r>
    </w:p>
    <w:p w14:paraId="7AABF27B"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with an incidence of ≥ 5%</w:t>
      </w:r>
    </w:p>
    <w:p w14:paraId="04ABF447"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with an incidence of ≥ 5%</w:t>
      </w:r>
    </w:p>
    <w:p w14:paraId="11637826"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with an incidence of ≥ 2%</w:t>
      </w:r>
    </w:p>
    <w:p w14:paraId="230EA8E8"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with an incidence of ≥ 2%</w:t>
      </w:r>
    </w:p>
    <w:p w14:paraId="4A929FE1"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lastRenderedPageBreak/>
        <w:t>TEAEs leading to withdrawal from the study</w:t>
      </w:r>
    </w:p>
    <w:p w14:paraId="78D87E55"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 leading to withdrawal from the study</w:t>
      </w:r>
    </w:p>
    <w:p w14:paraId="24738D6C"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TEAEs leading to death</w:t>
      </w:r>
    </w:p>
    <w:p w14:paraId="60B416F6" w14:textId="77777777" w:rsidR="0005712D" w:rsidRPr="00F72DDB" w:rsidRDefault="00CF2A39" w:rsidP="004500B1">
      <w:pPr>
        <w:pStyle w:val="20"/>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TRAEs leading to death</w:t>
      </w:r>
    </w:p>
    <w:p w14:paraId="00053C88"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the above AEs will be listed by subject.</w:t>
      </w:r>
    </w:p>
    <w:p w14:paraId="63EFEE24"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The AE listing will include group, site, randomization number, AE term, SOC, PT, action taken with the investigational medicinal product, onset date, end date, severity, causality, and outcome. The AE listing will be sorted by group, site, subject screening number, and randomization number.</w:t>
      </w:r>
    </w:p>
    <w:p w14:paraId="068FD8E3" w14:textId="77777777" w:rsidR="0005712D" w:rsidRPr="004500B1" w:rsidRDefault="00CF2A39" w:rsidP="00AC124B">
      <w:pPr>
        <w:pStyle w:val="BT6161"/>
        <w:spacing w:line="300" w:lineRule="auto"/>
      </w:pPr>
      <w:bookmarkStart w:id="207" w:name="_Toc95410051"/>
      <w:bookmarkStart w:id="208" w:name="_Toc216186580"/>
      <w:r w:rsidRPr="004500B1">
        <w:t>Summary of adverse events by SOC and PT</w:t>
      </w:r>
      <w:bookmarkEnd w:id="207"/>
      <w:bookmarkEnd w:id="208"/>
    </w:p>
    <w:p w14:paraId="57803CD4"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TEAEs will be summarized by SOC and PT by treatment group and dose group, with the number of cases, number of subjects, and incidence calculated. For multiple occurrences of the same AE within the same SOC or PT in a single subject, only one event will be counted.</w:t>
      </w:r>
    </w:p>
    <w:p w14:paraId="6DAA6BF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SOCs will first be sorted overall by incidence in descending order, and PTs within a SOC will also be sorted overall by incidence in descending order. If the incidence of SOC/PT is the same, sorting will be further based on the number of cases in descending order.</w:t>
      </w:r>
    </w:p>
    <w:p w14:paraId="3DFD434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Summaries of TRAEs, TESAEs, TRSAEs, significant AEs, TEAEs of special interest, TEAEs leading to dose discontinuation, TEAEs leading to dose modification, CTCAE Grade ≥ 3 TEAEs, TEAEs leading to withdrawal from the study, TEAEs leading to death, TEAEs with an incidence ≥ 10%, TRAEs with an incidence ≥ 10%, TEAEs with an incidence ≥ 5%, TRAEs with an incidence ≥ 5%, TEAEs with an incidence ≥ 2%, and TRAEs with an incidence ≥ 2% will be conducted in the same manner as for TEAEs.</w:t>
      </w:r>
    </w:p>
    <w:p w14:paraId="380B5642" w14:textId="77777777" w:rsidR="0005712D" w:rsidRPr="004500B1" w:rsidRDefault="00CF2A39" w:rsidP="00AC124B">
      <w:pPr>
        <w:pStyle w:val="BT6161"/>
        <w:spacing w:line="300" w:lineRule="auto"/>
        <w:rPr>
          <w:color w:val="000000" w:themeColor="text1"/>
        </w:rPr>
      </w:pPr>
      <w:bookmarkStart w:id="209" w:name="_Toc95410053"/>
      <w:bookmarkStart w:id="210" w:name="_Toc216186581"/>
      <w:bookmarkEnd w:id="209"/>
      <w:r w:rsidRPr="004500B1">
        <w:t>Summary of adverse events by SOC, PT, and CTCAE grade</w:t>
      </w:r>
      <w:bookmarkEnd w:id="210"/>
    </w:p>
    <w:p w14:paraId="25F8FCCB"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sz w:val="24"/>
        </w:rPr>
        <w:t xml:space="preserve">All TEAEs and TRAEs will be summarized by SOC, PT, and CTCAE grade by treatment group and dose group, with the number of cases, number of subjects, and incidence calculated. </w:t>
      </w:r>
      <w:r w:rsidRPr="00F72DDB">
        <w:rPr>
          <w:rFonts w:cs="Times New Roman"/>
          <w:color w:val="000000"/>
          <w:sz w:val="24"/>
        </w:rPr>
        <w:t>For multiple occurrences of the same AE within the same SOC or PT in a single subject, only one event will be counted.</w:t>
      </w:r>
    </w:p>
    <w:p w14:paraId="5C06B0EA" w14:textId="15214F6C"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sz w:val="24"/>
        </w:rPr>
      </w:pPr>
      <w:r w:rsidRPr="00F72DDB">
        <w:rPr>
          <w:rFonts w:cs="Times New Roman"/>
          <w:color w:val="000000"/>
          <w:sz w:val="24"/>
        </w:rPr>
        <w:t>AE severity will be graded according to CTCAE v5.0 (Grade 1, 2, 3, 4, and 5). If a subject experiences the same AE multiple times, the summary will be based</w:t>
      </w:r>
      <w:r w:rsidR="004500B1">
        <w:rPr>
          <w:rFonts w:cs="Times New Roman"/>
          <w:color w:val="000000"/>
          <w:sz w:val="24"/>
        </w:rPr>
        <w:t xml:space="preserve"> on the most severe occurrence.</w:t>
      </w:r>
    </w:p>
    <w:p w14:paraId="01E43DA1" w14:textId="77777777" w:rsidR="0005712D" w:rsidRPr="004500B1" w:rsidRDefault="00CF2A39" w:rsidP="00AC124B">
      <w:pPr>
        <w:pStyle w:val="BT6161"/>
        <w:pageBreakBefore/>
        <w:spacing w:line="300" w:lineRule="auto"/>
      </w:pPr>
      <w:bookmarkStart w:id="211" w:name="_Toc216186582"/>
      <w:r w:rsidRPr="004500B1">
        <w:lastRenderedPageBreak/>
        <w:t>Summary of adverse events by SOC, PT, and other variables</w:t>
      </w:r>
      <w:bookmarkEnd w:id="211"/>
    </w:p>
    <w:p w14:paraId="40F7BD8F"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sz w:val="24"/>
        </w:rPr>
        <w:t xml:space="preserve">All TEAEs and TRAEs will be summarized by SOC, PT, and other variables by treatment group and dose group, with the number of cases, number of subjects, and incidence calculated. </w:t>
      </w:r>
      <w:r w:rsidRPr="00F72DDB">
        <w:rPr>
          <w:rFonts w:cs="Times New Roman"/>
          <w:color w:val="000000"/>
          <w:sz w:val="24"/>
        </w:rPr>
        <w:t>For multiple occurrences of the same AE within the same SOC or PT in a single subject, only one event will be counted.</w:t>
      </w:r>
    </w:p>
    <w:p w14:paraId="623DC2CE"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color w:val="000000"/>
          <w:sz w:val="24"/>
        </w:rPr>
        <w:t>Other variables include: AE outcome (recovered, improved, recovered with sequelae, not improved, death, unknown), presence or absence of sequelae (yes, no), action taken with the investigational medicinal product (permanent discontinuation, dose interruption, administration as per protocol, study treatment completed, dose reduction, not applicable, other), action taken for the adverse event (no action, concomitant medication, concomitant non-drug therapy, dietary/exercise adjustment, other).</w:t>
      </w:r>
    </w:p>
    <w:p w14:paraId="1D1C4206" w14:textId="77777777" w:rsidR="0005712D" w:rsidRPr="004500B1" w:rsidRDefault="00CF2A39" w:rsidP="00AC124B">
      <w:pPr>
        <w:pStyle w:val="BT6161"/>
        <w:spacing w:line="300" w:lineRule="auto"/>
      </w:pPr>
      <w:bookmarkStart w:id="212" w:name="_Toc216186583"/>
      <w:r w:rsidRPr="004500B1">
        <w:t>Gastrointestinal adverse events/reactions</w:t>
      </w:r>
      <w:bookmarkEnd w:id="212"/>
    </w:p>
    <w:p w14:paraId="793D6B2D"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color w:val="000000"/>
          <w:sz w:val="24"/>
        </w:rPr>
      </w:pPr>
      <w:r w:rsidRPr="00F72DDB">
        <w:rPr>
          <w:rFonts w:cs="Times New Roman"/>
          <w:sz w:val="24"/>
        </w:rPr>
        <w:t>Gastrointestinal adverse events/reactions will be described by time interval (every 2 weeks) and graded according to CTCAE, with the number of cases, number of subjects, and incidence calculated. A bar chart will be generated to illustrate the occurrence of gastrointestinal adverse events/reactions by interval.</w:t>
      </w:r>
    </w:p>
    <w:p w14:paraId="07BDF18E"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213" w:name="_Toc60852160"/>
      <w:bookmarkStart w:id="214" w:name="_Toc216186584"/>
      <w:r w:rsidRPr="00F72DDB">
        <w:rPr>
          <w:rFonts w:ascii="Times New Roman" w:hAnsi="Times New Roman" w:cs="Times New Roman"/>
          <w:color w:val="000000" w:themeColor="text1"/>
          <w:szCs w:val="24"/>
        </w:rPr>
        <w:t>Laboratory tests</w:t>
      </w:r>
      <w:bookmarkEnd w:id="213"/>
      <w:bookmarkEnd w:id="214"/>
    </w:p>
    <w:p w14:paraId="1CE88152"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 xml:space="preserve">Laboratory parameters will be statistically analyzed by test type (see </w:t>
      </w:r>
      <w:r w:rsidRPr="00F72DDB">
        <w:rPr>
          <w:rFonts w:cs="Times New Roman"/>
          <w:b/>
          <w:bCs/>
          <w:sz w:val="24"/>
        </w:rPr>
        <w:t>Section 5.2</w:t>
      </w:r>
      <w:r w:rsidRPr="00F72DDB">
        <w:rPr>
          <w:rFonts w:cs="Times New Roman"/>
          <w:sz w:val="24"/>
        </w:rPr>
        <w:t xml:space="preserve"> for details).</w:t>
      </w:r>
    </w:p>
    <w:p w14:paraId="1EB5EB20"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will be performed for each scheduled visit by treatment group and dose group, including the number of subjects (including missing), mean, standard deviation, median, first quartile (Q1), third quartile (Q3), minimum, and maximum. Changes from baseline at each visit will be summarized. For parameters such as lipase, amylase, and serum calcitonin, line charts will be generated to display the mean values at each visit.</w:t>
      </w:r>
    </w:p>
    <w:p w14:paraId="4409F74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color w:val="000000"/>
          <w:sz w:val="24"/>
        </w:rPr>
        <w:t xml:space="preserve">Data from unscheduled visits will not be included in the analysis and will only be used to derive baseline variables. Baseline value is defined as the last non-missing assessment prior to the first dose of the investigational medicinal product. </w:t>
      </w:r>
      <w:r w:rsidRPr="00F72DDB">
        <w:rPr>
          <w:rFonts w:cs="Times New Roman"/>
          <w:sz w:val="24"/>
        </w:rPr>
        <w:t>If laboratory test results exceed the range of quantification (e.g., values containing &lt;, ≤, &gt;, or ≥), the limit of quantification will be used as the numeric result for summary.</w:t>
      </w:r>
    </w:p>
    <w:p w14:paraId="4D6031A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 xml:space="preserve">Clinical assessments of laboratory parameters pre- and post-dose (based on normal ranges or the investigator's clinical judgment) will be summarized using cross-tabulations, with the number and percentage of subjects calculated. </w:t>
      </w:r>
      <w:bookmarkStart w:id="215" w:name="OLE_LINK5"/>
      <w:r w:rsidRPr="00F72DDB">
        <w:rPr>
          <w:rFonts w:cs="Times New Roman"/>
          <w:sz w:val="24"/>
        </w:rPr>
        <w:t>For post-dose clinical assessments, the worst result at any post-dose visit will be used (with the following hierarchy for worst result: abnormal with clinical significance &gt; abnormal without clinical significance &gt; normal &gt; not examined).</w:t>
      </w:r>
      <w:bookmarkEnd w:id="215"/>
    </w:p>
    <w:p w14:paraId="2441F63C"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sz w:val="24"/>
          <w:u w:val="single"/>
        </w:rPr>
      </w:pPr>
      <w:r w:rsidRPr="00F72DDB">
        <w:rPr>
          <w:rFonts w:cs="Times New Roman"/>
          <w:b/>
          <w:bCs/>
          <w:sz w:val="24"/>
          <w:u w:val="single"/>
        </w:rPr>
        <w:lastRenderedPageBreak/>
        <w:t>Laboratory parameters of special interest</w:t>
      </w:r>
    </w:p>
    <w:p w14:paraId="3921D14D" w14:textId="77777777" w:rsidR="0005712D" w:rsidRPr="00F72DDB" w:rsidRDefault="00CF2A39" w:rsidP="004500B1">
      <w:pPr>
        <w:pStyle w:val="Normal2"/>
        <w:numPr>
          <w:ilvl w:val="0"/>
          <w:numId w:val="18"/>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t>ALT and AST: Baseline values (categorized as ≤ 1 × ULN, &gt; 1 × ULN) and maximum post-treatment values (categorized as ≤ 1 × ULN, &gt; 1 to &lt; 3 × ULN, ≥ 3 to &lt; 5 × ULN, ≥ 5 to &lt; 10 × ULN, ≥ 10 × ULN) will be summarized using cross-tabulations, with the number and percentage of subjects calculated.</w:t>
      </w:r>
    </w:p>
    <w:p w14:paraId="39315605" w14:textId="77777777" w:rsidR="0005712D" w:rsidRPr="00F72DDB" w:rsidRDefault="00CF2A39" w:rsidP="004500B1">
      <w:pPr>
        <w:pStyle w:val="Normal2"/>
        <w:numPr>
          <w:ilvl w:val="0"/>
          <w:numId w:val="18"/>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t>TBIL and DBIL: Baseline values and maximum post-treatment values (categorized as ≤ 1 × ULN, &gt; 1 to &lt; 2 × ULN, ≥ 2 × ULN) will be summarized using cross-tabulations, with the number and percentage of subjects calculated.</w:t>
      </w:r>
    </w:p>
    <w:p w14:paraId="2939F045" w14:textId="77777777" w:rsidR="0005712D" w:rsidRPr="00F72DDB" w:rsidRDefault="00CF2A39" w:rsidP="004500B1">
      <w:pPr>
        <w:pStyle w:val="Normal2"/>
        <w:numPr>
          <w:ilvl w:val="0"/>
          <w:numId w:val="18"/>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t>ALP: Baseline values and maximum post-treatment values (categorized as ≤ 1 × ULN, &gt; 1 to &lt; 2 × ULN, ≥ 2 × ULN) will be summarized using cross-tabulations, with the number and percentage of subjects calculated.</w:t>
      </w:r>
    </w:p>
    <w:p w14:paraId="7716373E" w14:textId="77777777" w:rsidR="0005712D" w:rsidRPr="00F72DDB" w:rsidRDefault="00CF2A39" w:rsidP="004500B1">
      <w:pPr>
        <w:pStyle w:val="Normal2"/>
        <w:numPr>
          <w:ilvl w:val="0"/>
          <w:numId w:val="18"/>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t>Serum amylase and serum lipase: Baseline values and maximum post-treatment values (categorized as ≤ 1 × ULN, &gt; 1 to ≤ 3 × ULN, &gt; 3 to ≤ 5 × ULN, &gt;5 to ≤ 10 × ULN, &gt; 10 × ULN) will be summarized using cross-tabulations, with the number and percentage of subjects calculated.</w:t>
      </w:r>
    </w:p>
    <w:p w14:paraId="079BA186" w14:textId="77777777" w:rsidR="0005712D" w:rsidRPr="00F72DDB" w:rsidRDefault="00CF2A39" w:rsidP="004500B1">
      <w:pPr>
        <w:pStyle w:val="Normal2"/>
        <w:numPr>
          <w:ilvl w:val="0"/>
          <w:numId w:val="18"/>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t>Serum calcitonin: For subjects with a post-dose serum calcitonin increase of ≥ 50% from baseline and an absolute value ≥ 20 pg/mL, subjects will be categorized based on baseline absolute calcitonin values as follows: ≥ 20 and &lt; 35 pg/mL; ≥ 35 and &lt; 50 pg/mL; ≥ 50 pg/mL. If the proportion of subjects with such changes exceeds 3%, a cross-tabulation using these categories will be generated.</w:t>
      </w:r>
    </w:p>
    <w:p w14:paraId="5FCB9A1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b/>
          <w:bCs/>
          <w:sz w:val="24"/>
        </w:rPr>
      </w:pPr>
      <w:r w:rsidRPr="00F72DDB">
        <w:rPr>
          <w:rFonts w:cs="Times New Roman"/>
          <w:b/>
          <w:bCs/>
          <w:sz w:val="24"/>
        </w:rPr>
        <w:t>Hepatic function abnormality analysis</w:t>
      </w:r>
    </w:p>
    <w:p w14:paraId="4844EEEA" w14:textId="77777777" w:rsidR="0005712D" w:rsidRPr="00F72DDB" w:rsidRDefault="00CF2A39" w:rsidP="004500B1">
      <w:pPr>
        <w:pStyle w:val="Normal2"/>
        <w:numPr>
          <w:ilvl w:val="0"/>
          <w:numId w:val="19"/>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t>For subjects exposed to the investigational medicinal product for at least 1 month, the proportion of subjects with abnormal hepatic function tests post-dose will be described according to the following categories:</w:t>
      </w:r>
    </w:p>
    <w:p w14:paraId="46A872FA" w14:textId="77777777" w:rsidR="0005712D" w:rsidRPr="00F72DDB" w:rsidRDefault="00CF2A39" w:rsidP="004500B1">
      <w:pPr>
        <w:pStyle w:val="Normal2"/>
        <w:numPr>
          <w:ilvl w:val="0"/>
          <w:numId w:val="20"/>
        </w:numPr>
        <w:overflowPunct w:val="0"/>
        <w:autoSpaceDE w:val="0"/>
        <w:autoSpaceDN w:val="0"/>
        <w:adjustRightInd w:val="0"/>
        <w:snapToGrid w:val="0"/>
        <w:spacing w:beforeLines="50" w:before="120" w:afterLines="50" w:after="120" w:line="300" w:lineRule="auto"/>
        <w:ind w:leftChars="240" w:left="1008" w:hangingChars="210" w:hanging="504"/>
        <w:jc w:val="left"/>
        <w:rPr>
          <w:rFonts w:cs="Times New Roman"/>
          <w:sz w:val="24"/>
        </w:rPr>
      </w:pPr>
      <w:r w:rsidRPr="00F72DDB">
        <w:rPr>
          <w:rFonts w:cs="Times New Roman"/>
          <w:sz w:val="24"/>
        </w:rPr>
        <w:t>Maximum post-treatment AST or ALT value: &gt; 3 × ULN, &gt; 5 × ULN, &gt; 10 × ULN, &gt; 20 × ULN.</w:t>
      </w:r>
    </w:p>
    <w:p w14:paraId="3A066965" w14:textId="77777777" w:rsidR="0005712D" w:rsidRPr="00F72DDB" w:rsidRDefault="00CF2A39" w:rsidP="004500B1">
      <w:pPr>
        <w:pStyle w:val="Normal2"/>
        <w:numPr>
          <w:ilvl w:val="0"/>
          <w:numId w:val="20"/>
        </w:numPr>
        <w:overflowPunct w:val="0"/>
        <w:autoSpaceDE w:val="0"/>
        <w:autoSpaceDN w:val="0"/>
        <w:adjustRightInd w:val="0"/>
        <w:snapToGrid w:val="0"/>
        <w:spacing w:beforeLines="50" w:before="120" w:afterLines="50" w:after="120" w:line="300" w:lineRule="auto"/>
        <w:ind w:leftChars="240" w:left="1008" w:hangingChars="210" w:hanging="504"/>
        <w:jc w:val="left"/>
        <w:rPr>
          <w:rFonts w:cs="Times New Roman"/>
          <w:sz w:val="24"/>
        </w:rPr>
      </w:pPr>
      <w:r w:rsidRPr="00F72DDB">
        <w:rPr>
          <w:rFonts w:cs="Times New Roman"/>
          <w:sz w:val="24"/>
        </w:rPr>
        <w:t>Maximum post-treatment total bilirubin value: &gt; ULN, &gt; 2 × ULN.</w:t>
      </w:r>
    </w:p>
    <w:p w14:paraId="4441A075" w14:textId="77777777" w:rsidR="0005712D" w:rsidRPr="00F72DDB" w:rsidRDefault="00CF2A39" w:rsidP="004500B1">
      <w:pPr>
        <w:pStyle w:val="Normal2"/>
        <w:numPr>
          <w:ilvl w:val="0"/>
          <w:numId w:val="20"/>
        </w:numPr>
        <w:overflowPunct w:val="0"/>
        <w:autoSpaceDE w:val="0"/>
        <w:autoSpaceDN w:val="0"/>
        <w:adjustRightInd w:val="0"/>
        <w:snapToGrid w:val="0"/>
        <w:spacing w:beforeLines="50" w:before="120" w:afterLines="50" w:after="120" w:line="300" w:lineRule="auto"/>
        <w:ind w:leftChars="240" w:left="1008" w:hangingChars="210" w:hanging="504"/>
        <w:jc w:val="left"/>
        <w:rPr>
          <w:rFonts w:cs="Times New Roman"/>
          <w:sz w:val="24"/>
        </w:rPr>
      </w:pPr>
      <w:r w:rsidRPr="00F72DDB">
        <w:rPr>
          <w:rFonts w:cs="Times New Roman"/>
          <w:sz w:val="24"/>
        </w:rPr>
        <w:t>Maximum post-treatment ALP value: &gt; 1.5 × ULN.</w:t>
      </w:r>
    </w:p>
    <w:p w14:paraId="499E84A1" w14:textId="77777777" w:rsidR="0005712D" w:rsidRPr="00F72DDB" w:rsidRDefault="00CF2A39" w:rsidP="004500B1">
      <w:pPr>
        <w:pStyle w:val="Normal2"/>
        <w:numPr>
          <w:ilvl w:val="0"/>
          <w:numId w:val="20"/>
        </w:numPr>
        <w:overflowPunct w:val="0"/>
        <w:autoSpaceDE w:val="0"/>
        <w:autoSpaceDN w:val="0"/>
        <w:adjustRightInd w:val="0"/>
        <w:snapToGrid w:val="0"/>
        <w:spacing w:beforeLines="50" w:before="120" w:afterLines="50" w:after="120" w:line="300" w:lineRule="auto"/>
        <w:ind w:leftChars="240" w:left="1008" w:hangingChars="210" w:hanging="504"/>
        <w:jc w:val="left"/>
        <w:rPr>
          <w:rFonts w:cs="Times New Roman"/>
          <w:sz w:val="24"/>
        </w:rPr>
      </w:pPr>
      <w:r w:rsidRPr="00F72DDB">
        <w:rPr>
          <w:rFonts w:cs="Times New Roman"/>
          <w:sz w:val="24"/>
        </w:rPr>
        <w:t xml:space="preserve">AST or ALT &gt; 3 × ULN with concomitant total bilirubin increased: AST or ALT &gt; 3 </w:t>
      </w:r>
      <w:r w:rsidRPr="004500B1">
        <w:rPr>
          <w:rFonts w:cs="Times New Roman"/>
          <w:spacing w:val="-2"/>
          <w:sz w:val="24"/>
        </w:rPr>
        <w:t>× ULN with bilirubin &gt; 1.5 × ULN; AST or ALT &gt; 3 × ULN with bilirubin &gt; 2 × ULN.</w:t>
      </w:r>
    </w:p>
    <w:p w14:paraId="0E0F1288" w14:textId="77777777" w:rsidR="0005712D" w:rsidRPr="00F72DDB" w:rsidRDefault="00CF2A39" w:rsidP="004500B1">
      <w:pPr>
        <w:pStyle w:val="Normal2"/>
        <w:pageBreakBefore/>
        <w:numPr>
          <w:ilvl w:val="0"/>
          <w:numId w:val="19"/>
        </w:numPr>
        <w:overflowPunct w:val="0"/>
        <w:autoSpaceDE w:val="0"/>
        <w:autoSpaceDN w:val="0"/>
        <w:adjustRightInd w:val="0"/>
        <w:snapToGrid w:val="0"/>
        <w:spacing w:beforeLines="50" w:before="120" w:afterLines="50" w:after="120" w:line="300" w:lineRule="auto"/>
        <w:ind w:left="504" w:hangingChars="210" w:hanging="504"/>
        <w:jc w:val="left"/>
        <w:rPr>
          <w:rFonts w:cs="Times New Roman"/>
          <w:sz w:val="24"/>
        </w:rPr>
      </w:pPr>
      <w:r w:rsidRPr="00F72DDB">
        <w:rPr>
          <w:rFonts w:cs="Times New Roman"/>
          <w:sz w:val="24"/>
        </w:rPr>
        <w:lastRenderedPageBreak/>
        <w:t>The proportion of subjects with abnormal post-dose liver function test results who have baseline ALP &lt; 2 × ULN will be described by the following categories: AST or ALT &gt; 3 × ULN and &gt; 2 × baseline value, AST or ALT &gt; 3 × ULN and &gt; 2 × baseline value, and subsequent total bilirubin ≥ 2 × ULN and ≥ 1.5 × baseline. The time interval between the increase in AST or ALT and the subject's total bilirubin ≥ 2 × ULN and ≥ 1.5 × baseline should be ≤ 30 days.</w:t>
      </w:r>
    </w:p>
    <w:p w14:paraId="7E5E1C8C"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 xml:space="preserve">All laboratory test results will be listed by subject and visit based on the type of test, including unscheduled visits. Listings will be sorted by site number, group, subject screening number, randomization number, test item, and visit. </w:t>
      </w:r>
      <w:bookmarkStart w:id="216" w:name="OLE_LINK8"/>
      <w:r w:rsidRPr="00F72DDB">
        <w:rPr>
          <w:rFonts w:cs="Times New Roman"/>
          <w:sz w:val="24"/>
        </w:rPr>
        <w:t>In addition, post-treatment abnormal test results considered clinically significant will be listed separately.</w:t>
      </w:r>
      <w:bookmarkEnd w:id="216"/>
    </w:p>
    <w:p w14:paraId="7B7A263C"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217" w:name="_Toc107182404"/>
      <w:bookmarkStart w:id="218" w:name="_Toc107182561"/>
      <w:bookmarkStart w:id="219" w:name="_Toc60852163"/>
      <w:bookmarkStart w:id="220" w:name="_Toc216186585"/>
      <w:bookmarkEnd w:id="217"/>
      <w:bookmarkEnd w:id="218"/>
      <w:r w:rsidRPr="00F72DDB">
        <w:rPr>
          <w:rFonts w:ascii="Times New Roman" w:hAnsi="Times New Roman" w:cs="Times New Roman"/>
          <w:color w:val="000000" w:themeColor="text1"/>
          <w:szCs w:val="24"/>
        </w:rPr>
        <w:t>Vital signs</w:t>
      </w:r>
      <w:bookmarkEnd w:id="219"/>
      <w:bookmarkEnd w:id="220"/>
    </w:p>
    <w:p w14:paraId="1819C3E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of vital sign parameters will be performed by treatment group and dose group at each scheduled visit, including number of subjects (including missing), mean, standard deviation, median, quartiles (Q1 and Q3), minimum, and maximum, and changes from baseline at each scheduled visit will be summarized.</w:t>
      </w:r>
    </w:p>
    <w:p w14:paraId="2F7D7BB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Clinical assessments of vital signs pre- and post-dose (based on normal ranges or the investigator's clinical judgment) will be summarized using cross-tabulations, with the number and percentage of subjects calculated. For post-dose clinical assessment, the worst post-dose value across all visits will be used.</w:t>
      </w:r>
    </w:p>
    <w:p w14:paraId="6D810CE4"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The lowest and highest post-treatment vital sign values will be summarized by number and percentage of subjects according to the following categories:</w:t>
      </w:r>
    </w:p>
    <w:tbl>
      <w:tblPr>
        <w:tblStyle w:val="af9"/>
        <w:tblW w:w="5000" w:type="pct"/>
        <w:tblLook w:val="04A0" w:firstRow="1" w:lastRow="0" w:firstColumn="1" w:lastColumn="0" w:noHBand="0" w:noVBand="1"/>
      </w:tblPr>
      <w:tblGrid>
        <w:gridCol w:w="2183"/>
        <w:gridCol w:w="3474"/>
        <w:gridCol w:w="3819"/>
      </w:tblGrid>
      <w:tr w:rsidR="0005712D" w:rsidRPr="00101741" w14:paraId="4A589F31" w14:textId="77777777" w:rsidTr="004500B1">
        <w:tc>
          <w:tcPr>
            <w:tcW w:w="1152" w:type="pct"/>
            <w:tcMar>
              <w:top w:w="57" w:type="dxa"/>
              <w:left w:w="57" w:type="dxa"/>
              <w:bottom w:w="57" w:type="dxa"/>
              <w:right w:w="57" w:type="dxa"/>
            </w:tcMar>
          </w:tcPr>
          <w:p w14:paraId="163C8291"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Item</w:t>
            </w:r>
          </w:p>
        </w:tc>
        <w:tc>
          <w:tcPr>
            <w:tcW w:w="1833" w:type="pct"/>
            <w:tcMar>
              <w:top w:w="57" w:type="dxa"/>
              <w:left w:w="57" w:type="dxa"/>
              <w:bottom w:w="57" w:type="dxa"/>
              <w:right w:w="57" w:type="dxa"/>
            </w:tcMar>
          </w:tcPr>
          <w:p w14:paraId="2A69A442"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Lowest value</w:t>
            </w:r>
          </w:p>
        </w:tc>
        <w:tc>
          <w:tcPr>
            <w:tcW w:w="2015" w:type="pct"/>
            <w:tcMar>
              <w:top w:w="57" w:type="dxa"/>
              <w:left w:w="57" w:type="dxa"/>
              <w:bottom w:w="57" w:type="dxa"/>
              <w:right w:w="57" w:type="dxa"/>
            </w:tcMar>
          </w:tcPr>
          <w:p w14:paraId="31CF3891"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Maximum</w:t>
            </w:r>
          </w:p>
        </w:tc>
      </w:tr>
      <w:tr w:rsidR="0005712D" w:rsidRPr="00101741" w14:paraId="25C515D4" w14:textId="77777777" w:rsidTr="004500B1">
        <w:tc>
          <w:tcPr>
            <w:tcW w:w="1152" w:type="pct"/>
            <w:tcMar>
              <w:top w:w="57" w:type="dxa"/>
              <w:left w:w="57" w:type="dxa"/>
              <w:bottom w:w="57" w:type="dxa"/>
              <w:right w:w="57" w:type="dxa"/>
            </w:tcMar>
          </w:tcPr>
          <w:p w14:paraId="7640B1D1"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Systolic blood pressure</w:t>
            </w:r>
          </w:p>
        </w:tc>
        <w:tc>
          <w:tcPr>
            <w:tcW w:w="1833" w:type="pct"/>
            <w:tcMar>
              <w:top w:w="57" w:type="dxa"/>
              <w:left w:w="57" w:type="dxa"/>
              <w:bottom w:w="57" w:type="dxa"/>
              <w:right w:w="57" w:type="dxa"/>
            </w:tcMar>
          </w:tcPr>
          <w:p w14:paraId="2AF2885A"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 90 and a decrease from baseline ≥ 20</w:t>
            </w:r>
          </w:p>
        </w:tc>
        <w:tc>
          <w:tcPr>
            <w:tcW w:w="2015" w:type="pct"/>
            <w:tcMar>
              <w:top w:w="57" w:type="dxa"/>
              <w:left w:w="57" w:type="dxa"/>
              <w:bottom w:w="57" w:type="dxa"/>
              <w:right w:w="57" w:type="dxa"/>
            </w:tcMar>
          </w:tcPr>
          <w:p w14:paraId="3565AE0D"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 160 and an increase from baseline ≥ 20</w:t>
            </w:r>
          </w:p>
        </w:tc>
      </w:tr>
      <w:tr w:rsidR="0005712D" w:rsidRPr="00101741" w14:paraId="6EE29FC7" w14:textId="77777777" w:rsidTr="004500B1">
        <w:tc>
          <w:tcPr>
            <w:tcW w:w="1152" w:type="pct"/>
            <w:tcMar>
              <w:top w:w="57" w:type="dxa"/>
              <w:left w:w="57" w:type="dxa"/>
              <w:bottom w:w="57" w:type="dxa"/>
              <w:right w:w="57" w:type="dxa"/>
            </w:tcMar>
          </w:tcPr>
          <w:p w14:paraId="71164B7E"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Diastolic blood pressure</w:t>
            </w:r>
          </w:p>
        </w:tc>
        <w:tc>
          <w:tcPr>
            <w:tcW w:w="1833" w:type="pct"/>
            <w:tcMar>
              <w:top w:w="57" w:type="dxa"/>
              <w:left w:w="57" w:type="dxa"/>
              <w:bottom w:w="57" w:type="dxa"/>
              <w:right w:w="57" w:type="dxa"/>
            </w:tcMar>
          </w:tcPr>
          <w:p w14:paraId="7F5B0FAA"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 50 and a decrease from baseline ≥ 10</w:t>
            </w:r>
          </w:p>
        </w:tc>
        <w:tc>
          <w:tcPr>
            <w:tcW w:w="2015" w:type="pct"/>
            <w:tcMar>
              <w:top w:w="57" w:type="dxa"/>
              <w:left w:w="57" w:type="dxa"/>
              <w:bottom w:w="57" w:type="dxa"/>
              <w:right w:w="57" w:type="dxa"/>
            </w:tcMar>
          </w:tcPr>
          <w:p w14:paraId="6374E65D"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 100 and an increase from baseline ≥ 10</w:t>
            </w:r>
          </w:p>
        </w:tc>
      </w:tr>
      <w:tr w:rsidR="0005712D" w:rsidRPr="00101741" w14:paraId="3CA130A4" w14:textId="77777777" w:rsidTr="004500B1">
        <w:tc>
          <w:tcPr>
            <w:tcW w:w="1152" w:type="pct"/>
            <w:tcMar>
              <w:top w:w="57" w:type="dxa"/>
              <w:left w:w="57" w:type="dxa"/>
              <w:bottom w:w="57" w:type="dxa"/>
              <w:right w:w="57" w:type="dxa"/>
            </w:tcMar>
          </w:tcPr>
          <w:p w14:paraId="70ECB183"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Pulse</w:t>
            </w:r>
          </w:p>
        </w:tc>
        <w:tc>
          <w:tcPr>
            <w:tcW w:w="1833" w:type="pct"/>
            <w:tcMar>
              <w:top w:w="57" w:type="dxa"/>
              <w:left w:w="57" w:type="dxa"/>
              <w:bottom w:w="57" w:type="dxa"/>
              <w:right w:w="57" w:type="dxa"/>
            </w:tcMar>
          </w:tcPr>
          <w:p w14:paraId="4362E474"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&lt; 50 and a decrease from baseline ≥ 15</w:t>
            </w:r>
          </w:p>
        </w:tc>
        <w:tc>
          <w:tcPr>
            <w:tcW w:w="2015" w:type="pct"/>
            <w:tcMar>
              <w:top w:w="57" w:type="dxa"/>
              <w:left w:w="57" w:type="dxa"/>
              <w:bottom w:w="57" w:type="dxa"/>
              <w:right w:w="57" w:type="dxa"/>
            </w:tcMar>
          </w:tcPr>
          <w:p w14:paraId="43E30557"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&gt; 100 and an increase from baseline ≥ 15</w:t>
            </w:r>
          </w:p>
        </w:tc>
      </w:tr>
    </w:tbl>
    <w:p w14:paraId="7BFFEC8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color w:val="000000"/>
          <w:sz w:val="24"/>
        </w:rPr>
      </w:pPr>
      <w:r w:rsidRPr="00F72DDB">
        <w:rPr>
          <w:rFonts w:cs="Times New Roman"/>
          <w:color w:val="000000"/>
          <w:sz w:val="24"/>
        </w:rPr>
        <w:t xml:space="preserve">All vital sign measurements will be listed by subject and visit, including unscheduled visits. </w:t>
      </w:r>
      <w:r w:rsidRPr="00F72DDB">
        <w:rPr>
          <w:rFonts w:cs="Times New Roman"/>
          <w:sz w:val="24"/>
        </w:rPr>
        <w:t xml:space="preserve">Listings will be sorted by site number, group, subject screening number, randomization number, test item, and visit. </w:t>
      </w:r>
      <w:bookmarkStart w:id="221" w:name="OLE_LINK9"/>
      <w:r w:rsidRPr="00F72DDB">
        <w:rPr>
          <w:rFonts w:cs="Times New Roman"/>
          <w:sz w:val="24"/>
        </w:rPr>
        <w:t>In addition, post-treatment abnormal test results considered clinically significant will be listed separately.</w:t>
      </w:r>
      <w:bookmarkEnd w:id="221"/>
    </w:p>
    <w:p w14:paraId="2422CB98"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222" w:name="_Toc60852161"/>
      <w:bookmarkStart w:id="223" w:name="_Toc216186586"/>
      <w:r w:rsidRPr="00F72DDB">
        <w:rPr>
          <w:rFonts w:ascii="Times New Roman" w:hAnsi="Times New Roman" w:cs="Times New Roman"/>
          <w:color w:val="000000" w:themeColor="text1"/>
          <w:szCs w:val="24"/>
        </w:rPr>
        <w:t>Physical examination</w:t>
      </w:r>
      <w:bookmarkEnd w:id="222"/>
      <w:bookmarkEnd w:id="223"/>
    </w:p>
    <w:p w14:paraId="65E94F1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Clinical assessments of physical examination findings pre- and post-dose (based on the investigator's judgment of clinical significance) will be summarized in cross-tabulations by treatment group and dose group, with the number and percentage of subjects calculated. For post-dose clinical assessment, the worst post-dose value across all visits will be used.</w:t>
      </w:r>
    </w:p>
    <w:p w14:paraId="428D4E5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lastRenderedPageBreak/>
        <w:t>All physical examination results will be listed by subject and visit, including unscheduled visits. Listings will be sorted by site number, group, subject screening number, randomization number, test item, and visit. In addition, post-treatment abnormal test results considered clinically significant will be listed separately.</w:t>
      </w:r>
    </w:p>
    <w:p w14:paraId="4203905D"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color w:val="000000" w:themeColor="text1"/>
          <w:szCs w:val="24"/>
        </w:rPr>
      </w:pPr>
      <w:bookmarkStart w:id="224" w:name="_Toc60852162"/>
      <w:bookmarkStart w:id="225" w:name="_Toc216186587"/>
      <w:r w:rsidRPr="00F72DDB">
        <w:rPr>
          <w:rFonts w:ascii="Times New Roman" w:hAnsi="Times New Roman" w:cs="Times New Roman"/>
          <w:color w:val="000000" w:themeColor="text1"/>
          <w:szCs w:val="24"/>
        </w:rPr>
        <w:t>12-lead ECG</w:t>
      </w:r>
      <w:bookmarkEnd w:id="224"/>
      <w:bookmarkEnd w:id="225"/>
    </w:p>
    <w:p w14:paraId="1DC60612"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for ECG parameters will be performed by treatment group and dose group at each scheduled visit, including number of subjects (including missing), mean, standard deviation, median, quartiles (Q1 and Q3), minimum, and maximum, and changes from baseline will be summarized by visit.</w:t>
      </w:r>
    </w:p>
    <w:p w14:paraId="50E3A28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The overall ECG evaluation pre- and post-dose will be summarized in cross-tabulations, with the number and percentage of subjects calculated. For post-dose clinical assessment, the worst post-dose value across all visits will be used.</w:t>
      </w:r>
    </w:p>
    <w:p w14:paraId="72B268C2"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Post-dose ECG results will be described by visit according to the following categories: post-dose QTcF &gt; 500 ms; post-dose change from baseline 30 &lt; ΔQTcF ≤ 60 ms and ΔQTcF &gt; 60 ms; quantitative description of ΔΔQTcF for each dose group. ΔQTcF is the change in QTcF from baseline at each visit, and ΔΔQTcF is the change in ΔQTcF for the treatment group at each visit relative to the ΔQTcF of the placebo group at the same visit.</w:t>
      </w:r>
    </w:p>
    <w:p w14:paraId="7122F6C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ECG results will be listed by subject and visit, including unscheduled visits. Listings will be sorted by site number, group, subject screening number, randomization number, test item, and visit. In addition, post-treatment abnormal test results considered clinically significant will be listed separately.</w:t>
      </w:r>
    </w:p>
    <w:p w14:paraId="65630703"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226" w:name="_Toc216186588"/>
      <w:r w:rsidRPr="00F72DDB">
        <w:rPr>
          <w:rFonts w:ascii="Times New Roman" w:hAnsi="Times New Roman" w:cs="Times New Roman"/>
          <w:szCs w:val="24"/>
        </w:rPr>
        <w:t>Pregnancy test</w:t>
      </w:r>
      <w:bookmarkEnd w:id="226"/>
    </w:p>
    <w:p w14:paraId="2310F7B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of qualitative pregnancy test results (female subjects) will be performed by treatment group and dose group at each scheduled visit, with the number and percentage of subjects calculated.</w:t>
      </w:r>
    </w:p>
    <w:p w14:paraId="5CFB604C"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pregnancy test results will be listed by subject and visit, including unscheduled visits. Listings will be sorted by site number, group, subject screening number, randomization number, test item, and visit.</w:t>
      </w:r>
    </w:p>
    <w:p w14:paraId="32AA2E62"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227" w:name="_Toc216186589"/>
      <w:r w:rsidRPr="00F72DDB">
        <w:rPr>
          <w:rFonts w:ascii="Times New Roman" w:hAnsi="Times New Roman" w:cs="Times New Roman"/>
          <w:szCs w:val="24"/>
        </w:rPr>
        <w:t>Patient Health Questionnaire (PHQ)-9</w:t>
      </w:r>
      <w:bookmarkEnd w:id="227"/>
    </w:p>
    <w:p w14:paraId="66210CE9"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Descriptive statistics of PHQ-9 total scores will be performed by treatment group and dose group at each scheduled visit, including number of subjects (including missing), mean, standard deviation, median, quartiles (Q1 and Q3), minimum, and maximum, and changes from baseline will be summarized by visit.</w:t>
      </w:r>
    </w:p>
    <w:p w14:paraId="03A73997"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lastRenderedPageBreak/>
        <w:t>All PHQ-9 results will be listed by subject and visit. Listings will be sorted by site number, group, subject screening number, randomization number, test item, and visit.</w:t>
      </w:r>
    </w:p>
    <w:p w14:paraId="76F52DED"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228" w:name="_Toc216186590"/>
      <w:r w:rsidRPr="00F72DDB">
        <w:rPr>
          <w:rFonts w:ascii="Times New Roman" w:hAnsi="Times New Roman" w:cs="Times New Roman"/>
          <w:sz w:val="24"/>
          <w:szCs w:val="24"/>
        </w:rPr>
        <w:t>Efficacy Analysis</w:t>
      </w:r>
      <w:bookmarkEnd w:id="228"/>
    </w:p>
    <w:p w14:paraId="50AED72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All efficacy endpoints will be analyzed based on the FAS and PPS.</w:t>
      </w:r>
    </w:p>
    <w:p w14:paraId="08FDEB15"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229" w:name="_Toc216186591"/>
      <w:r w:rsidRPr="00F72DDB">
        <w:rPr>
          <w:rFonts w:ascii="Times New Roman" w:hAnsi="Times New Roman" w:cs="Times New Roman"/>
          <w:szCs w:val="24"/>
        </w:rPr>
        <w:t>Primary efficacy analysis</w:t>
      </w:r>
      <w:bookmarkEnd w:id="229"/>
    </w:p>
    <w:p w14:paraId="3C4DD2F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bookmarkStart w:id="230" w:name="_Toc107182512"/>
      <w:bookmarkStart w:id="231" w:name="_Toc107182511"/>
      <w:bookmarkStart w:id="232" w:name="_Toc107182495"/>
      <w:bookmarkStart w:id="233" w:name="_Toc107182338"/>
      <w:bookmarkStart w:id="234" w:name="_Toc107182498"/>
      <w:bookmarkStart w:id="235" w:name="_Toc107182340"/>
      <w:bookmarkStart w:id="236" w:name="_Toc107182339"/>
      <w:bookmarkStart w:id="237" w:name="_Toc107182496"/>
      <w:bookmarkStart w:id="238" w:name="_Toc107182341"/>
      <w:bookmarkStart w:id="239" w:name="_Toc107182354"/>
      <w:bookmarkStart w:id="240" w:name="_Toc107182342"/>
      <w:bookmarkStart w:id="241" w:name="_Toc107182348"/>
      <w:bookmarkStart w:id="242" w:name="_Toc107182355"/>
      <w:bookmarkStart w:id="243" w:name="_Toc107182505"/>
      <w:bookmarkStart w:id="244" w:name="_Toc107182499"/>
      <w:bookmarkStart w:id="245" w:name="_Toc107182497"/>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F72DDB">
        <w:rPr>
          <w:rFonts w:cs="Times New Roman"/>
          <w:sz w:val="24"/>
        </w:rPr>
        <w:t>The primary efficacy estimand is defined as follows:</w:t>
      </w:r>
    </w:p>
    <w:p w14:paraId="63F06607" w14:textId="77777777" w:rsidR="0005712D" w:rsidRPr="00F72DDB" w:rsidRDefault="00CF2A39" w:rsidP="004500B1">
      <w:pPr>
        <w:pStyle w:val="aff"/>
        <w:numPr>
          <w:ilvl w:val="0"/>
          <w:numId w:val="21"/>
        </w:numPr>
        <w:overflowPunct w:val="0"/>
        <w:autoSpaceDE w:val="0"/>
        <w:autoSpaceDN w:val="0"/>
        <w:adjustRightInd w:val="0"/>
        <w:snapToGrid w:val="0"/>
        <w:spacing w:beforeLines="50" w:before="120" w:afterLines="50" w:after="120" w:line="300" w:lineRule="auto"/>
        <w:ind w:left="482" w:hangingChars="200" w:hanging="482"/>
        <w:jc w:val="left"/>
        <w:rPr>
          <w:b/>
          <w:bCs/>
          <w:sz w:val="24"/>
          <w:szCs w:val="24"/>
        </w:rPr>
      </w:pPr>
      <w:r w:rsidRPr="00F72DDB">
        <w:rPr>
          <w:b/>
          <w:bCs/>
          <w:sz w:val="24"/>
          <w:szCs w:val="24"/>
        </w:rPr>
        <w:t>Treatment (intervention)</w:t>
      </w:r>
      <w:r w:rsidRPr="00F72DDB">
        <w:rPr>
          <w:sz w:val="24"/>
          <w:szCs w:val="24"/>
        </w:rPr>
        <w:t>: RAY1225 injection (all dose levels pooled) as the investigational drug group, and RAY1225 placebo as the control group.</w:t>
      </w:r>
    </w:p>
    <w:p w14:paraId="188707F1" w14:textId="77777777" w:rsidR="0005712D" w:rsidRPr="00F72DDB" w:rsidRDefault="00CF2A39" w:rsidP="004500B1">
      <w:pPr>
        <w:pStyle w:val="aff"/>
        <w:numPr>
          <w:ilvl w:val="0"/>
          <w:numId w:val="21"/>
        </w:numPr>
        <w:overflowPunct w:val="0"/>
        <w:autoSpaceDE w:val="0"/>
        <w:autoSpaceDN w:val="0"/>
        <w:adjustRightInd w:val="0"/>
        <w:snapToGrid w:val="0"/>
        <w:spacing w:beforeLines="50" w:before="120" w:afterLines="50" w:after="120" w:line="300" w:lineRule="auto"/>
        <w:ind w:left="482" w:hangingChars="200" w:hanging="482"/>
        <w:jc w:val="left"/>
        <w:rPr>
          <w:b/>
          <w:bCs/>
          <w:sz w:val="24"/>
          <w:szCs w:val="24"/>
        </w:rPr>
      </w:pPr>
      <w:r w:rsidRPr="00F72DDB">
        <w:rPr>
          <w:b/>
          <w:bCs/>
          <w:sz w:val="24"/>
          <w:szCs w:val="24"/>
        </w:rPr>
        <w:t>Population</w:t>
      </w:r>
      <w:r w:rsidRPr="00F72DDB">
        <w:rPr>
          <w:bCs/>
          <w:sz w:val="24"/>
          <w:szCs w:val="24"/>
        </w:rPr>
        <w:t>: Chinese adult subjects with type 2 diabetes mellitus (T2DM).</w:t>
      </w:r>
    </w:p>
    <w:p w14:paraId="0F486386" w14:textId="77777777" w:rsidR="0005712D" w:rsidRPr="00F72DDB" w:rsidRDefault="00CF2A39" w:rsidP="004500B1">
      <w:pPr>
        <w:pStyle w:val="aff"/>
        <w:numPr>
          <w:ilvl w:val="0"/>
          <w:numId w:val="21"/>
        </w:numPr>
        <w:overflowPunct w:val="0"/>
        <w:autoSpaceDE w:val="0"/>
        <w:autoSpaceDN w:val="0"/>
        <w:adjustRightInd w:val="0"/>
        <w:snapToGrid w:val="0"/>
        <w:spacing w:beforeLines="50" w:before="120" w:afterLines="50" w:after="120" w:line="300" w:lineRule="auto"/>
        <w:ind w:left="482" w:hangingChars="200" w:hanging="482"/>
        <w:jc w:val="left"/>
        <w:rPr>
          <w:b/>
          <w:bCs/>
          <w:sz w:val="24"/>
          <w:szCs w:val="24"/>
        </w:rPr>
      </w:pPr>
      <w:r w:rsidRPr="00F72DDB">
        <w:rPr>
          <w:b/>
          <w:bCs/>
          <w:sz w:val="24"/>
          <w:szCs w:val="24"/>
        </w:rPr>
        <w:t>Variable (or endpoint)</w:t>
      </w:r>
      <w:r w:rsidRPr="00F72DDB">
        <w:rPr>
          <w:bCs/>
          <w:sz w:val="24"/>
          <w:szCs w:val="24"/>
        </w:rPr>
        <w:t>: change from baseline in HbA1c at Week 24 of treatment.</w:t>
      </w:r>
    </w:p>
    <w:p w14:paraId="671EBD48" w14:textId="77777777" w:rsidR="0005712D" w:rsidRPr="00F72DDB" w:rsidRDefault="00CF2A39" w:rsidP="004500B1">
      <w:pPr>
        <w:pStyle w:val="aff"/>
        <w:numPr>
          <w:ilvl w:val="0"/>
          <w:numId w:val="21"/>
        </w:numPr>
        <w:overflowPunct w:val="0"/>
        <w:autoSpaceDE w:val="0"/>
        <w:autoSpaceDN w:val="0"/>
        <w:adjustRightInd w:val="0"/>
        <w:snapToGrid w:val="0"/>
        <w:spacing w:beforeLines="50" w:before="120" w:afterLines="50" w:after="120" w:line="300" w:lineRule="auto"/>
        <w:ind w:left="482" w:hangingChars="200" w:hanging="482"/>
        <w:jc w:val="left"/>
        <w:rPr>
          <w:b/>
          <w:bCs/>
          <w:sz w:val="24"/>
          <w:szCs w:val="24"/>
        </w:rPr>
      </w:pPr>
      <w:r w:rsidRPr="00F72DDB">
        <w:rPr>
          <w:b/>
          <w:bCs/>
          <w:sz w:val="24"/>
          <w:szCs w:val="24"/>
        </w:rPr>
        <w:t>Intercurrent events and handling strategies:</w:t>
      </w:r>
    </w:p>
    <w:tbl>
      <w:tblPr>
        <w:tblStyle w:val="af9"/>
        <w:tblW w:w="5000" w:type="pct"/>
        <w:tblLook w:val="04A0" w:firstRow="1" w:lastRow="0" w:firstColumn="1" w:lastColumn="0" w:noHBand="0" w:noVBand="1"/>
      </w:tblPr>
      <w:tblGrid>
        <w:gridCol w:w="1969"/>
        <w:gridCol w:w="4027"/>
        <w:gridCol w:w="3480"/>
      </w:tblGrid>
      <w:tr w:rsidR="0005712D" w:rsidRPr="00101741" w14:paraId="5E532715" w14:textId="77777777" w:rsidTr="004500B1">
        <w:tc>
          <w:tcPr>
            <w:tcW w:w="1039" w:type="pct"/>
            <w:tcMar>
              <w:top w:w="57" w:type="dxa"/>
              <w:left w:w="57" w:type="dxa"/>
              <w:bottom w:w="57" w:type="dxa"/>
              <w:right w:w="57" w:type="dxa"/>
            </w:tcMar>
          </w:tcPr>
          <w:p w14:paraId="21505670" w14:textId="77777777" w:rsidR="0005712D" w:rsidRPr="00101741" w:rsidRDefault="00CF2A39" w:rsidP="00306959">
            <w:pPr>
              <w:snapToGrid w:val="0"/>
              <w:spacing w:before="0" w:after="0" w:line="240" w:lineRule="auto"/>
              <w:jc w:val="left"/>
              <w:rPr>
                <w:rFonts w:cs="Times New Roman"/>
                <w:b/>
                <w:bCs/>
                <w:sz w:val="20"/>
                <w:szCs w:val="20"/>
              </w:rPr>
            </w:pPr>
            <w:r w:rsidRPr="00101741">
              <w:rPr>
                <w:rFonts w:cs="Times New Roman"/>
                <w:b/>
                <w:bCs/>
                <w:sz w:val="20"/>
                <w:szCs w:val="20"/>
              </w:rPr>
              <w:t>Intercurrent event</w:t>
            </w:r>
          </w:p>
        </w:tc>
        <w:tc>
          <w:tcPr>
            <w:tcW w:w="2125" w:type="pct"/>
            <w:tcMar>
              <w:top w:w="57" w:type="dxa"/>
              <w:left w:w="57" w:type="dxa"/>
              <w:bottom w:w="57" w:type="dxa"/>
              <w:right w:w="57" w:type="dxa"/>
            </w:tcMar>
          </w:tcPr>
          <w:p w14:paraId="2210D404" w14:textId="77777777" w:rsidR="0005712D" w:rsidRPr="00101741" w:rsidRDefault="00CF2A39" w:rsidP="00306959">
            <w:pPr>
              <w:snapToGrid w:val="0"/>
              <w:spacing w:before="0" w:after="0" w:line="240" w:lineRule="auto"/>
              <w:jc w:val="left"/>
              <w:rPr>
                <w:rFonts w:cs="Times New Roman"/>
                <w:b/>
                <w:bCs/>
                <w:sz w:val="20"/>
                <w:szCs w:val="20"/>
              </w:rPr>
            </w:pPr>
            <w:r w:rsidRPr="00101741">
              <w:rPr>
                <w:rFonts w:cs="Times New Roman"/>
                <w:b/>
                <w:bCs/>
                <w:sz w:val="20"/>
                <w:szCs w:val="20"/>
              </w:rPr>
              <w:t>Handling strategy</w:t>
            </w:r>
          </w:p>
        </w:tc>
        <w:tc>
          <w:tcPr>
            <w:tcW w:w="1836" w:type="pct"/>
            <w:tcMar>
              <w:top w:w="57" w:type="dxa"/>
              <w:left w:w="57" w:type="dxa"/>
              <w:bottom w:w="57" w:type="dxa"/>
              <w:right w:w="57" w:type="dxa"/>
            </w:tcMar>
          </w:tcPr>
          <w:p w14:paraId="7AA2624F" w14:textId="77777777" w:rsidR="0005712D" w:rsidRPr="00101741" w:rsidRDefault="00CF2A39" w:rsidP="00306959">
            <w:pPr>
              <w:snapToGrid w:val="0"/>
              <w:spacing w:before="0" w:after="0" w:line="240" w:lineRule="auto"/>
              <w:jc w:val="left"/>
              <w:rPr>
                <w:rFonts w:cs="Times New Roman"/>
                <w:b/>
                <w:bCs/>
                <w:sz w:val="20"/>
                <w:szCs w:val="20"/>
              </w:rPr>
            </w:pPr>
            <w:r w:rsidRPr="00101741">
              <w:rPr>
                <w:rFonts w:cs="Times New Roman"/>
                <w:b/>
                <w:bCs/>
                <w:sz w:val="20"/>
                <w:szCs w:val="20"/>
              </w:rPr>
              <w:t>Note</w:t>
            </w:r>
          </w:p>
        </w:tc>
      </w:tr>
      <w:tr w:rsidR="0005712D" w:rsidRPr="00101741" w14:paraId="0AA359DE" w14:textId="77777777" w:rsidTr="004500B1">
        <w:tc>
          <w:tcPr>
            <w:tcW w:w="1039" w:type="pct"/>
            <w:tcMar>
              <w:top w:w="57" w:type="dxa"/>
              <w:left w:w="57" w:type="dxa"/>
              <w:bottom w:w="57" w:type="dxa"/>
              <w:right w:w="57" w:type="dxa"/>
            </w:tcMar>
          </w:tcPr>
          <w:p w14:paraId="6C67C486"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Premature discontinuation of treatment</w:t>
            </w:r>
          </w:p>
        </w:tc>
        <w:tc>
          <w:tcPr>
            <w:tcW w:w="2125" w:type="pct"/>
            <w:tcMar>
              <w:top w:w="57" w:type="dxa"/>
              <w:left w:w="57" w:type="dxa"/>
              <w:bottom w:w="57" w:type="dxa"/>
              <w:right w:w="57" w:type="dxa"/>
            </w:tcMar>
          </w:tcPr>
          <w:p w14:paraId="63EB2F08"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Treatment policy strategy. Subsequent visit data will continue to be collected regardless of whether the subject permanently discontinues treatment.</w:t>
            </w:r>
          </w:p>
        </w:tc>
        <w:tc>
          <w:tcPr>
            <w:tcW w:w="1836" w:type="pct"/>
            <w:tcMar>
              <w:top w:w="57" w:type="dxa"/>
              <w:left w:w="57" w:type="dxa"/>
              <w:bottom w:w="57" w:type="dxa"/>
              <w:right w:w="57" w:type="dxa"/>
            </w:tcMar>
          </w:tcPr>
          <w:p w14:paraId="5078248A"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Reflects clinical practice</w:t>
            </w:r>
          </w:p>
        </w:tc>
      </w:tr>
      <w:tr w:rsidR="0005712D" w:rsidRPr="00101741" w14:paraId="2CA521FB" w14:textId="77777777" w:rsidTr="004500B1">
        <w:tc>
          <w:tcPr>
            <w:tcW w:w="1039" w:type="pct"/>
            <w:tcMar>
              <w:top w:w="57" w:type="dxa"/>
              <w:left w:w="57" w:type="dxa"/>
              <w:bottom w:w="57" w:type="dxa"/>
              <w:right w:w="57" w:type="dxa"/>
            </w:tcMar>
          </w:tcPr>
          <w:p w14:paraId="2FB0F5D8"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Salvage therapy</w:t>
            </w:r>
          </w:p>
        </w:tc>
        <w:tc>
          <w:tcPr>
            <w:tcW w:w="2125" w:type="pct"/>
            <w:tcMar>
              <w:top w:w="57" w:type="dxa"/>
              <w:left w:w="57" w:type="dxa"/>
              <w:bottom w:w="57" w:type="dxa"/>
              <w:right w:w="57" w:type="dxa"/>
            </w:tcMar>
          </w:tcPr>
          <w:p w14:paraId="32D41F4F"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Treatment policy strategy. Subsequent visit data will continue to be collected regardless of whether the subject receives salvage therapy.</w:t>
            </w:r>
          </w:p>
        </w:tc>
        <w:tc>
          <w:tcPr>
            <w:tcW w:w="1836" w:type="pct"/>
            <w:tcMar>
              <w:top w:w="57" w:type="dxa"/>
              <w:left w:w="57" w:type="dxa"/>
              <w:bottom w:w="57" w:type="dxa"/>
              <w:right w:w="57" w:type="dxa"/>
            </w:tcMar>
          </w:tcPr>
          <w:p w14:paraId="0EC1EA40"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Reflects clinical practice</w:t>
            </w:r>
          </w:p>
        </w:tc>
      </w:tr>
      <w:tr w:rsidR="0005712D" w:rsidRPr="00101741" w14:paraId="74F75EDB" w14:textId="77777777" w:rsidTr="004500B1">
        <w:tc>
          <w:tcPr>
            <w:tcW w:w="1039" w:type="pct"/>
            <w:tcMar>
              <w:top w:w="57" w:type="dxa"/>
              <w:left w:w="57" w:type="dxa"/>
              <w:bottom w:w="57" w:type="dxa"/>
              <w:right w:w="57" w:type="dxa"/>
            </w:tcMar>
          </w:tcPr>
          <w:p w14:paraId="0ADB9B7F"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Use of prohibited medications or therapies that may affect efficacy</w:t>
            </w:r>
          </w:p>
        </w:tc>
        <w:tc>
          <w:tcPr>
            <w:tcW w:w="2125" w:type="pct"/>
            <w:tcMar>
              <w:top w:w="57" w:type="dxa"/>
              <w:left w:w="57" w:type="dxa"/>
              <w:bottom w:w="57" w:type="dxa"/>
              <w:right w:w="57" w:type="dxa"/>
            </w:tcMar>
          </w:tcPr>
          <w:p w14:paraId="25E91F5F"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Treatment policy strategy. Subsequent visit data will continue to be collected regardless of whether the subject uses prohibited medications or therapies that may affect efficacy.</w:t>
            </w:r>
          </w:p>
        </w:tc>
        <w:tc>
          <w:tcPr>
            <w:tcW w:w="1836" w:type="pct"/>
            <w:tcMar>
              <w:top w:w="57" w:type="dxa"/>
              <w:left w:w="57" w:type="dxa"/>
              <w:bottom w:w="57" w:type="dxa"/>
              <w:right w:w="57" w:type="dxa"/>
            </w:tcMar>
          </w:tcPr>
          <w:p w14:paraId="7B6536E1"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bCs/>
                <w:sz w:val="20"/>
                <w:szCs w:val="20"/>
              </w:rPr>
              <w:t>Reflects clinical practice</w:t>
            </w:r>
          </w:p>
        </w:tc>
      </w:tr>
    </w:tbl>
    <w:p w14:paraId="18C45BC9" w14:textId="77777777" w:rsidR="0005712D" w:rsidRPr="00F72DDB" w:rsidRDefault="00CF2A39" w:rsidP="004500B1">
      <w:pPr>
        <w:pStyle w:val="aff"/>
        <w:numPr>
          <w:ilvl w:val="0"/>
          <w:numId w:val="21"/>
        </w:numPr>
        <w:overflowPunct w:val="0"/>
        <w:autoSpaceDE w:val="0"/>
        <w:autoSpaceDN w:val="0"/>
        <w:adjustRightInd w:val="0"/>
        <w:snapToGrid w:val="0"/>
        <w:spacing w:beforeLines="50" w:before="120" w:afterLines="50" w:after="120" w:line="300" w:lineRule="auto"/>
        <w:ind w:left="482" w:hangingChars="200" w:hanging="482"/>
        <w:jc w:val="left"/>
        <w:rPr>
          <w:b/>
          <w:bCs/>
          <w:sz w:val="24"/>
          <w:szCs w:val="24"/>
        </w:rPr>
      </w:pPr>
      <w:r w:rsidRPr="00F72DDB">
        <w:rPr>
          <w:b/>
          <w:bCs/>
          <w:sz w:val="24"/>
          <w:szCs w:val="24"/>
        </w:rPr>
        <w:t>Population-level summary</w:t>
      </w:r>
      <w:r w:rsidRPr="00F72DDB">
        <w:rPr>
          <w:sz w:val="24"/>
          <w:szCs w:val="24"/>
        </w:rPr>
        <w:t>: the least squares means (LSM) of the change from baseline in HbA1c at Week 24 in each treatment group, and the LSM difference between treatment groups with two-sided 95% CI, will be estimated.</w:t>
      </w:r>
    </w:p>
    <w:p w14:paraId="1867EF5C"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Superiority hypothesis for the primary efficacy endpoint:</w:t>
      </w:r>
    </w:p>
    <w:p w14:paraId="66566DCB"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Null hypothesis H</w:t>
      </w:r>
      <w:r w:rsidRPr="00F72DDB">
        <w:rPr>
          <w:rFonts w:cs="Times New Roman"/>
          <w:sz w:val="24"/>
          <w:vertAlign w:val="subscript"/>
        </w:rPr>
        <w:t>0</w:t>
      </w:r>
      <w:r w:rsidRPr="00F72DDB">
        <w:rPr>
          <w:rFonts w:cs="Times New Roman"/>
          <w:sz w:val="24"/>
        </w:rPr>
        <w:t>: μ</w:t>
      </w:r>
      <w:r w:rsidRPr="00F72DDB">
        <w:rPr>
          <w:rFonts w:cs="Times New Roman"/>
          <w:sz w:val="24"/>
          <w:vertAlign w:val="subscript"/>
        </w:rPr>
        <w:t>RAY1225</w:t>
      </w:r>
      <w:r w:rsidRPr="00F72DDB">
        <w:rPr>
          <w:rFonts w:cs="Times New Roman"/>
          <w:sz w:val="24"/>
        </w:rPr>
        <w:t xml:space="preserve"> – μ</w:t>
      </w:r>
      <w:r w:rsidRPr="00F72DDB">
        <w:rPr>
          <w:rFonts w:cs="Times New Roman"/>
          <w:sz w:val="24"/>
          <w:vertAlign w:val="subscript"/>
        </w:rPr>
        <w:t>placebo</w:t>
      </w:r>
      <w:r w:rsidRPr="00F72DDB">
        <w:rPr>
          <w:rFonts w:cs="Times New Roman"/>
          <w:sz w:val="24"/>
        </w:rPr>
        <w:t xml:space="preserve"> ≥ 0%</w:t>
      </w:r>
    </w:p>
    <w:p w14:paraId="1CBEE8A1"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Alternative hypothesis H</w:t>
      </w:r>
      <w:r w:rsidRPr="00F72DDB">
        <w:rPr>
          <w:rFonts w:cs="Times New Roman"/>
          <w:sz w:val="24"/>
          <w:vertAlign w:val="subscript"/>
        </w:rPr>
        <w:t>1</w:t>
      </w:r>
      <w:r w:rsidRPr="00F72DDB">
        <w:rPr>
          <w:rFonts w:cs="Times New Roman"/>
          <w:sz w:val="24"/>
        </w:rPr>
        <w:t>: μ</w:t>
      </w:r>
      <w:r w:rsidRPr="00F72DDB">
        <w:rPr>
          <w:rFonts w:cs="Times New Roman"/>
          <w:sz w:val="24"/>
          <w:vertAlign w:val="subscript"/>
        </w:rPr>
        <w:t>RAY1225</w:t>
      </w:r>
      <w:r w:rsidRPr="00F72DDB">
        <w:rPr>
          <w:rFonts w:cs="Times New Roman"/>
          <w:sz w:val="24"/>
        </w:rPr>
        <w:t xml:space="preserve"> – μ</w:t>
      </w:r>
      <w:r w:rsidRPr="00F72DDB">
        <w:rPr>
          <w:rFonts w:cs="Times New Roman"/>
          <w:sz w:val="24"/>
          <w:vertAlign w:val="subscript"/>
        </w:rPr>
        <w:t>placebo</w:t>
      </w:r>
      <w:r w:rsidRPr="00F72DDB">
        <w:rPr>
          <w:rFonts w:cs="Times New Roman"/>
          <w:sz w:val="24"/>
        </w:rPr>
        <w:t xml:space="preserve"> &lt; 0%</w:t>
      </w:r>
    </w:p>
    <w:p w14:paraId="3C43FF78"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where μ</w:t>
      </w:r>
      <w:r w:rsidRPr="00F72DDB">
        <w:rPr>
          <w:rFonts w:cs="Times New Roman"/>
          <w:sz w:val="24"/>
          <w:vertAlign w:val="subscript"/>
        </w:rPr>
        <w:t>RAY1225</w:t>
      </w:r>
      <w:r w:rsidRPr="00F72DDB">
        <w:rPr>
          <w:rFonts w:cs="Times New Roman"/>
          <w:sz w:val="24"/>
        </w:rPr>
        <w:t xml:space="preserve"> and μ</w:t>
      </w:r>
      <w:r w:rsidRPr="00F72DDB">
        <w:rPr>
          <w:rFonts w:cs="Times New Roman"/>
          <w:sz w:val="24"/>
          <w:vertAlign w:val="subscript"/>
        </w:rPr>
        <w:t>placebo</w:t>
      </w:r>
      <w:r w:rsidRPr="00F72DDB">
        <w:rPr>
          <w:rFonts w:cs="Times New Roman"/>
          <w:sz w:val="24"/>
        </w:rPr>
        <w:t xml:space="preserve"> denote the mean change from baseline in HbA1c at Week 24 for RAY1225 and placebo, respectively.</w:t>
      </w:r>
    </w:p>
    <w:p w14:paraId="1F29E7B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A likelihood-based MMRM will be used to analyze the primary efficacy endpoint, change from baseline in HbA1c at Week 24. The fixed effects in the model will include treatment group, visit, treatment-by-visit interaction, diabetes mellitus treatment status (treatment-naive or treatment-</w:t>
      </w:r>
      <w:r w:rsidRPr="00F72DDB">
        <w:rPr>
          <w:rFonts w:cs="Times New Roman"/>
          <w:sz w:val="24"/>
        </w:rPr>
        <w:lastRenderedPageBreak/>
        <w:t>experienced), and baseline HbA1c as a continuous covariate. An unstructured covariance matrix will be used as the within-subject covariance structure. If the model fails to converge, the following covariance structures will be tried in sequence: Heterogeneous Toeplitz/Heterogeneous First-order Autoregressive/Heterogeneous Compound Symmetric/Toeplitz/First-order Autoregressive/Compound Symmetric. This model will estimate the LSM difference (RAY1225 injection group – placebo group) in change from baseline at Week 24 and the corresponding two-sided 95% CI. All observed data will be used to perform descriptive statistics of HbA1c and change from baseline at each visit. Line charts of mean HbA1c over time and change from baseline in mean HbA1c over time will be plotted by group, and bar charts of changes from baseline in HbA1c (LS means) at Week 24 will be plotted by group.</w:t>
      </w:r>
    </w:p>
    <w:p w14:paraId="25AC57C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The key SAS code for the MMRM model is as follows:</w:t>
      </w:r>
    </w:p>
    <w:p w14:paraId="5FB0AC35" w14:textId="4609850B" w:rsidR="0005712D" w:rsidRPr="00F72DDB" w:rsidRDefault="00CF2A39" w:rsidP="004500B1">
      <w:pPr>
        <w:overflowPunct w:val="0"/>
        <w:autoSpaceDE w:val="0"/>
        <w:autoSpaceDN w:val="0"/>
        <w:adjustRightInd w:val="0"/>
        <w:snapToGrid w:val="0"/>
        <w:spacing w:beforeLines="50" w:before="120" w:afterLines="50" w:after="120" w:line="300" w:lineRule="auto"/>
        <w:jc w:val="left"/>
        <w:rPr>
          <w:rFonts w:cs="Times New Roman"/>
          <w:color w:val="000000"/>
          <w:sz w:val="24"/>
          <w:shd w:val="clear" w:color="auto" w:fill="CCE8CF"/>
        </w:rPr>
      </w:pPr>
      <w:r w:rsidRPr="00F72DDB">
        <w:rPr>
          <w:rFonts w:cs="Times New Roman"/>
          <w:color w:val="000000"/>
          <w:sz w:val="24"/>
          <w:shd w:val="clear" w:color="auto" w:fill="CCE8CF"/>
        </w:rPr>
        <w:t xml:space="preserve">   </w:t>
      </w:r>
      <w:r w:rsidRPr="00F72DDB">
        <w:rPr>
          <w:rFonts w:cs="Times New Roman"/>
          <w:b/>
          <w:bCs/>
          <w:color w:val="000080"/>
          <w:sz w:val="24"/>
          <w:shd w:val="clear" w:color="auto" w:fill="CCE8CF"/>
        </w:rPr>
        <w:t>proc</w:t>
      </w:r>
      <w:r w:rsidRPr="00F72DDB">
        <w:rPr>
          <w:rFonts w:cs="Times New Roman"/>
          <w:color w:val="000000"/>
          <w:sz w:val="24"/>
          <w:shd w:val="clear" w:color="auto" w:fill="CCE8CF"/>
        </w:rPr>
        <w:t xml:space="preserve"> </w:t>
      </w:r>
      <w:r w:rsidRPr="00F72DDB">
        <w:rPr>
          <w:rFonts w:cs="Times New Roman"/>
          <w:b/>
          <w:bCs/>
          <w:color w:val="000080"/>
          <w:sz w:val="24"/>
          <w:shd w:val="clear" w:color="auto" w:fill="CCE8CF"/>
        </w:rPr>
        <w:t>mixed</w:t>
      </w:r>
      <w:r w:rsidRPr="00F72DDB">
        <w:rPr>
          <w:rFonts w:cs="Times New Roman"/>
          <w:color w:val="000000"/>
          <w:sz w:val="24"/>
          <w:shd w:val="clear" w:color="auto" w:fill="CCE8CF"/>
        </w:rPr>
        <w:t xml:space="preserve"> </w:t>
      </w:r>
      <w:r w:rsidRPr="00F72DDB">
        <w:rPr>
          <w:rFonts w:cs="Times New Roman"/>
          <w:color w:val="0000FF"/>
          <w:sz w:val="24"/>
          <w:shd w:val="clear" w:color="auto" w:fill="CCE8CF"/>
        </w:rPr>
        <w:t>data</w:t>
      </w:r>
      <w:r w:rsidRPr="00F72DDB">
        <w:rPr>
          <w:rFonts w:cs="Times New Roman"/>
          <w:color w:val="000000"/>
          <w:sz w:val="24"/>
          <w:shd w:val="clear" w:color="auto" w:fill="CCE8CF"/>
        </w:rPr>
        <w:t>=analysisdata;</w:t>
      </w:r>
    </w:p>
    <w:p w14:paraId="17CB6691" w14:textId="77777777" w:rsidR="0005712D" w:rsidRPr="00F72DDB" w:rsidRDefault="00CF2A39" w:rsidP="004500B1">
      <w:pPr>
        <w:overflowPunct w:val="0"/>
        <w:autoSpaceDE w:val="0"/>
        <w:autoSpaceDN w:val="0"/>
        <w:adjustRightInd w:val="0"/>
        <w:snapToGrid w:val="0"/>
        <w:spacing w:beforeLines="50" w:before="120" w:afterLines="50" w:after="120" w:line="300" w:lineRule="auto"/>
        <w:jc w:val="left"/>
        <w:rPr>
          <w:rFonts w:cs="Times New Roman"/>
          <w:color w:val="000000"/>
          <w:sz w:val="24"/>
          <w:shd w:val="clear" w:color="auto" w:fill="CCE8CF"/>
        </w:rPr>
      </w:pPr>
      <w:r w:rsidRPr="00F72DDB">
        <w:rPr>
          <w:rFonts w:cs="Times New Roman"/>
          <w:color w:val="000000"/>
          <w:sz w:val="24"/>
          <w:shd w:val="clear" w:color="auto" w:fill="CCE8CF"/>
        </w:rPr>
        <w:t xml:space="preserve">      </w:t>
      </w:r>
      <w:r w:rsidRPr="00F72DDB">
        <w:rPr>
          <w:rFonts w:cs="Times New Roman"/>
          <w:color w:val="0000FF"/>
          <w:sz w:val="24"/>
          <w:shd w:val="clear" w:color="auto" w:fill="CCE8CF"/>
        </w:rPr>
        <w:t>class</w:t>
      </w:r>
      <w:r w:rsidRPr="00F72DDB">
        <w:rPr>
          <w:rFonts w:cs="Times New Roman"/>
          <w:color w:val="000000"/>
          <w:sz w:val="24"/>
          <w:shd w:val="clear" w:color="auto" w:fill="CCE8CF"/>
        </w:rPr>
        <w:t xml:space="preserve"> usubjid RFactor1 treatment visit;</w:t>
      </w:r>
    </w:p>
    <w:p w14:paraId="712A7F12" w14:textId="14166F7C" w:rsidR="0005712D" w:rsidRPr="00F72DDB" w:rsidRDefault="00CF2A39" w:rsidP="004500B1">
      <w:pPr>
        <w:overflowPunct w:val="0"/>
        <w:autoSpaceDE w:val="0"/>
        <w:autoSpaceDN w:val="0"/>
        <w:adjustRightInd w:val="0"/>
        <w:snapToGrid w:val="0"/>
        <w:spacing w:beforeLines="50" w:before="120" w:afterLines="50" w:after="120" w:line="300" w:lineRule="auto"/>
        <w:jc w:val="left"/>
        <w:rPr>
          <w:rFonts w:cs="Times New Roman"/>
          <w:color w:val="000000"/>
          <w:sz w:val="24"/>
          <w:shd w:val="clear" w:color="auto" w:fill="CCE8CF"/>
        </w:rPr>
      </w:pPr>
      <w:r w:rsidRPr="00F72DDB">
        <w:rPr>
          <w:rFonts w:cs="Times New Roman"/>
          <w:color w:val="000000"/>
          <w:sz w:val="24"/>
          <w:shd w:val="clear" w:color="auto" w:fill="CCE8CF"/>
        </w:rPr>
        <w:t xml:space="preserve">      </w:t>
      </w:r>
      <w:r w:rsidRPr="00F72DDB">
        <w:rPr>
          <w:rFonts w:cs="Times New Roman"/>
          <w:color w:val="0000FF"/>
          <w:sz w:val="24"/>
          <w:shd w:val="clear" w:color="auto" w:fill="CCE8CF"/>
        </w:rPr>
        <w:t>model</w:t>
      </w:r>
      <w:r w:rsidRPr="00F72DDB">
        <w:rPr>
          <w:rFonts w:cs="Times New Roman"/>
          <w:color w:val="000000"/>
          <w:sz w:val="24"/>
          <w:shd w:val="clear" w:color="auto" w:fill="CCE8CF"/>
        </w:rPr>
        <w:t xml:space="preserve"> change = baseline RFactor1 treatment visit treatment*visit/</w:t>
      </w:r>
      <w:r w:rsidRPr="00F72DDB">
        <w:rPr>
          <w:rFonts w:cs="Times New Roman"/>
          <w:color w:val="0000FF"/>
          <w:sz w:val="24"/>
          <w:shd w:val="clear" w:color="auto" w:fill="CCE8CF"/>
        </w:rPr>
        <w:t>ddfm</w:t>
      </w:r>
      <w:r w:rsidRPr="00F72DDB">
        <w:rPr>
          <w:rFonts w:cs="Times New Roman"/>
          <w:color w:val="000000"/>
          <w:sz w:val="24"/>
          <w:shd w:val="clear" w:color="auto" w:fill="CCE8CF"/>
        </w:rPr>
        <w:t>=KR;</w:t>
      </w:r>
    </w:p>
    <w:p w14:paraId="0659D0CD" w14:textId="60C6C097" w:rsidR="0005712D" w:rsidRPr="00F72DDB" w:rsidRDefault="00CF2A39" w:rsidP="004500B1">
      <w:pPr>
        <w:overflowPunct w:val="0"/>
        <w:autoSpaceDE w:val="0"/>
        <w:autoSpaceDN w:val="0"/>
        <w:adjustRightInd w:val="0"/>
        <w:snapToGrid w:val="0"/>
        <w:spacing w:beforeLines="50" w:before="120" w:afterLines="50" w:after="120" w:line="300" w:lineRule="auto"/>
        <w:jc w:val="left"/>
        <w:rPr>
          <w:rFonts w:cs="Times New Roman"/>
          <w:color w:val="000000"/>
          <w:sz w:val="24"/>
          <w:shd w:val="clear" w:color="auto" w:fill="CCE8CF"/>
        </w:rPr>
      </w:pPr>
      <w:r w:rsidRPr="00F72DDB">
        <w:rPr>
          <w:rFonts w:cs="Times New Roman"/>
          <w:color w:val="0000FF"/>
          <w:sz w:val="24"/>
          <w:shd w:val="clear" w:color="auto" w:fill="CCE8CF"/>
        </w:rPr>
        <w:t xml:space="preserve">      repeated </w:t>
      </w:r>
      <w:r w:rsidRPr="00F72DDB">
        <w:rPr>
          <w:rFonts w:cs="Times New Roman"/>
          <w:color w:val="000000"/>
          <w:sz w:val="24"/>
          <w:shd w:val="clear" w:color="auto" w:fill="CCE8CF"/>
        </w:rPr>
        <w:t>visit/ subject= usubjid type=un;</w:t>
      </w:r>
    </w:p>
    <w:p w14:paraId="3EABF44E" w14:textId="45D63273" w:rsidR="0005712D" w:rsidRPr="00F72DDB" w:rsidRDefault="00CF2A39" w:rsidP="004500B1">
      <w:pPr>
        <w:overflowPunct w:val="0"/>
        <w:autoSpaceDE w:val="0"/>
        <w:autoSpaceDN w:val="0"/>
        <w:adjustRightInd w:val="0"/>
        <w:snapToGrid w:val="0"/>
        <w:spacing w:beforeLines="50" w:before="120" w:afterLines="50" w:after="120" w:line="300" w:lineRule="auto"/>
        <w:jc w:val="left"/>
        <w:rPr>
          <w:rFonts w:cs="Times New Roman"/>
          <w:color w:val="000000"/>
          <w:sz w:val="24"/>
          <w:shd w:val="clear" w:color="auto" w:fill="CCE8CF"/>
        </w:rPr>
      </w:pPr>
      <w:r w:rsidRPr="00F72DDB">
        <w:rPr>
          <w:rFonts w:cs="Times New Roman"/>
          <w:color w:val="000000"/>
          <w:sz w:val="24"/>
          <w:shd w:val="clear" w:color="auto" w:fill="CCE8CF"/>
        </w:rPr>
        <w:t xml:space="preserve">      </w:t>
      </w:r>
      <w:r w:rsidRPr="00F72DDB">
        <w:rPr>
          <w:rFonts w:cs="Times New Roman"/>
          <w:color w:val="0000FF"/>
          <w:sz w:val="24"/>
          <w:shd w:val="clear" w:color="auto" w:fill="CCE8CF"/>
        </w:rPr>
        <w:t>lsmeans</w:t>
      </w:r>
      <w:r w:rsidRPr="00F72DDB">
        <w:rPr>
          <w:rFonts w:cs="Times New Roman"/>
          <w:color w:val="000000"/>
          <w:sz w:val="24"/>
          <w:shd w:val="clear" w:color="auto" w:fill="CCE8CF"/>
        </w:rPr>
        <w:t xml:space="preserve"> treatment*visit /</w:t>
      </w:r>
      <w:r w:rsidRPr="00F72DDB">
        <w:rPr>
          <w:rFonts w:cs="Times New Roman"/>
          <w:color w:val="0000FF"/>
          <w:sz w:val="24"/>
          <w:shd w:val="clear" w:color="auto" w:fill="CCE8CF"/>
        </w:rPr>
        <w:t>diff cl</w:t>
      </w:r>
      <w:r w:rsidRPr="00F72DDB">
        <w:rPr>
          <w:rFonts w:cs="Times New Roman"/>
          <w:color w:val="000000"/>
          <w:sz w:val="24"/>
          <w:shd w:val="clear" w:color="auto" w:fill="CCE8CF"/>
        </w:rPr>
        <w:t xml:space="preserve">; </w:t>
      </w:r>
    </w:p>
    <w:p w14:paraId="65C83823" w14:textId="77777777" w:rsidR="0005712D" w:rsidRPr="00F72DDB" w:rsidRDefault="00CF2A39" w:rsidP="004500B1">
      <w:pPr>
        <w:overflowPunct w:val="0"/>
        <w:autoSpaceDE w:val="0"/>
        <w:autoSpaceDN w:val="0"/>
        <w:adjustRightInd w:val="0"/>
        <w:snapToGrid w:val="0"/>
        <w:spacing w:beforeLines="50" w:before="120" w:afterLines="50" w:after="120" w:line="300" w:lineRule="auto"/>
        <w:jc w:val="left"/>
        <w:rPr>
          <w:rFonts w:cs="Times New Roman"/>
          <w:color w:val="000000"/>
          <w:sz w:val="24"/>
          <w:shd w:val="clear" w:color="auto" w:fill="CCE8CF"/>
        </w:rPr>
      </w:pPr>
      <w:r w:rsidRPr="00F72DDB">
        <w:rPr>
          <w:rFonts w:cs="Times New Roman"/>
          <w:color w:val="000000"/>
          <w:sz w:val="24"/>
          <w:shd w:val="clear" w:color="auto" w:fill="CCE8CF"/>
        </w:rPr>
        <w:t xml:space="preserve">   </w:t>
      </w:r>
      <w:r w:rsidRPr="00F72DDB">
        <w:rPr>
          <w:rFonts w:cs="Times New Roman"/>
          <w:b/>
          <w:bCs/>
          <w:color w:val="000080"/>
          <w:sz w:val="24"/>
          <w:shd w:val="clear" w:color="auto" w:fill="CCE8CF"/>
        </w:rPr>
        <w:t>run</w:t>
      </w:r>
      <w:r w:rsidRPr="00F72DDB">
        <w:rPr>
          <w:rFonts w:cs="Times New Roman"/>
          <w:color w:val="000000"/>
          <w:sz w:val="24"/>
          <w:shd w:val="clear" w:color="auto" w:fill="CCE8CF"/>
        </w:rPr>
        <w:t>;</w:t>
      </w:r>
    </w:p>
    <w:p w14:paraId="4D1E94D2"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sz w:val="24"/>
        </w:rPr>
      </w:pPr>
      <w:r w:rsidRPr="00F72DDB">
        <w:rPr>
          <w:rFonts w:cs="Times New Roman"/>
          <w:sz w:val="24"/>
        </w:rPr>
        <w:t>Note: "change" refers to the change from baseline in HbA1c at Week 24 of treatment; "baseline" refers to the baseline value of HbA1c; "RFactor1" refers to the randomization stratification factor "diabetes mellitus treatment status"; "treatment" refers to treatment group; "visit" refers to visit conducted.</w:t>
      </w:r>
    </w:p>
    <w:p w14:paraId="3CB5EF63" w14:textId="77777777" w:rsidR="0005712D" w:rsidRPr="00F72DDB" w:rsidRDefault="00CF2A39" w:rsidP="004F1FD9">
      <w:pPr>
        <w:overflowPunct w:val="0"/>
        <w:autoSpaceDE w:val="0"/>
        <w:autoSpaceDN w:val="0"/>
        <w:adjustRightInd w:val="0"/>
        <w:snapToGrid w:val="0"/>
        <w:spacing w:beforeLines="50" w:before="120" w:afterLines="50" w:after="120" w:line="300" w:lineRule="auto"/>
        <w:jc w:val="left"/>
        <w:rPr>
          <w:rFonts w:cs="Times New Roman"/>
          <w:b/>
          <w:bCs/>
          <w:sz w:val="24"/>
          <w:u w:val="single"/>
        </w:rPr>
      </w:pPr>
      <w:r w:rsidRPr="00F72DDB">
        <w:rPr>
          <w:rFonts w:cs="Times New Roman"/>
          <w:b/>
          <w:bCs/>
          <w:sz w:val="24"/>
          <w:u w:val="single"/>
        </w:rPr>
        <w:t>Sensitivity analysis</w:t>
      </w:r>
    </w:p>
    <w:p w14:paraId="52D73664" w14:textId="77777777" w:rsidR="0005712D" w:rsidRPr="00F72DDB" w:rsidRDefault="00CF2A39" w:rsidP="004500B1">
      <w:pPr>
        <w:pStyle w:val="aff"/>
        <w:numPr>
          <w:ilvl w:val="0"/>
          <w:numId w:val="23"/>
        </w:numPr>
        <w:overflowPunct w:val="0"/>
        <w:autoSpaceDE w:val="0"/>
        <w:autoSpaceDN w:val="0"/>
        <w:adjustRightInd w:val="0"/>
        <w:snapToGrid w:val="0"/>
        <w:spacing w:beforeLines="50" w:before="120" w:afterLines="50" w:after="120" w:line="300" w:lineRule="auto"/>
        <w:ind w:left="410" w:hangingChars="170" w:hanging="410"/>
        <w:jc w:val="left"/>
        <w:rPr>
          <w:sz w:val="24"/>
          <w:szCs w:val="24"/>
        </w:rPr>
      </w:pPr>
      <w:r w:rsidRPr="00F72DDB">
        <w:rPr>
          <w:b/>
          <w:sz w:val="24"/>
          <w:szCs w:val="24"/>
        </w:rPr>
        <w:t>LOCF analysis</w:t>
      </w:r>
      <w:r w:rsidRPr="00F72DDB">
        <w:rPr>
          <w:sz w:val="24"/>
          <w:szCs w:val="24"/>
        </w:rPr>
        <w:t xml:space="preserve">: For the primary estimand, based on the FAS, the last observation carried forward (LOCF) method will be used to impute missing data, and ANCOVA will be used for statistical analysis. The change from baseline in HbA1c after treatment will be used as the dependent variable; treatment group and diabetes mellitus treatment status (treatment-naive or treatment-experienced) will be included as fixed effects, and baseline HbA1c will be included as a covariate, </w:t>
      </w:r>
      <w:proofErr w:type="gramStart"/>
      <w:r w:rsidRPr="00F72DDB">
        <w:rPr>
          <w:sz w:val="24"/>
          <w:szCs w:val="24"/>
        </w:rPr>
        <w:t>in order to</w:t>
      </w:r>
      <w:proofErr w:type="gramEnd"/>
      <w:r w:rsidRPr="00F72DDB">
        <w:rPr>
          <w:sz w:val="24"/>
          <w:szCs w:val="24"/>
        </w:rPr>
        <w:t xml:space="preserve"> assess the robustness of the primary analysis results for the primary estimand.</w:t>
      </w:r>
    </w:p>
    <w:p w14:paraId="73314346" w14:textId="77777777" w:rsidR="0005712D" w:rsidRPr="00F72DDB" w:rsidRDefault="00CF2A39" w:rsidP="004500B1">
      <w:pPr>
        <w:pStyle w:val="aff"/>
        <w:numPr>
          <w:ilvl w:val="0"/>
          <w:numId w:val="23"/>
        </w:numPr>
        <w:overflowPunct w:val="0"/>
        <w:autoSpaceDE w:val="0"/>
        <w:autoSpaceDN w:val="0"/>
        <w:adjustRightInd w:val="0"/>
        <w:snapToGrid w:val="0"/>
        <w:spacing w:beforeLines="50" w:before="120" w:afterLines="50" w:after="120" w:line="300" w:lineRule="auto"/>
        <w:ind w:left="410" w:hangingChars="170" w:hanging="410"/>
        <w:jc w:val="left"/>
        <w:rPr>
          <w:b/>
          <w:sz w:val="24"/>
          <w:szCs w:val="24"/>
        </w:rPr>
      </w:pPr>
      <w:r w:rsidRPr="00F72DDB">
        <w:rPr>
          <w:b/>
          <w:sz w:val="24"/>
          <w:szCs w:val="24"/>
        </w:rPr>
        <w:t>MI + ANCOVA analysis</w:t>
      </w:r>
      <w:r w:rsidRPr="00F72DDB">
        <w:rPr>
          <w:sz w:val="24"/>
          <w:szCs w:val="24"/>
        </w:rPr>
        <w:t xml:space="preserve">: For the primary estimand, based on the FAS, missing data will be handled using multiple imputation (MI), and for each imputed complete dataset, the primary </w:t>
      </w:r>
      <w:r w:rsidRPr="004500B1">
        <w:rPr>
          <w:spacing w:val="-2"/>
          <w:sz w:val="24"/>
          <w:szCs w:val="24"/>
        </w:rPr>
        <w:t>efficacy endpoint will be analyzed using the same ANCOVA model as in sensitivity analysis 1.</w:t>
      </w:r>
    </w:p>
    <w:p w14:paraId="2F4F34C2" w14:textId="77777777" w:rsidR="0005712D" w:rsidRPr="00F72DDB" w:rsidRDefault="00CF2A39" w:rsidP="004500B1">
      <w:pPr>
        <w:overflowPunct w:val="0"/>
        <w:autoSpaceDE w:val="0"/>
        <w:autoSpaceDN w:val="0"/>
        <w:adjustRightInd w:val="0"/>
        <w:snapToGrid w:val="0"/>
        <w:spacing w:beforeLines="50" w:before="120" w:afterLines="50" w:after="120" w:line="300" w:lineRule="auto"/>
        <w:ind w:leftChars="195" w:left="409"/>
        <w:jc w:val="left"/>
        <w:rPr>
          <w:rFonts w:cs="Times New Roman"/>
          <w:sz w:val="24"/>
        </w:rPr>
      </w:pPr>
      <w:r w:rsidRPr="00F72DDB">
        <w:rPr>
          <w:rFonts w:cs="Times New Roman"/>
          <w:sz w:val="24"/>
        </w:rPr>
        <w:lastRenderedPageBreak/>
        <w:t>The specific steps for multiple imputation under the MAR assumption are as follows:</w:t>
      </w:r>
    </w:p>
    <w:p w14:paraId="0CA7C588" w14:textId="47BD4E1C" w:rsidR="0005712D" w:rsidRPr="00F72DDB" w:rsidRDefault="00CF2A39" w:rsidP="004500B1">
      <w:pPr>
        <w:overflowPunct w:val="0"/>
        <w:autoSpaceDE w:val="0"/>
        <w:autoSpaceDN w:val="0"/>
        <w:adjustRightInd w:val="0"/>
        <w:snapToGrid w:val="0"/>
        <w:spacing w:beforeLines="50" w:before="120" w:afterLines="50" w:after="120" w:line="300" w:lineRule="auto"/>
        <w:ind w:leftChars="195" w:left="409"/>
        <w:jc w:val="left"/>
        <w:rPr>
          <w:rFonts w:cs="Times New Roman"/>
          <w:sz w:val="24"/>
        </w:rPr>
      </w:pPr>
      <w:r w:rsidRPr="00F72DDB">
        <w:rPr>
          <w:rFonts w:cs="Times New Roman"/>
          <w:sz w:val="24"/>
        </w:rPr>
        <w:t xml:space="preserve">For non-monotone missing data, assume that the data follow a multivariate normal distribution and perform imputation using the Markov </w:t>
      </w:r>
      <w:r w:rsidRPr="00F72DDB">
        <w:rPr>
          <w:rFonts w:cs="Times New Roman" w:hint="eastAsia"/>
          <w:sz w:val="24"/>
        </w:rPr>
        <w:t>C</w:t>
      </w:r>
      <w:r w:rsidRPr="00F72DDB">
        <w:rPr>
          <w:rFonts w:cs="Times New Roman"/>
          <w:sz w:val="24"/>
        </w:rPr>
        <w:t>hain Monte Carlo method. The SAS PROC MI procedure with MCMC CHAIN = MULTIPLE IMPUTE = MONOTONE will be used and repeated 50 times for correction.</w:t>
      </w:r>
    </w:p>
    <w:p w14:paraId="1B5197B9" w14:textId="77777777" w:rsidR="0005712D" w:rsidRPr="00F72DDB" w:rsidRDefault="00CF2A39" w:rsidP="004500B1">
      <w:pPr>
        <w:overflowPunct w:val="0"/>
        <w:autoSpaceDE w:val="0"/>
        <w:autoSpaceDN w:val="0"/>
        <w:adjustRightInd w:val="0"/>
        <w:snapToGrid w:val="0"/>
        <w:spacing w:beforeLines="50" w:before="120" w:afterLines="50" w:after="120" w:line="300" w:lineRule="auto"/>
        <w:ind w:leftChars="195" w:left="409"/>
        <w:jc w:val="left"/>
        <w:rPr>
          <w:rFonts w:cs="Times New Roman"/>
          <w:sz w:val="24"/>
        </w:rPr>
      </w:pPr>
      <w:r w:rsidRPr="00F72DDB">
        <w:rPr>
          <w:rFonts w:cs="Times New Roman"/>
          <w:sz w:val="24"/>
        </w:rPr>
        <w:t>After the above correction, the data will be converted to monotone missing data, and multiple imputation will be performed to generate complete datasets. Using PROC MI with the MONOTONE REG statement, the covariates for multiple imputation will include diabetes treatment status, baseline value, and post-baseline measurements at each planned visit, and missing values at each post-baseline visit will be imputed.</w:t>
      </w:r>
    </w:p>
    <w:p w14:paraId="24365938" w14:textId="77777777" w:rsidR="0005712D" w:rsidRPr="00F72DDB" w:rsidRDefault="00CF2A39" w:rsidP="004500B1">
      <w:pPr>
        <w:overflowPunct w:val="0"/>
        <w:autoSpaceDE w:val="0"/>
        <w:autoSpaceDN w:val="0"/>
        <w:adjustRightInd w:val="0"/>
        <w:snapToGrid w:val="0"/>
        <w:spacing w:beforeLines="50" w:before="120" w:afterLines="50" w:after="120" w:line="300" w:lineRule="auto"/>
        <w:ind w:leftChars="195" w:left="409"/>
        <w:jc w:val="left"/>
        <w:rPr>
          <w:rFonts w:cs="Times New Roman"/>
          <w:sz w:val="24"/>
        </w:rPr>
      </w:pPr>
      <w:r w:rsidRPr="00F72DDB">
        <w:rPr>
          <w:rFonts w:cs="Times New Roman"/>
          <w:sz w:val="24"/>
        </w:rPr>
        <w:t>The complete datasets obtained after correction and multiple imputation will be used for statistical analysis, yielding 50 sets of statistics.</w:t>
      </w:r>
    </w:p>
    <w:p w14:paraId="540977FC" w14:textId="77777777" w:rsidR="0005712D" w:rsidRPr="00F72DDB" w:rsidRDefault="00CF2A39" w:rsidP="004500B1">
      <w:pPr>
        <w:overflowPunct w:val="0"/>
        <w:autoSpaceDE w:val="0"/>
        <w:autoSpaceDN w:val="0"/>
        <w:adjustRightInd w:val="0"/>
        <w:snapToGrid w:val="0"/>
        <w:spacing w:beforeLines="50" w:before="120" w:afterLines="50" w:after="120" w:line="300" w:lineRule="auto"/>
        <w:ind w:leftChars="195" w:left="409"/>
        <w:jc w:val="left"/>
        <w:rPr>
          <w:rFonts w:cs="Times New Roman"/>
          <w:sz w:val="24"/>
        </w:rPr>
      </w:pPr>
      <w:r w:rsidRPr="00F72DDB">
        <w:rPr>
          <w:rFonts w:cs="Times New Roman"/>
          <w:sz w:val="24"/>
        </w:rPr>
        <w:t>The 50 sets of statistics will be combined using PROC MIANALYZE to obtain combined statistics. These combined statistics will be used as the final statistics for analysis.</w:t>
      </w:r>
    </w:p>
    <w:p w14:paraId="254E8182" w14:textId="77777777" w:rsidR="0005712D" w:rsidRPr="00F72DDB" w:rsidRDefault="00CF2A39" w:rsidP="004500B1">
      <w:pPr>
        <w:pStyle w:val="aff"/>
        <w:numPr>
          <w:ilvl w:val="0"/>
          <w:numId w:val="23"/>
        </w:numPr>
        <w:overflowPunct w:val="0"/>
        <w:autoSpaceDE w:val="0"/>
        <w:autoSpaceDN w:val="0"/>
        <w:adjustRightInd w:val="0"/>
        <w:snapToGrid w:val="0"/>
        <w:spacing w:beforeLines="50" w:before="120" w:afterLines="50" w:after="120" w:line="300" w:lineRule="auto"/>
        <w:ind w:left="410" w:hangingChars="170" w:hanging="410"/>
        <w:jc w:val="left"/>
        <w:rPr>
          <w:b/>
          <w:sz w:val="24"/>
          <w:szCs w:val="24"/>
        </w:rPr>
      </w:pPr>
      <w:r w:rsidRPr="00F72DDB">
        <w:rPr>
          <w:b/>
          <w:sz w:val="24"/>
          <w:szCs w:val="24"/>
        </w:rPr>
        <w:t>J2R (Jump to reference):</w:t>
      </w:r>
      <w:r w:rsidRPr="00F72DDB">
        <w:rPr>
          <w:sz w:val="24"/>
          <w:szCs w:val="24"/>
        </w:rPr>
        <w:t xml:space="preserve"> It is assumed that, the mean efficacy trajectory of subjects in the investigational drug group is the same as that of the placebo group immediately after the subjects withdraw from the study. Based on the FAS, the J2R method will be used to perform multiple imputation for missing data, and for each imputed complete dataset, the primary efficacy endpoint will be analyzed using the same ANCOVA model as in sensitivity analysis 1, and the analysis results will be combined according to Rubin's rule.</w:t>
      </w:r>
    </w:p>
    <w:p w14:paraId="4FCB1046" w14:textId="77777777" w:rsidR="0005712D" w:rsidRPr="00F72DDB" w:rsidRDefault="00CF2A39" w:rsidP="004500B1">
      <w:pPr>
        <w:pStyle w:val="aff"/>
        <w:numPr>
          <w:ilvl w:val="0"/>
          <w:numId w:val="23"/>
        </w:numPr>
        <w:overflowPunct w:val="0"/>
        <w:autoSpaceDE w:val="0"/>
        <w:autoSpaceDN w:val="0"/>
        <w:adjustRightInd w:val="0"/>
        <w:snapToGrid w:val="0"/>
        <w:spacing w:beforeLines="50" w:before="120" w:afterLines="50" w:after="120" w:line="300" w:lineRule="auto"/>
        <w:ind w:left="410" w:hangingChars="170" w:hanging="410"/>
        <w:jc w:val="left"/>
        <w:rPr>
          <w:sz w:val="24"/>
          <w:szCs w:val="24"/>
        </w:rPr>
      </w:pPr>
      <w:r w:rsidRPr="00F72DDB">
        <w:rPr>
          <w:b/>
          <w:sz w:val="24"/>
          <w:szCs w:val="24"/>
        </w:rPr>
        <w:t>Tipping point analysis:</w:t>
      </w:r>
      <w:r w:rsidRPr="00F72DDB">
        <w:rPr>
          <w:sz w:val="24"/>
          <w:szCs w:val="24"/>
        </w:rPr>
        <w:t xml:space="preserve"> It is assumed that, the missing data after withdrawal in subjects in the investigational drug group differ on average by δ from their complete data, which is equivalent to imposing a certain degree of penalty on the imputed missing data. A series of δ values will be prespecified; the value of δ at which the conclusion is reversed will be defined as the tipping point. Based on the FAS, the tipping point analysis method will be used to perform multiple imputation for missing data, and for each imputed complete dataset, the primary efficacy endpoint will be analyzed using the same ANCOVA model as in sensitivity analysis 1, and the analysis results will be combined according to Rubin's rule.</w:t>
      </w:r>
    </w:p>
    <w:p w14:paraId="1AA363E4" w14:textId="77777777" w:rsidR="0005712D" w:rsidRPr="00F72DDB" w:rsidRDefault="00CF2A39" w:rsidP="004500B1">
      <w:pPr>
        <w:pStyle w:val="aff"/>
        <w:numPr>
          <w:ilvl w:val="0"/>
          <w:numId w:val="23"/>
        </w:numPr>
        <w:overflowPunct w:val="0"/>
        <w:autoSpaceDE w:val="0"/>
        <w:autoSpaceDN w:val="0"/>
        <w:adjustRightInd w:val="0"/>
        <w:snapToGrid w:val="0"/>
        <w:spacing w:beforeLines="50" w:before="120" w:afterLines="50" w:after="120" w:line="300" w:lineRule="auto"/>
        <w:ind w:left="410" w:hangingChars="170" w:hanging="410"/>
        <w:jc w:val="left"/>
        <w:rPr>
          <w:sz w:val="24"/>
          <w:szCs w:val="24"/>
        </w:rPr>
      </w:pPr>
      <w:r w:rsidRPr="00F72DDB">
        <w:rPr>
          <w:b/>
          <w:sz w:val="24"/>
          <w:szCs w:val="24"/>
        </w:rPr>
        <w:t>MI + ANCOVA analysis 2 (data after intercurrent events handled as missing)</w:t>
      </w:r>
      <w:r w:rsidRPr="00F72DDB">
        <w:rPr>
          <w:sz w:val="24"/>
          <w:szCs w:val="24"/>
        </w:rPr>
        <w:t>: Based on the FAS, all data collected after the occurrence of intercurrent events in a subject will be treated as missing, and then the same method as described in sensitivity analysis 2 above will be used for analysis.</w:t>
      </w:r>
    </w:p>
    <w:p w14:paraId="081A7559" w14:textId="77777777" w:rsidR="0005712D" w:rsidRPr="00F72DDB" w:rsidRDefault="00CF2A39" w:rsidP="004500B1">
      <w:pPr>
        <w:pStyle w:val="aff"/>
        <w:pageBreakBefore/>
        <w:numPr>
          <w:ilvl w:val="0"/>
          <w:numId w:val="23"/>
        </w:numPr>
        <w:overflowPunct w:val="0"/>
        <w:autoSpaceDE w:val="0"/>
        <w:autoSpaceDN w:val="0"/>
        <w:adjustRightInd w:val="0"/>
        <w:snapToGrid w:val="0"/>
        <w:spacing w:beforeLines="50" w:before="120" w:afterLines="50" w:after="120" w:line="300" w:lineRule="auto"/>
        <w:ind w:left="410" w:hangingChars="170" w:hanging="410"/>
        <w:jc w:val="left"/>
        <w:rPr>
          <w:sz w:val="24"/>
          <w:szCs w:val="24"/>
        </w:rPr>
      </w:pPr>
      <w:r w:rsidRPr="00F72DDB">
        <w:rPr>
          <w:b/>
          <w:bCs/>
          <w:sz w:val="24"/>
          <w:szCs w:val="24"/>
        </w:rPr>
        <w:lastRenderedPageBreak/>
        <w:t>MMRM analysis 2 (data after intercurrent events handled as missing)</w:t>
      </w:r>
      <w:r w:rsidRPr="00F72DDB">
        <w:rPr>
          <w:sz w:val="24"/>
          <w:szCs w:val="24"/>
        </w:rPr>
        <w:t>: Based on the FAS, all data collected after the occurrence of intercurrent events in a subject will be treated as missing, and then the same method as described in the primary analysis above will be used for analysis.</w:t>
      </w:r>
    </w:p>
    <w:p w14:paraId="11B87814" w14:textId="77777777" w:rsidR="0005712D" w:rsidRPr="00F72DDB" w:rsidRDefault="00CF2A39" w:rsidP="004F1FD9">
      <w:pPr>
        <w:pStyle w:val="aff"/>
        <w:overflowPunct w:val="0"/>
        <w:autoSpaceDE w:val="0"/>
        <w:autoSpaceDN w:val="0"/>
        <w:adjustRightInd w:val="0"/>
        <w:snapToGrid w:val="0"/>
        <w:spacing w:beforeLines="50" w:before="120" w:afterLines="50" w:after="120" w:line="300" w:lineRule="auto"/>
        <w:ind w:firstLineChars="0" w:firstLine="0"/>
        <w:jc w:val="left"/>
        <w:rPr>
          <w:b/>
          <w:bCs/>
          <w:sz w:val="24"/>
          <w:szCs w:val="24"/>
          <w:u w:val="single"/>
        </w:rPr>
      </w:pPr>
      <w:r w:rsidRPr="00F72DDB">
        <w:rPr>
          <w:b/>
          <w:bCs/>
          <w:sz w:val="24"/>
          <w:szCs w:val="24"/>
          <w:u w:val="single"/>
        </w:rPr>
        <w:t>Supplementary analysis</w:t>
      </w:r>
    </w:p>
    <w:p w14:paraId="5F06ED01" w14:textId="446A51FA" w:rsidR="0005712D" w:rsidRPr="00F72DDB" w:rsidRDefault="00CF2A39" w:rsidP="004F1FD9">
      <w:pPr>
        <w:pStyle w:val="aff"/>
        <w:overflowPunct w:val="0"/>
        <w:autoSpaceDE w:val="0"/>
        <w:autoSpaceDN w:val="0"/>
        <w:adjustRightInd w:val="0"/>
        <w:snapToGrid w:val="0"/>
        <w:spacing w:beforeLines="50" w:before="120" w:afterLines="50" w:after="120" w:line="300" w:lineRule="auto"/>
        <w:ind w:firstLineChars="0" w:firstLine="0"/>
        <w:jc w:val="left"/>
        <w:rPr>
          <w:sz w:val="24"/>
          <w:szCs w:val="24"/>
        </w:rPr>
      </w:pPr>
      <w:r w:rsidRPr="00F72DDB">
        <w:rPr>
          <w:sz w:val="24"/>
          <w:szCs w:val="24"/>
        </w:rPr>
        <w:t>To assess the robustness of the primary endpoint analysis, the same data‑handling strategy and analysis model as those used for the FAS‑based analysis of the primary endpoint will be applied to the primary endpoint based on the PPS.</w:t>
      </w:r>
    </w:p>
    <w:p w14:paraId="7586B8D3"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246" w:name="_Toc216186592"/>
      <w:r w:rsidRPr="00F72DDB">
        <w:rPr>
          <w:rFonts w:ascii="Times New Roman" w:hAnsi="Times New Roman" w:cs="Times New Roman"/>
          <w:szCs w:val="24"/>
        </w:rPr>
        <w:t>Secondary efficacy analysis</w:t>
      </w:r>
      <w:bookmarkEnd w:id="246"/>
    </w:p>
    <w:p w14:paraId="12EED94E" w14:textId="77777777" w:rsidR="0005712D" w:rsidRPr="00F72DDB" w:rsidRDefault="00CF2A39" w:rsidP="004500B1">
      <w:pPr>
        <w:pStyle w:val="Aff3"/>
        <w:numPr>
          <w:ilvl w:val="0"/>
          <w:numId w:val="24"/>
        </w:numPr>
        <w:overflowPunct w:val="0"/>
        <w:autoSpaceDE w:val="0"/>
        <w:autoSpaceDN w:val="0"/>
        <w:adjustRightInd w:val="0"/>
        <w:snapToGrid w:val="0"/>
        <w:spacing w:beforeLines="50" w:before="120" w:afterLines="50" w:after="120" w:line="300" w:lineRule="auto"/>
        <w:ind w:left="504" w:hangingChars="210" w:hanging="504"/>
        <w:jc w:val="left"/>
        <w:rPr>
          <w:rFonts w:cs="Times New Roman"/>
          <w:color w:val="auto"/>
          <w:kern w:val="0"/>
          <w:szCs w:val="24"/>
        </w:rPr>
      </w:pPr>
      <w:bookmarkStart w:id="247" w:name="_Toc126522885"/>
      <w:bookmarkStart w:id="248" w:name="_Toc125118613"/>
      <w:bookmarkStart w:id="249" w:name="_Toc126444824"/>
      <w:bookmarkStart w:id="250" w:name="_Toc126522886"/>
      <w:bookmarkStart w:id="251" w:name="_Toc126533081"/>
      <w:bookmarkStart w:id="252" w:name="_Toc126527474"/>
      <w:bookmarkStart w:id="253" w:name="_Toc125118614"/>
      <w:bookmarkStart w:id="254" w:name="_Toc125118244"/>
      <w:bookmarkStart w:id="255" w:name="_Toc125118243"/>
      <w:bookmarkStart w:id="256" w:name="_Toc126436589"/>
      <w:bookmarkStart w:id="257" w:name="_Toc126522319"/>
      <w:bookmarkStart w:id="258" w:name="_Toc125702909"/>
      <w:bookmarkStart w:id="259" w:name="_Toc126436590"/>
      <w:bookmarkStart w:id="260" w:name="_Toc126522318"/>
      <w:bookmarkStart w:id="261" w:name="_Toc125118247"/>
      <w:bookmarkStart w:id="262" w:name="_Toc125702913"/>
      <w:bookmarkStart w:id="263" w:name="_Toc125118617"/>
      <w:bookmarkStart w:id="264" w:name="_Toc126569449"/>
      <w:bookmarkStart w:id="265" w:name="_Toc126522887"/>
      <w:bookmarkStart w:id="266" w:name="_Toc126569446"/>
      <w:bookmarkStart w:id="267" w:name="_Toc126444823"/>
      <w:bookmarkStart w:id="268" w:name="_Toc126527473"/>
      <w:bookmarkStart w:id="269" w:name="_Toc126533085"/>
      <w:bookmarkStart w:id="270" w:name="_Toc125118616"/>
      <w:bookmarkStart w:id="271" w:name="_Toc125702910"/>
      <w:bookmarkStart w:id="272" w:name="_Toc125118245"/>
      <w:bookmarkStart w:id="273" w:name="_Toc125118615"/>
      <w:bookmarkStart w:id="274" w:name="_Toc126522888"/>
      <w:bookmarkStart w:id="275" w:name="_Toc126569447"/>
      <w:bookmarkStart w:id="276" w:name="_Toc126533082"/>
      <w:bookmarkStart w:id="277" w:name="_Toc126444826"/>
      <w:bookmarkStart w:id="278" w:name="_Toc125118246"/>
      <w:bookmarkStart w:id="279" w:name="_Toc126522322"/>
      <w:bookmarkStart w:id="280" w:name="_Toc126444827"/>
      <w:bookmarkStart w:id="281" w:name="_Toc126522889"/>
      <w:bookmarkStart w:id="282" w:name="_Toc125702911"/>
      <w:bookmarkStart w:id="283" w:name="_Toc126569450"/>
      <w:bookmarkStart w:id="284" w:name="_Toc126436593"/>
      <w:bookmarkStart w:id="285" w:name="_Toc126569448"/>
      <w:bookmarkStart w:id="286" w:name="_Toc126522320"/>
      <w:bookmarkStart w:id="287" w:name="_Toc126522321"/>
      <w:bookmarkStart w:id="288" w:name="_Toc126527476"/>
      <w:bookmarkStart w:id="289" w:name="_Toc126533083"/>
      <w:bookmarkStart w:id="290" w:name="_Toc126436592"/>
      <w:bookmarkStart w:id="291" w:name="_Toc126444825"/>
      <w:bookmarkStart w:id="292" w:name="_Toc126436591"/>
      <w:bookmarkStart w:id="293" w:name="_Toc126527475"/>
      <w:bookmarkStart w:id="294" w:name="_Toc126533084"/>
      <w:bookmarkStart w:id="295" w:name="_Toc126527477"/>
      <w:bookmarkStart w:id="296" w:name="_Toc125702912"/>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F72DDB">
        <w:rPr>
          <w:rFonts w:cs="Times New Roman"/>
          <w:color w:val="auto"/>
          <w:szCs w:val="24"/>
        </w:rPr>
        <w:t>The number and percentage of subjects who, at each post-baseline visit, achieve HbA1c &lt; 7%, HbA1c ≤ 6.5%, HbA1c ≤ 5.7%, and body weight loss ≥ 5% with HbA1c &lt; 7% will be summarized by group. The rates for each group and the 95% CI for the difference versus placebo will be calculated. Inter-group comparisons will be performed using the stratified Cochran-Mantel-Haenszel (CMH) chi-square test. The analysis method for the achievement rate of body weight targets post-treatment will be conducted in the same manner.</w:t>
      </w:r>
    </w:p>
    <w:p w14:paraId="248E74C8" w14:textId="603BEB57" w:rsidR="0005712D" w:rsidRPr="00F72DDB" w:rsidRDefault="00CF2A39" w:rsidP="004500B1">
      <w:pPr>
        <w:pStyle w:val="Aff3"/>
        <w:numPr>
          <w:ilvl w:val="0"/>
          <w:numId w:val="24"/>
        </w:numPr>
        <w:overflowPunct w:val="0"/>
        <w:autoSpaceDE w:val="0"/>
        <w:autoSpaceDN w:val="0"/>
        <w:adjustRightInd w:val="0"/>
        <w:snapToGrid w:val="0"/>
        <w:spacing w:beforeLines="50" w:before="120" w:afterLines="50" w:after="120" w:line="300" w:lineRule="auto"/>
        <w:ind w:left="504" w:hangingChars="210" w:hanging="504"/>
        <w:jc w:val="left"/>
        <w:rPr>
          <w:rFonts w:cs="Times New Roman"/>
          <w:color w:val="auto"/>
          <w:kern w:val="0"/>
          <w:szCs w:val="24"/>
        </w:rPr>
      </w:pPr>
      <w:r w:rsidRPr="00F72DDB">
        <w:rPr>
          <w:rFonts w:cs="Times New Roman"/>
          <w:szCs w:val="24"/>
        </w:rPr>
        <w:t>For secondary quantitative endpoints (fasting plasma glucose, blood lipids, body weight, blood pressure, etc., corresponding to secondary endpoints 3)–7) in Section 5.3.2), MMRM will be used, with baseline as a covariate, and visit and treatment group as fixed effects, to compare changes from baseline at each visit between treatment groups.</w:t>
      </w:r>
    </w:p>
    <w:p w14:paraId="7EC4D42A" w14:textId="77777777" w:rsidR="0005712D" w:rsidRPr="00F72DDB" w:rsidRDefault="00CF2A39" w:rsidP="004500B1">
      <w:pPr>
        <w:pStyle w:val="Aff3"/>
        <w:numPr>
          <w:ilvl w:val="0"/>
          <w:numId w:val="24"/>
        </w:numPr>
        <w:overflowPunct w:val="0"/>
        <w:autoSpaceDE w:val="0"/>
        <w:autoSpaceDN w:val="0"/>
        <w:adjustRightInd w:val="0"/>
        <w:snapToGrid w:val="0"/>
        <w:spacing w:beforeLines="50" w:before="120" w:afterLines="50" w:after="120" w:line="300" w:lineRule="auto"/>
        <w:ind w:left="504" w:hangingChars="210" w:hanging="504"/>
        <w:jc w:val="left"/>
        <w:rPr>
          <w:rFonts w:cs="Times New Roman"/>
          <w:color w:val="auto"/>
          <w:kern w:val="0"/>
          <w:szCs w:val="24"/>
        </w:rPr>
      </w:pPr>
      <w:r w:rsidRPr="00F72DDB">
        <w:rPr>
          <w:rFonts w:cs="Times New Roman"/>
          <w:color w:val="auto"/>
          <w:szCs w:val="24"/>
        </w:rPr>
        <w:t>Other endpoint analyses:</w:t>
      </w:r>
    </w:p>
    <w:p w14:paraId="37383860"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For ALT, AST, GGT, uric acid, UPCR, and eGFR, the MMRM (with baseline as a covariate, and visit and treatment group as fixed effects) will be used to compare post-treatment changes from baseline at Weeks 12 and 24 between treatment groups.</w:t>
      </w:r>
    </w:p>
    <w:p w14:paraId="02D799DA"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For ALT, AST, GGT, blood lipids (including TG, TC, LDL-C, HDL-C, non-HDL-C, FFA), uric acid, UPCR, and blood pressure, the proportion of subjects whose abnormal baseline values return to normal at Week 24 of treatment will be summarized. The criteria for abnormal and normal values for the above endpoints are defined in the following table:</w:t>
      </w:r>
    </w:p>
    <w:tbl>
      <w:tblPr>
        <w:tblStyle w:val="af9"/>
        <w:tblW w:w="5000" w:type="pct"/>
        <w:tblLook w:val="04A0" w:firstRow="1" w:lastRow="0" w:firstColumn="1" w:lastColumn="0" w:noHBand="0" w:noVBand="1"/>
      </w:tblPr>
      <w:tblGrid>
        <w:gridCol w:w="2784"/>
        <w:gridCol w:w="3101"/>
        <w:gridCol w:w="3591"/>
      </w:tblGrid>
      <w:tr w:rsidR="0005712D" w:rsidRPr="00101741" w14:paraId="51604A12" w14:textId="77777777" w:rsidTr="00AC124B">
        <w:trPr>
          <w:tblHeader/>
        </w:trPr>
        <w:tc>
          <w:tcPr>
            <w:tcW w:w="1469" w:type="pct"/>
            <w:tcMar>
              <w:top w:w="46" w:type="dxa"/>
              <w:left w:w="57" w:type="dxa"/>
              <w:bottom w:w="46" w:type="dxa"/>
              <w:right w:w="57" w:type="dxa"/>
            </w:tcMar>
          </w:tcPr>
          <w:p w14:paraId="2435E942" w14:textId="77777777" w:rsidR="0005712D" w:rsidRPr="00101741" w:rsidRDefault="00CF2A39" w:rsidP="00306959">
            <w:pPr>
              <w:pStyle w:val="Normal2"/>
              <w:snapToGrid w:val="0"/>
              <w:spacing w:before="0" w:after="0" w:line="240" w:lineRule="auto"/>
              <w:ind w:firstLine="0"/>
              <w:jc w:val="left"/>
              <w:rPr>
                <w:rFonts w:cs="Times New Roman"/>
                <w:b/>
                <w:bCs/>
                <w:sz w:val="20"/>
                <w:szCs w:val="20"/>
              </w:rPr>
            </w:pPr>
            <w:r w:rsidRPr="00101741">
              <w:rPr>
                <w:rFonts w:cs="Times New Roman"/>
                <w:b/>
                <w:bCs/>
                <w:sz w:val="20"/>
                <w:szCs w:val="20"/>
              </w:rPr>
              <w:t>Endpoint</w:t>
            </w:r>
          </w:p>
        </w:tc>
        <w:tc>
          <w:tcPr>
            <w:tcW w:w="1636" w:type="pct"/>
            <w:tcMar>
              <w:top w:w="46" w:type="dxa"/>
              <w:left w:w="57" w:type="dxa"/>
              <w:bottom w:w="46" w:type="dxa"/>
              <w:right w:w="57" w:type="dxa"/>
            </w:tcMar>
          </w:tcPr>
          <w:p w14:paraId="43425123" w14:textId="77777777" w:rsidR="0005712D" w:rsidRPr="00101741" w:rsidRDefault="00CF2A39" w:rsidP="00101741">
            <w:pPr>
              <w:pStyle w:val="Normal2"/>
              <w:snapToGrid w:val="0"/>
              <w:spacing w:before="0" w:after="0" w:line="240" w:lineRule="auto"/>
              <w:ind w:firstLine="0"/>
              <w:jc w:val="center"/>
              <w:rPr>
                <w:rFonts w:cs="Times New Roman"/>
                <w:b/>
                <w:bCs/>
                <w:sz w:val="20"/>
                <w:szCs w:val="20"/>
              </w:rPr>
            </w:pPr>
            <w:r w:rsidRPr="00101741">
              <w:rPr>
                <w:rFonts w:cs="Times New Roman"/>
                <w:b/>
                <w:bCs/>
                <w:sz w:val="20"/>
                <w:szCs w:val="20"/>
              </w:rPr>
              <w:t>Abnormal</w:t>
            </w:r>
          </w:p>
        </w:tc>
        <w:tc>
          <w:tcPr>
            <w:tcW w:w="1895" w:type="pct"/>
            <w:tcMar>
              <w:top w:w="46" w:type="dxa"/>
              <w:left w:w="57" w:type="dxa"/>
              <w:bottom w:w="46" w:type="dxa"/>
              <w:right w:w="57" w:type="dxa"/>
            </w:tcMar>
          </w:tcPr>
          <w:p w14:paraId="622F731F" w14:textId="77777777" w:rsidR="0005712D" w:rsidRPr="00101741" w:rsidRDefault="00CF2A39" w:rsidP="00101741">
            <w:pPr>
              <w:pStyle w:val="Normal2"/>
              <w:snapToGrid w:val="0"/>
              <w:spacing w:before="0" w:after="0" w:line="240" w:lineRule="auto"/>
              <w:ind w:firstLine="0"/>
              <w:jc w:val="center"/>
              <w:rPr>
                <w:rFonts w:cs="Times New Roman"/>
                <w:b/>
                <w:bCs/>
                <w:sz w:val="20"/>
                <w:szCs w:val="20"/>
              </w:rPr>
            </w:pPr>
            <w:r w:rsidRPr="00101741">
              <w:rPr>
                <w:rFonts w:cs="Times New Roman"/>
                <w:b/>
                <w:bCs/>
                <w:sz w:val="20"/>
                <w:szCs w:val="20"/>
              </w:rPr>
              <w:t>Normal</w:t>
            </w:r>
          </w:p>
        </w:tc>
      </w:tr>
      <w:tr w:rsidR="0005712D" w:rsidRPr="00101741" w14:paraId="6BB4564C" w14:textId="77777777" w:rsidTr="00AC124B">
        <w:tc>
          <w:tcPr>
            <w:tcW w:w="1469" w:type="pct"/>
            <w:tcMar>
              <w:top w:w="46" w:type="dxa"/>
              <w:left w:w="57" w:type="dxa"/>
              <w:bottom w:w="46" w:type="dxa"/>
              <w:right w:w="57" w:type="dxa"/>
            </w:tcMar>
          </w:tcPr>
          <w:p w14:paraId="76067E43"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ALT</w:t>
            </w:r>
          </w:p>
        </w:tc>
        <w:tc>
          <w:tcPr>
            <w:tcW w:w="1636" w:type="pct"/>
            <w:tcMar>
              <w:top w:w="46" w:type="dxa"/>
              <w:left w:w="57" w:type="dxa"/>
              <w:bottom w:w="46" w:type="dxa"/>
              <w:right w:w="57" w:type="dxa"/>
            </w:tcMar>
          </w:tcPr>
          <w:p w14:paraId="7226B57E" w14:textId="42EC4669"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520D8501" w14:textId="18CB088D"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5AFC9D69" w14:textId="77777777" w:rsidTr="00AC124B">
        <w:tc>
          <w:tcPr>
            <w:tcW w:w="1469" w:type="pct"/>
            <w:tcMar>
              <w:top w:w="46" w:type="dxa"/>
              <w:left w:w="57" w:type="dxa"/>
              <w:bottom w:w="46" w:type="dxa"/>
              <w:right w:w="57" w:type="dxa"/>
            </w:tcMar>
          </w:tcPr>
          <w:p w14:paraId="005F80C6"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AST</w:t>
            </w:r>
          </w:p>
        </w:tc>
        <w:tc>
          <w:tcPr>
            <w:tcW w:w="1636" w:type="pct"/>
            <w:tcMar>
              <w:top w:w="46" w:type="dxa"/>
              <w:left w:w="57" w:type="dxa"/>
              <w:bottom w:w="46" w:type="dxa"/>
              <w:right w:w="57" w:type="dxa"/>
            </w:tcMar>
          </w:tcPr>
          <w:p w14:paraId="6ADBD36A" w14:textId="40FACA82"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0E4A7F26" w14:textId="34B9E9A0"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3D81C789" w14:textId="77777777" w:rsidTr="00AC124B">
        <w:tc>
          <w:tcPr>
            <w:tcW w:w="1469" w:type="pct"/>
            <w:tcMar>
              <w:top w:w="46" w:type="dxa"/>
              <w:left w:w="57" w:type="dxa"/>
              <w:bottom w:w="46" w:type="dxa"/>
              <w:right w:w="57" w:type="dxa"/>
            </w:tcMar>
          </w:tcPr>
          <w:p w14:paraId="282F9F5C"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GGT</w:t>
            </w:r>
          </w:p>
        </w:tc>
        <w:tc>
          <w:tcPr>
            <w:tcW w:w="1636" w:type="pct"/>
            <w:tcMar>
              <w:top w:w="46" w:type="dxa"/>
              <w:left w:w="57" w:type="dxa"/>
              <w:bottom w:w="46" w:type="dxa"/>
              <w:right w:w="57" w:type="dxa"/>
            </w:tcMar>
          </w:tcPr>
          <w:p w14:paraId="46015A92" w14:textId="1C50F4E8"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3CFC7E30" w14:textId="40272491"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29365CD8" w14:textId="77777777" w:rsidTr="00AC124B">
        <w:tc>
          <w:tcPr>
            <w:tcW w:w="1469" w:type="pct"/>
            <w:tcMar>
              <w:top w:w="46" w:type="dxa"/>
              <w:left w:w="57" w:type="dxa"/>
              <w:bottom w:w="46" w:type="dxa"/>
              <w:right w:w="57" w:type="dxa"/>
            </w:tcMar>
          </w:tcPr>
          <w:p w14:paraId="36D0B347"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TG</w:t>
            </w:r>
          </w:p>
        </w:tc>
        <w:tc>
          <w:tcPr>
            <w:tcW w:w="1636" w:type="pct"/>
            <w:tcMar>
              <w:top w:w="46" w:type="dxa"/>
              <w:left w:w="57" w:type="dxa"/>
              <w:bottom w:w="46" w:type="dxa"/>
              <w:right w:w="57" w:type="dxa"/>
            </w:tcMar>
          </w:tcPr>
          <w:p w14:paraId="7F7A82D5" w14:textId="12E3AF93"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19FA0FA1" w14:textId="31ECFA81"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2E074719" w14:textId="77777777" w:rsidTr="00AC124B">
        <w:tc>
          <w:tcPr>
            <w:tcW w:w="1469" w:type="pct"/>
            <w:tcMar>
              <w:top w:w="46" w:type="dxa"/>
              <w:left w:w="57" w:type="dxa"/>
              <w:bottom w:w="46" w:type="dxa"/>
              <w:right w:w="57" w:type="dxa"/>
            </w:tcMar>
          </w:tcPr>
          <w:p w14:paraId="25949DA4"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TC</w:t>
            </w:r>
          </w:p>
        </w:tc>
        <w:tc>
          <w:tcPr>
            <w:tcW w:w="1636" w:type="pct"/>
            <w:tcMar>
              <w:top w:w="46" w:type="dxa"/>
              <w:left w:w="57" w:type="dxa"/>
              <w:bottom w:w="46" w:type="dxa"/>
              <w:right w:w="57" w:type="dxa"/>
            </w:tcMar>
          </w:tcPr>
          <w:p w14:paraId="517067E1" w14:textId="4DD7CEA2"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604E11A1" w14:textId="37A511B7"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03E2EABC" w14:textId="77777777" w:rsidTr="00AC124B">
        <w:tc>
          <w:tcPr>
            <w:tcW w:w="1469" w:type="pct"/>
            <w:tcMar>
              <w:top w:w="46" w:type="dxa"/>
              <w:left w:w="57" w:type="dxa"/>
              <w:bottom w:w="46" w:type="dxa"/>
              <w:right w:w="57" w:type="dxa"/>
            </w:tcMar>
          </w:tcPr>
          <w:p w14:paraId="683F5C5A"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LDL-C</w:t>
            </w:r>
          </w:p>
        </w:tc>
        <w:tc>
          <w:tcPr>
            <w:tcW w:w="1636" w:type="pct"/>
            <w:tcMar>
              <w:top w:w="46" w:type="dxa"/>
              <w:left w:w="57" w:type="dxa"/>
              <w:bottom w:w="46" w:type="dxa"/>
              <w:right w:w="57" w:type="dxa"/>
            </w:tcMar>
          </w:tcPr>
          <w:p w14:paraId="61C6D377" w14:textId="7AD82FDB"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23AB7637" w14:textId="7E37C9F4"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1BC9FA89" w14:textId="77777777" w:rsidTr="00AC124B">
        <w:tc>
          <w:tcPr>
            <w:tcW w:w="1469" w:type="pct"/>
            <w:tcMar>
              <w:top w:w="46" w:type="dxa"/>
              <w:left w:w="57" w:type="dxa"/>
              <w:bottom w:w="46" w:type="dxa"/>
              <w:right w:w="57" w:type="dxa"/>
            </w:tcMar>
          </w:tcPr>
          <w:p w14:paraId="3353DE1A"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lastRenderedPageBreak/>
              <w:t>HDL-C</w:t>
            </w:r>
          </w:p>
        </w:tc>
        <w:tc>
          <w:tcPr>
            <w:tcW w:w="1636" w:type="pct"/>
            <w:tcMar>
              <w:top w:w="46" w:type="dxa"/>
              <w:left w:w="57" w:type="dxa"/>
              <w:bottom w:w="46" w:type="dxa"/>
              <w:right w:w="57" w:type="dxa"/>
            </w:tcMar>
          </w:tcPr>
          <w:p w14:paraId="337C60F1" w14:textId="59235684"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&lt;ULN</w:t>
            </w:r>
          </w:p>
        </w:tc>
        <w:tc>
          <w:tcPr>
            <w:tcW w:w="1895" w:type="pct"/>
            <w:tcMar>
              <w:top w:w="46" w:type="dxa"/>
              <w:left w:w="57" w:type="dxa"/>
              <w:bottom w:w="46" w:type="dxa"/>
              <w:right w:w="57" w:type="dxa"/>
            </w:tcMar>
          </w:tcPr>
          <w:p w14:paraId="459FBAB1" w14:textId="6BB91844"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2D7DB36B" w14:textId="77777777" w:rsidTr="00AC124B">
        <w:tc>
          <w:tcPr>
            <w:tcW w:w="1469" w:type="pct"/>
            <w:tcMar>
              <w:top w:w="46" w:type="dxa"/>
              <w:left w:w="57" w:type="dxa"/>
              <w:bottom w:w="46" w:type="dxa"/>
              <w:right w:w="57" w:type="dxa"/>
            </w:tcMar>
          </w:tcPr>
          <w:p w14:paraId="2E9D1244"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non-HDL-C</w:t>
            </w:r>
          </w:p>
        </w:tc>
        <w:tc>
          <w:tcPr>
            <w:tcW w:w="1636" w:type="pct"/>
            <w:tcMar>
              <w:top w:w="46" w:type="dxa"/>
              <w:left w:w="57" w:type="dxa"/>
              <w:bottom w:w="46" w:type="dxa"/>
              <w:right w:w="57" w:type="dxa"/>
            </w:tcMar>
          </w:tcPr>
          <w:p w14:paraId="5AD292E4" w14:textId="164A3C4D"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5B5A2D03" w14:textId="57671929"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7F82F66B" w14:textId="77777777" w:rsidTr="00AC124B">
        <w:tc>
          <w:tcPr>
            <w:tcW w:w="1469" w:type="pct"/>
            <w:tcMar>
              <w:top w:w="46" w:type="dxa"/>
              <w:left w:w="57" w:type="dxa"/>
              <w:bottom w:w="46" w:type="dxa"/>
              <w:right w:w="57" w:type="dxa"/>
            </w:tcMar>
          </w:tcPr>
          <w:p w14:paraId="4A58D5DB"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FFA</w:t>
            </w:r>
          </w:p>
        </w:tc>
        <w:tc>
          <w:tcPr>
            <w:tcW w:w="1636" w:type="pct"/>
            <w:tcMar>
              <w:top w:w="46" w:type="dxa"/>
              <w:left w:w="57" w:type="dxa"/>
              <w:bottom w:w="46" w:type="dxa"/>
              <w:right w:w="57" w:type="dxa"/>
            </w:tcMar>
          </w:tcPr>
          <w:p w14:paraId="4D10FF0F" w14:textId="66C49A5D"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2015CDC0" w14:textId="07401F3B"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0DAD567F" w14:textId="77777777" w:rsidTr="00AC124B">
        <w:tc>
          <w:tcPr>
            <w:tcW w:w="1469" w:type="pct"/>
            <w:tcMar>
              <w:top w:w="46" w:type="dxa"/>
              <w:left w:w="57" w:type="dxa"/>
              <w:bottom w:w="46" w:type="dxa"/>
              <w:right w:w="57" w:type="dxa"/>
            </w:tcMar>
          </w:tcPr>
          <w:p w14:paraId="5E346580"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Uric acid</w:t>
            </w:r>
          </w:p>
        </w:tc>
        <w:tc>
          <w:tcPr>
            <w:tcW w:w="1636" w:type="pct"/>
            <w:tcMar>
              <w:top w:w="46" w:type="dxa"/>
              <w:left w:w="57" w:type="dxa"/>
              <w:bottom w:w="46" w:type="dxa"/>
              <w:right w:w="57" w:type="dxa"/>
            </w:tcMar>
          </w:tcPr>
          <w:p w14:paraId="1B26B871" w14:textId="38CDCBEC"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377E91D4" w14:textId="7E9127CA"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226BCFE4" w14:textId="77777777" w:rsidTr="00AC124B">
        <w:tc>
          <w:tcPr>
            <w:tcW w:w="1469" w:type="pct"/>
            <w:tcMar>
              <w:top w:w="46" w:type="dxa"/>
              <w:left w:w="57" w:type="dxa"/>
              <w:bottom w:w="46" w:type="dxa"/>
              <w:right w:w="57" w:type="dxa"/>
            </w:tcMar>
          </w:tcPr>
          <w:p w14:paraId="4DDC0FDE"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UPCR</w:t>
            </w:r>
          </w:p>
        </w:tc>
        <w:tc>
          <w:tcPr>
            <w:tcW w:w="1636" w:type="pct"/>
            <w:tcMar>
              <w:top w:w="46" w:type="dxa"/>
              <w:left w:w="57" w:type="dxa"/>
              <w:bottom w:w="46" w:type="dxa"/>
              <w:right w:w="57" w:type="dxa"/>
            </w:tcMar>
          </w:tcPr>
          <w:p w14:paraId="0E59874D" w14:textId="1BCC62C7"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1BA84BAC" w14:textId="7D22B678"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6DBDFD4E" w14:textId="77777777" w:rsidTr="00AC124B">
        <w:tc>
          <w:tcPr>
            <w:tcW w:w="1469" w:type="pct"/>
            <w:tcMar>
              <w:top w:w="46" w:type="dxa"/>
              <w:left w:w="57" w:type="dxa"/>
              <w:bottom w:w="46" w:type="dxa"/>
              <w:right w:w="57" w:type="dxa"/>
            </w:tcMar>
          </w:tcPr>
          <w:p w14:paraId="64EB19F8"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Systolic blood pressure</w:t>
            </w:r>
          </w:p>
        </w:tc>
        <w:tc>
          <w:tcPr>
            <w:tcW w:w="1636" w:type="pct"/>
            <w:tcMar>
              <w:top w:w="46" w:type="dxa"/>
              <w:left w:w="57" w:type="dxa"/>
              <w:bottom w:w="46" w:type="dxa"/>
              <w:right w:w="57" w:type="dxa"/>
            </w:tcMar>
          </w:tcPr>
          <w:p w14:paraId="2A5039FA" w14:textId="3A68E961"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62CD0176" w14:textId="68C45428"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r w:rsidR="0005712D" w:rsidRPr="00101741" w14:paraId="10163A6B" w14:textId="77777777" w:rsidTr="00AC124B">
        <w:tc>
          <w:tcPr>
            <w:tcW w:w="1469" w:type="pct"/>
            <w:tcMar>
              <w:top w:w="46" w:type="dxa"/>
              <w:left w:w="57" w:type="dxa"/>
              <w:bottom w:w="46" w:type="dxa"/>
              <w:right w:w="57" w:type="dxa"/>
            </w:tcMar>
          </w:tcPr>
          <w:p w14:paraId="13CEF07B" w14:textId="77777777" w:rsidR="0005712D" w:rsidRPr="00101741" w:rsidRDefault="00CF2A39" w:rsidP="00306959">
            <w:pPr>
              <w:pStyle w:val="Normal2"/>
              <w:snapToGrid w:val="0"/>
              <w:spacing w:before="0" w:after="0" w:line="240" w:lineRule="auto"/>
              <w:ind w:firstLine="0"/>
              <w:jc w:val="left"/>
              <w:rPr>
                <w:rFonts w:cs="Times New Roman"/>
                <w:sz w:val="20"/>
                <w:szCs w:val="20"/>
              </w:rPr>
            </w:pPr>
            <w:r w:rsidRPr="00101741">
              <w:rPr>
                <w:rFonts w:cs="Times New Roman"/>
                <w:sz w:val="20"/>
                <w:szCs w:val="20"/>
              </w:rPr>
              <w:t>Diastolic blood pressure</w:t>
            </w:r>
          </w:p>
        </w:tc>
        <w:tc>
          <w:tcPr>
            <w:tcW w:w="1636" w:type="pct"/>
            <w:tcMar>
              <w:top w:w="46" w:type="dxa"/>
              <w:left w:w="57" w:type="dxa"/>
              <w:bottom w:w="46" w:type="dxa"/>
              <w:right w:w="57" w:type="dxa"/>
            </w:tcMar>
          </w:tcPr>
          <w:p w14:paraId="04EC6100" w14:textId="6F3044CD" w:rsidR="0005712D" w:rsidRPr="00101741" w:rsidRDefault="004500B1"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&gt;ULN</w:t>
            </w:r>
          </w:p>
        </w:tc>
        <w:tc>
          <w:tcPr>
            <w:tcW w:w="1895" w:type="pct"/>
            <w:tcMar>
              <w:top w:w="46" w:type="dxa"/>
              <w:left w:w="57" w:type="dxa"/>
              <w:bottom w:w="46" w:type="dxa"/>
              <w:right w:w="57" w:type="dxa"/>
            </w:tcMar>
          </w:tcPr>
          <w:p w14:paraId="7B51E6F5" w14:textId="03823AF3" w:rsidR="0005712D" w:rsidRPr="00101741" w:rsidRDefault="00CF2A39" w:rsidP="00101741">
            <w:pPr>
              <w:pStyle w:val="Normal2"/>
              <w:snapToGrid w:val="0"/>
              <w:spacing w:before="0" w:after="0" w:line="240" w:lineRule="auto"/>
              <w:ind w:firstLine="0"/>
              <w:jc w:val="center"/>
              <w:rPr>
                <w:rFonts w:cs="Times New Roman"/>
                <w:sz w:val="20"/>
                <w:szCs w:val="20"/>
              </w:rPr>
            </w:pPr>
            <w:r w:rsidRPr="00101741">
              <w:rPr>
                <w:rFonts w:cs="Times New Roman"/>
                <w:sz w:val="20"/>
                <w:szCs w:val="20"/>
              </w:rPr>
              <w:t>≤ULN</w:t>
            </w:r>
          </w:p>
        </w:tc>
      </w:tr>
    </w:tbl>
    <w:p w14:paraId="349B1ED8" w14:textId="77777777" w:rsidR="0005712D" w:rsidRPr="00F72DDB" w:rsidRDefault="00CF2A39" w:rsidP="00101741">
      <w:pPr>
        <w:pStyle w:val="3"/>
        <w:keepNext w:val="0"/>
        <w:keepLines w:val="0"/>
        <w:overflowPunct w:val="0"/>
        <w:autoSpaceDE w:val="0"/>
        <w:autoSpaceDN w:val="0"/>
        <w:adjustRightInd w:val="0"/>
        <w:spacing w:beforeLines="50" w:afterLines="50" w:line="300" w:lineRule="auto"/>
        <w:rPr>
          <w:rFonts w:ascii="Times New Roman" w:hAnsi="Times New Roman" w:cs="Times New Roman"/>
          <w:szCs w:val="24"/>
        </w:rPr>
      </w:pPr>
      <w:bookmarkStart w:id="297" w:name="_Toc216186593"/>
      <w:r w:rsidRPr="00F72DDB">
        <w:rPr>
          <w:rFonts w:ascii="Times New Roman" w:hAnsi="Times New Roman" w:cs="Times New Roman"/>
          <w:szCs w:val="24"/>
        </w:rPr>
        <w:t>Subgroup analysis</w:t>
      </w:r>
      <w:bookmarkEnd w:id="297"/>
    </w:p>
    <w:p w14:paraId="17EB8C90" w14:textId="77777777" w:rsidR="0005712D" w:rsidRPr="00F72DDB" w:rsidRDefault="00CF2A39" w:rsidP="004F1FD9">
      <w:pPr>
        <w:pStyle w:val="aff"/>
        <w:overflowPunct w:val="0"/>
        <w:autoSpaceDE w:val="0"/>
        <w:autoSpaceDN w:val="0"/>
        <w:adjustRightInd w:val="0"/>
        <w:snapToGrid w:val="0"/>
        <w:spacing w:beforeLines="50" w:before="120" w:afterLines="50" w:after="120" w:line="300" w:lineRule="auto"/>
        <w:ind w:firstLineChars="0" w:firstLine="0"/>
        <w:jc w:val="left"/>
        <w:rPr>
          <w:kern w:val="0"/>
          <w:sz w:val="24"/>
          <w:szCs w:val="24"/>
        </w:rPr>
      </w:pPr>
      <w:r w:rsidRPr="00F72DDB">
        <w:rPr>
          <w:sz w:val="24"/>
          <w:szCs w:val="24"/>
        </w:rPr>
        <w:t>For the primary efficacy endpoint, change from baseline in HbA1c at Week 24 of treatment, as well as change in body weight and percent change at Week 24 of treatment, will be described according to subgroup and treatment group, detailing pre- and post-treatment changes. Forest plots will be generated to illustrate changes within each subgroup. Subgroups will include the following:</w:t>
      </w:r>
    </w:p>
    <w:p w14:paraId="7283444D" w14:textId="77777777" w:rsidR="0005712D" w:rsidRPr="00F72DDB" w:rsidRDefault="00CF2A39" w:rsidP="004500B1">
      <w:pPr>
        <w:pStyle w:val="aff"/>
        <w:numPr>
          <w:ilvl w:val="0"/>
          <w:numId w:val="22"/>
        </w:numPr>
        <w:overflowPunct w:val="0"/>
        <w:autoSpaceDE w:val="0"/>
        <w:autoSpaceDN w:val="0"/>
        <w:adjustRightInd w:val="0"/>
        <w:snapToGrid w:val="0"/>
        <w:spacing w:beforeLines="50" w:before="120" w:afterLines="50" w:after="120" w:line="300" w:lineRule="auto"/>
        <w:ind w:left="480" w:hangingChars="200" w:hanging="480"/>
        <w:jc w:val="left"/>
        <w:rPr>
          <w:kern w:val="0"/>
          <w:sz w:val="24"/>
          <w:szCs w:val="24"/>
        </w:rPr>
      </w:pPr>
      <w:r w:rsidRPr="00F72DDB">
        <w:rPr>
          <w:sz w:val="24"/>
          <w:szCs w:val="24"/>
        </w:rPr>
        <w:t>Age (&lt; 65 years, ≥ 65 years)</w:t>
      </w:r>
    </w:p>
    <w:p w14:paraId="30E0418C" w14:textId="77777777" w:rsidR="0005712D" w:rsidRPr="00F72DDB" w:rsidRDefault="00CF2A39" w:rsidP="004500B1">
      <w:pPr>
        <w:pStyle w:val="aff"/>
        <w:numPr>
          <w:ilvl w:val="0"/>
          <w:numId w:val="22"/>
        </w:numPr>
        <w:overflowPunct w:val="0"/>
        <w:autoSpaceDE w:val="0"/>
        <w:autoSpaceDN w:val="0"/>
        <w:adjustRightInd w:val="0"/>
        <w:snapToGrid w:val="0"/>
        <w:spacing w:beforeLines="50" w:before="120" w:afterLines="50" w:after="120" w:line="300" w:lineRule="auto"/>
        <w:ind w:left="480" w:hangingChars="200" w:hanging="480"/>
        <w:jc w:val="left"/>
        <w:rPr>
          <w:kern w:val="0"/>
          <w:sz w:val="24"/>
          <w:szCs w:val="24"/>
        </w:rPr>
      </w:pPr>
      <w:r w:rsidRPr="00F72DDB">
        <w:rPr>
          <w:sz w:val="24"/>
          <w:szCs w:val="24"/>
        </w:rPr>
        <w:t>Sex (male, female)</w:t>
      </w:r>
    </w:p>
    <w:p w14:paraId="263F7034" w14:textId="77777777" w:rsidR="0005712D" w:rsidRPr="00F72DDB" w:rsidRDefault="00CF2A39" w:rsidP="004500B1">
      <w:pPr>
        <w:pStyle w:val="aff"/>
        <w:numPr>
          <w:ilvl w:val="0"/>
          <w:numId w:val="22"/>
        </w:numPr>
        <w:overflowPunct w:val="0"/>
        <w:autoSpaceDE w:val="0"/>
        <w:autoSpaceDN w:val="0"/>
        <w:adjustRightInd w:val="0"/>
        <w:snapToGrid w:val="0"/>
        <w:spacing w:beforeLines="50" w:before="120" w:afterLines="50" w:after="120" w:line="300" w:lineRule="auto"/>
        <w:ind w:left="480" w:hangingChars="200" w:hanging="480"/>
        <w:jc w:val="left"/>
        <w:rPr>
          <w:kern w:val="0"/>
          <w:sz w:val="24"/>
          <w:szCs w:val="24"/>
        </w:rPr>
      </w:pPr>
      <w:r w:rsidRPr="00F72DDB">
        <w:rPr>
          <w:sz w:val="24"/>
          <w:szCs w:val="24"/>
        </w:rPr>
        <w:t>Baseline BMI (&lt; 24 kg/m</w:t>
      </w:r>
      <w:r w:rsidRPr="00F72DDB">
        <w:rPr>
          <w:sz w:val="24"/>
          <w:szCs w:val="24"/>
          <w:vertAlign w:val="superscript"/>
        </w:rPr>
        <w:t>2</w:t>
      </w:r>
      <w:r w:rsidRPr="00F72DDB">
        <w:rPr>
          <w:sz w:val="24"/>
          <w:szCs w:val="24"/>
        </w:rPr>
        <w:t>, ≥ 24 to &lt; 28 kg/m</w:t>
      </w:r>
      <w:r w:rsidRPr="00F72DDB">
        <w:rPr>
          <w:sz w:val="24"/>
          <w:szCs w:val="24"/>
          <w:vertAlign w:val="superscript"/>
        </w:rPr>
        <w:t>2</w:t>
      </w:r>
      <w:r w:rsidRPr="00F72DDB">
        <w:rPr>
          <w:sz w:val="24"/>
          <w:szCs w:val="24"/>
        </w:rPr>
        <w:t>, ≥ 28 to &lt; 32.5 kg/m</w:t>
      </w:r>
      <w:r w:rsidRPr="00F72DDB">
        <w:rPr>
          <w:sz w:val="24"/>
          <w:szCs w:val="24"/>
          <w:vertAlign w:val="superscript"/>
        </w:rPr>
        <w:t>2</w:t>
      </w:r>
      <w:r w:rsidRPr="00F72DDB">
        <w:rPr>
          <w:sz w:val="24"/>
          <w:szCs w:val="24"/>
        </w:rPr>
        <w:t>, ≥ 32.5 kg/m</w:t>
      </w:r>
      <w:r w:rsidRPr="00F72DDB">
        <w:rPr>
          <w:sz w:val="24"/>
          <w:szCs w:val="24"/>
          <w:vertAlign w:val="superscript"/>
        </w:rPr>
        <w:t>2</w:t>
      </w:r>
      <w:r w:rsidRPr="00F72DDB">
        <w:rPr>
          <w:sz w:val="24"/>
          <w:szCs w:val="24"/>
        </w:rPr>
        <w:t>)</w:t>
      </w:r>
    </w:p>
    <w:p w14:paraId="6AC03449" w14:textId="77777777" w:rsidR="0005712D" w:rsidRPr="00F72DDB" w:rsidRDefault="00CF2A39" w:rsidP="004500B1">
      <w:pPr>
        <w:pStyle w:val="aff"/>
        <w:numPr>
          <w:ilvl w:val="0"/>
          <w:numId w:val="22"/>
        </w:numPr>
        <w:overflowPunct w:val="0"/>
        <w:autoSpaceDE w:val="0"/>
        <w:autoSpaceDN w:val="0"/>
        <w:adjustRightInd w:val="0"/>
        <w:snapToGrid w:val="0"/>
        <w:spacing w:beforeLines="50" w:before="120" w:afterLines="50" w:after="120" w:line="300" w:lineRule="auto"/>
        <w:ind w:left="480" w:hangingChars="200" w:hanging="480"/>
        <w:jc w:val="left"/>
        <w:rPr>
          <w:kern w:val="0"/>
          <w:sz w:val="24"/>
          <w:szCs w:val="24"/>
        </w:rPr>
      </w:pPr>
      <w:r w:rsidRPr="00F72DDB">
        <w:rPr>
          <w:sz w:val="24"/>
          <w:szCs w:val="24"/>
        </w:rPr>
        <w:t>Baseline HbA1c (&lt; 8.5%, ≥ 8.5%)</w:t>
      </w:r>
    </w:p>
    <w:p w14:paraId="2BF74EB0" w14:textId="77777777" w:rsidR="0005712D" w:rsidRPr="00F72DDB" w:rsidRDefault="00CF2A39" w:rsidP="004500B1">
      <w:pPr>
        <w:pStyle w:val="aff"/>
        <w:numPr>
          <w:ilvl w:val="0"/>
          <w:numId w:val="22"/>
        </w:numPr>
        <w:overflowPunct w:val="0"/>
        <w:autoSpaceDE w:val="0"/>
        <w:autoSpaceDN w:val="0"/>
        <w:adjustRightInd w:val="0"/>
        <w:snapToGrid w:val="0"/>
        <w:spacing w:beforeLines="50" w:before="120" w:afterLines="50" w:after="120" w:line="300" w:lineRule="auto"/>
        <w:ind w:left="480" w:hangingChars="200" w:hanging="480"/>
        <w:jc w:val="left"/>
        <w:rPr>
          <w:kern w:val="0"/>
          <w:sz w:val="24"/>
          <w:szCs w:val="24"/>
        </w:rPr>
      </w:pPr>
      <w:r w:rsidRPr="00F72DDB">
        <w:rPr>
          <w:sz w:val="24"/>
          <w:szCs w:val="24"/>
        </w:rPr>
        <w:t>Duration of diabetes (≤ 5 years, &gt; 5 to ≤ 10 years, &gt; 10 years)</w:t>
      </w:r>
    </w:p>
    <w:p w14:paraId="6913835B" w14:textId="77777777" w:rsidR="0005712D" w:rsidRPr="00F72DDB" w:rsidRDefault="00CF2A39" w:rsidP="004500B1">
      <w:pPr>
        <w:pStyle w:val="20"/>
        <w:numPr>
          <w:ilvl w:val="0"/>
          <w:numId w:val="22"/>
        </w:numPr>
        <w:overflowPunct w:val="0"/>
        <w:autoSpaceDE w:val="0"/>
        <w:autoSpaceDN w:val="0"/>
        <w:spacing w:beforeLines="50" w:afterLines="50" w:line="300" w:lineRule="auto"/>
        <w:ind w:left="480" w:hangingChars="200" w:hanging="480"/>
        <w:jc w:val="left"/>
        <w:rPr>
          <w:rFonts w:cs="Times New Roman"/>
          <w:sz w:val="24"/>
        </w:rPr>
      </w:pPr>
      <w:r w:rsidRPr="00F72DDB">
        <w:rPr>
          <w:rFonts w:cs="Times New Roman"/>
          <w:sz w:val="24"/>
        </w:rPr>
        <w:t>Diabetes mellitus treatment status (treatment-naive/treatment-experienced)</w:t>
      </w:r>
    </w:p>
    <w:p w14:paraId="1F29E919"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298" w:name="_Toc216186594"/>
      <w:r w:rsidRPr="00F72DDB">
        <w:rPr>
          <w:rFonts w:ascii="Times New Roman" w:hAnsi="Times New Roman" w:cs="Times New Roman"/>
          <w:sz w:val="24"/>
          <w:szCs w:val="24"/>
        </w:rPr>
        <w:t>Pharmacokinetic Analysis</w:t>
      </w:r>
      <w:bookmarkEnd w:id="298"/>
    </w:p>
    <w:p w14:paraId="25E01A5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Pharmacokinetic analyses of plasma RAY1225 and acetaminophen will be conducted by a testing facility designated by the sponsor. The drug concentrations in the plasma at each actual blood sampling point will be determined using the HPLC/MS/MS method, and the PK parameters of individual subjects and each dose group will be calculated by the non-compartmental model using WinNonlin (v8.3 or later).</w:t>
      </w:r>
    </w:p>
    <w:p w14:paraId="5309ED1B"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Key PK data handling principles: a) PK parameters will be calculated based on actual sampling times and actual administered doses. b) Drug concentrations below the lower limit of quantification (BQL): for PK parameter calculation and plotting of individual c-t curves, values before T</w:t>
      </w:r>
      <w:r w:rsidRPr="00F72DDB">
        <w:rPr>
          <w:rFonts w:cs="Times New Roman"/>
          <w:sz w:val="24"/>
          <w:vertAlign w:val="subscript"/>
        </w:rPr>
        <w:t>max</w:t>
      </w:r>
      <w:r w:rsidRPr="00F72DDB">
        <w:rPr>
          <w:rFonts w:cs="Times New Roman"/>
          <w:sz w:val="24"/>
        </w:rPr>
        <w:t xml:space="preserve"> will be set to 0 and values after T</w:t>
      </w:r>
      <w:r w:rsidRPr="00F72DDB">
        <w:rPr>
          <w:rFonts w:cs="Times New Roman"/>
          <w:sz w:val="24"/>
          <w:vertAlign w:val="subscript"/>
        </w:rPr>
        <w:t>max</w:t>
      </w:r>
      <w:r w:rsidRPr="00F72DDB">
        <w:rPr>
          <w:rFonts w:cs="Times New Roman"/>
          <w:sz w:val="24"/>
        </w:rPr>
        <w:t xml:space="preserve"> will be treated as missing; however, for descriptive statistical analysis of plasma concentrations, values will be set to 0, and the number of BQL values at each time point will be reported; no adjustments will be made when listing plasma drug concentration values.</w:t>
      </w:r>
    </w:p>
    <w:p w14:paraId="3EDA00E5" w14:textId="77777777"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lastRenderedPageBreak/>
        <w:t>Plasma concentration analysis: Based on the PKCS, the number of subjects, arithmetic mean, standard deviation, coefficient of variation, median, quartile, minimum, maximum, geometric mean, and geometric coefficient of variation of plasma concentrations of RAY1225 and acetaminophen at each time point (counted separately according to the first and last doses of acetaminophen) will be calculated by dose group, and the mean and individual c-t curves and semi-logarithmic c-t curves will be plotted.</w:t>
      </w:r>
    </w:p>
    <w:p w14:paraId="75EAF394" w14:textId="7ACC7383"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t xml:space="preserve">Subjects with out-of-window blood sampling time points will be listed in detail, and the deviation time, out-of-window time, and deviation percentage will be calculated as follows: </w:t>
      </w:r>
    </w:p>
    <w:p w14:paraId="518F7903" w14:textId="77777777"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t xml:space="preserve">Deviation time (min) = Actual sampling time (min) – Scheduled sampling time (min); </w:t>
      </w:r>
    </w:p>
    <w:p w14:paraId="082258DC" w14:textId="77777777" w:rsidR="0005712D" w:rsidRPr="00AC124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pacing w:val="-2"/>
          <w:sz w:val="24"/>
        </w:rPr>
      </w:pPr>
      <w:r w:rsidRPr="00AC124B">
        <w:rPr>
          <w:rFonts w:cs="Times New Roman"/>
          <w:spacing w:val="-2"/>
          <w:sz w:val="24"/>
        </w:rPr>
        <w:t xml:space="preserve">Out-of-window time (min) = Absolute value of deviation time (min) – Allowable deviation (min); </w:t>
      </w:r>
    </w:p>
    <w:p w14:paraId="4988CC34" w14:textId="77777777"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t>Deviation percentage (%) = Deviation time/Interval between scheduled blood sampling time and dosing time × 100%;</w:t>
      </w:r>
    </w:p>
    <w:p w14:paraId="4C613419" w14:textId="77777777"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t>Analysis of PK parameters: Based on the PKPS, the PK parameters of RAY1225 and acetaminophen in each subject will be calculated using a non-compartmental model, and the number of subjects, arithmetic mean, standard deviation, coefficient of variation, quartiles, minimum, maximum, geometric mean, and geometric coefficient of variation of each PK parameter will be calculated.</w:t>
      </w:r>
    </w:p>
    <w:p w14:paraId="6D910C7A" w14:textId="77777777" w:rsidR="0005712D" w:rsidRPr="00F72DDB" w:rsidRDefault="00CF2A39" w:rsidP="00AC124B">
      <w:pPr>
        <w:overflowPunct w:val="0"/>
        <w:autoSpaceDE w:val="0"/>
        <w:autoSpaceDN w:val="0"/>
        <w:adjustRightInd w:val="0"/>
        <w:snapToGrid w:val="0"/>
        <w:spacing w:beforeLines="50" w:before="120" w:afterLines="50" w:after="120" w:line="293" w:lineRule="auto"/>
        <w:jc w:val="left"/>
        <w:rPr>
          <w:rFonts w:cs="Times New Roman"/>
          <w:sz w:val="24"/>
        </w:rPr>
      </w:pPr>
      <w:r w:rsidRPr="00F72DDB">
        <w:rPr>
          <w:rFonts w:cs="Times New Roman"/>
          <w:sz w:val="24"/>
        </w:rPr>
        <w:t>Dose proportionality analysis: If the data permit, the power function model (lnPK = α + β × lnDose + Error) will be used to analyze the C</w:t>
      </w:r>
      <w:r w:rsidRPr="00F72DDB">
        <w:rPr>
          <w:rFonts w:cs="Times New Roman"/>
          <w:sz w:val="24"/>
          <w:vertAlign w:val="subscript"/>
        </w:rPr>
        <w:t>max, ss</w:t>
      </w:r>
      <w:r w:rsidRPr="00F72DDB">
        <w:rPr>
          <w:rFonts w:cs="Times New Roman"/>
          <w:sz w:val="24"/>
        </w:rPr>
        <w:t>, AUC</w:t>
      </w:r>
      <w:r w:rsidRPr="00F72DDB">
        <w:rPr>
          <w:rFonts w:cs="Times New Roman"/>
          <w:sz w:val="24"/>
          <w:vertAlign w:val="subscript"/>
        </w:rPr>
        <w:t>0-τ, ss</w:t>
      </w:r>
      <w:r w:rsidRPr="00F72DDB">
        <w:rPr>
          <w:rFonts w:cs="Times New Roman"/>
          <w:sz w:val="24"/>
        </w:rPr>
        <w:t>, and AUC</w:t>
      </w:r>
      <w:r w:rsidRPr="00F72DDB">
        <w:rPr>
          <w:rFonts w:cs="Times New Roman"/>
          <w:sz w:val="24"/>
          <w:vertAlign w:val="subscript"/>
        </w:rPr>
        <w:t>0-∞</w:t>
      </w:r>
      <w:r w:rsidRPr="00F72DDB">
        <w:rPr>
          <w:rFonts w:cs="Times New Roman"/>
          <w:sz w:val="24"/>
        </w:rPr>
        <w:t xml:space="preserve"> of RAY1225 after multiple doses, and the β value and its 95% CI will be calculated.</w:t>
      </w:r>
    </w:p>
    <w:p w14:paraId="481873EE" w14:textId="181833A1" w:rsidR="0005712D" w:rsidRPr="00F72DDB" w:rsidRDefault="00CF2A39" w:rsidP="00AC124B">
      <w:pPr>
        <w:overflowPunct w:val="0"/>
        <w:autoSpaceDE w:val="0"/>
        <w:autoSpaceDN w:val="0"/>
        <w:adjustRightInd w:val="0"/>
        <w:snapToGrid w:val="0"/>
        <w:spacing w:beforeLines="50" w:before="120" w:afterLines="50" w:after="120" w:line="293" w:lineRule="auto"/>
        <w:jc w:val="left"/>
        <w:rPr>
          <w:rFonts w:cs="Times New Roman"/>
          <w:sz w:val="24"/>
        </w:rPr>
      </w:pPr>
      <w:r w:rsidRPr="00F72DDB">
        <w:rPr>
          <w:rFonts w:cs="Times New Roman"/>
          <w:sz w:val="24"/>
        </w:rPr>
        <w:t>The linear relationship between the PK parameters and the administered dose will be determined according to the following intervals: (1 + ln(θ</w:t>
      </w:r>
      <w:r w:rsidRPr="00F72DDB">
        <w:rPr>
          <w:rFonts w:cs="Times New Roman"/>
          <w:sz w:val="24"/>
          <w:vertAlign w:val="subscript"/>
        </w:rPr>
        <w:t>L</w:t>
      </w:r>
      <w:r w:rsidRPr="00F72DDB">
        <w:rPr>
          <w:rFonts w:cs="Times New Roman"/>
          <w:sz w:val="24"/>
        </w:rPr>
        <w:t>)/ln(r), 1 + ln(θ</w:t>
      </w:r>
      <w:r w:rsidRPr="00F72DDB">
        <w:rPr>
          <w:rFonts w:cs="Times New Roman"/>
          <w:sz w:val="24"/>
          <w:vertAlign w:val="subscript"/>
        </w:rPr>
        <w:t>H</w:t>
      </w:r>
      <w:r w:rsidRPr="00F72DDB">
        <w:rPr>
          <w:rFonts w:cs="Times New Roman"/>
          <w:sz w:val="24"/>
        </w:rPr>
        <w:t>)/ln(r)). If the 95% CI for β is within this interval, dose proportionality is established. θ</w:t>
      </w:r>
      <w:r w:rsidRPr="00F72DDB">
        <w:rPr>
          <w:rFonts w:cs="Times New Roman"/>
          <w:sz w:val="24"/>
          <w:vertAlign w:val="subscript"/>
        </w:rPr>
        <w:t>L</w:t>
      </w:r>
      <w:r w:rsidRPr="00F72DDB">
        <w:rPr>
          <w:rFonts w:cs="Times New Roman"/>
          <w:sz w:val="24"/>
        </w:rPr>
        <w:t xml:space="preserve"> = 0.8, θ</w:t>
      </w:r>
      <w:r w:rsidRPr="00F72DDB">
        <w:rPr>
          <w:rFonts w:cs="Times New Roman"/>
          <w:sz w:val="24"/>
          <w:vertAlign w:val="subscript"/>
        </w:rPr>
        <w:t>H</w:t>
      </w:r>
      <w:r w:rsidRPr="00F72DDB">
        <w:rPr>
          <w:rFonts w:cs="Times New Roman"/>
          <w:sz w:val="24"/>
        </w:rPr>
        <w:t xml:space="preserve"> = 1.25, where r is the dosing range (e.g., if the minimum dose is 9 and the maximum dose is 15, r = 1.67).</w:t>
      </w:r>
    </w:p>
    <w:p w14:paraId="6D244AEC" w14:textId="77777777"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t xml:space="preserve">Steady-state analysis: After the plasma concentrations before 3 consecutive target doses are normalized (i.e., divided by the plasma concentration before the last dose), linear regression will be performed. If the 95% CI of the regression slope includes 0, steady state </w:t>
      </w:r>
      <w:proofErr w:type="gramStart"/>
      <w:r w:rsidRPr="00F72DDB">
        <w:rPr>
          <w:rFonts w:cs="Times New Roman"/>
          <w:sz w:val="24"/>
        </w:rPr>
        <w:t>is considered to be</w:t>
      </w:r>
      <w:proofErr w:type="gramEnd"/>
      <w:r w:rsidRPr="00F72DDB">
        <w:rPr>
          <w:rFonts w:cs="Times New Roman"/>
          <w:sz w:val="24"/>
        </w:rPr>
        <w:t xml:space="preserve"> achieved.</w:t>
      </w:r>
    </w:p>
    <w:p w14:paraId="245B3B4B" w14:textId="77777777" w:rsidR="0005712D" w:rsidRPr="00F72DDB" w:rsidRDefault="00CF2A39" w:rsidP="00AC124B">
      <w:pPr>
        <w:pStyle w:val="Normal2"/>
        <w:overflowPunct w:val="0"/>
        <w:autoSpaceDE w:val="0"/>
        <w:autoSpaceDN w:val="0"/>
        <w:adjustRightInd w:val="0"/>
        <w:snapToGrid w:val="0"/>
        <w:spacing w:beforeLines="50" w:before="120" w:afterLines="50" w:after="120" w:line="293" w:lineRule="auto"/>
        <w:ind w:firstLine="0"/>
        <w:jc w:val="left"/>
        <w:rPr>
          <w:rFonts w:cs="Times New Roman"/>
          <w:sz w:val="24"/>
        </w:rPr>
      </w:pPr>
      <w:r w:rsidRPr="00F72DDB">
        <w:rPr>
          <w:rFonts w:cs="Times New Roman"/>
          <w:sz w:val="24"/>
        </w:rPr>
        <w:t>Effect analysis of gastric emptying: Analyses for the placebo and RAY1225 groups will be performed separately. The natural log-transformed C</w:t>
      </w:r>
      <w:r w:rsidRPr="00F72DDB">
        <w:rPr>
          <w:rFonts w:cs="Times New Roman"/>
          <w:sz w:val="24"/>
          <w:vertAlign w:val="subscript"/>
        </w:rPr>
        <w:t>max</w:t>
      </w:r>
      <w:r w:rsidRPr="00F72DDB">
        <w:rPr>
          <w:rFonts w:cs="Times New Roman"/>
          <w:sz w:val="24"/>
        </w:rPr>
        <w:t>, AUC</w:t>
      </w:r>
      <w:r w:rsidRPr="00F72DDB">
        <w:rPr>
          <w:rFonts w:cs="Times New Roman"/>
          <w:sz w:val="24"/>
          <w:vertAlign w:val="subscript"/>
        </w:rPr>
        <w:t>0-∞</w:t>
      </w:r>
      <w:r w:rsidRPr="00F72DDB">
        <w:rPr>
          <w:rFonts w:cs="Times New Roman"/>
          <w:sz w:val="24"/>
        </w:rPr>
        <w:t>, and AUC</w:t>
      </w:r>
      <w:r w:rsidRPr="00F72DDB">
        <w:rPr>
          <w:rFonts w:cs="Times New Roman"/>
          <w:sz w:val="24"/>
          <w:vertAlign w:val="subscript"/>
        </w:rPr>
        <w:t>0-t</w:t>
      </w:r>
      <w:r w:rsidRPr="00F72DDB">
        <w:rPr>
          <w:rFonts w:cs="Times New Roman"/>
          <w:sz w:val="24"/>
        </w:rPr>
        <w:t xml:space="preserve"> after 2 doses of acetaminophen will be analyzed using a linear mixed-effect model, and the geometric mean ratio (GMR) (administered/not administered) and its 90% CI will be calculated using the administration of the investigational drug (RAY1225) as fixed effect and the subject as random effect. T</w:t>
      </w:r>
      <w:r w:rsidRPr="00F72DDB">
        <w:rPr>
          <w:rFonts w:cs="Times New Roman"/>
          <w:sz w:val="24"/>
          <w:vertAlign w:val="subscript"/>
        </w:rPr>
        <w:t>max</w:t>
      </w:r>
      <w:r w:rsidRPr="00F72DDB">
        <w:rPr>
          <w:rFonts w:cs="Times New Roman"/>
          <w:sz w:val="24"/>
        </w:rPr>
        <w:t xml:space="preserve"> and T</w:t>
      </w:r>
      <w:r w:rsidRPr="00F72DDB">
        <w:rPr>
          <w:rFonts w:cs="Times New Roman"/>
          <w:sz w:val="24"/>
          <w:vertAlign w:val="subscript"/>
        </w:rPr>
        <w:t>lag</w:t>
      </w:r>
      <w:r w:rsidRPr="00F72DDB">
        <w:rPr>
          <w:rFonts w:cs="Times New Roman"/>
          <w:sz w:val="24"/>
        </w:rPr>
        <w:t xml:space="preserve"> will be tested using nonparametric methods, and the Hodges-Lehmann estimates will be used to calculate the median difference and its 95% CI.</w:t>
      </w:r>
    </w:p>
    <w:p w14:paraId="135919B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lastRenderedPageBreak/>
        <w:t>PK parameters (C</w:t>
      </w:r>
      <w:r w:rsidRPr="00F72DDB">
        <w:rPr>
          <w:rFonts w:cs="Times New Roman"/>
          <w:sz w:val="24"/>
          <w:vertAlign w:val="subscript"/>
        </w:rPr>
        <w:t>max</w:t>
      </w:r>
      <w:r w:rsidRPr="00F72DDB">
        <w:rPr>
          <w:rFonts w:cs="Times New Roman"/>
          <w:sz w:val="24"/>
        </w:rPr>
        <w:t>, AUC</w:t>
      </w:r>
      <w:r w:rsidRPr="00F72DDB">
        <w:rPr>
          <w:rFonts w:cs="Times New Roman"/>
          <w:sz w:val="24"/>
          <w:vertAlign w:val="subscript"/>
        </w:rPr>
        <w:t>0-∞</w:t>
      </w:r>
      <w:r w:rsidRPr="00F72DDB">
        <w:rPr>
          <w:rFonts w:cs="Times New Roman"/>
          <w:sz w:val="24"/>
        </w:rPr>
        <w:t>, AUC</w:t>
      </w:r>
      <w:r w:rsidRPr="00F72DDB">
        <w:rPr>
          <w:rFonts w:cs="Times New Roman"/>
          <w:sz w:val="24"/>
          <w:vertAlign w:val="subscript"/>
        </w:rPr>
        <w:t>0-t</w:t>
      </w:r>
      <w:r w:rsidRPr="00F72DDB">
        <w:rPr>
          <w:rFonts w:cs="Times New Roman"/>
          <w:sz w:val="24"/>
        </w:rPr>
        <w:t>) for acetaminophen will also be analyzed separately using linear mixed-effects models after log transformation, with treatment group, visit, and their interaction as fixed effects and subject as a random effect. Geometric mean ratios and 95% CIs for the investigational drug and placebo groups will be calculated. T</w:t>
      </w:r>
      <w:r w:rsidRPr="00F72DDB">
        <w:rPr>
          <w:rFonts w:cs="Times New Roman"/>
          <w:sz w:val="24"/>
          <w:vertAlign w:val="subscript"/>
        </w:rPr>
        <w:t>max</w:t>
      </w:r>
      <w:r w:rsidRPr="00F72DDB">
        <w:rPr>
          <w:rFonts w:cs="Times New Roman"/>
          <w:sz w:val="24"/>
        </w:rPr>
        <w:t xml:space="preserve"> and T</w:t>
      </w:r>
      <w:r w:rsidRPr="00F72DDB">
        <w:rPr>
          <w:rFonts w:cs="Times New Roman"/>
          <w:sz w:val="24"/>
          <w:vertAlign w:val="subscript"/>
        </w:rPr>
        <w:t>lag</w:t>
      </w:r>
      <w:r w:rsidRPr="00F72DDB">
        <w:rPr>
          <w:rFonts w:cs="Times New Roman"/>
          <w:sz w:val="24"/>
        </w:rPr>
        <w:t xml:space="preserve"> will be assessed using nonparametric tests, and the Hodges-Lehmann estimates will be used to calculate the median difference and its 95% CI between the RAY1225 and placebo groups.</w:t>
      </w:r>
    </w:p>
    <w:p w14:paraId="14252D35" w14:textId="77777777" w:rsidR="0005712D" w:rsidRPr="00F72DDB" w:rsidRDefault="00CF2A39" w:rsidP="00101741">
      <w:pPr>
        <w:pStyle w:val="2"/>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4"/>
          <w:szCs w:val="24"/>
        </w:rPr>
      </w:pPr>
      <w:bookmarkStart w:id="299" w:name="_Toc216186595"/>
      <w:r w:rsidRPr="00F72DDB">
        <w:rPr>
          <w:rFonts w:ascii="Times New Roman" w:hAnsi="Times New Roman" w:cs="Times New Roman"/>
          <w:sz w:val="24"/>
          <w:szCs w:val="24"/>
        </w:rPr>
        <w:t>Immunogenicity Analysis</w:t>
      </w:r>
      <w:bookmarkEnd w:id="299"/>
    </w:p>
    <w:p w14:paraId="51DE0651"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color w:val="auto"/>
          <w:szCs w:val="24"/>
        </w:rPr>
        <w:t>Based on the ADAS, the baseline data will be summarized by group: number of subjects with pre-existing antibodies, number of subjects positive for endogenous GLP-1 cross-reactivity, number of subjects positive for endogenous GIP cross-reactivity, and number of subjects positive for GLP-1 and GIP neutralizing antibodies; post-dose: number of subjects ADA positive, number of subjects TE-ADA positive, number of subjects TE-ADA negative, number of subjects GIP Nab positive, number of subjects GLP-1 Nab positive, number of subjects positive for endogenous GLP-1 cross-reactivity, and number of subjects positive for endogenous GIP cross-reactivity, all presented as number of subjects and percentage. TE-ADA-positive cases will be further characterized as treatment-boosted antibodies or treatment-induced antibodies. Titers of pre-existing antibodies, post-dose ADA-positive antibodies, and TE-ADA-positive antibodies will be summarized by group, using number of subjects, median, quartiles, minimum, and maximum.</w:t>
      </w:r>
    </w:p>
    <w:p w14:paraId="52333A45" w14:textId="439A5E03"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szCs w:val="24"/>
        </w:rPr>
      </w:pPr>
      <w:r w:rsidRPr="00F72DDB">
        <w:rPr>
          <w:rFonts w:cs="Times New Roman"/>
          <w:szCs w:val="24"/>
        </w:rPr>
        <w:t>The results at each visit and the cumulative first post-dose occurrence of ADA positivity, TE-ADA positivity, positivity for cross-reactivity with endogenous GLP-1 and GIP, and GLP-1 and GIP neutralizing antibody positivity will be summarized by group. For each visit, the titer range and distribution will be summarized, and titer-time curves will be plotted. For TE-ADA-positive subjects, the titer range and distribution at each visit will be summarized, and titer-time curves will be plotted. Histograms of the frequency distribution of the maximum titer in ADA-positive and TE-ADA-positive subjects post-dose will be plotted, and box plots of titer ranges at each visit will be plotted.</w:t>
      </w:r>
    </w:p>
    <w:p w14:paraId="2C249AB5"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color w:val="auto"/>
          <w:szCs w:val="24"/>
        </w:rPr>
        <w:t>The relevant definitions are as follows:</w:t>
      </w:r>
    </w:p>
    <w:p w14:paraId="0AB566B5"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color w:val="auto"/>
          <w:szCs w:val="24"/>
        </w:rPr>
        <w:t>Pre-existing antibodies: defined as ADA positivity pre-dose; treatment-emergent ADA (TE-ADA) positivity: includes treatment-boosted antibodies and treatment-induced antibodies. Treatment-boosted antibodies: pre-existing antibodies are present pre-dose, and the ADA titer increases to at least ≥ 4-fold relative to the pre-dose level at least once post-dose; treatment-induced antibodies: no pre-existing antibodies are present pre-dose, and ADA positivity is observed at least once only post-dose; TE-ADA negative: no treatment-induced or treatment-boosted anti-drug antibodies are detected in any post-dose samples.</w:t>
      </w:r>
    </w:p>
    <w:p w14:paraId="2BCCD2F7"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color w:val="auto"/>
          <w:szCs w:val="24"/>
        </w:rPr>
        <w:lastRenderedPageBreak/>
        <w:t>For all subjects, the following will be calculated and listed separately: time to first onset of TE-ADA positivity, maximum post-dose ADA titer and titer range, fold-change from baseline in titer (maximum value and range), duration of TE-ADA, and time to seroreversion. In addition, the following will be listed: presence or absence of pre-existing antibodies (if present, titers will be listed), post-dose endogenous GLP-1 and GIP cross-reactive or Nab positivity/negativity, occurrence of hypersensitivity/injection site reactions (if present, specific terms will be listed), and change from baseline in HbA1c at Week 24 of treatment.</w:t>
      </w:r>
    </w:p>
    <w:p w14:paraId="21BAC28B"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b/>
          <w:bCs/>
          <w:color w:val="auto"/>
          <w:kern w:val="0"/>
          <w:szCs w:val="24"/>
        </w:rPr>
      </w:pPr>
      <w:r w:rsidRPr="00F72DDB">
        <w:rPr>
          <w:rFonts w:cs="Times New Roman"/>
          <w:b/>
          <w:bCs/>
          <w:color w:val="auto"/>
          <w:szCs w:val="24"/>
        </w:rPr>
        <w:t>Immunogenicity-efficacy correlation analyses</w:t>
      </w:r>
    </w:p>
    <w:p w14:paraId="0E9EFC45"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color w:val="auto"/>
          <w:szCs w:val="24"/>
        </w:rPr>
        <w:t>For subgroups defined by post-dose ADA/TE-ADA/GIP Nab/GLP-1 Nab positivity or negativity, changes and percent changes from baseline in HbA1c and body weight at Week 24 of treatment will be described by group. In addition, scatter plots will be generated for all subjects to display the relationship between maximum post-dose titer and changes and percent changes from baseline in the primary endpoints (HbA1c and body weight) at Week 24 of treatment.</w:t>
      </w:r>
    </w:p>
    <w:p w14:paraId="6EB275F1"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b/>
          <w:bCs/>
          <w:color w:val="auto"/>
          <w:kern w:val="0"/>
          <w:szCs w:val="24"/>
        </w:rPr>
      </w:pPr>
      <w:r w:rsidRPr="00F72DDB">
        <w:rPr>
          <w:rFonts w:cs="Times New Roman"/>
          <w:b/>
          <w:bCs/>
          <w:color w:val="auto"/>
          <w:szCs w:val="24"/>
        </w:rPr>
        <w:t>Immunogenicity-PK correlation analyses</w:t>
      </w:r>
    </w:p>
    <w:p w14:paraId="2C8F6BA3"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szCs w:val="24"/>
        </w:rPr>
        <w:t>For subgroups defined by post-dose ADA/TE-ADA/GIP Nab/GLP-1 Nab positivity or negativity, the primary PK parameters (C</w:t>
      </w:r>
      <w:r w:rsidRPr="00F72DDB">
        <w:rPr>
          <w:rFonts w:cs="Times New Roman"/>
          <w:szCs w:val="24"/>
          <w:vertAlign w:val="subscript"/>
        </w:rPr>
        <w:t>max</w:t>
      </w:r>
      <w:r w:rsidRPr="00F72DDB">
        <w:rPr>
          <w:rFonts w:cs="Times New Roman"/>
          <w:szCs w:val="24"/>
        </w:rPr>
        <w:t>, AUC, t</w:t>
      </w:r>
      <w:r w:rsidRPr="00F72DDB">
        <w:rPr>
          <w:rFonts w:cs="Times New Roman"/>
          <w:szCs w:val="24"/>
          <w:vertAlign w:val="subscript"/>
        </w:rPr>
        <w:t>1/2</w:t>
      </w:r>
      <w:r w:rsidRPr="00F72DDB">
        <w:rPr>
          <w:rFonts w:cs="Times New Roman"/>
          <w:szCs w:val="24"/>
        </w:rPr>
        <w:t>, CL/F, and V/F) in the Part B dose escalation group will be described by group.</w:t>
      </w:r>
    </w:p>
    <w:p w14:paraId="031D320F"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b/>
          <w:bCs/>
          <w:color w:val="auto"/>
          <w:kern w:val="0"/>
          <w:szCs w:val="24"/>
        </w:rPr>
      </w:pPr>
      <w:r w:rsidRPr="00F72DDB">
        <w:rPr>
          <w:rFonts w:cs="Times New Roman"/>
          <w:b/>
          <w:bCs/>
          <w:color w:val="auto"/>
          <w:szCs w:val="24"/>
        </w:rPr>
        <w:t>Immunogenicity-safety correlation analyses</w:t>
      </w:r>
    </w:p>
    <w:p w14:paraId="04758BDB" w14:textId="77777777" w:rsidR="0005712D" w:rsidRPr="00F72DDB" w:rsidRDefault="00CF2A39" w:rsidP="004F1FD9">
      <w:pPr>
        <w:pStyle w:val="Aff3"/>
        <w:overflowPunct w:val="0"/>
        <w:autoSpaceDE w:val="0"/>
        <w:autoSpaceDN w:val="0"/>
        <w:adjustRightInd w:val="0"/>
        <w:snapToGrid w:val="0"/>
        <w:spacing w:beforeLines="50" w:before="120" w:afterLines="50" w:after="120" w:line="300" w:lineRule="auto"/>
        <w:ind w:firstLineChars="0" w:firstLine="0"/>
        <w:jc w:val="left"/>
        <w:rPr>
          <w:rFonts w:cs="Times New Roman"/>
          <w:color w:val="auto"/>
          <w:kern w:val="0"/>
          <w:szCs w:val="24"/>
        </w:rPr>
      </w:pPr>
      <w:r w:rsidRPr="00F72DDB">
        <w:rPr>
          <w:rFonts w:cs="Times New Roman"/>
          <w:color w:val="auto"/>
          <w:szCs w:val="24"/>
        </w:rPr>
        <w:t>For subgroups defined by post-treatment ADA/TE-ADA/GIP Nab/GLP-1 Nab positivity or negativity, the incidence of hypersensitivity reactions and injection site reactions during the study will be described separately for the placebo group and RAY1225 groups, and the number and percentage of subjects with events will be calculated.</w:t>
      </w:r>
    </w:p>
    <w:p w14:paraId="4CE47A3E" w14:textId="32053761" w:rsidR="0005712D" w:rsidRPr="004F1FD9" w:rsidRDefault="004F1FD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300" w:name="_Toc77670976"/>
      <w:bookmarkStart w:id="301" w:name="_Toc77670977"/>
      <w:bookmarkStart w:id="302" w:name="_Toc77670974"/>
      <w:bookmarkStart w:id="303" w:name="_Toc77670980"/>
      <w:bookmarkStart w:id="304" w:name="_Toc77670979"/>
      <w:bookmarkStart w:id="305" w:name="_Toc77670982"/>
      <w:bookmarkStart w:id="306" w:name="_Toc77670973"/>
      <w:bookmarkStart w:id="307" w:name="_Toc77670975"/>
      <w:bookmarkStart w:id="308" w:name="_Toc77670983"/>
      <w:bookmarkStart w:id="309" w:name="_Toc77670981"/>
      <w:bookmarkStart w:id="310" w:name="_Toc77670978"/>
      <w:bookmarkStart w:id="311" w:name="_Toc216186596"/>
      <w:bookmarkEnd w:id="300"/>
      <w:bookmarkEnd w:id="301"/>
      <w:bookmarkEnd w:id="302"/>
      <w:bookmarkEnd w:id="303"/>
      <w:bookmarkEnd w:id="304"/>
      <w:bookmarkEnd w:id="305"/>
      <w:bookmarkEnd w:id="306"/>
      <w:bookmarkEnd w:id="307"/>
      <w:bookmarkEnd w:id="308"/>
      <w:bookmarkEnd w:id="309"/>
      <w:bookmarkEnd w:id="310"/>
      <w:r w:rsidRPr="004F1FD9">
        <w:rPr>
          <w:rFonts w:ascii="Times New Roman" w:hAnsi="Times New Roman" w:cs="Times New Roman"/>
          <w:caps w:val="0"/>
          <w:sz w:val="28"/>
          <w:szCs w:val="28"/>
        </w:rPr>
        <w:t>INTERIM ANALYSIS</w:t>
      </w:r>
      <w:bookmarkEnd w:id="311"/>
    </w:p>
    <w:p w14:paraId="1210DD83"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No formal interim analysis will be performed for this study. During the conduct of the study, if the principal investigator, the sponsor, and the statistical analysis unit consider that an interim analysis is needed, unblinding will be performed; this unblinding will not affect maintenance of blinding for other study cohorts that are still ongoing.</w:t>
      </w:r>
    </w:p>
    <w:p w14:paraId="2C0E9A65"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In Part B dose escalation study, at the predefined tolerability assessment timepoint for each dose escalation group, a safety review of all available safety and tolerability data will be performed (database lock is not required) to determine whether to proceed to the next dose level. After the end of the study in each dose group, the study team will analyze the obtained blinded PK data and determine the dose and dosage regimen for subsequent dose groups in combination with the safety results.</w:t>
      </w:r>
    </w:p>
    <w:p w14:paraId="4745EA2F"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lastRenderedPageBreak/>
        <w:t xml:space="preserve">The investigator will participate in the above judgment and analysis. </w:t>
      </w:r>
      <w:proofErr w:type="gramStart"/>
      <w:r w:rsidRPr="00F72DDB">
        <w:rPr>
          <w:rFonts w:cs="Times New Roman"/>
          <w:sz w:val="24"/>
        </w:rPr>
        <w:t>For the purpose of</w:t>
      </w:r>
      <w:proofErr w:type="gramEnd"/>
      <w:r w:rsidRPr="00F72DDB">
        <w:rPr>
          <w:rFonts w:cs="Times New Roman"/>
          <w:sz w:val="24"/>
        </w:rPr>
        <w:t xml:space="preserve"> providing information, consultation, or decision-making, the clinical team may communicate with the sponsor on the open-label interim results.</w:t>
      </w:r>
    </w:p>
    <w:p w14:paraId="4AE59E24" w14:textId="29FE1E41" w:rsidR="0005712D" w:rsidRPr="004F1FD9" w:rsidRDefault="004F1FD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312" w:name="_Toc216186597"/>
      <w:r w:rsidRPr="004F1FD9">
        <w:rPr>
          <w:rFonts w:ascii="Times New Roman" w:hAnsi="Times New Roman" w:cs="Times New Roman"/>
          <w:caps w:val="0"/>
          <w:sz w:val="28"/>
          <w:szCs w:val="28"/>
        </w:rPr>
        <w:t>REFERENCES</w:t>
      </w:r>
      <w:bookmarkEnd w:id="312"/>
    </w:p>
    <w:p w14:paraId="65F0B34D"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[1] NMPA: Guidelines for Biostatistics in Drug Clinical Trials, 2016</w:t>
      </w:r>
      <w:r w:rsidRPr="00F72DDB">
        <w:rPr>
          <w:rFonts w:cs="Times New Roman" w:hint="eastAsia"/>
          <w:sz w:val="24"/>
        </w:rPr>
        <w:t>.</w:t>
      </w:r>
    </w:p>
    <w:p w14:paraId="5E1B8436"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[2] NMPA: Guidelines for Data Management and Statistical Analysis Plan in Drug Clinical Trials, 2022</w:t>
      </w:r>
      <w:r w:rsidRPr="00F72DDB">
        <w:rPr>
          <w:rFonts w:cs="Times New Roman" w:hint="eastAsia"/>
          <w:sz w:val="24"/>
        </w:rPr>
        <w:t>.</w:t>
      </w:r>
    </w:p>
    <w:p w14:paraId="60ABF364"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[3] ICH: Statistical Principles for Clinical Trials - E9, 1998.</w:t>
      </w:r>
    </w:p>
    <w:p w14:paraId="361AF0F8" w14:textId="77777777" w:rsidR="0005712D" w:rsidRPr="00F72DDB" w:rsidRDefault="00CF2A39" w:rsidP="004F1FD9">
      <w:pPr>
        <w:pStyle w:val="Normal2"/>
        <w:overflowPunct w:val="0"/>
        <w:autoSpaceDE w:val="0"/>
        <w:autoSpaceDN w:val="0"/>
        <w:adjustRightInd w:val="0"/>
        <w:snapToGrid w:val="0"/>
        <w:spacing w:beforeLines="50" w:before="120" w:afterLines="50" w:after="120" w:line="300" w:lineRule="auto"/>
        <w:ind w:firstLine="0"/>
        <w:jc w:val="left"/>
        <w:rPr>
          <w:rFonts w:cs="Times New Roman"/>
          <w:sz w:val="24"/>
        </w:rPr>
      </w:pPr>
      <w:r w:rsidRPr="00F72DDB">
        <w:rPr>
          <w:rFonts w:cs="Times New Roman"/>
          <w:sz w:val="24"/>
        </w:rPr>
        <w:t>[4] ICH: Structure and Content of Clinical Study Reports – E3, 1995.</w:t>
      </w:r>
    </w:p>
    <w:p w14:paraId="3232B281" w14:textId="77777777" w:rsidR="0005712D" w:rsidRPr="004F1FD9" w:rsidRDefault="00CF2A39" w:rsidP="00101741">
      <w:pPr>
        <w:pStyle w:val="1"/>
        <w:keepNext w:val="0"/>
        <w:keepLines w:val="0"/>
        <w:overflowPunct w:val="0"/>
        <w:autoSpaceDE w:val="0"/>
        <w:autoSpaceDN w:val="0"/>
        <w:adjustRightInd w:val="0"/>
        <w:spacing w:beforeLines="50" w:before="120" w:afterLines="50" w:after="120" w:line="300" w:lineRule="auto"/>
        <w:rPr>
          <w:rFonts w:ascii="Times New Roman" w:hAnsi="Times New Roman" w:cs="Times New Roman"/>
          <w:sz w:val="28"/>
          <w:szCs w:val="28"/>
        </w:rPr>
      </w:pPr>
      <w:bookmarkStart w:id="313" w:name="_Toc216186598"/>
      <w:r w:rsidRPr="004F1FD9">
        <w:rPr>
          <w:rFonts w:ascii="Times New Roman" w:hAnsi="Times New Roman" w:cs="Times New Roman"/>
          <w:sz w:val="28"/>
          <w:szCs w:val="28"/>
        </w:rPr>
        <w:t>DESCRIPTION OF INCONSISTENCY WITH THE PROTOCOL</w:t>
      </w:r>
      <w:bookmarkEnd w:id="313"/>
    </w:p>
    <w:tbl>
      <w:tblPr>
        <w:tblStyle w:val="af9"/>
        <w:tblW w:w="5000" w:type="pct"/>
        <w:tblLook w:val="04A0" w:firstRow="1" w:lastRow="0" w:firstColumn="1" w:lastColumn="0" w:noHBand="0" w:noVBand="1"/>
      </w:tblPr>
      <w:tblGrid>
        <w:gridCol w:w="1808"/>
        <w:gridCol w:w="4912"/>
        <w:gridCol w:w="2756"/>
      </w:tblGrid>
      <w:tr w:rsidR="0005712D" w:rsidRPr="00101741" w14:paraId="65DDADF1" w14:textId="77777777" w:rsidTr="00AC124B">
        <w:tc>
          <w:tcPr>
            <w:tcW w:w="95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B3D467" w14:textId="77777777" w:rsidR="0005712D" w:rsidRPr="00101741" w:rsidRDefault="00CF2A39" w:rsidP="00306959">
            <w:pPr>
              <w:snapToGrid w:val="0"/>
              <w:spacing w:before="0" w:after="0" w:line="240" w:lineRule="auto"/>
              <w:jc w:val="left"/>
              <w:rPr>
                <w:rFonts w:cs="Times New Roman"/>
                <w:b/>
                <w:bCs/>
                <w:sz w:val="20"/>
                <w:szCs w:val="20"/>
              </w:rPr>
            </w:pPr>
            <w:r w:rsidRPr="00101741">
              <w:rPr>
                <w:rFonts w:cs="Times New Roman"/>
                <w:b/>
                <w:bCs/>
                <w:sz w:val="20"/>
                <w:szCs w:val="20"/>
              </w:rPr>
              <w:t>Definition in study protocol</w:t>
            </w:r>
          </w:p>
        </w:tc>
        <w:tc>
          <w:tcPr>
            <w:tcW w:w="25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E85E45" w14:textId="77777777" w:rsidR="0005712D" w:rsidRPr="00101741" w:rsidRDefault="00CF2A39" w:rsidP="00306959">
            <w:pPr>
              <w:snapToGrid w:val="0"/>
              <w:spacing w:before="0" w:after="0" w:line="240" w:lineRule="auto"/>
              <w:jc w:val="left"/>
              <w:rPr>
                <w:rFonts w:cs="Times New Roman"/>
                <w:b/>
                <w:bCs/>
                <w:sz w:val="20"/>
                <w:szCs w:val="20"/>
              </w:rPr>
            </w:pPr>
            <w:r w:rsidRPr="00101741">
              <w:rPr>
                <w:rFonts w:cs="Times New Roman"/>
                <w:b/>
                <w:bCs/>
                <w:sz w:val="20"/>
                <w:szCs w:val="20"/>
              </w:rPr>
              <w:t>Defined in SAP</w:t>
            </w:r>
          </w:p>
        </w:tc>
        <w:tc>
          <w:tcPr>
            <w:tcW w:w="145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753171" w14:textId="77777777" w:rsidR="0005712D" w:rsidRPr="00101741" w:rsidRDefault="00CF2A39" w:rsidP="00306959">
            <w:pPr>
              <w:snapToGrid w:val="0"/>
              <w:spacing w:before="0" w:after="0" w:line="240" w:lineRule="auto"/>
              <w:jc w:val="left"/>
              <w:rPr>
                <w:rFonts w:cs="Times New Roman"/>
                <w:b/>
                <w:bCs/>
                <w:sz w:val="20"/>
                <w:szCs w:val="20"/>
              </w:rPr>
            </w:pPr>
            <w:r w:rsidRPr="00101741">
              <w:rPr>
                <w:rFonts w:cs="Times New Roman"/>
                <w:b/>
                <w:bCs/>
                <w:sz w:val="20"/>
                <w:szCs w:val="20"/>
              </w:rPr>
              <w:t>Reason for revision</w:t>
            </w:r>
          </w:p>
        </w:tc>
      </w:tr>
      <w:tr w:rsidR="0005712D" w:rsidRPr="00101741" w14:paraId="6D84D00D" w14:textId="77777777" w:rsidTr="00AC124B">
        <w:tc>
          <w:tcPr>
            <w:tcW w:w="95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6E5797"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sz w:val="20"/>
                <w:szCs w:val="20"/>
              </w:rPr>
              <w:t>No such definition</w:t>
            </w:r>
          </w:p>
        </w:tc>
        <w:tc>
          <w:tcPr>
            <w:tcW w:w="25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22ED58" w14:textId="73817244" w:rsidR="0005712D" w:rsidRPr="00101741" w:rsidRDefault="00CF2A39" w:rsidP="00306959">
            <w:pPr>
              <w:snapToGrid w:val="0"/>
              <w:spacing w:before="0" w:after="0" w:line="240" w:lineRule="auto"/>
              <w:jc w:val="left"/>
              <w:rPr>
                <w:rFonts w:cs="Times New Roman"/>
                <w:bCs/>
                <w:sz w:val="20"/>
                <w:szCs w:val="20"/>
              </w:rPr>
            </w:pPr>
            <w:r w:rsidRPr="00101741">
              <w:rPr>
                <w:rFonts w:cs="Times New Roman"/>
                <w:sz w:val="20"/>
                <w:szCs w:val="20"/>
              </w:rPr>
              <w:t>Added the definitions of ITT, PPS, PKCS, and PKPS, and modified the definition of FAS in Section 4</w:t>
            </w:r>
          </w:p>
        </w:tc>
        <w:tc>
          <w:tcPr>
            <w:tcW w:w="145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F834F9"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sz w:val="20"/>
                <w:szCs w:val="20"/>
              </w:rPr>
              <w:t>Determined through discussion by the project team</w:t>
            </w:r>
          </w:p>
        </w:tc>
      </w:tr>
      <w:tr w:rsidR="0005712D" w:rsidRPr="00101741" w14:paraId="3906D0A2" w14:textId="77777777" w:rsidTr="00AC124B">
        <w:tc>
          <w:tcPr>
            <w:tcW w:w="95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B03FB2"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sz w:val="20"/>
                <w:szCs w:val="20"/>
              </w:rPr>
              <w:t>No such definition</w:t>
            </w:r>
          </w:p>
        </w:tc>
        <w:tc>
          <w:tcPr>
            <w:tcW w:w="25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8888BF" w14:textId="77777777" w:rsidR="0005712D" w:rsidRPr="00101741" w:rsidRDefault="00CF2A39" w:rsidP="00306959">
            <w:pPr>
              <w:snapToGrid w:val="0"/>
              <w:spacing w:before="0" w:after="0" w:line="240" w:lineRule="auto"/>
              <w:jc w:val="left"/>
              <w:rPr>
                <w:rFonts w:cs="Times New Roman"/>
                <w:bCs/>
                <w:sz w:val="20"/>
                <w:szCs w:val="20"/>
              </w:rPr>
            </w:pPr>
            <w:r w:rsidRPr="00101741">
              <w:rPr>
                <w:rFonts w:cs="Times New Roman"/>
                <w:sz w:val="20"/>
                <w:szCs w:val="20"/>
              </w:rPr>
              <w:t>Added estimand and hypothesis testing, and added sensitivity analysis and supplementary analysis for the primary efficacy analysis in Section 6.4.1</w:t>
            </w:r>
          </w:p>
        </w:tc>
        <w:tc>
          <w:tcPr>
            <w:tcW w:w="145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F2F59B" w14:textId="48097F2F" w:rsidR="0005712D" w:rsidRPr="00101741" w:rsidRDefault="00CF2A39" w:rsidP="00306959">
            <w:pPr>
              <w:snapToGrid w:val="0"/>
              <w:spacing w:before="0" w:after="0" w:line="240" w:lineRule="auto"/>
              <w:jc w:val="left"/>
              <w:rPr>
                <w:rFonts w:cs="Times New Roman"/>
                <w:bCs/>
                <w:sz w:val="20"/>
                <w:szCs w:val="20"/>
              </w:rPr>
            </w:pPr>
            <w:r w:rsidRPr="00101741">
              <w:rPr>
                <w:rFonts w:cs="Times New Roman"/>
                <w:sz w:val="20"/>
                <w:szCs w:val="20"/>
              </w:rPr>
              <w:t>Determined through discussion by the project team per ICH E9 (R1)</w:t>
            </w:r>
          </w:p>
        </w:tc>
      </w:tr>
    </w:tbl>
    <w:p w14:paraId="3E1B90AA" w14:textId="77777777" w:rsidR="0005712D" w:rsidRPr="004F1FD9" w:rsidRDefault="0005712D" w:rsidP="004F1FD9">
      <w:pPr>
        <w:overflowPunct w:val="0"/>
        <w:autoSpaceDE w:val="0"/>
        <w:autoSpaceDN w:val="0"/>
        <w:adjustRightInd w:val="0"/>
        <w:snapToGrid w:val="0"/>
        <w:spacing w:before="0" w:after="0" w:line="240" w:lineRule="auto"/>
        <w:jc w:val="left"/>
        <w:textAlignment w:val="baseline"/>
        <w:rPr>
          <w:rFonts w:cs="Times New Roman"/>
          <w:sz w:val="20"/>
          <w:szCs w:val="20"/>
        </w:rPr>
      </w:pPr>
    </w:p>
    <w:sectPr w:rsidR="0005712D" w:rsidRPr="004F1FD9" w:rsidSect="00F72DDB">
      <w:pgSz w:w="12242" w:h="15842" w:code="119"/>
      <w:pgMar w:top="1440" w:right="1440" w:bottom="1440" w:left="1440" w:header="720" w:footer="720"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2009" w14:textId="77777777" w:rsidR="0087183C" w:rsidRDefault="0087183C">
      <w:pPr>
        <w:spacing w:line="240" w:lineRule="auto"/>
      </w:pPr>
      <w:r>
        <w:separator/>
      </w:r>
    </w:p>
  </w:endnote>
  <w:endnote w:type="continuationSeparator" w:id="0">
    <w:p w14:paraId="572AAFF6" w14:textId="77777777" w:rsidR="0087183C" w:rsidRDefault="008718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sig w:usb0="00000003" w:usb1="00000000" w:usb2="00000000" w:usb3="00000000" w:csb0="00000001" w:csb1="00000000"/>
  </w:font>
  <w:font w:name="Times New Roman (Headings CS)">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3571" w14:textId="77777777" w:rsidR="00BE546A" w:rsidRDefault="00BE546A" w:rsidP="00BE546A">
    <w:pPr>
      <w:spacing w:before="0" w:after="0" w:line="240" w:lineRule="auto"/>
      <w:jc w:val="center"/>
      <w:rPr>
        <w:b/>
        <w:sz w:val="20"/>
        <w:szCs w:val="20"/>
      </w:rPr>
    </w:pPr>
  </w:p>
  <w:p w14:paraId="0E77B7D5" w14:textId="77777777" w:rsidR="0005712D" w:rsidRPr="00BE546A" w:rsidRDefault="00CF2A39">
    <w:pPr>
      <w:pBdr>
        <w:top w:val="single" w:sz="4" w:space="1" w:color="auto"/>
      </w:pBdr>
      <w:spacing w:before="0" w:after="0" w:line="240" w:lineRule="auto"/>
      <w:jc w:val="center"/>
      <w:rPr>
        <w:rFonts w:cs="Arial"/>
        <w:b/>
        <w:sz w:val="20"/>
        <w:szCs w:val="20"/>
      </w:rPr>
    </w:pPr>
    <w:r w:rsidRPr="00BE546A">
      <w:rPr>
        <w:b/>
        <w:sz w:val="20"/>
        <w:szCs w:val="20"/>
      </w:rPr>
      <w:t>Confidentiality Statement</w:t>
    </w:r>
  </w:p>
  <w:p w14:paraId="5F3E0E98" w14:textId="77777777" w:rsidR="0005712D" w:rsidRPr="00BE546A" w:rsidRDefault="00CF2A39" w:rsidP="00306959">
    <w:pPr>
      <w:spacing w:before="0" w:after="0" w:line="240" w:lineRule="auto"/>
      <w:jc w:val="left"/>
      <w:rPr>
        <w:rFonts w:cs="Arial"/>
        <w:bCs/>
        <w:sz w:val="20"/>
        <w:szCs w:val="20"/>
      </w:rPr>
    </w:pPr>
    <w:r w:rsidRPr="00BE546A">
      <w:rPr>
        <w:bCs/>
        <w:sz w:val="20"/>
        <w:szCs w:val="20"/>
      </w:rPr>
      <w:t xml:space="preserve">This document is the property of Bio-statistics department of </w:t>
    </w:r>
    <w:proofErr w:type="spellStart"/>
    <w:r w:rsidRPr="00BE546A">
      <w:rPr>
        <w:bCs/>
        <w:sz w:val="20"/>
        <w:szCs w:val="20"/>
      </w:rPr>
      <w:t>ClinFunction</w:t>
    </w:r>
    <w:proofErr w:type="spellEnd"/>
    <w:r w:rsidRPr="00BE546A">
      <w:rPr>
        <w:bCs/>
        <w:sz w:val="20"/>
        <w:szCs w:val="20"/>
      </w:rPr>
      <w:t xml:space="preserve"> and may not in full or part be passed on, reproduced, published, distributed to any person, or submitted to any regulatory authority without the express written permission of </w:t>
    </w:r>
    <w:proofErr w:type="spellStart"/>
    <w:r w:rsidRPr="00BE546A">
      <w:rPr>
        <w:bCs/>
        <w:sz w:val="20"/>
        <w:szCs w:val="20"/>
      </w:rPr>
      <w:t>ClinFunction</w:t>
    </w:r>
    <w:proofErr w:type="spellEnd"/>
    <w:r w:rsidRPr="00BE546A">
      <w:rPr>
        <w:bCs/>
        <w:sz w:val="20"/>
        <w:szCs w:val="20"/>
      </w:rPr>
      <w:t xml:space="preserve"> Co., Ltd.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F494" w14:textId="77777777" w:rsidR="00BE546A" w:rsidRDefault="00BE546A" w:rsidP="00BE546A">
    <w:pPr>
      <w:adjustRightInd w:val="0"/>
      <w:snapToGrid w:val="0"/>
      <w:spacing w:before="0" w:after="0" w:line="240" w:lineRule="auto"/>
      <w:jc w:val="center"/>
      <w:rPr>
        <w:b/>
        <w:sz w:val="20"/>
        <w:szCs w:val="20"/>
      </w:rPr>
    </w:pPr>
  </w:p>
  <w:p w14:paraId="27A3C823" w14:textId="77777777" w:rsidR="0005712D" w:rsidRPr="00BE546A" w:rsidRDefault="00CF2A39" w:rsidP="00BE546A">
    <w:pPr>
      <w:adjustRightInd w:val="0"/>
      <w:snapToGrid w:val="0"/>
      <w:spacing w:before="0" w:after="0" w:line="240" w:lineRule="auto"/>
      <w:jc w:val="center"/>
      <w:rPr>
        <w:rFonts w:cs="Arial"/>
        <w:b/>
        <w:sz w:val="20"/>
        <w:szCs w:val="20"/>
      </w:rPr>
    </w:pPr>
    <w:r w:rsidRPr="00BE546A">
      <w:rPr>
        <w:b/>
        <w:sz w:val="20"/>
        <w:szCs w:val="20"/>
      </w:rPr>
      <w:t xml:space="preserve">Page </w:t>
    </w:r>
    <w:r w:rsidRPr="00BE546A">
      <w:rPr>
        <w:rFonts w:cs="Arial"/>
        <w:b/>
        <w:sz w:val="20"/>
        <w:szCs w:val="20"/>
      </w:rPr>
      <w:fldChar w:fldCharType="begin"/>
    </w:r>
    <w:r w:rsidRPr="00BE546A">
      <w:rPr>
        <w:rFonts w:cs="Arial"/>
        <w:b/>
        <w:sz w:val="20"/>
        <w:szCs w:val="20"/>
      </w:rPr>
      <w:instrText xml:space="preserve"> PAGE </w:instrText>
    </w:r>
    <w:r w:rsidRPr="00BE546A">
      <w:rPr>
        <w:rFonts w:cs="Arial"/>
        <w:b/>
        <w:sz w:val="20"/>
        <w:szCs w:val="20"/>
      </w:rPr>
      <w:fldChar w:fldCharType="separate"/>
    </w:r>
    <w:r w:rsidR="00427910">
      <w:rPr>
        <w:rFonts w:cs="Arial"/>
        <w:b/>
        <w:noProof/>
        <w:sz w:val="20"/>
        <w:szCs w:val="20"/>
      </w:rPr>
      <w:t>52</w:t>
    </w:r>
    <w:r w:rsidRPr="00BE546A">
      <w:rPr>
        <w:rFonts w:cs="Arial"/>
        <w:b/>
        <w:sz w:val="20"/>
        <w:szCs w:val="20"/>
      </w:rPr>
      <w:fldChar w:fldCharType="end"/>
    </w:r>
    <w:r w:rsidRPr="00BE546A">
      <w:rPr>
        <w:b/>
        <w:sz w:val="20"/>
        <w:szCs w:val="20"/>
      </w:rPr>
      <w:t xml:space="preserve"> of </w:t>
    </w:r>
    <w:r w:rsidRPr="00BE546A">
      <w:rPr>
        <w:rFonts w:cs="Arial"/>
        <w:b/>
        <w:sz w:val="20"/>
        <w:szCs w:val="20"/>
      </w:rPr>
      <w:fldChar w:fldCharType="begin"/>
    </w:r>
    <w:r w:rsidRPr="00BE546A">
      <w:rPr>
        <w:rFonts w:cs="Arial"/>
        <w:b/>
        <w:sz w:val="20"/>
        <w:szCs w:val="20"/>
      </w:rPr>
      <w:instrText xml:space="preserve"> NUMPAGES </w:instrText>
    </w:r>
    <w:r w:rsidRPr="00BE546A">
      <w:rPr>
        <w:rFonts w:cs="Arial"/>
        <w:b/>
        <w:sz w:val="20"/>
        <w:szCs w:val="20"/>
      </w:rPr>
      <w:fldChar w:fldCharType="separate"/>
    </w:r>
    <w:r w:rsidR="00427910">
      <w:rPr>
        <w:rFonts w:cs="Arial"/>
        <w:b/>
        <w:noProof/>
        <w:sz w:val="20"/>
        <w:szCs w:val="20"/>
      </w:rPr>
      <w:t>52</w:t>
    </w:r>
    <w:r w:rsidRPr="00BE546A">
      <w:rPr>
        <w:rFonts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0BC6A" w14:textId="77777777" w:rsidR="0087183C" w:rsidRDefault="0087183C">
      <w:pPr>
        <w:spacing w:before="0" w:after="0"/>
      </w:pPr>
      <w:r>
        <w:separator/>
      </w:r>
    </w:p>
  </w:footnote>
  <w:footnote w:type="continuationSeparator" w:id="0">
    <w:p w14:paraId="38C6696A" w14:textId="77777777" w:rsidR="0087183C" w:rsidRDefault="0087183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6E12" w14:textId="77777777" w:rsidR="0005712D" w:rsidRPr="00BE546A" w:rsidRDefault="00CF2A39" w:rsidP="00306959">
    <w:pPr>
      <w:pStyle w:val="af1"/>
      <w:jc w:val="left"/>
      <w:rPr>
        <w:sz w:val="20"/>
        <w:szCs w:val="16"/>
      </w:rPr>
    </w:pPr>
    <w:r w:rsidRPr="00BE546A">
      <w:rPr>
        <w:sz w:val="20"/>
        <w:szCs w:val="16"/>
      </w:rPr>
      <w:t xml:space="preserve">Guangdong </w:t>
    </w:r>
    <w:proofErr w:type="spellStart"/>
    <w:r w:rsidRPr="00BE546A">
      <w:rPr>
        <w:sz w:val="20"/>
        <w:szCs w:val="16"/>
      </w:rPr>
      <w:t>Raynovent</w:t>
    </w:r>
    <w:proofErr w:type="spellEnd"/>
    <w:r w:rsidRPr="00BE546A">
      <w:rPr>
        <w:sz w:val="20"/>
        <w:szCs w:val="16"/>
      </w:rPr>
      <w:t xml:space="preserve"> Biotech Co., Ltd.</w:t>
    </w:r>
    <w:r w:rsidRPr="00BE546A">
      <w:rPr>
        <w:sz w:val="20"/>
        <w:szCs w:val="16"/>
      </w:rPr>
      <w:ptab w:relativeTo="margin" w:alignment="right" w:leader="none"/>
    </w:r>
    <w:r w:rsidRPr="00BE546A">
      <w:rPr>
        <w:sz w:val="20"/>
        <w:szCs w:val="16"/>
      </w:rPr>
      <w:t>Statistical Analysis Plan</w:t>
    </w:r>
  </w:p>
  <w:p w14:paraId="7D38ECE6" w14:textId="3E2B4A9A" w:rsidR="0005712D" w:rsidRDefault="00CF2A39" w:rsidP="00306959">
    <w:pPr>
      <w:pStyle w:val="af1"/>
      <w:jc w:val="left"/>
      <w:rPr>
        <w:sz w:val="20"/>
        <w:szCs w:val="16"/>
      </w:rPr>
    </w:pPr>
    <w:r w:rsidRPr="00BE546A">
      <w:rPr>
        <w:sz w:val="20"/>
        <w:szCs w:val="16"/>
      </w:rPr>
      <w:t>RAY1225-23-03</w:t>
    </w:r>
    <w:r w:rsidRPr="00BE546A">
      <w:rPr>
        <w:sz w:val="20"/>
        <w:szCs w:val="16"/>
      </w:rPr>
      <w:ptab w:relativeTo="margin" w:alignment="center" w:leader="none"/>
    </w:r>
    <w:r w:rsidRPr="00BE546A">
      <w:rPr>
        <w:b/>
        <w:bCs/>
        <w:sz w:val="20"/>
        <w:szCs w:val="16"/>
      </w:rPr>
      <w:t>Confidential</w:t>
    </w:r>
    <w:r w:rsidRPr="00BE546A">
      <w:rPr>
        <w:sz w:val="20"/>
        <w:szCs w:val="16"/>
      </w:rPr>
      <w:ptab w:relativeTo="margin" w:alignment="right" w:leader="none"/>
    </w:r>
    <w:r w:rsidR="00BE546A">
      <w:rPr>
        <w:sz w:val="20"/>
        <w:szCs w:val="16"/>
      </w:rPr>
      <w:t>V1.0/Dec. 19, 2024</w:t>
    </w:r>
  </w:p>
  <w:p w14:paraId="3C7A4723" w14:textId="77777777" w:rsidR="00BE546A" w:rsidRPr="00BE546A" w:rsidRDefault="00BE546A" w:rsidP="00BE546A">
    <w:pPr>
      <w:pStyle w:val="af1"/>
      <w:pBdr>
        <w:bottom w:val="none" w:sz="0" w:space="0" w:color="auto"/>
      </w:pBdr>
      <w:jc w:val="center"/>
      <w:rPr>
        <w:sz w:val="2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FFFFF81"/>
    <w:lvl w:ilvl="0">
      <w:start w:val="1"/>
      <w:numFmt w:val="bullet"/>
      <w:pStyle w:val="4"/>
      <w:lvlText w:val="o"/>
      <w:lvlJc w:val="left"/>
      <w:pPr>
        <w:ind w:left="1679" w:hanging="420"/>
      </w:pPr>
      <w:rPr>
        <w:rFonts w:ascii="Courier New" w:hAnsi="Courier New" w:hint="default"/>
      </w:rPr>
    </w:lvl>
  </w:abstractNum>
  <w:abstractNum w:abstractNumId="1" w15:restartNumberingAfterBreak="0">
    <w:nsid w:val="00B56080"/>
    <w:multiLevelType w:val="multilevel"/>
    <w:tmpl w:val="00B56080"/>
    <w:lvl w:ilvl="0">
      <w:start w:val="1"/>
      <w:numFmt w:val="bullet"/>
      <w:lvlText w:val="•"/>
      <w:lvlJc w:val="left"/>
      <w:pPr>
        <w:ind w:left="420" w:hanging="420"/>
      </w:pPr>
      <w:rPr>
        <w:rFonts w:ascii="Courier New" w:hAnsi="Courier New"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01DE3D98"/>
    <w:multiLevelType w:val="multilevel"/>
    <w:tmpl w:val="01DE3D98"/>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3" w15:restartNumberingAfterBreak="0">
    <w:nsid w:val="0A701CCF"/>
    <w:multiLevelType w:val="multilevel"/>
    <w:tmpl w:val="0A701CCF"/>
    <w:lvl w:ilvl="0">
      <w:start w:val="1"/>
      <w:numFmt w:val="bullet"/>
      <w:pStyle w:val="a"/>
      <w:lvlText w:val=""/>
      <w:lvlJc w:val="left"/>
      <w:pPr>
        <w:tabs>
          <w:tab w:val="left" w:pos="432"/>
        </w:tabs>
        <w:ind w:left="432" w:hanging="432"/>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11B57626"/>
    <w:multiLevelType w:val="multilevel"/>
    <w:tmpl w:val="11B57626"/>
    <w:lvl w:ilvl="0">
      <w:start w:val="1"/>
      <w:numFmt w:val="decimal"/>
      <w:pStyle w:val="SAPFigure"/>
      <w:lvlText w:val="图 %1."/>
      <w:lvlJc w:val="left"/>
      <w:pPr>
        <w:ind w:left="0" w:firstLine="0"/>
      </w:pPr>
      <w:rPr>
        <w:rFonts w:hint="default"/>
        <w:b/>
        <w:i w:val="0"/>
        <w:caps w:val="0"/>
        <w:sz w:val="21"/>
      </w:rPr>
    </w:lvl>
    <w:lvl w:ilvl="1">
      <w:start w:val="1"/>
      <w:numFmt w:val="decimal"/>
      <w:lvlText w:val="%1.%2."/>
      <w:lvlJc w:val="left"/>
      <w:pPr>
        <w:ind w:left="0" w:firstLine="0"/>
      </w:pPr>
      <w:rPr>
        <w:rFonts w:ascii="Times New Roman Bold" w:hAnsi="Times New Roman Bold" w:hint="default"/>
        <w:b/>
        <w:i w:val="0"/>
        <w:sz w:val="28"/>
      </w:rPr>
    </w:lvl>
    <w:lvl w:ilvl="2">
      <w:start w:val="1"/>
      <w:numFmt w:val="decimal"/>
      <w:lvlText w:val="%1.%2.%3."/>
      <w:lvlJc w:val="left"/>
      <w:pPr>
        <w:ind w:left="0" w:firstLine="0"/>
      </w:pPr>
      <w:rPr>
        <w:rFonts w:ascii="Times New Roman Bold" w:hAnsi="Times New Roman Bold" w:hint="default"/>
        <w:b/>
        <w:i w:val="0"/>
        <w:sz w:val="24"/>
      </w:rPr>
    </w:lvl>
    <w:lvl w:ilvl="3">
      <w:start w:val="1"/>
      <w:numFmt w:val="decimal"/>
      <w:lvlText w:val="%1.%2.%3.%4."/>
      <w:lvlJc w:val="left"/>
      <w:pPr>
        <w:ind w:left="0" w:firstLine="0"/>
      </w:pPr>
      <w:rPr>
        <w:rFonts w:ascii="Times New Roman" w:hAnsi="Times New Roman" w:hint="default"/>
        <w:b w:val="0"/>
        <w:i/>
        <w:sz w:val="24"/>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120F7E28"/>
    <w:multiLevelType w:val="multilevel"/>
    <w:tmpl w:val="083080AE"/>
    <w:lvl w:ilvl="0">
      <w:start w:val="1"/>
      <w:numFmt w:val="decimal"/>
      <w:pStyle w:val="SAPTable"/>
      <w:lvlText w:val="Table %1."/>
      <w:lvlJc w:val="left"/>
      <w:pPr>
        <w:ind w:left="0" w:firstLine="0"/>
      </w:pPr>
      <w:rPr>
        <w:rFonts w:hint="default"/>
        <w:b/>
        <w:i w:val="0"/>
        <w:caps w:val="0"/>
        <w:sz w:val="21"/>
      </w:rPr>
    </w:lvl>
    <w:lvl w:ilvl="1">
      <w:start w:val="1"/>
      <w:numFmt w:val="decimal"/>
      <w:lvlText w:val="%1.%2."/>
      <w:lvlJc w:val="left"/>
      <w:pPr>
        <w:ind w:left="0" w:firstLine="0"/>
      </w:pPr>
      <w:rPr>
        <w:rFonts w:ascii="Times New Roman Bold" w:hAnsi="Times New Roman Bold" w:hint="default"/>
        <w:b/>
        <w:i w:val="0"/>
        <w:sz w:val="28"/>
      </w:rPr>
    </w:lvl>
    <w:lvl w:ilvl="2">
      <w:start w:val="1"/>
      <w:numFmt w:val="decimal"/>
      <w:lvlText w:val="%1.%2.%3."/>
      <w:lvlJc w:val="left"/>
      <w:pPr>
        <w:ind w:left="0" w:firstLine="0"/>
      </w:pPr>
      <w:rPr>
        <w:rFonts w:ascii="Times New Roman Bold" w:hAnsi="Times New Roman Bold" w:hint="default"/>
        <w:b/>
        <w:i w:val="0"/>
        <w:sz w:val="24"/>
      </w:rPr>
    </w:lvl>
    <w:lvl w:ilvl="3">
      <w:start w:val="1"/>
      <w:numFmt w:val="decimal"/>
      <w:lvlText w:val="%1.%2.%3.%4."/>
      <w:lvlJc w:val="left"/>
      <w:pPr>
        <w:ind w:left="0" w:firstLine="0"/>
      </w:pPr>
      <w:rPr>
        <w:rFonts w:ascii="Times New Roman" w:hAnsi="Times New Roman" w:hint="default"/>
        <w:b w:val="0"/>
        <w:i/>
        <w:sz w:val="24"/>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12B60CB9"/>
    <w:multiLevelType w:val="multilevel"/>
    <w:tmpl w:val="12B60CB9"/>
    <w:lvl w:ilvl="0">
      <w:start w:val="1"/>
      <w:numFmt w:val="bullet"/>
      <w:lvlText w:val=""/>
      <w:lvlJc w:val="left"/>
      <w:pPr>
        <w:ind w:left="601" w:hanging="420"/>
      </w:pPr>
      <w:rPr>
        <w:rFonts w:ascii="Symbol" w:hAnsi="Symbol" w:hint="default"/>
      </w:rPr>
    </w:lvl>
    <w:lvl w:ilvl="1">
      <w:start w:val="1"/>
      <w:numFmt w:val="bullet"/>
      <w:lvlText w:val=""/>
      <w:lvlJc w:val="left"/>
      <w:pPr>
        <w:ind w:left="1021" w:hanging="420"/>
      </w:pPr>
      <w:rPr>
        <w:rFonts w:ascii="Wingdings" w:hAnsi="Wingdings" w:hint="default"/>
      </w:rPr>
    </w:lvl>
    <w:lvl w:ilvl="2">
      <w:start w:val="1"/>
      <w:numFmt w:val="bullet"/>
      <w:lvlText w:val=""/>
      <w:lvlJc w:val="left"/>
      <w:pPr>
        <w:ind w:left="1441" w:hanging="420"/>
      </w:pPr>
      <w:rPr>
        <w:rFonts w:ascii="Wingdings" w:hAnsi="Wingdings" w:hint="default"/>
      </w:rPr>
    </w:lvl>
    <w:lvl w:ilvl="3">
      <w:start w:val="1"/>
      <w:numFmt w:val="bullet"/>
      <w:lvlText w:val=""/>
      <w:lvlJc w:val="left"/>
      <w:pPr>
        <w:ind w:left="1861" w:hanging="420"/>
      </w:pPr>
      <w:rPr>
        <w:rFonts w:ascii="Wingdings" w:hAnsi="Wingdings" w:hint="default"/>
      </w:rPr>
    </w:lvl>
    <w:lvl w:ilvl="4">
      <w:start w:val="1"/>
      <w:numFmt w:val="bullet"/>
      <w:lvlText w:val=""/>
      <w:lvlJc w:val="left"/>
      <w:pPr>
        <w:ind w:left="2281" w:hanging="420"/>
      </w:pPr>
      <w:rPr>
        <w:rFonts w:ascii="Wingdings" w:hAnsi="Wingdings" w:hint="default"/>
      </w:rPr>
    </w:lvl>
    <w:lvl w:ilvl="5">
      <w:start w:val="1"/>
      <w:numFmt w:val="bullet"/>
      <w:lvlText w:val=""/>
      <w:lvlJc w:val="left"/>
      <w:pPr>
        <w:ind w:left="2701" w:hanging="420"/>
      </w:pPr>
      <w:rPr>
        <w:rFonts w:ascii="Wingdings" w:hAnsi="Wingdings" w:hint="default"/>
      </w:rPr>
    </w:lvl>
    <w:lvl w:ilvl="6">
      <w:start w:val="1"/>
      <w:numFmt w:val="bullet"/>
      <w:lvlText w:val=""/>
      <w:lvlJc w:val="left"/>
      <w:pPr>
        <w:ind w:left="3121" w:hanging="420"/>
      </w:pPr>
      <w:rPr>
        <w:rFonts w:ascii="Wingdings" w:hAnsi="Wingdings" w:hint="default"/>
      </w:rPr>
    </w:lvl>
    <w:lvl w:ilvl="7">
      <w:start w:val="1"/>
      <w:numFmt w:val="bullet"/>
      <w:lvlText w:val=""/>
      <w:lvlJc w:val="left"/>
      <w:pPr>
        <w:ind w:left="3541" w:hanging="420"/>
      </w:pPr>
      <w:rPr>
        <w:rFonts w:ascii="Wingdings" w:hAnsi="Wingdings" w:hint="default"/>
      </w:rPr>
    </w:lvl>
    <w:lvl w:ilvl="8">
      <w:start w:val="1"/>
      <w:numFmt w:val="bullet"/>
      <w:lvlText w:val=""/>
      <w:lvlJc w:val="left"/>
      <w:pPr>
        <w:ind w:left="3961" w:hanging="420"/>
      </w:pPr>
      <w:rPr>
        <w:rFonts w:ascii="Wingdings" w:hAnsi="Wingdings" w:hint="default"/>
      </w:rPr>
    </w:lvl>
  </w:abstractNum>
  <w:abstractNum w:abstractNumId="7" w15:restartNumberingAfterBreak="0">
    <w:nsid w:val="191C6C71"/>
    <w:multiLevelType w:val="multilevel"/>
    <w:tmpl w:val="191C6C71"/>
    <w:lvl w:ilvl="0">
      <w:start w:val="1"/>
      <w:numFmt w:val="decimal"/>
      <w:lvlText w:val="%1."/>
      <w:lvlJc w:val="left"/>
      <w:pPr>
        <w:ind w:left="1280" w:hanging="440"/>
      </w:pPr>
      <w:rPr>
        <w:rFonts w:hint="default"/>
      </w:rPr>
    </w:lvl>
    <w:lvl w:ilvl="1">
      <w:start w:val="1"/>
      <w:numFmt w:val="bullet"/>
      <w:lvlText w:val=""/>
      <w:lvlJc w:val="left"/>
      <w:pPr>
        <w:ind w:left="1720" w:hanging="440"/>
      </w:pPr>
      <w:rPr>
        <w:rFonts w:ascii="Wingdings" w:hAnsi="Wingdings" w:hint="default"/>
      </w:rPr>
    </w:lvl>
    <w:lvl w:ilvl="2">
      <w:start w:val="1"/>
      <w:numFmt w:val="bullet"/>
      <w:lvlText w:val=""/>
      <w:lvlJc w:val="left"/>
      <w:pPr>
        <w:ind w:left="2160" w:hanging="440"/>
      </w:pPr>
      <w:rPr>
        <w:rFonts w:ascii="Wingdings" w:hAnsi="Wingdings" w:hint="default"/>
      </w:rPr>
    </w:lvl>
    <w:lvl w:ilvl="3">
      <w:start w:val="1"/>
      <w:numFmt w:val="bullet"/>
      <w:lvlText w:val=""/>
      <w:lvlJc w:val="left"/>
      <w:pPr>
        <w:ind w:left="2600" w:hanging="440"/>
      </w:pPr>
      <w:rPr>
        <w:rFonts w:ascii="Wingdings" w:hAnsi="Wingdings" w:hint="default"/>
      </w:rPr>
    </w:lvl>
    <w:lvl w:ilvl="4">
      <w:start w:val="1"/>
      <w:numFmt w:val="bullet"/>
      <w:lvlText w:val=""/>
      <w:lvlJc w:val="left"/>
      <w:pPr>
        <w:ind w:left="3040" w:hanging="440"/>
      </w:pPr>
      <w:rPr>
        <w:rFonts w:ascii="Wingdings" w:hAnsi="Wingdings" w:hint="default"/>
      </w:rPr>
    </w:lvl>
    <w:lvl w:ilvl="5">
      <w:start w:val="1"/>
      <w:numFmt w:val="bullet"/>
      <w:lvlText w:val=""/>
      <w:lvlJc w:val="left"/>
      <w:pPr>
        <w:ind w:left="3480" w:hanging="440"/>
      </w:pPr>
      <w:rPr>
        <w:rFonts w:ascii="Wingdings" w:hAnsi="Wingdings" w:hint="default"/>
      </w:rPr>
    </w:lvl>
    <w:lvl w:ilvl="6">
      <w:start w:val="1"/>
      <w:numFmt w:val="bullet"/>
      <w:lvlText w:val=""/>
      <w:lvlJc w:val="left"/>
      <w:pPr>
        <w:ind w:left="3920" w:hanging="440"/>
      </w:pPr>
      <w:rPr>
        <w:rFonts w:ascii="Wingdings" w:hAnsi="Wingdings" w:hint="default"/>
      </w:rPr>
    </w:lvl>
    <w:lvl w:ilvl="7">
      <w:start w:val="1"/>
      <w:numFmt w:val="bullet"/>
      <w:lvlText w:val=""/>
      <w:lvlJc w:val="left"/>
      <w:pPr>
        <w:ind w:left="4360" w:hanging="440"/>
      </w:pPr>
      <w:rPr>
        <w:rFonts w:ascii="Wingdings" w:hAnsi="Wingdings" w:hint="default"/>
      </w:rPr>
    </w:lvl>
    <w:lvl w:ilvl="8">
      <w:start w:val="1"/>
      <w:numFmt w:val="bullet"/>
      <w:lvlText w:val=""/>
      <w:lvlJc w:val="left"/>
      <w:pPr>
        <w:ind w:left="4800" w:hanging="440"/>
      </w:pPr>
      <w:rPr>
        <w:rFonts w:ascii="Wingdings" w:hAnsi="Wingdings" w:hint="default"/>
      </w:rPr>
    </w:lvl>
  </w:abstractNum>
  <w:abstractNum w:abstractNumId="8" w15:restartNumberingAfterBreak="0">
    <w:nsid w:val="199C2319"/>
    <w:multiLevelType w:val="multilevel"/>
    <w:tmpl w:val="199C2319"/>
    <w:lvl w:ilvl="0">
      <w:start w:val="1"/>
      <w:numFmt w:val="bullet"/>
      <w:lvlText w:val=""/>
      <w:lvlJc w:val="left"/>
      <w:pPr>
        <w:ind w:left="896" w:hanging="420"/>
      </w:pPr>
      <w:rPr>
        <w:rFonts w:ascii="Wingdings" w:hAnsi="Wingdings" w:hint="default"/>
      </w:rPr>
    </w:lvl>
    <w:lvl w:ilvl="1">
      <w:start w:val="1"/>
      <w:numFmt w:val="bullet"/>
      <w:lvlText w:val=""/>
      <w:lvlJc w:val="left"/>
      <w:pPr>
        <w:ind w:left="1316" w:hanging="420"/>
      </w:pPr>
      <w:rPr>
        <w:rFonts w:ascii="Wingdings" w:hAnsi="Wingdings" w:hint="default"/>
      </w:rPr>
    </w:lvl>
    <w:lvl w:ilvl="2">
      <w:start w:val="1"/>
      <w:numFmt w:val="bullet"/>
      <w:lvlText w:val=""/>
      <w:lvlJc w:val="left"/>
      <w:pPr>
        <w:ind w:left="1736" w:hanging="420"/>
      </w:pPr>
      <w:rPr>
        <w:rFonts w:ascii="Wingdings" w:hAnsi="Wingdings" w:hint="default"/>
      </w:rPr>
    </w:lvl>
    <w:lvl w:ilvl="3">
      <w:start w:val="1"/>
      <w:numFmt w:val="bullet"/>
      <w:lvlText w:val=""/>
      <w:lvlJc w:val="left"/>
      <w:pPr>
        <w:ind w:left="2156" w:hanging="420"/>
      </w:pPr>
      <w:rPr>
        <w:rFonts w:ascii="Wingdings" w:hAnsi="Wingdings" w:hint="default"/>
      </w:rPr>
    </w:lvl>
    <w:lvl w:ilvl="4">
      <w:start w:val="1"/>
      <w:numFmt w:val="bullet"/>
      <w:lvlText w:val=""/>
      <w:lvlJc w:val="left"/>
      <w:pPr>
        <w:ind w:left="2576" w:hanging="420"/>
      </w:pPr>
      <w:rPr>
        <w:rFonts w:ascii="Wingdings" w:hAnsi="Wingdings" w:hint="default"/>
      </w:rPr>
    </w:lvl>
    <w:lvl w:ilvl="5">
      <w:start w:val="1"/>
      <w:numFmt w:val="bullet"/>
      <w:lvlText w:val=""/>
      <w:lvlJc w:val="left"/>
      <w:pPr>
        <w:ind w:left="2996" w:hanging="420"/>
      </w:pPr>
      <w:rPr>
        <w:rFonts w:ascii="Wingdings" w:hAnsi="Wingdings" w:hint="default"/>
      </w:rPr>
    </w:lvl>
    <w:lvl w:ilvl="6">
      <w:start w:val="1"/>
      <w:numFmt w:val="bullet"/>
      <w:lvlText w:val=""/>
      <w:lvlJc w:val="left"/>
      <w:pPr>
        <w:ind w:left="3416" w:hanging="420"/>
      </w:pPr>
      <w:rPr>
        <w:rFonts w:ascii="Wingdings" w:hAnsi="Wingdings" w:hint="default"/>
      </w:rPr>
    </w:lvl>
    <w:lvl w:ilvl="7">
      <w:start w:val="1"/>
      <w:numFmt w:val="bullet"/>
      <w:lvlText w:val=""/>
      <w:lvlJc w:val="left"/>
      <w:pPr>
        <w:ind w:left="3836" w:hanging="420"/>
      </w:pPr>
      <w:rPr>
        <w:rFonts w:ascii="Wingdings" w:hAnsi="Wingdings" w:hint="default"/>
      </w:rPr>
    </w:lvl>
    <w:lvl w:ilvl="8">
      <w:start w:val="1"/>
      <w:numFmt w:val="bullet"/>
      <w:lvlText w:val=""/>
      <w:lvlJc w:val="left"/>
      <w:pPr>
        <w:ind w:left="4256" w:hanging="420"/>
      </w:pPr>
      <w:rPr>
        <w:rFonts w:ascii="Wingdings" w:hAnsi="Wingdings" w:hint="default"/>
      </w:rPr>
    </w:lvl>
  </w:abstractNum>
  <w:abstractNum w:abstractNumId="9" w15:restartNumberingAfterBreak="0">
    <w:nsid w:val="1B9D0B11"/>
    <w:multiLevelType w:val="multilevel"/>
    <w:tmpl w:val="18BC522C"/>
    <w:lvl w:ilvl="0">
      <w:start w:val="1"/>
      <w:numFmt w:val="decimal"/>
      <w:pStyle w:val="1"/>
      <w:lvlText w:val="%1."/>
      <w:lvlJc w:val="left"/>
      <w:pPr>
        <w:ind w:left="0" w:firstLine="0"/>
      </w:pPr>
      <w:rPr>
        <w:rFonts w:ascii="Times New Roman Bold" w:hAnsi="Times New Roman Bold" w:hint="default"/>
        <w:b/>
        <w:i w:val="0"/>
        <w:sz w:val="28"/>
        <w:szCs w:val="24"/>
      </w:rPr>
    </w:lvl>
    <w:lvl w:ilvl="1">
      <w:start w:val="1"/>
      <w:numFmt w:val="decimal"/>
      <w:pStyle w:val="2"/>
      <w:lvlText w:val="%1.%2."/>
      <w:lvlJc w:val="left"/>
      <w:pPr>
        <w:ind w:left="0" w:firstLine="0"/>
      </w:pPr>
      <w:rPr>
        <w:rFonts w:ascii="Times New Roman Bold" w:hAnsi="Times New Roman Bold" w:hint="default"/>
        <w:b/>
        <w:i w:val="0"/>
        <w:sz w:val="24"/>
        <w:szCs w:val="22"/>
      </w:rPr>
    </w:lvl>
    <w:lvl w:ilvl="2">
      <w:start w:val="1"/>
      <w:numFmt w:val="decimal"/>
      <w:pStyle w:val="3"/>
      <w:lvlText w:val="%1.%2.%3."/>
      <w:lvlJc w:val="left"/>
      <w:pPr>
        <w:ind w:left="0" w:firstLine="0"/>
      </w:pPr>
      <w:rPr>
        <w:rFonts w:ascii="Times New Roman Bold" w:hAnsi="Times New Roman Bold" w:hint="default"/>
        <w:b/>
        <w:i w:val="0"/>
        <w:sz w:val="24"/>
      </w:rPr>
    </w:lvl>
    <w:lvl w:ilvl="3">
      <w:start w:val="1"/>
      <w:numFmt w:val="decimal"/>
      <w:pStyle w:val="40"/>
      <w:lvlText w:val="%1.%2.%3.%4."/>
      <w:lvlJc w:val="left"/>
      <w:pPr>
        <w:ind w:left="0" w:firstLine="0"/>
      </w:pPr>
      <w:rPr>
        <w:rFonts w:ascii="Times New Roman" w:hAnsi="Times New Roman" w:hint="default"/>
        <w:b/>
        <w:bCs/>
        <w:i/>
        <w:sz w:val="24"/>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231E7D42"/>
    <w:multiLevelType w:val="singleLevel"/>
    <w:tmpl w:val="231E7D42"/>
    <w:lvl w:ilvl="0">
      <w:start w:val="1"/>
      <w:numFmt w:val="bullet"/>
      <w:pStyle w:val="ListBulletedItem"/>
      <w:lvlText w:val=""/>
      <w:legacy w:legacy="1" w:legacySpace="0" w:legacyIndent="360"/>
      <w:lvlJc w:val="left"/>
      <w:pPr>
        <w:ind w:left="1080" w:hanging="360"/>
      </w:pPr>
      <w:rPr>
        <w:rFonts w:ascii="Symbol" w:hAnsi="Symbol" w:hint="default"/>
      </w:rPr>
    </w:lvl>
  </w:abstractNum>
  <w:abstractNum w:abstractNumId="11" w15:restartNumberingAfterBreak="0">
    <w:nsid w:val="234D71CA"/>
    <w:multiLevelType w:val="multilevel"/>
    <w:tmpl w:val="234D71CA"/>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2" w15:restartNumberingAfterBreak="0">
    <w:nsid w:val="2547511A"/>
    <w:multiLevelType w:val="multilevel"/>
    <w:tmpl w:val="2547511A"/>
    <w:lvl w:ilvl="0">
      <w:start w:val="1"/>
      <w:numFmt w:val="decimal"/>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3" w15:restartNumberingAfterBreak="0">
    <w:nsid w:val="382E0245"/>
    <w:multiLevelType w:val="multilevel"/>
    <w:tmpl w:val="382E0245"/>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4" w15:restartNumberingAfterBreak="0">
    <w:nsid w:val="3D2315A7"/>
    <w:multiLevelType w:val="multilevel"/>
    <w:tmpl w:val="3D2315A7"/>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5" w15:restartNumberingAfterBreak="0">
    <w:nsid w:val="40315AF5"/>
    <w:multiLevelType w:val="multilevel"/>
    <w:tmpl w:val="40315AF5"/>
    <w:lvl w:ilvl="0">
      <w:numFmt w:val="bullet"/>
      <w:lvlText w:val="•"/>
      <w:lvlJc w:val="left"/>
      <w:pPr>
        <w:ind w:left="420" w:hanging="42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43625BAE"/>
    <w:multiLevelType w:val="multilevel"/>
    <w:tmpl w:val="43625BAE"/>
    <w:lvl w:ilvl="0">
      <w:start w:val="1"/>
      <w:numFmt w:val="decimal"/>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7" w15:restartNumberingAfterBreak="0">
    <w:nsid w:val="45A04B34"/>
    <w:multiLevelType w:val="multilevel"/>
    <w:tmpl w:val="45A04B34"/>
    <w:lvl w:ilvl="0">
      <w:start w:val="1"/>
      <w:numFmt w:val="decimal"/>
      <w:pStyle w:val="SAPList"/>
      <w:lvlText w:val="清单 %1."/>
      <w:lvlJc w:val="left"/>
      <w:pPr>
        <w:ind w:left="0" w:firstLine="0"/>
      </w:pPr>
      <w:rPr>
        <w:rFonts w:hint="default"/>
        <w:b/>
        <w:i w:val="0"/>
        <w:caps w:val="0"/>
        <w:sz w:val="21"/>
      </w:rPr>
    </w:lvl>
    <w:lvl w:ilvl="1">
      <w:start w:val="1"/>
      <w:numFmt w:val="decimal"/>
      <w:lvlText w:val="%1.%2."/>
      <w:lvlJc w:val="left"/>
      <w:pPr>
        <w:ind w:left="0" w:firstLine="0"/>
      </w:pPr>
      <w:rPr>
        <w:rFonts w:ascii="Times New Roman Bold" w:hAnsi="Times New Roman Bold" w:hint="default"/>
        <w:b/>
        <w:i w:val="0"/>
        <w:sz w:val="28"/>
      </w:rPr>
    </w:lvl>
    <w:lvl w:ilvl="2">
      <w:start w:val="1"/>
      <w:numFmt w:val="decimal"/>
      <w:lvlText w:val="%1.%2.%3."/>
      <w:lvlJc w:val="left"/>
      <w:pPr>
        <w:ind w:left="0" w:firstLine="0"/>
      </w:pPr>
      <w:rPr>
        <w:rFonts w:ascii="Times New Roman Bold" w:hAnsi="Times New Roman Bold" w:hint="default"/>
        <w:b/>
        <w:i w:val="0"/>
        <w:sz w:val="24"/>
      </w:rPr>
    </w:lvl>
    <w:lvl w:ilvl="3">
      <w:start w:val="1"/>
      <w:numFmt w:val="decimal"/>
      <w:lvlText w:val="%1.%2.%3.%4."/>
      <w:lvlJc w:val="left"/>
      <w:pPr>
        <w:ind w:left="0" w:firstLine="0"/>
      </w:pPr>
      <w:rPr>
        <w:rFonts w:ascii="Times New Roman" w:hAnsi="Times New Roman" w:hint="default"/>
        <w:b w:val="0"/>
        <w:i/>
        <w:sz w:val="24"/>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15:restartNumberingAfterBreak="0">
    <w:nsid w:val="48E673F1"/>
    <w:multiLevelType w:val="multilevel"/>
    <w:tmpl w:val="48E673F1"/>
    <w:lvl w:ilvl="0">
      <w:start w:val="1"/>
      <w:numFmt w:val="bullet"/>
      <w:lvlText w:val="•"/>
      <w:lvlJc w:val="left"/>
      <w:pPr>
        <w:ind w:left="420" w:hanging="420"/>
      </w:pPr>
      <w:rPr>
        <w:rFonts w:ascii="Courier New" w:hAnsi="Courier New"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15:restartNumberingAfterBreak="0">
    <w:nsid w:val="4A294792"/>
    <w:multiLevelType w:val="multilevel"/>
    <w:tmpl w:val="4A294792"/>
    <w:lvl w:ilvl="0">
      <w:start w:val="1"/>
      <w:numFmt w:val="bullet"/>
      <w:pStyle w:val="20"/>
      <w:lvlText w:val="•"/>
      <w:lvlJc w:val="left"/>
      <w:pPr>
        <w:tabs>
          <w:tab w:val="left" w:pos="839"/>
        </w:tabs>
        <w:ind w:left="839" w:hanging="419"/>
      </w:pPr>
      <w:rPr>
        <w:rFonts w:ascii="Courier New" w:hAnsi="Courier New" w:hint="default"/>
        <w:b/>
        <w:bCs/>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0" w15:restartNumberingAfterBreak="0">
    <w:nsid w:val="4E1134A4"/>
    <w:multiLevelType w:val="multilevel"/>
    <w:tmpl w:val="4E1134A4"/>
    <w:lvl w:ilvl="0">
      <w:start w:val="1"/>
      <w:numFmt w:val="decimal"/>
      <w:lvlText w:val="%1)"/>
      <w:lvlJc w:val="left"/>
      <w:pPr>
        <w:ind w:left="842" w:hanging="360"/>
      </w:pPr>
      <w:rPr>
        <w:rFonts w:hint="default"/>
        <w:b/>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1" w15:restartNumberingAfterBreak="0">
    <w:nsid w:val="50871B2E"/>
    <w:multiLevelType w:val="multilevel"/>
    <w:tmpl w:val="50871B2E"/>
    <w:lvl w:ilvl="0">
      <w:start w:val="1"/>
      <w:numFmt w:val="lowerLetter"/>
      <w:pStyle w:val="a0"/>
      <w:lvlText w:val="%1、"/>
      <w:lvlJc w:val="left"/>
      <w:pPr>
        <w:ind w:left="420" w:hanging="420"/>
      </w:pPr>
      <w:rPr>
        <w:rFonts w:ascii="Times New Roman" w:hAnsi="Times New Roman" w:hint="default"/>
        <w:sz w:val="1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6281222"/>
    <w:multiLevelType w:val="multilevel"/>
    <w:tmpl w:val="56281222"/>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23" w15:restartNumberingAfterBreak="0">
    <w:nsid w:val="7FBB6E4E"/>
    <w:multiLevelType w:val="multilevel"/>
    <w:tmpl w:val="7FBB6E4E"/>
    <w:lvl w:ilvl="0">
      <w:start w:val="1"/>
      <w:numFmt w:val="bullet"/>
      <w:lvlText w:val="•"/>
      <w:lvlJc w:val="left"/>
      <w:pPr>
        <w:ind w:left="420" w:hanging="420"/>
      </w:pPr>
      <w:rPr>
        <w:rFonts w:ascii="Courier New" w:hAnsi="Courier New"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74522233">
    <w:abstractNumId w:val="9"/>
  </w:num>
  <w:num w:numId="2" w16cid:durableId="858784517">
    <w:abstractNumId w:val="0"/>
  </w:num>
  <w:num w:numId="3" w16cid:durableId="1355493648">
    <w:abstractNumId w:val="3"/>
  </w:num>
  <w:num w:numId="4" w16cid:durableId="617301484">
    <w:abstractNumId w:val="19"/>
  </w:num>
  <w:num w:numId="5" w16cid:durableId="924269669">
    <w:abstractNumId w:val="21"/>
  </w:num>
  <w:num w:numId="6" w16cid:durableId="125199820">
    <w:abstractNumId w:val="5"/>
  </w:num>
  <w:num w:numId="7" w16cid:durableId="89934553">
    <w:abstractNumId w:val="4"/>
  </w:num>
  <w:num w:numId="8" w16cid:durableId="2078746237">
    <w:abstractNumId w:val="17"/>
  </w:num>
  <w:num w:numId="9" w16cid:durableId="438530561">
    <w:abstractNumId w:val="10"/>
  </w:num>
  <w:num w:numId="10" w16cid:durableId="604730830">
    <w:abstractNumId w:val="1"/>
  </w:num>
  <w:num w:numId="11" w16cid:durableId="1242447902">
    <w:abstractNumId w:val="6"/>
  </w:num>
  <w:num w:numId="12" w16cid:durableId="132604132">
    <w:abstractNumId w:val="16"/>
  </w:num>
  <w:num w:numId="13" w16cid:durableId="1411343466">
    <w:abstractNumId w:val="12"/>
  </w:num>
  <w:num w:numId="14" w16cid:durableId="1475365125">
    <w:abstractNumId w:val="8"/>
  </w:num>
  <w:num w:numId="15" w16cid:durableId="2122452169">
    <w:abstractNumId w:val="23"/>
  </w:num>
  <w:num w:numId="16" w16cid:durableId="1534537893">
    <w:abstractNumId w:val="18"/>
  </w:num>
  <w:num w:numId="17" w16cid:durableId="523401309">
    <w:abstractNumId w:val="15"/>
  </w:num>
  <w:num w:numId="18" w16cid:durableId="1285499102">
    <w:abstractNumId w:val="13"/>
  </w:num>
  <w:num w:numId="19" w16cid:durableId="565648388">
    <w:abstractNumId w:val="14"/>
  </w:num>
  <w:num w:numId="20" w16cid:durableId="839662610">
    <w:abstractNumId w:val="7"/>
  </w:num>
  <w:num w:numId="21" w16cid:durableId="577246790">
    <w:abstractNumId w:val="22"/>
  </w:num>
  <w:num w:numId="22" w16cid:durableId="890532531">
    <w:abstractNumId w:val="2"/>
  </w:num>
  <w:num w:numId="23" w16cid:durableId="1332372277">
    <w:abstractNumId w:val="20"/>
  </w:num>
  <w:num w:numId="24" w16cid:durableId="229654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Q2MDOxMLQ0NzMxNDJT0lEKTi0uzszPAykwrgUA0cIGGSwAAAA="/>
  </w:docVars>
  <w:rsids>
    <w:rsidRoot w:val="00083B15"/>
    <w:rsid w:val="0000026A"/>
    <w:rsid w:val="00000BC8"/>
    <w:rsid w:val="00001066"/>
    <w:rsid w:val="00001075"/>
    <w:rsid w:val="0000128B"/>
    <w:rsid w:val="0000178F"/>
    <w:rsid w:val="00001D06"/>
    <w:rsid w:val="0000279D"/>
    <w:rsid w:val="00002885"/>
    <w:rsid w:val="00002FBD"/>
    <w:rsid w:val="00004B87"/>
    <w:rsid w:val="00004FDB"/>
    <w:rsid w:val="000055F1"/>
    <w:rsid w:val="000058D8"/>
    <w:rsid w:val="000059F4"/>
    <w:rsid w:val="00005DF1"/>
    <w:rsid w:val="0000605F"/>
    <w:rsid w:val="000064D0"/>
    <w:rsid w:val="00006AD6"/>
    <w:rsid w:val="000072CA"/>
    <w:rsid w:val="00007D94"/>
    <w:rsid w:val="00010248"/>
    <w:rsid w:val="0001054E"/>
    <w:rsid w:val="0001150C"/>
    <w:rsid w:val="000117F1"/>
    <w:rsid w:val="00011C25"/>
    <w:rsid w:val="0001230D"/>
    <w:rsid w:val="000124A8"/>
    <w:rsid w:val="00012FD2"/>
    <w:rsid w:val="00013216"/>
    <w:rsid w:val="000137E5"/>
    <w:rsid w:val="000152CF"/>
    <w:rsid w:val="00015307"/>
    <w:rsid w:val="00015D21"/>
    <w:rsid w:val="0001674A"/>
    <w:rsid w:val="000169AD"/>
    <w:rsid w:val="00016A29"/>
    <w:rsid w:val="00017211"/>
    <w:rsid w:val="000175E7"/>
    <w:rsid w:val="0001762E"/>
    <w:rsid w:val="00017BA3"/>
    <w:rsid w:val="000202DC"/>
    <w:rsid w:val="00020509"/>
    <w:rsid w:val="00020812"/>
    <w:rsid w:val="0002122B"/>
    <w:rsid w:val="00021B93"/>
    <w:rsid w:val="00021BC0"/>
    <w:rsid w:val="00021C9A"/>
    <w:rsid w:val="00022229"/>
    <w:rsid w:val="00023839"/>
    <w:rsid w:val="00023E60"/>
    <w:rsid w:val="000246BE"/>
    <w:rsid w:val="00024B40"/>
    <w:rsid w:val="00024FE9"/>
    <w:rsid w:val="00025C9B"/>
    <w:rsid w:val="00025CB6"/>
    <w:rsid w:val="0003029F"/>
    <w:rsid w:val="0003070D"/>
    <w:rsid w:val="0003100E"/>
    <w:rsid w:val="00031715"/>
    <w:rsid w:val="00031806"/>
    <w:rsid w:val="00031BC4"/>
    <w:rsid w:val="00031C5D"/>
    <w:rsid w:val="000325C7"/>
    <w:rsid w:val="000326C8"/>
    <w:rsid w:val="000328B5"/>
    <w:rsid w:val="00033000"/>
    <w:rsid w:val="00033221"/>
    <w:rsid w:val="00033437"/>
    <w:rsid w:val="00034B14"/>
    <w:rsid w:val="00034D9D"/>
    <w:rsid w:val="00040940"/>
    <w:rsid w:val="00041EF7"/>
    <w:rsid w:val="00041F5D"/>
    <w:rsid w:val="00042235"/>
    <w:rsid w:val="00042887"/>
    <w:rsid w:val="00042B34"/>
    <w:rsid w:val="00042F34"/>
    <w:rsid w:val="00042F72"/>
    <w:rsid w:val="00043A67"/>
    <w:rsid w:val="00043D70"/>
    <w:rsid w:val="0004414C"/>
    <w:rsid w:val="00044387"/>
    <w:rsid w:val="00045CDB"/>
    <w:rsid w:val="00046448"/>
    <w:rsid w:val="00046B5F"/>
    <w:rsid w:val="00046FDC"/>
    <w:rsid w:val="0004735C"/>
    <w:rsid w:val="00047A5A"/>
    <w:rsid w:val="00047BE5"/>
    <w:rsid w:val="00047CC4"/>
    <w:rsid w:val="00047DF2"/>
    <w:rsid w:val="000504C7"/>
    <w:rsid w:val="00050A92"/>
    <w:rsid w:val="00050B01"/>
    <w:rsid w:val="000510F1"/>
    <w:rsid w:val="000515EA"/>
    <w:rsid w:val="00051A0E"/>
    <w:rsid w:val="00052D13"/>
    <w:rsid w:val="000530A7"/>
    <w:rsid w:val="00053998"/>
    <w:rsid w:val="00053AB0"/>
    <w:rsid w:val="000540E2"/>
    <w:rsid w:val="000545E7"/>
    <w:rsid w:val="00054D95"/>
    <w:rsid w:val="00054F3A"/>
    <w:rsid w:val="00055226"/>
    <w:rsid w:val="00055FD3"/>
    <w:rsid w:val="000560AB"/>
    <w:rsid w:val="0005709D"/>
    <w:rsid w:val="0005712D"/>
    <w:rsid w:val="00060E1F"/>
    <w:rsid w:val="00061AB2"/>
    <w:rsid w:val="00062AC1"/>
    <w:rsid w:val="00062E95"/>
    <w:rsid w:val="0006300E"/>
    <w:rsid w:val="000642A0"/>
    <w:rsid w:val="0006494F"/>
    <w:rsid w:val="00064F5E"/>
    <w:rsid w:val="00065339"/>
    <w:rsid w:val="00066195"/>
    <w:rsid w:val="0006635A"/>
    <w:rsid w:val="0006698E"/>
    <w:rsid w:val="00066A81"/>
    <w:rsid w:val="00067A0F"/>
    <w:rsid w:val="00071522"/>
    <w:rsid w:val="0007198C"/>
    <w:rsid w:val="00071E30"/>
    <w:rsid w:val="00072DA7"/>
    <w:rsid w:val="00073126"/>
    <w:rsid w:val="00073301"/>
    <w:rsid w:val="00073648"/>
    <w:rsid w:val="00073C92"/>
    <w:rsid w:val="0007413E"/>
    <w:rsid w:val="0007432C"/>
    <w:rsid w:val="00074338"/>
    <w:rsid w:val="00074C89"/>
    <w:rsid w:val="00074E3B"/>
    <w:rsid w:val="0007513E"/>
    <w:rsid w:val="00075F16"/>
    <w:rsid w:val="00076556"/>
    <w:rsid w:val="0007673E"/>
    <w:rsid w:val="00077F69"/>
    <w:rsid w:val="00077FE8"/>
    <w:rsid w:val="00080AB9"/>
    <w:rsid w:val="00080C0D"/>
    <w:rsid w:val="00080CA2"/>
    <w:rsid w:val="00080CFD"/>
    <w:rsid w:val="00081010"/>
    <w:rsid w:val="000812DA"/>
    <w:rsid w:val="00081396"/>
    <w:rsid w:val="00081D62"/>
    <w:rsid w:val="00082031"/>
    <w:rsid w:val="00082241"/>
    <w:rsid w:val="000827FE"/>
    <w:rsid w:val="00082D9A"/>
    <w:rsid w:val="00082FB0"/>
    <w:rsid w:val="00083B15"/>
    <w:rsid w:val="00084F84"/>
    <w:rsid w:val="00084FC0"/>
    <w:rsid w:val="00085987"/>
    <w:rsid w:val="000860E0"/>
    <w:rsid w:val="0008643E"/>
    <w:rsid w:val="00086A18"/>
    <w:rsid w:val="00086DFD"/>
    <w:rsid w:val="00087363"/>
    <w:rsid w:val="000873B1"/>
    <w:rsid w:val="00090302"/>
    <w:rsid w:val="0009083A"/>
    <w:rsid w:val="00090862"/>
    <w:rsid w:val="00090FC7"/>
    <w:rsid w:val="00091475"/>
    <w:rsid w:val="00091805"/>
    <w:rsid w:val="00091E15"/>
    <w:rsid w:val="00092083"/>
    <w:rsid w:val="00092547"/>
    <w:rsid w:val="00092C02"/>
    <w:rsid w:val="00092E37"/>
    <w:rsid w:val="000930B4"/>
    <w:rsid w:val="000937B0"/>
    <w:rsid w:val="00093F28"/>
    <w:rsid w:val="00093FE7"/>
    <w:rsid w:val="000941EA"/>
    <w:rsid w:val="000943E7"/>
    <w:rsid w:val="00094424"/>
    <w:rsid w:val="00095768"/>
    <w:rsid w:val="000963EA"/>
    <w:rsid w:val="000971CA"/>
    <w:rsid w:val="00097346"/>
    <w:rsid w:val="00097DEF"/>
    <w:rsid w:val="000A01BA"/>
    <w:rsid w:val="000A0284"/>
    <w:rsid w:val="000A10D5"/>
    <w:rsid w:val="000A1DE2"/>
    <w:rsid w:val="000A1EE2"/>
    <w:rsid w:val="000A28FE"/>
    <w:rsid w:val="000A2A1E"/>
    <w:rsid w:val="000A3BCE"/>
    <w:rsid w:val="000A4510"/>
    <w:rsid w:val="000A4638"/>
    <w:rsid w:val="000A47FF"/>
    <w:rsid w:val="000A4ADA"/>
    <w:rsid w:val="000A54B6"/>
    <w:rsid w:val="000A597B"/>
    <w:rsid w:val="000A5D58"/>
    <w:rsid w:val="000A61B5"/>
    <w:rsid w:val="000A65D6"/>
    <w:rsid w:val="000A68E7"/>
    <w:rsid w:val="000A695A"/>
    <w:rsid w:val="000A743F"/>
    <w:rsid w:val="000A7741"/>
    <w:rsid w:val="000A78D1"/>
    <w:rsid w:val="000A7A5A"/>
    <w:rsid w:val="000A7D34"/>
    <w:rsid w:val="000B1358"/>
    <w:rsid w:val="000B13AB"/>
    <w:rsid w:val="000B172F"/>
    <w:rsid w:val="000B20C6"/>
    <w:rsid w:val="000B3104"/>
    <w:rsid w:val="000B3492"/>
    <w:rsid w:val="000B39E0"/>
    <w:rsid w:val="000B4112"/>
    <w:rsid w:val="000B4154"/>
    <w:rsid w:val="000B4360"/>
    <w:rsid w:val="000B4677"/>
    <w:rsid w:val="000B4D7F"/>
    <w:rsid w:val="000B52DB"/>
    <w:rsid w:val="000B53BD"/>
    <w:rsid w:val="000B5B80"/>
    <w:rsid w:val="000B5C72"/>
    <w:rsid w:val="000B5EA3"/>
    <w:rsid w:val="000B6AA6"/>
    <w:rsid w:val="000B7051"/>
    <w:rsid w:val="000B753F"/>
    <w:rsid w:val="000C00C4"/>
    <w:rsid w:val="000C073D"/>
    <w:rsid w:val="000C10D2"/>
    <w:rsid w:val="000C1D79"/>
    <w:rsid w:val="000C22CF"/>
    <w:rsid w:val="000C2716"/>
    <w:rsid w:val="000C30AE"/>
    <w:rsid w:val="000C3707"/>
    <w:rsid w:val="000C37E9"/>
    <w:rsid w:val="000C3AFD"/>
    <w:rsid w:val="000C41C0"/>
    <w:rsid w:val="000C569D"/>
    <w:rsid w:val="000C61B2"/>
    <w:rsid w:val="000C69BC"/>
    <w:rsid w:val="000C6CB0"/>
    <w:rsid w:val="000C75A1"/>
    <w:rsid w:val="000C779A"/>
    <w:rsid w:val="000C7824"/>
    <w:rsid w:val="000D0528"/>
    <w:rsid w:val="000D0795"/>
    <w:rsid w:val="000D1658"/>
    <w:rsid w:val="000D25C6"/>
    <w:rsid w:val="000D2BEC"/>
    <w:rsid w:val="000D3C6C"/>
    <w:rsid w:val="000D3EC0"/>
    <w:rsid w:val="000D456A"/>
    <w:rsid w:val="000D4726"/>
    <w:rsid w:val="000D52D1"/>
    <w:rsid w:val="000D53FE"/>
    <w:rsid w:val="000D5897"/>
    <w:rsid w:val="000D5C5C"/>
    <w:rsid w:val="000D6237"/>
    <w:rsid w:val="000D65F4"/>
    <w:rsid w:val="000D673C"/>
    <w:rsid w:val="000D7692"/>
    <w:rsid w:val="000D77FD"/>
    <w:rsid w:val="000D791D"/>
    <w:rsid w:val="000E0E39"/>
    <w:rsid w:val="000E101E"/>
    <w:rsid w:val="000E1F17"/>
    <w:rsid w:val="000E29B0"/>
    <w:rsid w:val="000E336F"/>
    <w:rsid w:val="000E36A7"/>
    <w:rsid w:val="000E36E9"/>
    <w:rsid w:val="000E389A"/>
    <w:rsid w:val="000E43FC"/>
    <w:rsid w:val="000E48B1"/>
    <w:rsid w:val="000E4B96"/>
    <w:rsid w:val="000E5B7E"/>
    <w:rsid w:val="000E60BE"/>
    <w:rsid w:val="000E6281"/>
    <w:rsid w:val="000E6429"/>
    <w:rsid w:val="000E66B7"/>
    <w:rsid w:val="000E72AA"/>
    <w:rsid w:val="000E7571"/>
    <w:rsid w:val="000E7C6A"/>
    <w:rsid w:val="000F08FF"/>
    <w:rsid w:val="000F0B11"/>
    <w:rsid w:val="000F1301"/>
    <w:rsid w:val="000F16DA"/>
    <w:rsid w:val="000F3786"/>
    <w:rsid w:val="000F4188"/>
    <w:rsid w:val="000F433F"/>
    <w:rsid w:val="000F43F5"/>
    <w:rsid w:val="000F44B6"/>
    <w:rsid w:val="000F47E0"/>
    <w:rsid w:val="000F4AD2"/>
    <w:rsid w:val="000F50CE"/>
    <w:rsid w:val="000F556B"/>
    <w:rsid w:val="000F5AE7"/>
    <w:rsid w:val="000F6596"/>
    <w:rsid w:val="000F6A74"/>
    <w:rsid w:val="000F6B59"/>
    <w:rsid w:val="000F6BED"/>
    <w:rsid w:val="000F71D8"/>
    <w:rsid w:val="000F7812"/>
    <w:rsid w:val="000F7FC2"/>
    <w:rsid w:val="0010001D"/>
    <w:rsid w:val="0010027D"/>
    <w:rsid w:val="001007C0"/>
    <w:rsid w:val="001008A7"/>
    <w:rsid w:val="00100EBA"/>
    <w:rsid w:val="0010117A"/>
    <w:rsid w:val="00101741"/>
    <w:rsid w:val="00101B6C"/>
    <w:rsid w:val="001024B0"/>
    <w:rsid w:val="00102C03"/>
    <w:rsid w:val="00103143"/>
    <w:rsid w:val="001034CA"/>
    <w:rsid w:val="00103CF7"/>
    <w:rsid w:val="00103FAC"/>
    <w:rsid w:val="00104330"/>
    <w:rsid w:val="00104456"/>
    <w:rsid w:val="0010521B"/>
    <w:rsid w:val="001052FD"/>
    <w:rsid w:val="0010596C"/>
    <w:rsid w:val="00106194"/>
    <w:rsid w:val="0010666F"/>
    <w:rsid w:val="00106A9A"/>
    <w:rsid w:val="00106B33"/>
    <w:rsid w:val="00107ECD"/>
    <w:rsid w:val="001103D6"/>
    <w:rsid w:val="00110D5D"/>
    <w:rsid w:val="00110E33"/>
    <w:rsid w:val="001111CD"/>
    <w:rsid w:val="001116B9"/>
    <w:rsid w:val="00111BF6"/>
    <w:rsid w:val="001121CE"/>
    <w:rsid w:val="00112864"/>
    <w:rsid w:val="0011296A"/>
    <w:rsid w:val="00112F90"/>
    <w:rsid w:val="001132BC"/>
    <w:rsid w:val="0011474A"/>
    <w:rsid w:val="00114BC7"/>
    <w:rsid w:val="001152D0"/>
    <w:rsid w:val="00116665"/>
    <w:rsid w:val="001169B0"/>
    <w:rsid w:val="00117835"/>
    <w:rsid w:val="00117A3D"/>
    <w:rsid w:val="001202CC"/>
    <w:rsid w:val="00121938"/>
    <w:rsid w:val="001235AD"/>
    <w:rsid w:val="00123B48"/>
    <w:rsid w:val="00123B78"/>
    <w:rsid w:val="00124EE4"/>
    <w:rsid w:val="001251AE"/>
    <w:rsid w:val="00125CFC"/>
    <w:rsid w:val="001261E3"/>
    <w:rsid w:val="00127265"/>
    <w:rsid w:val="0012739F"/>
    <w:rsid w:val="00127C05"/>
    <w:rsid w:val="00127E18"/>
    <w:rsid w:val="0013063B"/>
    <w:rsid w:val="00130DFE"/>
    <w:rsid w:val="00130EA5"/>
    <w:rsid w:val="001310E4"/>
    <w:rsid w:val="0013131B"/>
    <w:rsid w:val="00132327"/>
    <w:rsid w:val="001337FA"/>
    <w:rsid w:val="001338B6"/>
    <w:rsid w:val="00133F14"/>
    <w:rsid w:val="00133F2F"/>
    <w:rsid w:val="001343D1"/>
    <w:rsid w:val="001344ED"/>
    <w:rsid w:val="001345BA"/>
    <w:rsid w:val="00134887"/>
    <w:rsid w:val="00134BAB"/>
    <w:rsid w:val="0013503E"/>
    <w:rsid w:val="00136AC8"/>
    <w:rsid w:val="00136BBE"/>
    <w:rsid w:val="001372D5"/>
    <w:rsid w:val="00137D5C"/>
    <w:rsid w:val="001401CE"/>
    <w:rsid w:val="0014050E"/>
    <w:rsid w:val="00140D1F"/>
    <w:rsid w:val="001415F8"/>
    <w:rsid w:val="00141936"/>
    <w:rsid w:val="00141C74"/>
    <w:rsid w:val="00141EE7"/>
    <w:rsid w:val="001435F2"/>
    <w:rsid w:val="00143934"/>
    <w:rsid w:val="00143942"/>
    <w:rsid w:val="00143E86"/>
    <w:rsid w:val="001442BE"/>
    <w:rsid w:val="00144876"/>
    <w:rsid w:val="0014489F"/>
    <w:rsid w:val="00144ED6"/>
    <w:rsid w:val="00144FD0"/>
    <w:rsid w:val="00145003"/>
    <w:rsid w:val="00145035"/>
    <w:rsid w:val="00145677"/>
    <w:rsid w:val="001457DE"/>
    <w:rsid w:val="00145904"/>
    <w:rsid w:val="001464F3"/>
    <w:rsid w:val="00146E91"/>
    <w:rsid w:val="001470F0"/>
    <w:rsid w:val="00147C89"/>
    <w:rsid w:val="001503FB"/>
    <w:rsid w:val="001507AB"/>
    <w:rsid w:val="0015103A"/>
    <w:rsid w:val="001517CA"/>
    <w:rsid w:val="00151AD7"/>
    <w:rsid w:val="00152A1D"/>
    <w:rsid w:val="00153424"/>
    <w:rsid w:val="00153476"/>
    <w:rsid w:val="001534AA"/>
    <w:rsid w:val="0015399D"/>
    <w:rsid w:val="0015399F"/>
    <w:rsid w:val="00153CE0"/>
    <w:rsid w:val="00153FDF"/>
    <w:rsid w:val="001545AE"/>
    <w:rsid w:val="00154ABF"/>
    <w:rsid w:val="00157071"/>
    <w:rsid w:val="00160D15"/>
    <w:rsid w:val="00160E1B"/>
    <w:rsid w:val="00160EAA"/>
    <w:rsid w:val="00161994"/>
    <w:rsid w:val="00161B6B"/>
    <w:rsid w:val="00161D56"/>
    <w:rsid w:val="00161F0C"/>
    <w:rsid w:val="00162E97"/>
    <w:rsid w:val="00162F71"/>
    <w:rsid w:val="00163BDE"/>
    <w:rsid w:val="00164772"/>
    <w:rsid w:val="00164901"/>
    <w:rsid w:val="001649C5"/>
    <w:rsid w:val="00164DB5"/>
    <w:rsid w:val="00165254"/>
    <w:rsid w:val="00165582"/>
    <w:rsid w:val="00165CEB"/>
    <w:rsid w:val="00165EF8"/>
    <w:rsid w:val="00165F81"/>
    <w:rsid w:val="001665CA"/>
    <w:rsid w:val="00166BD1"/>
    <w:rsid w:val="00166E0B"/>
    <w:rsid w:val="00167C6A"/>
    <w:rsid w:val="00170A76"/>
    <w:rsid w:val="00172095"/>
    <w:rsid w:val="0017251D"/>
    <w:rsid w:val="00172B62"/>
    <w:rsid w:val="001735F5"/>
    <w:rsid w:val="00173653"/>
    <w:rsid w:val="00174A77"/>
    <w:rsid w:val="0017558D"/>
    <w:rsid w:val="0017567D"/>
    <w:rsid w:val="00176530"/>
    <w:rsid w:val="001775A4"/>
    <w:rsid w:val="00177708"/>
    <w:rsid w:val="001777E3"/>
    <w:rsid w:val="00177A28"/>
    <w:rsid w:val="0018044F"/>
    <w:rsid w:val="0018077C"/>
    <w:rsid w:val="00180A7E"/>
    <w:rsid w:val="0018104C"/>
    <w:rsid w:val="00181286"/>
    <w:rsid w:val="001816BA"/>
    <w:rsid w:val="00181DA5"/>
    <w:rsid w:val="00181EE4"/>
    <w:rsid w:val="00182244"/>
    <w:rsid w:val="00182ACD"/>
    <w:rsid w:val="00183D37"/>
    <w:rsid w:val="00183E95"/>
    <w:rsid w:val="00184504"/>
    <w:rsid w:val="00184655"/>
    <w:rsid w:val="0018477D"/>
    <w:rsid w:val="001852D5"/>
    <w:rsid w:val="001856F8"/>
    <w:rsid w:val="00185716"/>
    <w:rsid w:val="00185FCF"/>
    <w:rsid w:val="0018688C"/>
    <w:rsid w:val="0018793A"/>
    <w:rsid w:val="00187C26"/>
    <w:rsid w:val="0019085F"/>
    <w:rsid w:val="00190A85"/>
    <w:rsid w:val="00190D85"/>
    <w:rsid w:val="00190DB7"/>
    <w:rsid w:val="00190E17"/>
    <w:rsid w:val="00190F36"/>
    <w:rsid w:val="001918B6"/>
    <w:rsid w:val="00191B08"/>
    <w:rsid w:val="00191FE0"/>
    <w:rsid w:val="001920EA"/>
    <w:rsid w:val="00192285"/>
    <w:rsid w:val="00192656"/>
    <w:rsid w:val="001931ED"/>
    <w:rsid w:val="00193D7C"/>
    <w:rsid w:val="00193ED4"/>
    <w:rsid w:val="00194864"/>
    <w:rsid w:val="00195CA9"/>
    <w:rsid w:val="00195D7D"/>
    <w:rsid w:val="00195FC9"/>
    <w:rsid w:val="00196943"/>
    <w:rsid w:val="00196B38"/>
    <w:rsid w:val="00196DEA"/>
    <w:rsid w:val="00197143"/>
    <w:rsid w:val="001A0DA5"/>
    <w:rsid w:val="001A2B3F"/>
    <w:rsid w:val="001A332D"/>
    <w:rsid w:val="001A3AAA"/>
    <w:rsid w:val="001A41E0"/>
    <w:rsid w:val="001A47F6"/>
    <w:rsid w:val="001A4DC1"/>
    <w:rsid w:val="001A55EE"/>
    <w:rsid w:val="001A6369"/>
    <w:rsid w:val="001A7A7E"/>
    <w:rsid w:val="001B068E"/>
    <w:rsid w:val="001B06B8"/>
    <w:rsid w:val="001B0829"/>
    <w:rsid w:val="001B0A70"/>
    <w:rsid w:val="001B1DE9"/>
    <w:rsid w:val="001B1FF6"/>
    <w:rsid w:val="001B2CD2"/>
    <w:rsid w:val="001B3E56"/>
    <w:rsid w:val="001B435F"/>
    <w:rsid w:val="001B46C3"/>
    <w:rsid w:val="001B5CBF"/>
    <w:rsid w:val="001B63A6"/>
    <w:rsid w:val="001B68DE"/>
    <w:rsid w:val="001B6902"/>
    <w:rsid w:val="001B77B0"/>
    <w:rsid w:val="001C0423"/>
    <w:rsid w:val="001C0565"/>
    <w:rsid w:val="001C09CB"/>
    <w:rsid w:val="001C0AAC"/>
    <w:rsid w:val="001C279A"/>
    <w:rsid w:val="001C3103"/>
    <w:rsid w:val="001C40EC"/>
    <w:rsid w:val="001C44A2"/>
    <w:rsid w:val="001C53DD"/>
    <w:rsid w:val="001C5405"/>
    <w:rsid w:val="001C547A"/>
    <w:rsid w:val="001C6815"/>
    <w:rsid w:val="001C6B18"/>
    <w:rsid w:val="001C6E2A"/>
    <w:rsid w:val="001C7656"/>
    <w:rsid w:val="001C7B3E"/>
    <w:rsid w:val="001C7B64"/>
    <w:rsid w:val="001D0A34"/>
    <w:rsid w:val="001D0A42"/>
    <w:rsid w:val="001D1599"/>
    <w:rsid w:val="001D1D38"/>
    <w:rsid w:val="001D2052"/>
    <w:rsid w:val="001D31A8"/>
    <w:rsid w:val="001D3B40"/>
    <w:rsid w:val="001D3FAF"/>
    <w:rsid w:val="001D3FE9"/>
    <w:rsid w:val="001D586C"/>
    <w:rsid w:val="001D5AE4"/>
    <w:rsid w:val="001D6DFD"/>
    <w:rsid w:val="001D7A40"/>
    <w:rsid w:val="001E128D"/>
    <w:rsid w:val="001E13A6"/>
    <w:rsid w:val="001E1701"/>
    <w:rsid w:val="001E2C57"/>
    <w:rsid w:val="001E33D5"/>
    <w:rsid w:val="001E425E"/>
    <w:rsid w:val="001E43E6"/>
    <w:rsid w:val="001E46A1"/>
    <w:rsid w:val="001E476C"/>
    <w:rsid w:val="001E4841"/>
    <w:rsid w:val="001E48D7"/>
    <w:rsid w:val="001E499B"/>
    <w:rsid w:val="001E4B27"/>
    <w:rsid w:val="001E4B5A"/>
    <w:rsid w:val="001E681D"/>
    <w:rsid w:val="001E6F89"/>
    <w:rsid w:val="001E71A8"/>
    <w:rsid w:val="001E7775"/>
    <w:rsid w:val="001E7D92"/>
    <w:rsid w:val="001E7F6D"/>
    <w:rsid w:val="001F00BE"/>
    <w:rsid w:val="001F0576"/>
    <w:rsid w:val="001F09DF"/>
    <w:rsid w:val="001F0BF8"/>
    <w:rsid w:val="001F1448"/>
    <w:rsid w:val="001F19B1"/>
    <w:rsid w:val="001F1FF0"/>
    <w:rsid w:val="001F2F6A"/>
    <w:rsid w:val="001F3964"/>
    <w:rsid w:val="001F3A53"/>
    <w:rsid w:val="001F40C2"/>
    <w:rsid w:val="001F41EF"/>
    <w:rsid w:val="001F47A5"/>
    <w:rsid w:val="001F52E1"/>
    <w:rsid w:val="001F5C1F"/>
    <w:rsid w:val="001F6196"/>
    <w:rsid w:val="001F658B"/>
    <w:rsid w:val="001F66AA"/>
    <w:rsid w:val="001F74CA"/>
    <w:rsid w:val="001F77C6"/>
    <w:rsid w:val="001F7D81"/>
    <w:rsid w:val="00200586"/>
    <w:rsid w:val="00200970"/>
    <w:rsid w:val="00200AD0"/>
    <w:rsid w:val="0020166E"/>
    <w:rsid w:val="00202740"/>
    <w:rsid w:val="00202838"/>
    <w:rsid w:val="00202BDE"/>
    <w:rsid w:val="00202C7F"/>
    <w:rsid w:val="0020345C"/>
    <w:rsid w:val="00205169"/>
    <w:rsid w:val="002060AA"/>
    <w:rsid w:val="00206527"/>
    <w:rsid w:val="0020659F"/>
    <w:rsid w:val="00207FD3"/>
    <w:rsid w:val="00210453"/>
    <w:rsid w:val="00212746"/>
    <w:rsid w:val="00213086"/>
    <w:rsid w:val="00213483"/>
    <w:rsid w:val="002135AD"/>
    <w:rsid w:val="0021398D"/>
    <w:rsid w:val="0021498B"/>
    <w:rsid w:val="00215618"/>
    <w:rsid w:val="00215CD9"/>
    <w:rsid w:val="002162D4"/>
    <w:rsid w:val="00217140"/>
    <w:rsid w:val="0021796E"/>
    <w:rsid w:val="002206C3"/>
    <w:rsid w:val="0022188F"/>
    <w:rsid w:val="00221E53"/>
    <w:rsid w:val="0022249B"/>
    <w:rsid w:val="002231E8"/>
    <w:rsid w:val="00223444"/>
    <w:rsid w:val="00223702"/>
    <w:rsid w:val="00223D6E"/>
    <w:rsid w:val="00223E1A"/>
    <w:rsid w:val="002242F8"/>
    <w:rsid w:val="00224F08"/>
    <w:rsid w:val="00225AC1"/>
    <w:rsid w:val="002275A9"/>
    <w:rsid w:val="00227831"/>
    <w:rsid w:val="0023015C"/>
    <w:rsid w:val="00230B65"/>
    <w:rsid w:val="00230E88"/>
    <w:rsid w:val="002316C3"/>
    <w:rsid w:val="00231F18"/>
    <w:rsid w:val="00232101"/>
    <w:rsid w:val="00232900"/>
    <w:rsid w:val="00232A4A"/>
    <w:rsid w:val="0023380B"/>
    <w:rsid w:val="00233F07"/>
    <w:rsid w:val="0023414D"/>
    <w:rsid w:val="002341B1"/>
    <w:rsid w:val="00234608"/>
    <w:rsid w:val="00234E3E"/>
    <w:rsid w:val="00234EA2"/>
    <w:rsid w:val="00235250"/>
    <w:rsid w:val="00236276"/>
    <w:rsid w:val="0023713B"/>
    <w:rsid w:val="002377E9"/>
    <w:rsid w:val="00237AB2"/>
    <w:rsid w:val="00237B55"/>
    <w:rsid w:val="00237F77"/>
    <w:rsid w:val="00240666"/>
    <w:rsid w:val="002409A6"/>
    <w:rsid w:val="002415F0"/>
    <w:rsid w:val="00241B13"/>
    <w:rsid w:val="00241C53"/>
    <w:rsid w:val="00241CA8"/>
    <w:rsid w:val="0024219F"/>
    <w:rsid w:val="0024228B"/>
    <w:rsid w:val="00242820"/>
    <w:rsid w:val="0024360A"/>
    <w:rsid w:val="00243C0A"/>
    <w:rsid w:val="0024445E"/>
    <w:rsid w:val="00244A32"/>
    <w:rsid w:val="00244EA2"/>
    <w:rsid w:val="0024593B"/>
    <w:rsid w:val="002469AE"/>
    <w:rsid w:val="00247170"/>
    <w:rsid w:val="00250156"/>
    <w:rsid w:val="00251369"/>
    <w:rsid w:val="002521BB"/>
    <w:rsid w:val="002530E7"/>
    <w:rsid w:val="00253978"/>
    <w:rsid w:val="002539A3"/>
    <w:rsid w:val="00253FB2"/>
    <w:rsid w:val="0025434F"/>
    <w:rsid w:val="00254733"/>
    <w:rsid w:val="00254770"/>
    <w:rsid w:val="0025483F"/>
    <w:rsid w:val="00255590"/>
    <w:rsid w:val="002569F0"/>
    <w:rsid w:val="00256F1B"/>
    <w:rsid w:val="00257BCF"/>
    <w:rsid w:val="00257C2B"/>
    <w:rsid w:val="00257D57"/>
    <w:rsid w:val="00257FC7"/>
    <w:rsid w:val="00260934"/>
    <w:rsid w:val="00261094"/>
    <w:rsid w:val="00261451"/>
    <w:rsid w:val="00262211"/>
    <w:rsid w:val="0026253C"/>
    <w:rsid w:val="00262721"/>
    <w:rsid w:val="002629DB"/>
    <w:rsid w:val="00262DF1"/>
    <w:rsid w:val="002634C5"/>
    <w:rsid w:val="00263923"/>
    <w:rsid w:val="00263994"/>
    <w:rsid w:val="00263BA0"/>
    <w:rsid w:val="002659DB"/>
    <w:rsid w:val="00266800"/>
    <w:rsid w:val="00266CF6"/>
    <w:rsid w:val="00266D84"/>
    <w:rsid w:val="00267263"/>
    <w:rsid w:val="0026729F"/>
    <w:rsid w:val="002673DF"/>
    <w:rsid w:val="0026778B"/>
    <w:rsid w:val="00267CB2"/>
    <w:rsid w:val="00267F0C"/>
    <w:rsid w:val="002700A1"/>
    <w:rsid w:val="00270448"/>
    <w:rsid w:val="00270A44"/>
    <w:rsid w:val="00270CC6"/>
    <w:rsid w:val="00271041"/>
    <w:rsid w:val="002716F5"/>
    <w:rsid w:val="00272D58"/>
    <w:rsid w:val="0027309F"/>
    <w:rsid w:val="00273C7C"/>
    <w:rsid w:val="00273E50"/>
    <w:rsid w:val="00274477"/>
    <w:rsid w:val="002746AE"/>
    <w:rsid w:val="00274775"/>
    <w:rsid w:val="00274A94"/>
    <w:rsid w:val="002756B4"/>
    <w:rsid w:val="0027574E"/>
    <w:rsid w:val="00275B85"/>
    <w:rsid w:val="0027660D"/>
    <w:rsid w:val="00276EB5"/>
    <w:rsid w:val="002778D6"/>
    <w:rsid w:val="00277B61"/>
    <w:rsid w:val="0028114A"/>
    <w:rsid w:val="002819C6"/>
    <w:rsid w:val="00281C96"/>
    <w:rsid w:val="00282944"/>
    <w:rsid w:val="002849A9"/>
    <w:rsid w:val="00284B5F"/>
    <w:rsid w:val="00284D11"/>
    <w:rsid w:val="00284D9E"/>
    <w:rsid w:val="00285287"/>
    <w:rsid w:val="00285351"/>
    <w:rsid w:val="00285CFC"/>
    <w:rsid w:val="00285E65"/>
    <w:rsid w:val="0028724B"/>
    <w:rsid w:val="00287C88"/>
    <w:rsid w:val="00291771"/>
    <w:rsid w:val="00291D57"/>
    <w:rsid w:val="0029225A"/>
    <w:rsid w:val="002922E2"/>
    <w:rsid w:val="0029287D"/>
    <w:rsid w:val="00292F12"/>
    <w:rsid w:val="00294282"/>
    <w:rsid w:val="002942C5"/>
    <w:rsid w:val="00294436"/>
    <w:rsid w:val="002949E6"/>
    <w:rsid w:val="00294ADA"/>
    <w:rsid w:val="002950AD"/>
    <w:rsid w:val="002962FA"/>
    <w:rsid w:val="00296947"/>
    <w:rsid w:val="002971A6"/>
    <w:rsid w:val="002978F1"/>
    <w:rsid w:val="002A03E8"/>
    <w:rsid w:val="002A0A84"/>
    <w:rsid w:val="002A0BEA"/>
    <w:rsid w:val="002A153A"/>
    <w:rsid w:val="002A1B87"/>
    <w:rsid w:val="002A27CF"/>
    <w:rsid w:val="002A2BA0"/>
    <w:rsid w:val="002A2CD7"/>
    <w:rsid w:val="002A3DDA"/>
    <w:rsid w:val="002A505C"/>
    <w:rsid w:val="002A55DC"/>
    <w:rsid w:val="002A572D"/>
    <w:rsid w:val="002A582C"/>
    <w:rsid w:val="002A618B"/>
    <w:rsid w:val="002A71D3"/>
    <w:rsid w:val="002A7852"/>
    <w:rsid w:val="002B0FC4"/>
    <w:rsid w:val="002B109B"/>
    <w:rsid w:val="002B1B15"/>
    <w:rsid w:val="002B1EBA"/>
    <w:rsid w:val="002B2AD1"/>
    <w:rsid w:val="002B2BC2"/>
    <w:rsid w:val="002B3334"/>
    <w:rsid w:val="002B33F0"/>
    <w:rsid w:val="002B3836"/>
    <w:rsid w:val="002B40C4"/>
    <w:rsid w:val="002B42DB"/>
    <w:rsid w:val="002B457E"/>
    <w:rsid w:val="002B4C4A"/>
    <w:rsid w:val="002B566D"/>
    <w:rsid w:val="002B6ABC"/>
    <w:rsid w:val="002B6BDB"/>
    <w:rsid w:val="002B7293"/>
    <w:rsid w:val="002B736D"/>
    <w:rsid w:val="002C014E"/>
    <w:rsid w:val="002C03BD"/>
    <w:rsid w:val="002C211E"/>
    <w:rsid w:val="002C2901"/>
    <w:rsid w:val="002C2FEE"/>
    <w:rsid w:val="002C349F"/>
    <w:rsid w:val="002C36C9"/>
    <w:rsid w:val="002C3953"/>
    <w:rsid w:val="002C54DB"/>
    <w:rsid w:val="002C6A0E"/>
    <w:rsid w:val="002C729F"/>
    <w:rsid w:val="002D0F71"/>
    <w:rsid w:val="002D15E4"/>
    <w:rsid w:val="002D2ADF"/>
    <w:rsid w:val="002D2F31"/>
    <w:rsid w:val="002D2F9A"/>
    <w:rsid w:val="002D359F"/>
    <w:rsid w:val="002D3AE2"/>
    <w:rsid w:val="002D3DE3"/>
    <w:rsid w:val="002D4089"/>
    <w:rsid w:val="002D41B2"/>
    <w:rsid w:val="002D548D"/>
    <w:rsid w:val="002D6DFB"/>
    <w:rsid w:val="002D7109"/>
    <w:rsid w:val="002D766C"/>
    <w:rsid w:val="002D7AE9"/>
    <w:rsid w:val="002D7B9F"/>
    <w:rsid w:val="002D7FF4"/>
    <w:rsid w:val="002E002E"/>
    <w:rsid w:val="002E07FB"/>
    <w:rsid w:val="002E28B4"/>
    <w:rsid w:val="002E2904"/>
    <w:rsid w:val="002E4087"/>
    <w:rsid w:val="002E40C1"/>
    <w:rsid w:val="002E41D7"/>
    <w:rsid w:val="002E461B"/>
    <w:rsid w:val="002E4ABB"/>
    <w:rsid w:val="002E5FAD"/>
    <w:rsid w:val="002E62C0"/>
    <w:rsid w:val="002E6C9A"/>
    <w:rsid w:val="002E78BA"/>
    <w:rsid w:val="002E7DA9"/>
    <w:rsid w:val="002F00C1"/>
    <w:rsid w:val="002F0C29"/>
    <w:rsid w:val="002F0FD9"/>
    <w:rsid w:val="002F1E89"/>
    <w:rsid w:val="002F1F49"/>
    <w:rsid w:val="002F2393"/>
    <w:rsid w:val="002F2470"/>
    <w:rsid w:val="002F2E5F"/>
    <w:rsid w:val="002F35A2"/>
    <w:rsid w:val="002F3D20"/>
    <w:rsid w:val="002F3D70"/>
    <w:rsid w:val="002F3EFE"/>
    <w:rsid w:val="002F44AE"/>
    <w:rsid w:val="002F4E97"/>
    <w:rsid w:val="002F4F83"/>
    <w:rsid w:val="002F659D"/>
    <w:rsid w:val="002F6843"/>
    <w:rsid w:val="002F693C"/>
    <w:rsid w:val="002F74CA"/>
    <w:rsid w:val="002F75C7"/>
    <w:rsid w:val="00300AE9"/>
    <w:rsid w:val="003010D1"/>
    <w:rsid w:val="00301453"/>
    <w:rsid w:val="00302095"/>
    <w:rsid w:val="00302105"/>
    <w:rsid w:val="00303014"/>
    <w:rsid w:val="00303062"/>
    <w:rsid w:val="0030358C"/>
    <w:rsid w:val="003037CC"/>
    <w:rsid w:val="00303863"/>
    <w:rsid w:val="003047C1"/>
    <w:rsid w:val="00304BB7"/>
    <w:rsid w:val="00306433"/>
    <w:rsid w:val="00306959"/>
    <w:rsid w:val="003101DB"/>
    <w:rsid w:val="003104BB"/>
    <w:rsid w:val="0031061E"/>
    <w:rsid w:val="00310946"/>
    <w:rsid w:val="00312095"/>
    <w:rsid w:val="00312956"/>
    <w:rsid w:val="0031447A"/>
    <w:rsid w:val="003144F2"/>
    <w:rsid w:val="00314E47"/>
    <w:rsid w:val="00314E9F"/>
    <w:rsid w:val="00314EA2"/>
    <w:rsid w:val="00315384"/>
    <w:rsid w:val="00315ADA"/>
    <w:rsid w:val="00315D1A"/>
    <w:rsid w:val="003167A8"/>
    <w:rsid w:val="00316892"/>
    <w:rsid w:val="0031697C"/>
    <w:rsid w:val="003169BB"/>
    <w:rsid w:val="00316CA7"/>
    <w:rsid w:val="0032070F"/>
    <w:rsid w:val="00320C09"/>
    <w:rsid w:val="003211BF"/>
    <w:rsid w:val="00321356"/>
    <w:rsid w:val="00321C02"/>
    <w:rsid w:val="00322D49"/>
    <w:rsid w:val="00323248"/>
    <w:rsid w:val="003239F0"/>
    <w:rsid w:val="00323E70"/>
    <w:rsid w:val="003240FC"/>
    <w:rsid w:val="00324248"/>
    <w:rsid w:val="00324712"/>
    <w:rsid w:val="00324AD5"/>
    <w:rsid w:val="003250D4"/>
    <w:rsid w:val="00325226"/>
    <w:rsid w:val="003252B7"/>
    <w:rsid w:val="0032788B"/>
    <w:rsid w:val="00327F68"/>
    <w:rsid w:val="00330877"/>
    <w:rsid w:val="00330A23"/>
    <w:rsid w:val="003312EA"/>
    <w:rsid w:val="00331517"/>
    <w:rsid w:val="00331743"/>
    <w:rsid w:val="00331D62"/>
    <w:rsid w:val="003324E9"/>
    <w:rsid w:val="0033267D"/>
    <w:rsid w:val="00333610"/>
    <w:rsid w:val="0033482B"/>
    <w:rsid w:val="00334A07"/>
    <w:rsid w:val="00335222"/>
    <w:rsid w:val="0033525D"/>
    <w:rsid w:val="00335886"/>
    <w:rsid w:val="00336989"/>
    <w:rsid w:val="00336AFD"/>
    <w:rsid w:val="00336C74"/>
    <w:rsid w:val="00337256"/>
    <w:rsid w:val="00340F9B"/>
    <w:rsid w:val="0034109B"/>
    <w:rsid w:val="003419FA"/>
    <w:rsid w:val="00341BD9"/>
    <w:rsid w:val="00341D51"/>
    <w:rsid w:val="00341DEB"/>
    <w:rsid w:val="00342485"/>
    <w:rsid w:val="003424FE"/>
    <w:rsid w:val="00344523"/>
    <w:rsid w:val="003448B6"/>
    <w:rsid w:val="00344D6E"/>
    <w:rsid w:val="00344EDE"/>
    <w:rsid w:val="00345002"/>
    <w:rsid w:val="0034578D"/>
    <w:rsid w:val="0034594F"/>
    <w:rsid w:val="00345ABB"/>
    <w:rsid w:val="0034604D"/>
    <w:rsid w:val="00346416"/>
    <w:rsid w:val="00346721"/>
    <w:rsid w:val="003467F3"/>
    <w:rsid w:val="003470DC"/>
    <w:rsid w:val="00350474"/>
    <w:rsid w:val="003504A4"/>
    <w:rsid w:val="003507AD"/>
    <w:rsid w:val="00351226"/>
    <w:rsid w:val="00352991"/>
    <w:rsid w:val="00353018"/>
    <w:rsid w:val="0035365A"/>
    <w:rsid w:val="00353B0E"/>
    <w:rsid w:val="00354617"/>
    <w:rsid w:val="00354D2B"/>
    <w:rsid w:val="003558EB"/>
    <w:rsid w:val="00355D2F"/>
    <w:rsid w:val="00355E17"/>
    <w:rsid w:val="00355F40"/>
    <w:rsid w:val="00356211"/>
    <w:rsid w:val="00356827"/>
    <w:rsid w:val="00356A68"/>
    <w:rsid w:val="00356B53"/>
    <w:rsid w:val="003573A7"/>
    <w:rsid w:val="003579E6"/>
    <w:rsid w:val="00357D2D"/>
    <w:rsid w:val="00357D70"/>
    <w:rsid w:val="003612F3"/>
    <w:rsid w:val="003613DD"/>
    <w:rsid w:val="00361DEA"/>
    <w:rsid w:val="00361F7B"/>
    <w:rsid w:val="00362199"/>
    <w:rsid w:val="003622A6"/>
    <w:rsid w:val="00362776"/>
    <w:rsid w:val="00363387"/>
    <w:rsid w:val="00364454"/>
    <w:rsid w:val="0036509E"/>
    <w:rsid w:val="0036532A"/>
    <w:rsid w:val="00365739"/>
    <w:rsid w:val="003657F3"/>
    <w:rsid w:val="003659BA"/>
    <w:rsid w:val="003660B0"/>
    <w:rsid w:val="00366335"/>
    <w:rsid w:val="00367254"/>
    <w:rsid w:val="00367E47"/>
    <w:rsid w:val="00370222"/>
    <w:rsid w:val="00370681"/>
    <w:rsid w:val="0037084E"/>
    <w:rsid w:val="00370A59"/>
    <w:rsid w:val="00370CA8"/>
    <w:rsid w:val="00370F09"/>
    <w:rsid w:val="003715F8"/>
    <w:rsid w:val="00371DFC"/>
    <w:rsid w:val="0037223C"/>
    <w:rsid w:val="0037295B"/>
    <w:rsid w:val="00372B91"/>
    <w:rsid w:val="0037341C"/>
    <w:rsid w:val="003737AF"/>
    <w:rsid w:val="00373FB5"/>
    <w:rsid w:val="003741C3"/>
    <w:rsid w:val="00374329"/>
    <w:rsid w:val="0037458E"/>
    <w:rsid w:val="003751BB"/>
    <w:rsid w:val="00375391"/>
    <w:rsid w:val="00375C2C"/>
    <w:rsid w:val="003773D9"/>
    <w:rsid w:val="0037754F"/>
    <w:rsid w:val="0038045F"/>
    <w:rsid w:val="003805E8"/>
    <w:rsid w:val="00380D8D"/>
    <w:rsid w:val="0038116F"/>
    <w:rsid w:val="00381261"/>
    <w:rsid w:val="0038230B"/>
    <w:rsid w:val="0038317C"/>
    <w:rsid w:val="0038351B"/>
    <w:rsid w:val="00383E41"/>
    <w:rsid w:val="003842BD"/>
    <w:rsid w:val="0038448E"/>
    <w:rsid w:val="0038461A"/>
    <w:rsid w:val="00385275"/>
    <w:rsid w:val="00386327"/>
    <w:rsid w:val="003864EE"/>
    <w:rsid w:val="00386D9D"/>
    <w:rsid w:val="00386ED8"/>
    <w:rsid w:val="00386F83"/>
    <w:rsid w:val="00387034"/>
    <w:rsid w:val="003903CD"/>
    <w:rsid w:val="0039086E"/>
    <w:rsid w:val="00390DF6"/>
    <w:rsid w:val="00390E95"/>
    <w:rsid w:val="00390F7A"/>
    <w:rsid w:val="00391136"/>
    <w:rsid w:val="003913E7"/>
    <w:rsid w:val="003922EB"/>
    <w:rsid w:val="003924A5"/>
    <w:rsid w:val="00392ED8"/>
    <w:rsid w:val="00393116"/>
    <w:rsid w:val="0039372C"/>
    <w:rsid w:val="00394C27"/>
    <w:rsid w:val="0039573F"/>
    <w:rsid w:val="00396243"/>
    <w:rsid w:val="0039699B"/>
    <w:rsid w:val="00397B75"/>
    <w:rsid w:val="003A016D"/>
    <w:rsid w:val="003A08EA"/>
    <w:rsid w:val="003A09CE"/>
    <w:rsid w:val="003A0A42"/>
    <w:rsid w:val="003A0BA7"/>
    <w:rsid w:val="003A0DAD"/>
    <w:rsid w:val="003A0FC5"/>
    <w:rsid w:val="003A18B8"/>
    <w:rsid w:val="003A1CA9"/>
    <w:rsid w:val="003A227D"/>
    <w:rsid w:val="003A34B2"/>
    <w:rsid w:val="003A3579"/>
    <w:rsid w:val="003A47D7"/>
    <w:rsid w:val="003A5CB9"/>
    <w:rsid w:val="003A619D"/>
    <w:rsid w:val="003A6CD7"/>
    <w:rsid w:val="003A736F"/>
    <w:rsid w:val="003A7ADA"/>
    <w:rsid w:val="003A7B3A"/>
    <w:rsid w:val="003B0974"/>
    <w:rsid w:val="003B0BC6"/>
    <w:rsid w:val="003B18D2"/>
    <w:rsid w:val="003B1BD6"/>
    <w:rsid w:val="003B3904"/>
    <w:rsid w:val="003B418E"/>
    <w:rsid w:val="003B4DE5"/>
    <w:rsid w:val="003B56C6"/>
    <w:rsid w:val="003B61F3"/>
    <w:rsid w:val="003B6718"/>
    <w:rsid w:val="003B6750"/>
    <w:rsid w:val="003B6F44"/>
    <w:rsid w:val="003B7108"/>
    <w:rsid w:val="003B7482"/>
    <w:rsid w:val="003C073D"/>
    <w:rsid w:val="003C0B64"/>
    <w:rsid w:val="003C3B90"/>
    <w:rsid w:val="003C3FCC"/>
    <w:rsid w:val="003C40A2"/>
    <w:rsid w:val="003C4D32"/>
    <w:rsid w:val="003C4EFE"/>
    <w:rsid w:val="003C4F67"/>
    <w:rsid w:val="003C53B5"/>
    <w:rsid w:val="003C5F1E"/>
    <w:rsid w:val="003C6FD0"/>
    <w:rsid w:val="003C717C"/>
    <w:rsid w:val="003D1687"/>
    <w:rsid w:val="003D1B02"/>
    <w:rsid w:val="003D23E8"/>
    <w:rsid w:val="003D3415"/>
    <w:rsid w:val="003D38BC"/>
    <w:rsid w:val="003D44D3"/>
    <w:rsid w:val="003D4B77"/>
    <w:rsid w:val="003D52CC"/>
    <w:rsid w:val="003D6407"/>
    <w:rsid w:val="003D70CF"/>
    <w:rsid w:val="003D7143"/>
    <w:rsid w:val="003D7B62"/>
    <w:rsid w:val="003E02E5"/>
    <w:rsid w:val="003E0382"/>
    <w:rsid w:val="003E1440"/>
    <w:rsid w:val="003E153D"/>
    <w:rsid w:val="003E1DBE"/>
    <w:rsid w:val="003E2525"/>
    <w:rsid w:val="003E2A85"/>
    <w:rsid w:val="003E2FDC"/>
    <w:rsid w:val="003E35A2"/>
    <w:rsid w:val="003E382C"/>
    <w:rsid w:val="003E3E27"/>
    <w:rsid w:val="003E404D"/>
    <w:rsid w:val="003E4F94"/>
    <w:rsid w:val="003E5193"/>
    <w:rsid w:val="003E5991"/>
    <w:rsid w:val="003E5E71"/>
    <w:rsid w:val="003E7D3E"/>
    <w:rsid w:val="003F03AE"/>
    <w:rsid w:val="003F086E"/>
    <w:rsid w:val="003F1585"/>
    <w:rsid w:val="003F1DA6"/>
    <w:rsid w:val="003F1F9D"/>
    <w:rsid w:val="003F20F8"/>
    <w:rsid w:val="003F2503"/>
    <w:rsid w:val="003F25DA"/>
    <w:rsid w:val="003F2B0C"/>
    <w:rsid w:val="003F31A7"/>
    <w:rsid w:val="003F3571"/>
    <w:rsid w:val="003F3A47"/>
    <w:rsid w:val="003F4BD2"/>
    <w:rsid w:val="003F4EEF"/>
    <w:rsid w:val="003F5511"/>
    <w:rsid w:val="003F5F07"/>
    <w:rsid w:val="003F5F28"/>
    <w:rsid w:val="003F67FD"/>
    <w:rsid w:val="003F6C96"/>
    <w:rsid w:val="003F6F43"/>
    <w:rsid w:val="003F6F8D"/>
    <w:rsid w:val="003F70CB"/>
    <w:rsid w:val="003F70ED"/>
    <w:rsid w:val="003F7570"/>
    <w:rsid w:val="003F75CA"/>
    <w:rsid w:val="003F7FC9"/>
    <w:rsid w:val="0040001A"/>
    <w:rsid w:val="0040021F"/>
    <w:rsid w:val="004004C8"/>
    <w:rsid w:val="004008D9"/>
    <w:rsid w:val="00400ECA"/>
    <w:rsid w:val="004013C5"/>
    <w:rsid w:val="0040195F"/>
    <w:rsid w:val="00402A22"/>
    <w:rsid w:val="00403866"/>
    <w:rsid w:val="004043C4"/>
    <w:rsid w:val="004048E4"/>
    <w:rsid w:val="00406E65"/>
    <w:rsid w:val="0040743D"/>
    <w:rsid w:val="00410605"/>
    <w:rsid w:val="00410A77"/>
    <w:rsid w:val="00411832"/>
    <w:rsid w:val="0041196E"/>
    <w:rsid w:val="00411EA7"/>
    <w:rsid w:val="00412A8B"/>
    <w:rsid w:val="00412B71"/>
    <w:rsid w:val="00413A24"/>
    <w:rsid w:val="00413DE7"/>
    <w:rsid w:val="004157DA"/>
    <w:rsid w:val="0041644D"/>
    <w:rsid w:val="0041698C"/>
    <w:rsid w:val="00417A99"/>
    <w:rsid w:val="00420712"/>
    <w:rsid w:val="00420A2B"/>
    <w:rsid w:val="00420AC4"/>
    <w:rsid w:val="00420B28"/>
    <w:rsid w:val="0042151E"/>
    <w:rsid w:val="00421C72"/>
    <w:rsid w:val="00422831"/>
    <w:rsid w:val="004228DB"/>
    <w:rsid w:val="0042305E"/>
    <w:rsid w:val="00423727"/>
    <w:rsid w:val="00423E1C"/>
    <w:rsid w:val="00424E01"/>
    <w:rsid w:val="0042511E"/>
    <w:rsid w:val="0042545B"/>
    <w:rsid w:val="00427910"/>
    <w:rsid w:val="00430355"/>
    <w:rsid w:val="00430864"/>
    <w:rsid w:val="00431CE0"/>
    <w:rsid w:val="00432B6B"/>
    <w:rsid w:val="00434E25"/>
    <w:rsid w:val="00435D05"/>
    <w:rsid w:val="0043608F"/>
    <w:rsid w:val="00436264"/>
    <w:rsid w:val="004365BC"/>
    <w:rsid w:val="004365E7"/>
    <w:rsid w:val="004366FD"/>
    <w:rsid w:val="00437AF6"/>
    <w:rsid w:val="00440191"/>
    <w:rsid w:val="00440805"/>
    <w:rsid w:val="00440A61"/>
    <w:rsid w:val="004412FF"/>
    <w:rsid w:val="004420BC"/>
    <w:rsid w:val="0044252E"/>
    <w:rsid w:val="0044463C"/>
    <w:rsid w:val="004448C3"/>
    <w:rsid w:val="00444CFE"/>
    <w:rsid w:val="00444DC5"/>
    <w:rsid w:val="004450F5"/>
    <w:rsid w:val="00446267"/>
    <w:rsid w:val="004469E7"/>
    <w:rsid w:val="00447CCF"/>
    <w:rsid w:val="004500B1"/>
    <w:rsid w:val="00451220"/>
    <w:rsid w:val="004513EA"/>
    <w:rsid w:val="00451AC3"/>
    <w:rsid w:val="00451BA9"/>
    <w:rsid w:val="004520F7"/>
    <w:rsid w:val="004522F0"/>
    <w:rsid w:val="00452892"/>
    <w:rsid w:val="004529C8"/>
    <w:rsid w:val="00452F5C"/>
    <w:rsid w:val="00453FE9"/>
    <w:rsid w:val="0045532A"/>
    <w:rsid w:val="004558BB"/>
    <w:rsid w:val="0045658A"/>
    <w:rsid w:val="00460458"/>
    <w:rsid w:val="00460592"/>
    <w:rsid w:val="0046090D"/>
    <w:rsid w:val="00461F5F"/>
    <w:rsid w:val="00461FD5"/>
    <w:rsid w:val="00461FE6"/>
    <w:rsid w:val="0046291F"/>
    <w:rsid w:val="00462BAA"/>
    <w:rsid w:val="004641D1"/>
    <w:rsid w:val="004643A9"/>
    <w:rsid w:val="004650AB"/>
    <w:rsid w:val="0046512D"/>
    <w:rsid w:val="00465EFA"/>
    <w:rsid w:val="00466012"/>
    <w:rsid w:val="00466973"/>
    <w:rsid w:val="00467070"/>
    <w:rsid w:val="004674EB"/>
    <w:rsid w:val="00467E3B"/>
    <w:rsid w:val="00470BA2"/>
    <w:rsid w:val="004711AE"/>
    <w:rsid w:val="004725FF"/>
    <w:rsid w:val="00472C75"/>
    <w:rsid w:val="0047309C"/>
    <w:rsid w:val="00473259"/>
    <w:rsid w:val="00473379"/>
    <w:rsid w:val="00473458"/>
    <w:rsid w:val="0047375A"/>
    <w:rsid w:val="00473A78"/>
    <w:rsid w:val="00474E05"/>
    <w:rsid w:val="00475E6C"/>
    <w:rsid w:val="0047682E"/>
    <w:rsid w:val="00476F7C"/>
    <w:rsid w:val="00476FDD"/>
    <w:rsid w:val="004773C8"/>
    <w:rsid w:val="004773D2"/>
    <w:rsid w:val="0047754E"/>
    <w:rsid w:val="004779E7"/>
    <w:rsid w:val="00480F0A"/>
    <w:rsid w:val="004814EF"/>
    <w:rsid w:val="00481A3A"/>
    <w:rsid w:val="00481AB4"/>
    <w:rsid w:val="00481FDE"/>
    <w:rsid w:val="00482420"/>
    <w:rsid w:val="00482FEB"/>
    <w:rsid w:val="00483D40"/>
    <w:rsid w:val="00484049"/>
    <w:rsid w:val="00484315"/>
    <w:rsid w:val="00484CCE"/>
    <w:rsid w:val="00485529"/>
    <w:rsid w:val="00485D7C"/>
    <w:rsid w:val="004860DE"/>
    <w:rsid w:val="0048695C"/>
    <w:rsid w:val="004870F2"/>
    <w:rsid w:val="00487541"/>
    <w:rsid w:val="00487BBF"/>
    <w:rsid w:val="00487D9E"/>
    <w:rsid w:val="004906CE"/>
    <w:rsid w:val="004906EE"/>
    <w:rsid w:val="00491075"/>
    <w:rsid w:val="00491244"/>
    <w:rsid w:val="0049180C"/>
    <w:rsid w:val="0049199C"/>
    <w:rsid w:val="00492286"/>
    <w:rsid w:val="0049279A"/>
    <w:rsid w:val="004929E2"/>
    <w:rsid w:val="00492A86"/>
    <w:rsid w:val="00492B2B"/>
    <w:rsid w:val="00493526"/>
    <w:rsid w:val="00495658"/>
    <w:rsid w:val="00495AA6"/>
    <w:rsid w:val="00496207"/>
    <w:rsid w:val="00496F99"/>
    <w:rsid w:val="004972BB"/>
    <w:rsid w:val="00497787"/>
    <w:rsid w:val="00497EBC"/>
    <w:rsid w:val="004A0ED6"/>
    <w:rsid w:val="004A28F5"/>
    <w:rsid w:val="004A2D9A"/>
    <w:rsid w:val="004A317C"/>
    <w:rsid w:val="004A331E"/>
    <w:rsid w:val="004A334B"/>
    <w:rsid w:val="004A3621"/>
    <w:rsid w:val="004A4930"/>
    <w:rsid w:val="004A4C50"/>
    <w:rsid w:val="004A5548"/>
    <w:rsid w:val="004A5605"/>
    <w:rsid w:val="004A5CAA"/>
    <w:rsid w:val="004A5F59"/>
    <w:rsid w:val="004A61EB"/>
    <w:rsid w:val="004A635F"/>
    <w:rsid w:val="004A6442"/>
    <w:rsid w:val="004A7A60"/>
    <w:rsid w:val="004B0B1C"/>
    <w:rsid w:val="004B0C89"/>
    <w:rsid w:val="004B0CF5"/>
    <w:rsid w:val="004B0E29"/>
    <w:rsid w:val="004B1736"/>
    <w:rsid w:val="004B2777"/>
    <w:rsid w:val="004B2A00"/>
    <w:rsid w:val="004B3294"/>
    <w:rsid w:val="004B32D6"/>
    <w:rsid w:val="004B531C"/>
    <w:rsid w:val="004B5885"/>
    <w:rsid w:val="004B5958"/>
    <w:rsid w:val="004B6201"/>
    <w:rsid w:val="004B65E0"/>
    <w:rsid w:val="004B694F"/>
    <w:rsid w:val="004B69C7"/>
    <w:rsid w:val="004B745F"/>
    <w:rsid w:val="004B79B5"/>
    <w:rsid w:val="004C1121"/>
    <w:rsid w:val="004C191B"/>
    <w:rsid w:val="004C20D5"/>
    <w:rsid w:val="004C2708"/>
    <w:rsid w:val="004C2C41"/>
    <w:rsid w:val="004C2E8B"/>
    <w:rsid w:val="004C3322"/>
    <w:rsid w:val="004C3648"/>
    <w:rsid w:val="004C3C9A"/>
    <w:rsid w:val="004C405A"/>
    <w:rsid w:val="004C4B1C"/>
    <w:rsid w:val="004C5E9A"/>
    <w:rsid w:val="004C5F47"/>
    <w:rsid w:val="004C655F"/>
    <w:rsid w:val="004C65C8"/>
    <w:rsid w:val="004C6BDD"/>
    <w:rsid w:val="004C6D1B"/>
    <w:rsid w:val="004D0208"/>
    <w:rsid w:val="004D0973"/>
    <w:rsid w:val="004D12DC"/>
    <w:rsid w:val="004D1563"/>
    <w:rsid w:val="004D2283"/>
    <w:rsid w:val="004D23BA"/>
    <w:rsid w:val="004D2ABF"/>
    <w:rsid w:val="004D41D1"/>
    <w:rsid w:val="004D46BE"/>
    <w:rsid w:val="004D4999"/>
    <w:rsid w:val="004D6D70"/>
    <w:rsid w:val="004E06EF"/>
    <w:rsid w:val="004E0F47"/>
    <w:rsid w:val="004E10DE"/>
    <w:rsid w:val="004E1171"/>
    <w:rsid w:val="004E12F7"/>
    <w:rsid w:val="004E1F6A"/>
    <w:rsid w:val="004E2052"/>
    <w:rsid w:val="004E2221"/>
    <w:rsid w:val="004E2616"/>
    <w:rsid w:val="004E292F"/>
    <w:rsid w:val="004E2A80"/>
    <w:rsid w:val="004E3C18"/>
    <w:rsid w:val="004E3EB2"/>
    <w:rsid w:val="004E511A"/>
    <w:rsid w:val="004E6586"/>
    <w:rsid w:val="004E700B"/>
    <w:rsid w:val="004F0356"/>
    <w:rsid w:val="004F0998"/>
    <w:rsid w:val="004F0A87"/>
    <w:rsid w:val="004F1FD9"/>
    <w:rsid w:val="004F2185"/>
    <w:rsid w:val="004F3767"/>
    <w:rsid w:val="004F3A29"/>
    <w:rsid w:val="004F3A70"/>
    <w:rsid w:val="004F4578"/>
    <w:rsid w:val="004F4BCA"/>
    <w:rsid w:val="004F5417"/>
    <w:rsid w:val="004F5434"/>
    <w:rsid w:val="004F6A7D"/>
    <w:rsid w:val="00500C7B"/>
    <w:rsid w:val="00501251"/>
    <w:rsid w:val="005017CC"/>
    <w:rsid w:val="00501DAA"/>
    <w:rsid w:val="00502AF5"/>
    <w:rsid w:val="00503131"/>
    <w:rsid w:val="00503875"/>
    <w:rsid w:val="00504A22"/>
    <w:rsid w:val="00504BBC"/>
    <w:rsid w:val="00504DF3"/>
    <w:rsid w:val="00505277"/>
    <w:rsid w:val="00505495"/>
    <w:rsid w:val="00505F7B"/>
    <w:rsid w:val="00505F8F"/>
    <w:rsid w:val="0050690E"/>
    <w:rsid w:val="00506FB7"/>
    <w:rsid w:val="0050724F"/>
    <w:rsid w:val="005075FB"/>
    <w:rsid w:val="005077CE"/>
    <w:rsid w:val="00507A70"/>
    <w:rsid w:val="0051191A"/>
    <w:rsid w:val="00511C5B"/>
    <w:rsid w:val="00512108"/>
    <w:rsid w:val="0051298C"/>
    <w:rsid w:val="00512A4C"/>
    <w:rsid w:val="00512B08"/>
    <w:rsid w:val="00513290"/>
    <w:rsid w:val="00513C8B"/>
    <w:rsid w:val="005140FA"/>
    <w:rsid w:val="005147D1"/>
    <w:rsid w:val="00514838"/>
    <w:rsid w:val="00514EA7"/>
    <w:rsid w:val="00515990"/>
    <w:rsid w:val="00515A97"/>
    <w:rsid w:val="00516073"/>
    <w:rsid w:val="00517A74"/>
    <w:rsid w:val="00520301"/>
    <w:rsid w:val="00520CD0"/>
    <w:rsid w:val="0052156F"/>
    <w:rsid w:val="005218EA"/>
    <w:rsid w:val="00521980"/>
    <w:rsid w:val="00522111"/>
    <w:rsid w:val="00522533"/>
    <w:rsid w:val="00522D16"/>
    <w:rsid w:val="0052324C"/>
    <w:rsid w:val="00523C6B"/>
    <w:rsid w:val="00523E7F"/>
    <w:rsid w:val="00524A5D"/>
    <w:rsid w:val="00525DC5"/>
    <w:rsid w:val="005272D4"/>
    <w:rsid w:val="005276A1"/>
    <w:rsid w:val="005302A7"/>
    <w:rsid w:val="00530623"/>
    <w:rsid w:val="00531587"/>
    <w:rsid w:val="0053173F"/>
    <w:rsid w:val="00532540"/>
    <w:rsid w:val="00532ABE"/>
    <w:rsid w:val="00532C93"/>
    <w:rsid w:val="0053480D"/>
    <w:rsid w:val="0053483E"/>
    <w:rsid w:val="00536621"/>
    <w:rsid w:val="005367EF"/>
    <w:rsid w:val="00537291"/>
    <w:rsid w:val="005377B2"/>
    <w:rsid w:val="005407C6"/>
    <w:rsid w:val="00540A52"/>
    <w:rsid w:val="00540C07"/>
    <w:rsid w:val="0054100E"/>
    <w:rsid w:val="005410E2"/>
    <w:rsid w:val="00541D71"/>
    <w:rsid w:val="00542068"/>
    <w:rsid w:val="00542A02"/>
    <w:rsid w:val="00542A7F"/>
    <w:rsid w:val="00543050"/>
    <w:rsid w:val="00543D0F"/>
    <w:rsid w:val="0054495E"/>
    <w:rsid w:val="00544CCF"/>
    <w:rsid w:val="0054548E"/>
    <w:rsid w:val="00545B37"/>
    <w:rsid w:val="00545F7C"/>
    <w:rsid w:val="005465A7"/>
    <w:rsid w:val="00547C68"/>
    <w:rsid w:val="0055028C"/>
    <w:rsid w:val="005503A4"/>
    <w:rsid w:val="00550427"/>
    <w:rsid w:val="00550CAD"/>
    <w:rsid w:val="005522DB"/>
    <w:rsid w:val="005525E1"/>
    <w:rsid w:val="00552960"/>
    <w:rsid w:val="0055314D"/>
    <w:rsid w:val="00553384"/>
    <w:rsid w:val="00553BFA"/>
    <w:rsid w:val="0055405D"/>
    <w:rsid w:val="005543AE"/>
    <w:rsid w:val="00554695"/>
    <w:rsid w:val="00554EFD"/>
    <w:rsid w:val="005563C3"/>
    <w:rsid w:val="00556561"/>
    <w:rsid w:val="00556D03"/>
    <w:rsid w:val="00556D11"/>
    <w:rsid w:val="00557BE6"/>
    <w:rsid w:val="00560539"/>
    <w:rsid w:val="00560BBD"/>
    <w:rsid w:val="0056335F"/>
    <w:rsid w:val="00563732"/>
    <w:rsid w:val="00564861"/>
    <w:rsid w:val="00564C34"/>
    <w:rsid w:val="00564E52"/>
    <w:rsid w:val="005650DE"/>
    <w:rsid w:val="0056558F"/>
    <w:rsid w:val="005656D9"/>
    <w:rsid w:val="00567542"/>
    <w:rsid w:val="005679FF"/>
    <w:rsid w:val="00570605"/>
    <w:rsid w:val="00570B4A"/>
    <w:rsid w:val="00571924"/>
    <w:rsid w:val="00572377"/>
    <w:rsid w:val="00572DD2"/>
    <w:rsid w:val="00575165"/>
    <w:rsid w:val="005752A8"/>
    <w:rsid w:val="0057593C"/>
    <w:rsid w:val="0057696E"/>
    <w:rsid w:val="0057716D"/>
    <w:rsid w:val="005778FF"/>
    <w:rsid w:val="005804F8"/>
    <w:rsid w:val="0058050F"/>
    <w:rsid w:val="00580993"/>
    <w:rsid w:val="00582093"/>
    <w:rsid w:val="00582128"/>
    <w:rsid w:val="0058274C"/>
    <w:rsid w:val="00582AE3"/>
    <w:rsid w:val="00583046"/>
    <w:rsid w:val="0058331B"/>
    <w:rsid w:val="0058362B"/>
    <w:rsid w:val="00584800"/>
    <w:rsid w:val="00584A45"/>
    <w:rsid w:val="00584EDD"/>
    <w:rsid w:val="00585C51"/>
    <w:rsid w:val="00585EE1"/>
    <w:rsid w:val="0058626E"/>
    <w:rsid w:val="00586BE9"/>
    <w:rsid w:val="00587174"/>
    <w:rsid w:val="00587187"/>
    <w:rsid w:val="00590100"/>
    <w:rsid w:val="00590393"/>
    <w:rsid w:val="00590ECE"/>
    <w:rsid w:val="00591EB5"/>
    <w:rsid w:val="005920A5"/>
    <w:rsid w:val="00592683"/>
    <w:rsid w:val="00592863"/>
    <w:rsid w:val="00592A9C"/>
    <w:rsid w:val="00592EF1"/>
    <w:rsid w:val="00593489"/>
    <w:rsid w:val="0059568E"/>
    <w:rsid w:val="0059651D"/>
    <w:rsid w:val="00596BEB"/>
    <w:rsid w:val="00596E6C"/>
    <w:rsid w:val="0059706B"/>
    <w:rsid w:val="005975D6"/>
    <w:rsid w:val="005A04B8"/>
    <w:rsid w:val="005A0602"/>
    <w:rsid w:val="005A0A20"/>
    <w:rsid w:val="005A0D64"/>
    <w:rsid w:val="005A1693"/>
    <w:rsid w:val="005A2672"/>
    <w:rsid w:val="005A2DC1"/>
    <w:rsid w:val="005A2E85"/>
    <w:rsid w:val="005A3D21"/>
    <w:rsid w:val="005A424D"/>
    <w:rsid w:val="005A4E48"/>
    <w:rsid w:val="005A5B6C"/>
    <w:rsid w:val="005A5C18"/>
    <w:rsid w:val="005A5D23"/>
    <w:rsid w:val="005A6631"/>
    <w:rsid w:val="005A7A79"/>
    <w:rsid w:val="005A7BAC"/>
    <w:rsid w:val="005B42A3"/>
    <w:rsid w:val="005B4906"/>
    <w:rsid w:val="005B4B11"/>
    <w:rsid w:val="005B56EB"/>
    <w:rsid w:val="005B646D"/>
    <w:rsid w:val="005B6730"/>
    <w:rsid w:val="005B6766"/>
    <w:rsid w:val="005B6E35"/>
    <w:rsid w:val="005B73AD"/>
    <w:rsid w:val="005B760D"/>
    <w:rsid w:val="005B780C"/>
    <w:rsid w:val="005C10E0"/>
    <w:rsid w:val="005C1899"/>
    <w:rsid w:val="005C1B2A"/>
    <w:rsid w:val="005C20EE"/>
    <w:rsid w:val="005C2C76"/>
    <w:rsid w:val="005C2DF7"/>
    <w:rsid w:val="005C3442"/>
    <w:rsid w:val="005C3F0B"/>
    <w:rsid w:val="005C5142"/>
    <w:rsid w:val="005C5C36"/>
    <w:rsid w:val="005C61DA"/>
    <w:rsid w:val="005C7278"/>
    <w:rsid w:val="005C7696"/>
    <w:rsid w:val="005C7AA4"/>
    <w:rsid w:val="005C7F6F"/>
    <w:rsid w:val="005D0E95"/>
    <w:rsid w:val="005D1125"/>
    <w:rsid w:val="005D1C77"/>
    <w:rsid w:val="005D287A"/>
    <w:rsid w:val="005D28C3"/>
    <w:rsid w:val="005D2E55"/>
    <w:rsid w:val="005D2EC4"/>
    <w:rsid w:val="005D3D93"/>
    <w:rsid w:val="005D4012"/>
    <w:rsid w:val="005D4233"/>
    <w:rsid w:val="005D5A2E"/>
    <w:rsid w:val="005D5F6F"/>
    <w:rsid w:val="005D602F"/>
    <w:rsid w:val="005D6784"/>
    <w:rsid w:val="005E0975"/>
    <w:rsid w:val="005E2346"/>
    <w:rsid w:val="005E2361"/>
    <w:rsid w:val="005E2690"/>
    <w:rsid w:val="005E359E"/>
    <w:rsid w:val="005E449C"/>
    <w:rsid w:val="005E4661"/>
    <w:rsid w:val="005E5901"/>
    <w:rsid w:val="005E634C"/>
    <w:rsid w:val="005E6D70"/>
    <w:rsid w:val="005F16C5"/>
    <w:rsid w:val="005F1D09"/>
    <w:rsid w:val="005F20F2"/>
    <w:rsid w:val="005F276F"/>
    <w:rsid w:val="005F2A91"/>
    <w:rsid w:val="005F376B"/>
    <w:rsid w:val="005F49F2"/>
    <w:rsid w:val="005F66CA"/>
    <w:rsid w:val="005F6989"/>
    <w:rsid w:val="005F6CFF"/>
    <w:rsid w:val="005F72CD"/>
    <w:rsid w:val="005F7318"/>
    <w:rsid w:val="00600CD1"/>
    <w:rsid w:val="006019B2"/>
    <w:rsid w:val="00601D4D"/>
    <w:rsid w:val="00601F45"/>
    <w:rsid w:val="006024DC"/>
    <w:rsid w:val="00602732"/>
    <w:rsid w:val="006029F9"/>
    <w:rsid w:val="00602E0A"/>
    <w:rsid w:val="006033F7"/>
    <w:rsid w:val="00603EB0"/>
    <w:rsid w:val="00603FE2"/>
    <w:rsid w:val="0060415A"/>
    <w:rsid w:val="0060441C"/>
    <w:rsid w:val="006049EC"/>
    <w:rsid w:val="00604BFB"/>
    <w:rsid w:val="00604F6F"/>
    <w:rsid w:val="00605231"/>
    <w:rsid w:val="00605503"/>
    <w:rsid w:val="00607566"/>
    <w:rsid w:val="00607A05"/>
    <w:rsid w:val="00607E8C"/>
    <w:rsid w:val="00610003"/>
    <w:rsid w:val="00611461"/>
    <w:rsid w:val="00611695"/>
    <w:rsid w:val="006116D4"/>
    <w:rsid w:val="00611D2D"/>
    <w:rsid w:val="00612012"/>
    <w:rsid w:val="00612076"/>
    <w:rsid w:val="006121BC"/>
    <w:rsid w:val="0061221C"/>
    <w:rsid w:val="00612C63"/>
    <w:rsid w:val="00612CF4"/>
    <w:rsid w:val="00612F53"/>
    <w:rsid w:val="006138A3"/>
    <w:rsid w:val="00613B7E"/>
    <w:rsid w:val="00615531"/>
    <w:rsid w:val="00615A90"/>
    <w:rsid w:val="00615B76"/>
    <w:rsid w:val="00615BA3"/>
    <w:rsid w:val="00617259"/>
    <w:rsid w:val="006179F9"/>
    <w:rsid w:val="00617C04"/>
    <w:rsid w:val="00620153"/>
    <w:rsid w:val="006202CE"/>
    <w:rsid w:val="00620CBD"/>
    <w:rsid w:val="00620EC7"/>
    <w:rsid w:val="0062185F"/>
    <w:rsid w:val="0062243E"/>
    <w:rsid w:val="0062382F"/>
    <w:rsid w:val="00624013"/>
    <w:rsid w:val="0062475D"/>
    <w:rsid w:val="00624B4F"/>
    <w:rsid w:val="0062565F"/>
    <w:rsid w:val="00625886"/>
    <w:rsid w:val="006260B8"/>
    <w:rsid w:val="00630E25"/>
    <w:rsid w:val="0063171D"/>
    <w:rsid w:val="00631BC9"/>
    <w:rsid w:val="00632660"/>
    <w:rsid w:val="00633455"/>
    <w:rsid w:val="006347BE"/>
    <w:rsid w:val="00634940"/>
    <w:rsid w:val="00635BF4"/>
    <w:rsid w:val="00635C30"/>
    <w:rsid w:val="0063619D"/>
    <w:rsid w:val="00636A2F"/>
    <w:rsid w:val="006376E4"/>
    <w:rsid w:val="00640CB2"/>
    <w:rsid w:val="0064138F"/>
    <w:rsid w:val="00641723"/>
    <w:rsid w:val="006426E8"/>
    <w:rsid w:val="00643486"/>
    <w:rsid w:val="006434A3"/>
    <w:rsid w:val="0064367D"/>
    <w:rsid w:val="00643B4A"/>
    <w:rsid w:val="00644314"/>
    <w:rsid w:val="00644381"/>
    <w:rsid w:val="006455C0"/>
    <w:rsid w:val="006460FC"/>
    <w:rsid w:val="0064659A"/>
    <w:rsid w:val="006475DD"/>
    <w:rsid w:val="00647AA7"/>
    <w:rsid w:val="006503A8"/>
    <w:rsid w:val="00650CE6"/>
    <w:rsid w:val="00650D19"/>
    <w:rsid w:val="00650E2D"/>
    <w:rsid w:val="00651432"/>
    <w:rsid w:val="00652204"/>
    <w:rsid w:val="006530C6"/>
    <w:rsid w:val="0065315A"/>
    <w:rsid w:val="00653D15"/>
    <w:rsid w:val="00655C00"/>
    <w:rsid w:val="00655FB2"/>
    <w:rsid w:val="006561D5"/>
    <w:rsid w:val="00660068"/>
    <w:rsid w:val="00660512"/>
    <w:rsid w:val="00660871"/>
    <w:rsid w:val="00660935"/>
    <w:rsid w:val="006618BA"/>
    <w:rsid w:val="00661CCD"/>
    <w:rsid w:val="00662C8D"/>
    <w:rsid w:val="0066408E"/>
    <w:rsid w:val="00664984"/>
    <w:rsid w:val="0066510C"/>
    <w:rsid w:val="00666578"/>
    <w:rsid w:val="00666A3B"/>
    <w:rsid w:val="00666AA9"/>
    <w:rsid w:val="00666CB8"/>
    <w:rsid w:val="00667583"/>
    <w:rsid w:val="0066758C"/>
    <w:rsid w:val="0066770E"/>
    <w:rsid w:val="00667BE8"/>
    <w:rsid w:val="00667EB4"/>
    <w:rsid w:val="00667FFD"/>
    <w:rsid w:val="00670081"/>
    <w:rsid w:val="006704B2"/>
    <w:rsid w:val="00670A32"/>
    <w:rsid w:val="006712E3"/>
    <w:rsid w:val="0067151A"/>
    <w:rsid w:val="00671E7D"/>
    <w:rsid w:val="0067209B"/>
    <w:rsid w:val="0067248D"/>
    <w:rsid w:val="006728D5"/>
    <w:rsid w:val="00672971"/>
    <w:rsid w:val="0067298C"/>
    <w:rsid w:val="00672E7F"/>
    <w:rsid w:val="0067345E"/>
    <w:rsid w:val="00673EE9"/>
    <w:rsid w:val="00674E80"/>
    <w:rsid w:val="00674EFB"/>
    <w:rsid w:val="00675795"/>
    <w:rsid w:val="00676AC7"/>
    <w:rsid w:val="006775F9"/>
    <w:rsid w:val="006778E0"/>
    <w:rsid w:val="006778FA"/>
    <w:rsid w:val="006779EF"/>
    <w:rsid w:val="00680B2E"/>
    <w:rsid w:val="00680F6A"/>
    <w:rsid w:val="006825EA"/>
    <w:rsid w:val="00682D85"/>
    <w:rsid w:val="006832AD"/>
    <w:rsid w:val="0068363A"/>
    <w:rsid w:val="006836C4"/>
    <w:rsid w:val="00683ACD"/>
    <w:rsid w:val="00683AEE"/>
    <w:rsid w:val="00684842"/>
    <w:rsid w:val="006855FB"/>
    <w:rsid w:val="0068681D"/>
    <w:rsid w:val="0068681F"/>
    <w:rsid w:val="00686CA3"/>
    <w:rsid w:val="006872DA"/>
    <w:rsid w:val="00687431"/>
    <w:rsid w:val="006917C8"/>
    <w:rsid w:val="00691CAB"/>
    <w:rsid w:val="00692F32"/>
    <w:rsid w:val="006934A8"/>
    <w:rsid w:val="006939B7"/>
    <w:rsid w:val="00693C74"/>
    <w:rsid w:val="006943FF"/>
    <w:rsid w:val="006946F2"/>
    <w:rsid w:val="006953FA"/>
    <w:rsid w:val="00695701"/>
    <w:rsid w:val="00695AF0"/>
    <w:rsid w:val="00697D86"/>
    <w:rsid w:val="00697E56"/>
    <w:rsid w:val="006A0F86"/>
    <w:rsid w:val="006A12CE"/>
    <w:rsid w:val="006A1323"/>
    <w:rsid w:val="006A17B0"/>
    <w:rsid w:val="006A25F4"/>
    <w:rsid w:val="006A29F4"/>
    <w:rsid w:val="006A2BA5"/>
    <w:rsid w:val="006A325C"/>
    <w:rsid w:val="006A325E"/>
    <w:rsid w:val="006A3417"/>
    <w:rsid w:val="006A3DE1"/>
    <w:rsid w:val="006A4102"/>
    <w:rsid w:val="006A4B6F"/>
    <w:rsid w:val="006A58CC"/>
    <w:rsid w:val="006A63BC"/>
    <w:rsid w:val="006A645F"/>
    <w:rsid w:val="006A6492"/>
    <w:rsid w:val="006A69A2"/>
    <w:rsid w:val="006A6ABD"/>
    <w:rsid w:val="006A70DC"/>
    <w:rsid w:val="006B055B"/>
    <w:rsid w:val="006B06E7"/>
    <w:rsid w:val="006B09C0"/>
    <w:rsid w:val="006B0B46"/>
    <w:rsid w:val="006B12D6"/>
    <w:rsid w:val="006B131A"/>
    <w:rsid w:val="006B13F7"/>
    <w:rsid w:val="006B251F"/>
    <w:rsid w:val="006B286D"/>
    <w:rsid w:val="006B3066"/>
    <w:rsid w:val="006B3491"/>
    <w:rsid w:val="006B4AFD"/>
    <w:rsid w:val="006B56D1"/>
    <w:rsid w:val="006B5B12"/>
    <w:rsid w:val="006B6994"/>
    <w:rsid w:val="006B7318"/>
    <w:rsid w:val="006B770D"/>
    <w:rsid w:val="006B794A"/>
    <w:rsid w:val="006C17B9"/>
    <w:rsid w:val="006C1ED4"/>
    <w:rsid w:val="006C1FBB"/>
    <w:rsid w:val="006C2682"/>
    <w:rsid w:val="006C2C43"/>
    <w:rsid w:val="006C2C8C"/>
    <w:rsid w:val="006C2D63"/>
    <w:rsid w:val="006C3256"/>
    <w:rsid w:val="006C367F"/>
    <w:rsid w:val="006C378C"/>
    <w:rsid w:val="006C3B03"/>
    <w:rsid w:val="006C40B7"/>
    <w:rsid w:val="006C41C0"/>
    <w:rsid w:val="006C503B"/>
    <w:rsid w:val="006C5D11"/>
    <w:rsid w:val="006C655C"/>
    <w:rsid w:val="006C690A"/>
    <w:rsid w:val="006C6B7D"/>
    <w:rsid w:val="006C72AC"/>
    <w:rsid w:val="006C731D"/>
    <w:rsid w:val="006C7844"/>
    <w:rsid w:val="006C7986"/>
    <w:rsid w:val="006D103B"/>
    <w:rsid w:val="006D1283"/>
    <w:rsid w:val="006D1A95"/>
    <w:rsid w:val="006D2F84"/>
    <w:rsid w:val="006D32B5"/>
    <w:rsid w:val="006D35A5"/>
    <w:rsid w:val="006D366F"/>
    <w:rsid w:val="006D36FB"/>
    <w:rsid w:val="006D441A"/>
    <w:rsid w:val="006D4576"/>
    <w:rsid w:val="006D4D9D"/>
    <w:rsid w:val="006D5B5D"/>
    <w:rsid w:val="006D5BBF"/>
    <w:rsid w:val="006D5D47"/>
    <w:rsid w:val="006D6B21"/>
    <w:rsid w:val="006D6E9F"/>
    <w:rsid w:val="006D7428"/>
    <w:rsid w:val="006D78B9"/>
    <w:rsid w:val="006D7970"/>
    <w:rsid w:val="006D79E3"/>
    <w:rsid w:val="006E0CC2"/>
    <w:rsid w:val="006E0E88"/>
    <w:rsid w:val="006E1014"/>
    <w:rsid w:val="006E145B"/>
    <w:rsid w:val="006E1669"/>
    <w:rsid w:val="006E1725"/>
    <w:rsid w:val="006E177D"/>
    <w:rsid w:val="006E1B92"/>
    <w:rsid w:val="006E1FCB"/>
    <w:rsid w:val="006E2CDE"/>
    <w:rsid w:val="006E2FBB"/>
    <w:rsid w:val="006E2FC8"/>
    <w:rsid w:val="006E377C"/>
    <w:rsid w:val="006E382E"/>
    <w:rsid w:val="006E3BC4"/>
    <w:rsid w:val="006E45D4"/>
    <w:rsid w:val="006E4914"/>
    <w:rsid w:val="006E5470"/>
    <w:rsid w:val="006E55AB"/>
    <w:rsid w:val="006E617E"/>
    <w:rsid w:val="006E73AB"/>
    <w:rsid w:val="006E73C9"/>
    <w:rsid w:val="006F0A28"/>
    <w:rsid w:val="006F0E69"/>
    <w:rsid w:val="006F11EE"/>
    <w:rsid w:val="006F1B4F"/>
    <w:rsid w:val="006F1D46"/>
    <w:rsid w:val="006F3D97"/>
    <w:rsid w:val="006F3E67"/>
    <w:rsid w:val="006F4F3A"/>
    <w:rsid w:val="006F6561"/>
    <w:rsid w:val="006F6A10"/>
    <w:rsid w:val="006F7E81"/>
    <w:rsid w:val="007007A6"/>
    <w:rsid w:val="00700AED"/>
    <w:rsid w:val="00700D75"/>
    <w:rsid w:val="00701DCF"/>
    <w:rsid w:val="007020E9"/>
    <w:rsid w:val="00702C76"/>
    <w:rsid w:val="0070362A"/>
    <w:rsid w:val="00703D6C"/>
    <w:rsid w:val="00703E4B"/>
    <w:rsid w:val="00705267"/>
    <w:rsid w:val="007054DB"/>
    <w:rsid w:val="00705A0D"/>
    <w:rsid w:val="00706202"/>
    <w:rsid w:val="0070725C"/>
    <w:rsid w:val="007075E4"/>
    <w:rsid w:val="0071027D"/>
    <w:rsid w:val="00710832"/>
    <w:rsid w:val="007118A8"/>
    <w:rsid w:val="00711AED"/>
    <w:rsid w:val="00711EAA"/>
    <w:rsid w:val="00712153"/>
    <w:rsid w:val="00712DF1"/>
    <w:rsid w:val="007137E1"/>
    <w:rsid w:val="00713C41"/>
    <w:rsid w:val="00713EE2"/>
    <w:rsid w:val="00714C54"/>
    <w:rsid w:val="00715207"/>
    <w:rsid w:val="00715ABB"/>
    <w:rsid w:val="00717240"/>
    <w:rsid w:val="007201F0"/>
    <w:rsid w:val="0072112A"/>
    <w:rsid w:val="007219BF"/>
    <w:rsid w:val="00721E7F"/>
    <w:rsid w:val="0072253D"/>
    <w:rsid w:val="007226EC"/>
    <w:rsid w:val="00722AC2"/>
    <w:rsid w:val="00722ACF"/>
    <w:rsid w:val="00722CD1"/>
    <w:rsid w:val="00723560"/>
    <w:rsid w:val="00723820"/>
    <w:rsid w:val="0072383B"/>
    <w:rsid w:val="00724D66"/>
    <w:rsid w:val="0072527B"/>
    <w:rsid w:val="007254F0"/>
    <w:rsid w:val="00725585"/>
    <w:rsid w:val="00725939"/>
    <w:rsid w:val="00725EBC"/>
    <w:rsid w:val="00726290"/>
    <w:rsid w:val="007268C0"/>
    <w:rsid w:val="00726941"/>
    <w:rsid w:val="00726F88"/>
    <w:rsid w:val="00727A41"/>
    <w:rsid w:val="00727B81"/>
    <w:rsid w:val="00730593"/>
    <w:rsid w:val="0073095E"/>
    <w:rsid w:val="00730ECB"/>
    <w:rsid w:val="0073174C"/>
    <w:rsid w:val="00731E8C"/>
    <w:rsid w:val="007329BD"/>
    <w:rsid w:val="007331E3"/>
    <w:rsid w:val="00733346"/>
    <w:rsid w:val="00733FBC"/>
    <w:rsid w:val="00734675"/>
    <w:rsid w:val="00734786"/>
    <w:rsid w:val="00735571"/>
    <w:rsid w:val="00735D52"/>
    <w:rsid w:val="00735F1A"/>
    <w:rsid w:val="00736249"/>
    <w:rsid w:val="007364FB"/>
    <w:rsid w:val="00737BCD"/>
    <w:rsid w:val="00740768"/>
    <w:rsid w:val="00740932"/>
    <w:rsid w:val="007412A0"/>
    <w:rsid w:val="00741F5E"/>
    <w:rsid w:val="0074226E"/>
    <w:rsid w:val="00742DC0"/>
    <w:rsid w:val="00743959"/>
    <w:rsid w:val="007449B1"/>
    <w:rsid w:val="00744E4C"/>
    <w:rsid w:val="007452E2"/>
    <w:rsid w:val="00747D89"/>
    <w:rsid w:val="007512C4"/>
    <w:rsid w:val="00751E6F"/>
    <w:rsid w:val="00752236"/>
    <w:rsid w:val="007525E9"/>
    <w:rsid w:val="007531DA"/>
    <w:rsid w:val="00753391"/>
    <w:rsid w:val="00754AF9"/>
    <w:rsid w:val="00754FB5"/>
    <w:rsid w:val="00756043"/>
    <w:rsid w:val="00756077"/>
    <w:rsid w:val="00757125"/>
    <w:rsid w:val="00760333"/>
    <w:rsid w:val="00760940"/>
    <w:rsid w:val="00761766"/>
    <w:rsid w:val="00761DCA"/>
    <w:rsid w:val="00764131"/>
    <w:rsid w:val="007646C9"/>
    <w:rsid w:val="007647DD"/>
    <w:rsid w:val="007649B6"/>
    <w:rsid w:val="00765022"/>
    <w:rsid w:val="007662DF"/>
    <w:rsid w:val="007664C7"/>
    <w:rsid w:val="007665C4"/>
    <w:rsid w:val="00766D91"/>
    <w:rsid w:val="00766E1A"/>
    <w:rsid w:val="00766E3D"/>
    <w:rsid w:val="00767E1C"/>
    <w:rsid w:val="00770106"/>
    <w:rsid w:val="00770F07"/>
    <w:rsid w:val="00771CB3"/>
    <w:rsid w:val="007727C0"/>
    <w:rsid w:val="007728F4"/>
    <w:rsid w:val="007735FA"/>
    <w:rsid w:val="0077429B"/>
    <w:rsid w:val="0077450B"/>
    <w:rsid w:val="007748A1"/>
    <w:rsid w:val="00775188"/>
    <w:rsid w:val="00775EF5"/>
    <w:rsid w:val="00776168"/>
    <w:rsid w:val="00776691"/>
    <w:rsid w:val="007768EF"/>
    <w:rsid w:val="00776B83"/>
    <w:rsid w:val="00777FC3"/>
    <w:rsid w:val="0078121A"/>
    <w:rsid w:val="007812C2"/>
    <w:rsid w:val="00781AC2"/>
    <w:rsid w:val="00782729"/>
    <w:rsid w:val="00782745"/>
    <w:rsid w:val="0078310F"/>
    <w:rsid w:val="00783728"/>
    <w:rsid w:val="00783C7A"/>
    <w:rsid w:val="007840AC"/>
    <w:rsid w:val="00784BA3"/>
    <w:rsid w:val="007858F3"/>
    <w:rsid w:val="00785E16"/>
    <w:rsid w:val="007862F3"/>
    <w:rsid w:val="00786B4E"/>
    <w:rsid w:val="00786DE0"/>
    <w:rsid w:val="00786E0B"/>
    <w:rsid w:val="00786FB3"/>
    <w:rsid w:val="00787373"/>
    <w:rsid w:val="007874F1"/>
    <w:rsid w:val="00787724"/>
    <w:rsid w:val="00787BEB"/>
    <w:rsid w:val="00787EF4"/>
    <w:rsid w:val="00790126"/>
    <w:rsid w:val="00790E7B"/>
    <w:rsid w:val="007917E8"/>
    <w:rsid w:val="007918B5"/>
    <w:rsid w:val="00792467"/>
    <w:rsid w:val="00792A93"/>
    <w:rsid w:val="0079337F"/>
    <w:rsid w:val="00793D25"/>
    <w:rsid w:val="00794876"/>
    <w:rsid w:val="00794FF7"/>
    <w:rsid w:val="007953A5"/>
    <w:rsid w:val="00795EF9"/>
    <w:rsid w:val="00795FD0"/>
    <w:rsid w:val="0079637F"/>
    <w:rsid w:val="00796911"/>
    <w:rsid w:val="00796E17"/>
    <w:rsid w:val="00796E7F"/>
    <w:rsid w:val="00796FE3"/>
    <w:rsid w:val="00797690"/>
    <w:rsid w:val="007979A1"/>
    <w:rsid w:val="007A127C"/>
    <w:rsid w:val="007A1A15"/>
    <w:rsid w:val="007A1C72"/>
    <w:rsid w:val="007A2066"/>
    <w:rsid w:val="007A2883"/>
    <w:rsid w:val="007A2CAB"/>
    <w:rsid w:val="007A3077"/>
    <w:rsid w:val="007A323A"/>
    <w:rsid w:val="007A3506"/>
    <w:rsid w:val="007A35CD"/>
    <w:rsid w:val="007A4105"/>
    <w:rsid w:val="007A4111"/>
    <w:rsid w:val="007A4132"/>
    <w:rsid w:val="007A4369"/>
    <w:rsid w:val="007A4418"/>
    <w:rsid w:val="007A4D3F"/>
    <w:rsid w:val="007A533D"/>
    <w:rsid w:val="007A5B7B"/>
    <w:rsid w:val="007A5BDA"/>
    <w:rsid w:val="007A62B5"/>
    <w:rsid w:val="007A645A"/>
    <w:rsid w:val="007A71AA"/>
    <w:rsid w:val="007A72BD"/>
    <w:rsid w:val="007A7A5A"/>
    <w:rsid w:val="007A7C88"/>
    <w:rsid w:val="007B0051"/>
    <w:rsid w:val="007B08FF"/>
    <w:rsid w:val="007B14DA"/>
    <w:rsid w:val="007B19BE"/>
    <w:rsid w:val="007B1B53"/>
    <w:rsid w:val="007B277F"/>
    <w:rsid w:val="007B3A9B"/>
    <w:rsid w:val="007B3B09"/>
    <w:rsid w:val="007B478D"/>
    <w:rsid w:val="007B49DE"/>
    <w:rsid w:val="007B4A34"/>
    <w:rsid w:val="007B5242"/>
    <w:rsid w:val="007B5298"/>
    <w:rsid w:val="007B65D8"/>
    <w:rsid w:val="007B692C"/>
    <w:rsid w:val="007B6A4E"/>
    <w:rsid w:val="007B7089"/>
    <w:rsid w:val="007B7F04"/>
    <w:rsid w:val="007C0243"/>
    <w:rsid w:val="007C08E0"/>
    <w:rsid w:val="007C0BD7"/>
    <w:rsid w:val="007C12D1"/>
    <w:rsid w:val="007C1E71"/>
    <w:rsid w:val="007C32B1"/>
    <w:rsid w:val="007C4062"/>
    <w:rsid w:val="007C40B1"/>
    <w:rsid w:val="007C4245"/>
    <w:rsid w:val="007C4C2B"/>
    <w:rsid w:val="007C64FE"/>
    <w:rsid w:val="007C697B"/>
    <w:rsid w:val="007C6D1C"/>
    <w:rsid w:val="007C7D1D"/>
    <w:rsid w:val="007D0743"/>
    <w:rsid w:val="007D098F"/>
    <w:rsid w:val="007D0A83"/>
    <w:rsid w:val="007D164A"/>
    <w:rsid w:val="007D1938"/>
    <w:rsid w:val="007D1B71"/>
    <w:rsid w:val="007D1B90"/>
    <w:rsid w:val="007D2426"/>
    <w:rsid w:val="007D2C6C"/>
    <w:rsid w:val="007D2C6E"/>
    <w:rsid w:val="007D3383"/>
    <w:rsid w:val="007D361C"/>
    <w:rsid w:val="007D36DA"/>
    <w:rsid w:val="007D42E5"/>
    <w:rsid w:val="007D43A9"/>
    <w:rsid w:val="007D4D4B"/>
    <w:rsid w:val="007D50FD"/>
    <w:rsid w:val="007D5198"/>
    <w:rsid w:val="007D51A8"/>
    <w:rsid w:val="007D5641"/>
    <w:rsid w:val="007D5645"/>
    <w:rsid w:val="007D5A16"/>
    <w:rsid w:val="007D5ABC"/>
    <w:rsid w:val="007D5B13"/>
    <w:rsid w:val="007D65B5"/>
    <w:rsid w:val="007D7828"/>
    <w:rsid w:val="007D7A50"/>
    <w:rsid w:val="007D7DD6"/>
    <w:rsid w:val="007E0974"/>
    <w:rsid w:val="007E0F0F"/>
    <w:rsid w:val="007E0F79"/>
    <w:rsid w:val="007E1C6B"/>
    <w:rsid w:val="007E2DF8"/>
    <w:rsid w:val="007E2F1C"/>
    <w:rsid w:val="007E354E"/>
    <w:rsid w:val="007E4454"/>
    <w:rsid w:val="007E4A5A"/>
    <w:rsid w:val="007E4B34"/>
    <w:rsid w:val="007E64D9"/>
    <w:rsid w:val="007E670A"/>
    <w:rsid w:val="007E67CE"/>
    <w:rsid w:val="007E6F0B"/>
    <w:rsid w:val="007E6FD7"/>
    <w:rsid w:val="007E733E"/>
    <w:rsid w:val="007F0E84"/>
    <w:rsid w:val="007F188F"/>
    <w:rsid w:val="007F2F71"/>
    <w:rsid w:val="007F41E4"/>
    <w:rsid w:val="007F4379"/>
    <w:rsid w:val="007F4413"/>
    <w:rsid w:val="007F4776"/>
    <w:rsid w:val="007F4BCB"/>
    <w:rsid w:val="007F583F"/>
    <w:rsid w:val="007F5CE1"/>
    <w:rsid w:val="007F5F77"/>
    <w:rsid w:val="007F624C"/>
    <w:rsid w:val="007F6B4B"/>
    <w:rsid w:val="007F71C5"/>
    <w:rsid w:val="007F7306"/>
    <w:rsid w:val="007F7535"/>
    <w:rsid w:val="007F7853"/>
    <w:rsid w:val="007F7B13"/>
    <w:rsid w:val="0080094A"/>
    <w:rsid w:val="00800E68"/>
    <w:rsid w:val="00800EF6"/>
    <w:rsid w:val="008010A3"/>
    <w:rsid w:val="008018F8"/>
    <w:rsid w:val="00801978"/>
    <w:rsid w:val="00801B76"/>
    <w:rsid w:val="00801F4F"/>
    <w:rsid w:val="0080242E"/>
    <w:rsid w:val="00802692"/>
    <w:rsid w:val="00802CFE"/>
    <w:rsid w:val="00803633"/>
    <w:rsid w:val="008043FC"/>
    <w:rsid w:val="00804516"/>
    <w:rsid w:val="00804D1F"/>
    <w:rsid w:val="00805AEC"/>
    <w:rsid w:val="00805E68"/>
    <w:rsid w:val="0080640E"/>
    <w:rsid w:val="00806452"/>
    <w:rsid w:val="00806B63"/>
    <w:rsid w:val="00806B81"/>
    <w:rsid w:val="00806FB8"/>
    <w:rsid w:val="00807C00"/>
    <w:rsid w:val="00810788"/>
    <w:rsid w:val="00810FE0"/>
    <w:rsid w:val="008112E0"/>
    <w:rsid w:val="00811749"/>
    <w:rsid w:val="0081195A"/>
    <w:rsid w:val="0081236A"/>
    <w:rsid w:val="0081279A"/>
    <w:rsid w:val="00812E7F"/>
    <w:rsid w:val="00814CFF"/>
    <w:rsid w:val="00815F56"/>
    <w:rsid w:val="008174A7"/>
    <w:rsid w:val="00817F26"/>
    <w:rsid w:val="00820A3E"/>
    <w:rsid w:val="00820AFE"/>
    <w:rsid w:val="00821D76"/>
    <w:rsid w:val="0082211C"/>
    <w:rsid w:val="00822312"/>
    <w:rsid w:val="00822568"/>
    <w:rsid w:val="008229B5"/>
    <w:rsid w:val="00823F11"/>
    <w:rsid w:val="00824982"/>
    <w:rsid w:val="0082572C"/>
    <w:rsid w:val="00825AFA"/>
    <w:rsid w:val="00825C00"/>
    <w:rsid w:val="00826173"/>
    <w:rsid w:val="008277F2"/>
    <w:rsid w:val="00827F30"/>
    <w:rsid w:val="00830397"/>
    <w:rsid w:val="00830560"/>
    <w:rsid w:val="008307E2"/>
    <w:rsid w:val="00830EA2"/>
    <w:rsid w:val="00830F1C"/>
    <w:rsid w:val="00831D4A"/>
    <w:rsid w:val="00832048"/>
    <w:rsid w:val="00833011"/>
    <w:rsid w:val="00833722"/>
    <w:rsid w:val="008340C4"/>
    <w:rsid w:val="008342A9"/>
    <w:rsid w:val="00834EA7"/>
    <w:rsid w:val="0083533E"/>
    <w:rsid w:val="0083554E"/>
    <w:rsid w:val="0083573D"/>
    <w:rsid w:val="00835BD9"/>
    <w:rsid w:val="00835DBE"/>
    <w:rsid w:val="00835EE8"/>
    <w:rsid w:val="00835F0C"/>
    <w:rsid w:val="00836A32"/>
    <w:rsid w:val="0084017C"/>
    <w:rsid w:val="00840883"/>
    <w:rsid w:val="008412B3"/>
    <w:rsid w:val="00841731"/>
    <w:rsid w:val="008419E9"/>
    <w:rsid w:val="00841A41"/>
    <w:rsid w:val="00841C22"/>
    <w:rsid w:val="00842035"/>
    <w:rsid w:val="008420E1"/>
    <w:rsid w:val="00842F3B"/>
    <w:rsid w:val="00843E61"/>
    <w:rsid w:val="00844179"/>
    <w:rsid w:val="008447B7"/>
    <w:rsid w:val="00844FAC"/>
    <w:rsid w:val="00845299"/>
    <w:rsid w:val="00845940"/>
    <w:rsid w:val="00847787"/>
    <w:rsid w:val="00847A78"/>
    <w:rsid w:val="00847B28"/>
    <w:rsid w:val="00847E34"/>
    <w:rsid w:val="008513FC"/>
    <w:rsid w:val="00851446"/>
    <w:rsid w:val="00851B5B"/>
    <w:rsid w:val="008524C5"/>
    <w:rsid w:val="008525E2"/>
    <w:rsid w:val="00852811"/>
    <w:rsid w:val="008529F8"/>
    <w:rsid w:val="00853314"/>
    <w:rsid w:val="00853BBF"/>
    <w:rsid w:val="00854DA9"/>
    <w:rsid w:val="00855409"/>
    <w:rsid w:val="008554B5"/>
    <w:rsid w:val="00855A9D"/>
    <w:rsid w:val="00855CA9"/>
    <w:rsid w:val="00855F9D"/>
    <w:rsid w:val="00856610"/>
    <w:rsid w:val="00856B1F"/>
    <w:rsid w:val="0085767B"/>
    <w:rsid w:val="00857DB8"/>
    <w:rsid w:val="00860690"/>
    <w:rsid w:val="00860FF0"/>
    <w:rsid w:val="0086145A"/>
    <w:rsid w:val="0086169C"/>
    <w:rsid w:val="00861E1E"/>
    <w:rsid w:val="00862B22"/>
    <w:rsid w:val="00862D78"/>
    <w:rsid w:val="00864763"/>
    <w:rsid w:val="00865C2A"/>
    <w:rsid w:val="00867017"/>
    <w:rsid w:val="00867E3A"/>
    <w:rsid w:val="008703A4"/>
    <w:rsid w:val="00870C9B"/>
    <w:rsid w:val="0087183C"/>
    <w:rsid w:val="00871B3C"/>
    <w:rsid w:val="00871B95"/>
    <w:rsid w:val="00871FE1"/>
    <w:rsid w:val="00872629"/>
    <w:rsid w:val="00872656"/>
    <w:rsid w:val="00872907"/>
    <w:rsid w:val="00872B29"/>
    <w:rsid w:val="00872CEF"/>
    <w:rsid w:val="00873D49"/>
    <w:rsid w:val="00873FAE"/>
    <w:rsid w:val="0087444A"/>
    <w:rsid w:val="0087456E"/>
    <w:rsid w:val="00874963"/>
    <w:rsid w:val="00874F8D"/>
    <w:rsid w:val="00875507"/>
    <w:rsid w:val="00875591"/>
    <w:rsid w:val="008760FF"/>
    <w:rsid w:val="008771B3"/>
    <w:rsid w:val="008776B8"/>
    <w:rsid w:val="00877A78"/>
    <w:rsid w:val="00877D94"/>
    <w:rsid w:val="00877DCB"/>
    <w:rsid w:val="008805B3"/>
    <w:rsid w:val="0088237D"/>
    <w:rsid w:val="00882DEE"/>
    <w:rsid w:val="008830FC"/>
    <w:rsid w:val="008832C9"/>
    <w:rsid w:val="008837EF"/>
    <w:rsid w:val="00883E9A"/>
    <w:rsid w:val="00883FBC"/>
    <w:rsid w:val="008848C8"/>
    <w:rsid w:val="00884A35"/>
    <w:rsid w:val="008857B7"/>
    <w:rsid w:val="00885E0A"/>
    <w:rsid w:val="00887D21"/>
    <w:rsid w:val="00887DB2"/>
    <w:rsid w:val="00890B55"/>
    <w:rsid w:val="00890C49"/>
    <w:rsid w:val="00890DDB"/>
    <w:rsid w:val="00890F52"/>
    <w:rsid w:val="00891261"/>
    <w:rsid w:val="00891C10"/>
    <w:rsid w:val="00891CAA"/>
    <w:rsid w:val="008921E9"/>
    <w:rsid w:val="00892863"/>
    <w:rsid w:val="00892E61"/>
    <w:rsid w:val="00893132"/>
    <w:rsid w:val="00893511"/>
    <w:rsid w:val="0089396C"/>
    <w:rsid w:val="00893D2C"/>
    <w:rsid w:val="00893DCA"/>
    <w:rsid w:val="00894289"/>
    <w:rsid w:val="00894592"/>
    <w:rsid w:val="00894F8F"/>
    <w:rsid w:val="00895348"/>
    <w:rsid w:val="00895B6D"/>
    <w:rsid w:val="00895CE2"/>
    <w:rsid w:val="008968B5"/>
    <w:rsid w:val="00896A36"/>
    <w:rsid w:val="00896C31"/>
    <w:rsid w:val="00897AD0"/>
    <w:rsid w:val="008A0202"/>
    <w:rsid w:val="008A0B08"/>
    <w:rsid w:val="008A12DD"/>
    <w:rsid w:val="008A17E5"/>
    <w:rsid w:val="008A1C7E"/>
    <w:rsid w:val="008A1ED3"/>
    <w:rsid w:val="008A21DA"/>
    <w:rsid w:val="008A2B69"/>
    <w:rsid w:val="008A2F16"/>
    <w:rsid w:val="008A2FB9"/>
    <w:rsid w:val="008A3D8A"/>
    <w:rsid w:val="008A419E"/>
    <w:rsid w:val="008A4883"/>
    <w:rsid w:val="008A5097"/>
    <w:rsid w:val="008A5450"/>
    <w:rsid w:val="008A560A"/>
    <w:rsid w:val="008A5CD3"/>
    <w:rsid w:val="008A619E"/>
    <w:rsid w:val="008A62C4"/>
    <w:rsid w:val="008A62E3"/>
    <w:rsid w:val="008A62E6"/>
    <w:rsid w:val="008A679E"/>
    <w:rsid w:val="008A7450"/>
    <w:rsid w:val="008B0C8D"/>
    <w:rsid w:val="008B0CB0"/>
    <w:rsid w:val="008B0F78"/>
    <w:rsid w:val="008B35A1"/>
    <w:rsid w:val="008B371F"/>
    <w:rsid w:val="008B38FF"/>
    <w:rsid w:val="008B4DCD"/>
    <w:rsid w:val="008B64EA"/>
    <w:rsid w:val="008B6894"/>
    <w:rsid w:val="008B6A43"/>
    <w:rsid w:val="008B6B29"/>
    <w:rsid w:val="008B6D6F"/>
    <w:rsid w:val="008B6DB4"/>
    <w:rsid w:val="008B776A"/>
    <w:rsid w:val="008B7E6A"/>
    <w:rsid w:val="008B7F38"/>
    <w:rsid w:val="008C239F"/>
    <w:rsid w:val="008C290C"/>
    <w:rsid w:val="008C2FE9"/>
    <w:rsid w:val="008C3018"/>
    <w:rsid w:val="008C3425"/>
    <w:rsid w:val="008C3793"/>
    <w:rsid w:val="008C3C9F"/>
    <w:rsid w:val="008C40AA"/>
    <w:rsid w:val="008C52EE"/>
    <w:rsid w:val="008C5EE0"/>
    <w:rsid w:val="008C7726"/>
    <w:rsid w:val="008C7EE5"/>
    <w:rsid w:val="008D01C0"/>
    <w:rsid w:val="008D0E57"/>
    <w:rsid w:val="008D1224"/>
    <w:rsid w:val="008D1DCD"/>
    <w:rsid w:val="008D231F"/>
    <w:rsid w:val="008D2571"/>
    <w:rsid w:val="008D3616"/>
    <w:rsid w:val="008D3F0E"/>
    <w:rsid w:val="008D4726"/>
    <w:rsid w:val="008D4E55"/>
    <w:rsid w:val="008D5238"/>
    <w:rsid w:val="008D5A32"/>
    <w:rsid w:val="008D5D8C"/>
    <w:rsid w:val="008D64BA"/>
    <w:rsid w:val="008D6A4A"/>
    <w:rsid w:val="008D6B64"/>
    <w:rsid w:val="008D76EE"/>
    <w:rsid w:val="008E022F"/>
    <w:rsid w:val="008E0D44"/>
    <w:rsid w:val="008E1C31"/>
    <w:rsid w:val="008E2003"/>
    <w:rsid w:val="008E2AE3"/>
    <w:rsid w:val="008E3158"/>
    <w:rsid w:val="008E4A6D"/>
    <w:rsid w:val="008E521C"/>
    <w:rsid w:val="008E6124"/>
    <w:rsid w:val="008F03EE"/>
    <w:rsid w:val="008F04D9"/>
    <w:rsid w:val="008F147A"/>
    <w:rsid w:val="008F17E2"/>
    <w:rsid w:val="008F2040"/>
    <w:rsid w:val="008F2EFA"/>
    <w:rsid w:val="008F31F0"/>
    <w:rsid w:val="008F3449"/>
    <w:rsid w:val="008F3AE3"/>
    <w:rsid w:val="008F5E4F"/>
    <w:rsid w:val="008F60AA"/>
    <w:rsid w:val="008F7578"/>
    <w:rsid w:val="008F7BC7"/>
    <w:rsid w:val="008F7C33"/>
    <w:rsid w:val="00900132"/>
    <w:rsid w:val="0090017C"/>
    <w:rsid w:val="009009D9"/>
    <w:rsid w:val="00900B3E"/>
    <w:rsid w:val="00901267"/>
    <w:rsid w:val="009014F1"/>
    <w:rsid w:val="00901586"/>
    <w:rsid w:val="00902F1E"/>
    <w:rsid w:val="009035EC"/>
    <w:rsid w:val="00903731"/>
    <w:rsid w:val="00903842"/>
    <w:rsid w:val="00903F18"/>
    <w:rsid w:val="00904157"/>
    <w:rsid w:val="00904505"/>
    <w:rsid w:val="0090454B"/>
    <w:rsid w:val="0090502B"/>
    <w:rsid w:val="00907EFC"/>
    <w:rsid w:val="009116AB"/>
    <w:rsid w:val="00911B65"/>
    <w:rsid w:val="0091223F"/>
    <w:rsid w:val="00913819"/>
    <w:rsid w:val="00913E28"/>
    <w:rsid w:val="00915013"/>
    <w:rsid w:val="00915D5E"/>
    <w:rsid w:val="00916334"/>
    <w:rsid w:val="0091650B"/>
    <w:rsid w:val="0091682E"/>
    <w:rsid w:val="00916EB6"/>
    <w:rsid w:val="00920054"/>
    <w:rsid w:val="009215F4"/>
    <w:rsid w:val="00921BA0"/>
    <w:rsid w:val="009222F7"/>
    <w:rsid w:val="00922BAB"/>
    <w:rsid w:val="00922FF9"/>
    <w:rsid w:val="00923B64"/>
    <w:rsid w:val="00926F6B"/>
    <w:rsid w:val="00927BF5"/>
    <w:rsid w:val="00927E26"/>
    <w:rsid w:val="00930032"/>
    <w:rsid w:val="0093078B"/>
    <w:rsid w:val="00930E47"/>
    <w:rsid w:val="00931442"/>
    <w:rsid w:val="00932893"/>
    <w:rsid w:val="00932A96"/>
    <w:rsid w:val="00932E83"/>
    <w:rsid w:val="00933499"/>
    <w:rsid w:val="009335BF"/>
    <w:rsid w:val="00934022"/>
    <w:rsid w:val="00934B63"/>
    <w:rsid w:val="0093517A"/>
    <w:rsid w:val="0093523A"/>
    <w:rsid w:val="00935A64"/>
    <w:rsid w:val="00935EF2"/>
    <w:rsid w:val="00936B3C"/>
    <w:rsid w:val="00936D33"/>
    <w:rsid w:val="00936F20"/>
    <w:rsid w:val="00937131"/>
    <w:rsid w:val="00937A54"/>
    <w:rsid w:val="0094076C"/>
    <w:rsid w:val="00940FCF"/>
    <w:rsid w:val="009412FB"/>
    <w:rsid w:val="00941A33"/>
    <w:rsid w:val="00942F86"/>
    <w:rsid w:val="009430F3"/>
    <w:rsid w:val="0094332C"/>
    <w:rsid w:val="009437B1"/>
    <w:rsid w:val="00943957"/>
    <w:rsid w:val="00943F25"/>
    <w:rsid w:val="0094440B"/>
    <w:rsid w:val="009444FC"/>
    <w:rsid w:val="00944CBD"/>
    <w:rsid w:val="00945009"/>
    <w:rsid w:val="0094519E"/>
    <w:rsid w:val="00945A14"/>
    <w:rsid w:val="00946415"/>
    <w:rsid w:val="009467D7"/>
    <w:rsid w:val="00946C16"/>
    <w:rsid w:val="00947210"/>
    <w:rsid w:val="00947684"/>
    <w:rsid w:val="00947B28"/>
    <w:rsid w:val="00947BB6"/>
    <w:rsid w:val="0095043D"/>
    <w:rsid w:val="009508D9"/>
    <w:rsid w:val="0095092F"/>
    <w:rsid w:val="00951B5E"/>
    <w:rsid w:val="0095237B"/>
    <w:rsid w:val="00953869"/>
    <w:rsid w:val="00953CC7"/>
    <w:rsid w:val="00954682"/>
    <w:rsid w:val="0095468D"/>
    <w:rsid w:val="00955ADF"/>
    <w:rsid w:val="00956EA4"/>
    <w:rsid w:val="009570FD"/>
    <w:rsid w:val="00957728"/>
    <w:rsid w:val="00957FBA"/>
    <w:rsid w:val="00960DD7"/>
    <w:rsid w:val="0096179F"/>
    <w:rsid w:val="00961D13"/>
    <w:rsid w:val="009621DA"/>
    <w:rsid w:val="00962636"/>
    <w:rsid w:val="0096266E"/>
    <w:rsid w:val="009626F4"/>
    <w:rsid w:val="00962D2B"/>
    <w:rsid w:val="0096320A"/>
    <w:rsid w:val="0096320D"/>
    <w:rsid w:val="009636BB"/>
    <w:rsid w:val="009639FF"/>
    <w:rsid w:val="00964433"/>
    <w:rsid w:val="00964754"/>
    <w:rsid w:val="00964F17"/>
    <w:rsid w:val="00964FA7"/>
    <w:rsid w:val="00965776"/>
    <w:rsid w:val="00965B2D"/>
    <w:rsid w:val="009665BA"/>
    <w:rsid w:val="00966871"/>
    <w:rsid w:val="00966A16"/>
    <w:rsid w:val="00966F3F"/>
    <w:rsid w:val="00967316"/>
    <w:rsid w:val="00967728"/>
    <w:rsid w:val="00970B7B"/>
    <w:rsid w:val="00971E0F"/>
    <w:rsid w:val="00971F34"/>
    <w:rsid w:val="009729A0"/>
    <w:rsid w:val="00972A39"/>
    <w:rsid w:val="00972A78"/>
    <w:rsid w:val="00973824"/>
    <w:rsid w:val="00973AD9"/>
    <w:rsid w:val="00973E96"/>
    <w:rsid w:val="009743F6"/>
    <w:rsid w:val="0097520D"/>
    <w:rsid w:val="0097528A"/>
    <w:rsid w:val="00975A45"/>
    <w:rsid w:val="00975D05"/>
    <w:rsid w:val="00975FA1"/>
    <w:rsid w:val="00977C10"/>
    <w:rsid w:val="0098046F"/>
    <w:rsid w:val="00980553"/>
    <w:rsid w:val="009815CD"/>
    <w:rsid w:val="00982A77"/>
    <w:rsid w:val="00982DD0"/>
    <w:rsid w:val="009842EC"/>
    <w:rsid w:val="009848D0"/>
    <w:rsid w:val="00984AED"/>
    <w:rsid w:val="009861C7"/>
    <w:rsid w:val="009870CB"/>
    <w:rsid w:val="00987134"/>
    <w:rsid w:val="00987B2A"/>
    <w:rsid w:val="00987D3B"/>
    <w:rsid w:val="00987DBA"/>
    <w:rsid w:val="00990321"/>
    <w:rsid w:val="009908B0"/>
    <w:rsid w:val="0099228E"/>
    <w:rsid w:val="00992371"/>
    <w:rsid w:val="00992A58"/>
    <w:rsid w:val="009939FC"/>
    <w:rsid w:val="0099468C"/>
    <w:rsid w:val="009952E2"/>
    <w:rsid w:val="0099537D"/>
    <w:rsid w:val="00995D33"/>
    <w:rsid w:val="00995E1B"/>
    <w:rsid w:val="0099610A"/>
    <w:rsid w:val="00997053"/>
    <w:rsid w:val="00997BF1"/>
    <w:rsid w:val="00997D7C"/>
    <w:rsid w:val="00997F3A"/>
    <w:rsid w:val="009A048E"/>
    <w:rsid w:val="009A1F69"/>
    <w:rsid w:val="009A299F"/>
    <w:rsid w:val="009A2DF3"/>
    <w:rsid w:val="009A3391"/>
    <w:rsid w:val="009A4B8C"/>
    <w:rsid w:val="009A4B9D"/>
    <w:rsid w:val="009A4D17"/>
    <w:rsid w:val="009A696B"/>
    <w:rsid w:val="009A7D0C"/>
    <w:rsid w:val="009B0A54"/>
    <w:rsid w:val="009B0ED8"/>
    <w:rsid w:val="009B1954"/>
    <w:rsid w:val="009B23E9"/>
    <w:rsid w:val="009B2DF4"/>
    <w:rsid w:val="009B314B"/>
    <w:rsid w:val="009B3401"/>
    <w:rsid w:val="009B37DE"/>
    <w:rsid w:val="009B4031"/>
    <w:rsid w:val="009B51C4"/>
    <w:rsid w:val="009B5C3D"/>
    <w:rsid w:val="009B66D0"/>
    <w:rsid w:val="009B6756"/>
    <w:rsid w:val="009B683F"/>
    <w:rsid w:val="009B7108"/>
    <w:rsid w:val="009B7156"/>
    <w:rsid w:val="009B74B6"/>
    <w:rsid w:val="009C0A08"/>
    <w:rsid w:val="009C0C66"/>
    <w:rsid w:val="009C0CA7"/>
    <w:rsid w:val="009C0EA5"/>
    <w:rsid w:val="009C1713"/>
    <w:rsid w:val="009C1896"/>
    <w:rsid w:val="009C202B"/>
    <w:rsid w:val="009C2A3B"/>
    <w:rsid w:val="009C3FD0"/>
    <w:rsid w:val="009C452D"/>
    <w:rsid w:val="009C4AD5"/>
    <w:rsid w:val="009C4C37"/>
    <w:rsid w:val="009C4C5A"/>
    <w:rsid w:val="009C502E"/>
    <w:rsid w:val="009C51C8"/>
    <w:rsid w:val="009C6E7C"/>
    <w:rsid w:val="009C74D3"/>
    <w:rsid w:val="009D02B3"/>
    <w:rsid w:val="009D1A2A"/>
    <w:rsid w:val="009D1F38"/>
    <w:rsid w:val="009D2ACF"/>
    <w:rsid w:val="009D3370"/>
    <w:rsid w:val="009D352C"/>
    <w:rsid w:val="009D47F3"/>
    <w:rsid w:val="009D4A31"/>
    <w:rsid w:val="009D59AC"/>
    <w:rsid w:val="009D5E15"/>
    <w:rsid w:val="009D613C"/>
    <w:rsid w:val="009D6E02"/>
    <w:rsid w:val="009D7429"/>
    <w:rsid w:val="009D7751"/>
    <w:rsid w:val="009D7829"/>
    <w:rsid w:val="009D7FE0"/>
    <w:rsid w:val="009E0386"/>
    <w:rsid w:val="009E0734"/>
    <w:rsid w:val="009E09F5"/>
    <w:rsid w:val="009E0A59"/>
    <w:rsid w:val="009E2893"/>
    <w:rsid w:val="009E2F5B"/>
    <w:rsid w:val="009E2FD6"/>
    <w:rsid w:val="009E3310"/>
    <w:rsid w:val="009E4703"/>
    <w:rsid w:val="009E495D"/>
    <w:rsid w:val="009E4ADD"/>
    <w:rsid w:val="009E56CE"/>
    <w:rsid w:val="009E6D13"/>
    <w:rsid w:val="009E79E6"/>
    <w:rsid w:val="009E7B9F"/>
    <w:rsid w:val="009E7DD4"/>
    <w:rsid w:val="009F025E"/>
    <w:rsid w:val="009F05F2"/>
    <w:rsid w:val="009F1130"/>
    <w:rsid w:val="009F21E2"/>
    <w:rsid w:val="009F3BF8"/>
    <w:rsid w:val="009F5A26"/>
    <w:rsid w:val="009F69AC"/>
    <w:rsid w:val="009F758A"/>
    <w:rsid w:val="009F76F7"/>
    <w:rsid w:val="00A00004"/>
    <w:rsid w:val="00A01605"/>
    <w:rsid w:val="00A01EB1"/>
    <w:rsid w:val="00A01EE0"/>
    <w:rsid w:val="00A02082"/>
    <w:rsid w:val="00A024CE"/>
    <w:rsid w:val="00A02BAD"/>
    <w:rsid w:val="00A02EC0"/>
    <w:rsid w:val="00A0314E"/>
    <w:rsid w:val="00A031C3"/>
    <w:rsid w:val="00A05573"/>
    <w:rsid w:val="00A05657"/>
    <w:rsid w:val="00A05BF8"/>
    <w:rsid w:val="00A06C1E"/>
    <w:rsid w:val="00A06D57"/>
    <w:rsid w:val="00A0727E"/>
    <w:rsid w:val="00A10619"/>
    <w:rsid w:val="00A10859"/>
    <w:rsid w:val="00A10C12"/>
    <w:rsid w:val="00A10E1E"/>
    <w:rsid w:val="00A1113C"/>
    <w:rsid w:val="00A1149B"/>
    <w:rsid w:val="00A11BD8"/>
    <w:rsid w:val="00A11E40"/>
    <w:rsid w:val="00A129B1"/>
    <w:rsid w:val="00A13D89"/>
    <w:rsid w:val="00A13F23"/>
    <w:rsid w:val="00A14E0E"/>
    <w:rsid w:val="00A1565B"/>
    <w:rsid w:val="00A1572E"/>
    <w:rsid w:val="00A15848"/>
    <w:rsid w:val="00A158CC"/>
    <w:rsid w:val="00A15F5D"/>
    <w:rsid w:val="00A15FA2"/>
    <w:rsid w:val="00A16042"/>
    <w:rsid w:val="00A1653F"/>
    <w:rsid w:val="00A16913"/>
    <w:rsid w:val="00A16C9E"/>
    <w:rsid w:val="00A16D26"/>
    <w:rsid w:val="00A17C4C"/>
    <w:rsid w:val="00A17EC3"/>
    <w:rsid w:val="00A207EA"/>
    <w:rsid w:val="00A20CD5"/>
    <w:rsid w:val="00A21CCD"/>
    <w:rsid w:val="00A21EFF"/>
    <w:rsid w:val="00A22E41"/>
    <w:rsid w:val="00A23664"/>
    <w:rsid w:val="00A237AA"/>
    <w:rsid w:val="00A23A02"/>
    <w:rsid w:val="00A23CA0"/>
    <w:rsid w:val="00A23D3F"/>
    <w:rsid w:val="00A24183"/>
    <w:rsid w:val="00A24498"/>
    <w:rsid w:val="00A25C61"/>
    <w:rsid w:val="00A26192"/>
    <w:rsid w:val="00A26426"/>
    <w:rsid w:val="00A2678E"/>
    <w:rsid w:val="00A26E7B"/>
    <w:rsid w:val="00A26F6B"/>
    <w:rsid w:val="00A2709A"/>
    <w:rsid w:val="00A2742B"/>
    <w:rsid w:val="00A27592"/>
    <w:rsid w:val="00A30038"/>
    <w:rsid w:val="00A302D4"/>
    <w:rsid w:val="00A30942"/>
    <w:rsid w:val="00A31E9D"/>
    <w:rsid w:val="00A326AE"/>
    <w:rsid w:val="00A327C3"/>
    <w:rsid w:val="00A329DC"/>
    <w:rsid w:val="00A33755"/>
    <w:rsid w:val="00A3471E"/>
    <w:rsid w:val="00A34AC5"/>
    <w:rsid w:val="00A355F8"/>
    <w:rsid w:val="00A35C1E"/>
    <w:rsid w:val="00A35CCB"/>
    <w:rsid w:val="00A35FBB"/>
    <w:rsid w:val="00A36208"/>
    <w:rsid w:val="00A362F4"/>
    <w:rsid w:val="00A36A10"/>
    <w:rsid w:val="00A36A9E"/>
    <w:rsid w:val="00A36B62"/>
    <w:rsid w:val="00A37288"/>
    <w:rsid w:val="00A37F05"/>
    <w:rsid w:val="00A40150"/>
    <w:rsid w:val="00A403D2"/>
    <w:rsid w:val="00A4041B"/>
    <w:rsid w:val="00A40467"/>
    <w:rsid w:val="00A41131"/>
    <w:rsid w:val="00A414A9"/>
    <w:rsid w:val="00A4158D"/>
    <w:rsid w:val="00A42B33"/>
    <w:rsid w:val="00A42C7C"/>
    <w:rsid w:val="00A43131"/>
    <w:rsid w:val="00A434FD"/>
    <w:rsid w:val="00A4390F"/>
    <w:rsid w:val="00A443A6"/>
    <w:rsid w:val="00A45452"/>
    <w:rsid w:val="00A455FD"/>
    <w:rsid w:val="00A46D38"/>
    <w:rsid w:val="00A516F4"/>
    <w:rsid w:val="00A51DF8"/>
    <w:rsid w:val="00A51F67"/>
    <w:rsid w:val="00A52C26"/>
    <w:rsid w:val="00A52C46"/>
    <w:rsid w:val="00A530AF"/>
    <w:rsid w:val="00A53BD0"/>
    <w:rsid w:val="00A53E0D"/>
    <w:rsid w:val="00A540D7"/>
    <w:rsid w:val="00A553E8"/>
    <w:rsid w:val="00A55BA4"/>
    <w:rsid w:val="00A56173"/>
    <w:rsid w:val="00A57672"/>
    <w:rsid w:val="00A57E33"/>
    <w:rsid w:val="00A608D8"/>
    <w:rsid w:val="00A615AD"/>
    <w:rsid w:val="00A620B0"/>
    <w:rsid w:val="00A62CEA"/>
    <w:rsid w:val="00A63675"/>
    <w:rsid w:val="00A63955"/>
    <w:rsid w:val="00A63C29"/>
    <w:rsid w:val="00A6400D"/>
    <w:rsid w:val="00A64301"/>
    <w:rsid w:val="00A64327"/>
    <w:rsid w:val="00A64AA7"/>
    <w:rsid w:val="00A64BB8"/>
    <w:rsid w:val="00A65B2D"/>
    <w:rsid w:val="00A65C69"/>
    <w:rsid w:val="00A6631E"/>
    <w:rsid w:val="00A6657E"/>
    <w:rsid w:val="00A67AB8"/>
    <w:rsid w:val="00A7002A"/>
    <w:rsid w:val="00A70556"/>
    <w:rsid w:val="00A7083F"/>
    <w:rsid w:val="00A71D1A"/>
    <w:rsid w:val="00A72A66"/>
    <w:rsid w:val="00A72F9B"/>
    <w:rsid w:val="00A730B3"/>
    <w:rsid w:val="00A7336C"/>
    <w:rsid w:val="00A758D1"/>
    <w:rsid w:val="00A75B34"/>
    <w:rsid w:val="00A75D94"/>
    <w:rsid w:val="00A7744A"/>
    <w:rsid w:val="00A808C0"/>
    <w:rsid w:val="00A80B03"/>
    <w:rsid w:val="00A82A1C"/>
    <w:rsid w:val="00A82AD7"/>
    <w:rsid w:val="00A83F74"/>
    <w:rsid w:val="00A84DE9"/>
    <w:rsid w:val="00A84F1F"/>
    <w:rsid w:val="00A850AB"/>
    <w:rsid w:val="00A85894"/>
    <w:rsid w:val="00A85F99"/>
    <w:rsid w:val="00A86033"/>
    <w:rsid w:val="00A866DB"/>
    <w:rsid w:val="00A87224"/>
    <w:rsid w:val="00A90346"/>
    <w:rsid w:val="00A90F4D"/>
    <w:rsid w:val="00A931A2"/>
    <w:rsid w:val="00A93667"/>
    <w:rsid w:val="00A9437C"/>
    <w:rsid w:val="00A945EC"/>
    <w:rsid w:val="00A94BEA"/>
    <w:rsid w:val="00A95462"/>
    <w:rsid w:val="00A95E1B"/>
    <w:rsid w:val="00A95E75"/>
    <w:rsid w:val="00A9611D"/>
    <w:rsid w:val="00A966B5"/>
    <w:rsid w:val="00A96DC5"/>
    <w:rsid w:val="00A97610"/>
    <w:rsid w:val="00A97716"/>
    <w:rsid w:val="00A97B95"/>
    <w:rsid w:val="00AA012D"/>
    <w:rsid w:val="00AA0DFA"/>
    <w:rsid w:val="00AA153A"/>
    <w:rsid w:val="00AA2082"/>
    <w:rsid w:val="00AA273D"/>
    <w:rsid w:val="00AA29E9"/>
    <w:rsid w:val="00AA2D3A"/>
    <w:rsid w:val="00AA2EA5"/>
    <w:rsid w:val="00AA3996"/>
    <w:rsid w:val="00AA45BA"/>
    <w:rsid w:val="00AA4918"/>
    <w:rsid w:val="00AA5A04"/>
    <w:rsid w:val="00AA73D2"/>
    <w:rsid w:val="00AA7B44"/>
    <w:rsid w:val="00AB0593"/>
    <w:rsid w:val="00AB0E37"/>
    <w:rsid w:val="00AB171D"/>
    <w:rsid w:val="00AB199C"/>
    <w:rsid w:val="00AB1F02"/>
    <w:rsid w:val="00AB25FC"/>
    <w:rsid w:val="00AB28CB"/>
    <w:rsid w:val="00AB2ECF"/>
    <w:rsid w:val="00AB322D"/>
    <w:rsid w:val="00AB375D"/>
    <w:rsid w:val="00AB45AB"/>
    <w:rsid w:val="00AB4796"/>
    <w:rsid w:val="00AB48BF"/>
    <w:rsid w:val="00AB50A0"/>
    <w:rsid w:val="00AB5254"/>
    <w:rsid w:val="00AB64B9"/>
    <w:rsid w:val="00AB680E"/>
    <w:rsid w:val="00AB697B"/>
    <w:rsid w:val="00AB6C10"/>
    <w:rsid w:val="00AB764B"/>
    <w:rsid w:val="00AC0040"/>
    <w:rsid w:val="00AC08F7"/>
    <w:rsid w:val="00AC0FE5"/>
    <w:rsid w:val="00AC124B"/>
    <w:rsid w:val="00AC1391"/>
    <w:rsid w:val="00AC188D"/>
    <w:rsid w:val="00AC22D5"/>
    <w:rsid w:val="00AC2918"/>
    <w:rsid w:val="00AC2B45"/>
    <w:rsid w:val="00AC2FE8"/>
    <w:rsid w:val="00AC32C4"/>
    <w:rsid w:val="00AC35AA"/>
    <w:rsid w:val="00AC3DC9"/>
    <w:rsid w:val="00AC4793"/>
    <w:rsid w:val="00AC4E06"/>
    <w:rsid w:val="00AC5051"/>
    <w:rsid w:val="00AC5169"/>
    <w:rsid w:val="00AC54BC"/>
    <w:rsid w:val="00AC567C"/>
    <w:rsid w:val="00AC72F8"/>
    <w:rsid w:val="00AD0D87"/>
    <w:rsid w:val="00AD1660"/>
    <w:rsid w:val="00AD1EB6"/>
    <w:rsid w:val="00AD21BC"/>
    <w:rsid w:val="00AD37A1"/>
    <w:rsid w:val="00AD415A"/>
    <w:rsid w:val="00AD4788"/>
    <w:rsid w:val="00AD4CED"/>
    <w:rsid w:val="00AD5CFE"/>
    <w:rsid w:val="00AD5D00"/>
    <w:rsid w:val="00AD72ED"/>
    <w:rsid w:val="00AD7C03"/>
    <w:rsid w:val="00AE07A7"/>
    <w:rsid w:val="00AE084D"/>
    <w:rsid w:val="00AE10E9"/>
    <w:rsid w:val="00AE1602"/>
    <w:rsid w:val="00AE250F"/>
    <w:rsid w:val="00AE31BA"/>
    <w:rsid w:val="00AE3BD6"/>
    <w:rsid w:val="00AE3D64"/>
    <w:rsid w:val="00AE3FB0"/>
    <w:rsid w:val="00AE45E0"/>
    <w:rsid w:val="00AE48BD"/>
    <w:rsid w:val="00AE4B0F"/>
    <w:rsid w:val="00AE5160"/>
    <w:rsid w:val="00AE5748"/>
    <w:rsid w:val="00AE5A06"/>
    <w:rsid w:val="00AE5F6E"/>
    <w:rsid w:val="00AE63B7"/>
    <w:rsid w:val="00AE6E28"/>
    <w:rsid w:val="00AE74EE"/>
    <w:rsid w:val="00AE7808"/>
    <w:rsid w:val="00AE7A84"/>
    <w:rsid w:val="00AF076B"/>
    <w:rsid w:val="00AF07ED"/>
    <w:rsid w:val="00AF0E29"/>
    <w:rsid w:val="00AF206F"/>
    <w:rsid w:val="00AF2A70"/>
    <w:rsid w:val="00AF2E71"/>
    <w:rsid w:val="00AF313A"/>
    <w:rsid w:val="00AF45BA"/>
    <w:rsid w:val="00AF4702"/>
    <w:rsid w:val="00AF4B67"/>
    <w:rsid w:val="00AF66A4"/>
    <w:rsid w:val="00AF69EC"/>
    <w:rsid w:val="00AF6D1E"/>
    <w:rsid w:val="00AF7066"/>
    <w:rsid w:val="00AF724E"/>
    <w:rsid w:val="00AF7323"/>
    <w:rsid w:val="00AF7E6F"/>
    <w:rsid w:val="00AF7EB2"/>
    <w:rsid w:val="00AF7FF5"/>
    <w:rsid w:val="00B000D7"/>
    <w:rsid w:val="00B00741"/>
    <w:rsid w:val="00B00DBF"/>
    <w:rsid w:val="00B017B0"/>
    <w:rsid w:val="00B01D3D"/>
    <w:rsid w:val="00B01E07"/>
    <w:rsid w:val="00B020C4"/>
    <w:rsid w:val="00B041EB"/>
    <w:rsid w:val="00B04F1B"/>
    <w:rsid w:val="00B052F4"/>
    <w:rsid w:val="00B05397"/>
    <w:rsid w:val="00B05FE1"/>
    <w:rsid w:val="00B06528"/>
    <w:rsid w:val="00B068B2"/>
    <w:rsid w:val="00B07E5A"/>
    <w:rsid w:val="00B1056A"/>
    <w:rsid w:val="00B108A5"/>
    <w:rsid w:val="00B10E96"/>
    <w:rsid w:val="00B10F14"/>
    <w:rsid w:val="00B10FA8"/>
    <w:rsid w:val="00B12729"/>
    <w:rsid w:val="00B127FA"/>
    <w:rsid w:val="00B12C94"/>
    <w:rsid w:val="00B12DEE"/>
    <w:rsid w:val="00B12E8A"/>
    <w:rsid w:val="00B13A47"/>
    <w:rsid w:val="00B13B74"/>
    <w:rsid w:val="00B13C54"/>
    <w:rsid w:val="00B13E70"/>
    <w:rsid w:val="00B13EFF"/>
    <w:rsid w:val="00B140F7"/>
    <w:rsid w:val="00B14B91"/>
    <w:rsid w:val="00B1563F"/>
    <w:rsid w:val="00B15E0E"/>
    <w:rsid w:val="00B16E22"/>
    <w:rsid w:val="00B170C5"/>
    <w:rsid w:val="00B1734C"/>
    <w:rsid w:val="00B17353"/>
    <w:rsid w:val="00B1738B"/>
    <w:rsid w:val="00B2089A"/>
    <w:rsid w:val="00B20978"/>
    <w:rsid w:val="00B221D9"/>
    <w:rsid w:val="00B223CD"/>
    <w:rsid w:val="00B22BD3"/>
    <w:rsid w:val="00B2320B"/>
    <w:rsid w:val="00B23549"/>
    <w:rsid w:val="00B237E2"/>
    <w:rsid w:val="00B24D4A"/>
    <w:rsid w:val="00B2554C"/>
    <w:rsid w:val="00B2581C"/>
    <w:rsid w:val="00B259A7"/>
    <w:rsid w:val="00B2626B"/>
    <w:rsid w:val="00B26DC9"/>
    <w:rsid w:val="00B2728C"/>
    <w:rsid w:val="00B27471"/>
    <w:rsid w:val="00B27C18"/>
    <w:rsid w:val="00B27D44"/>
    <w:rsid w:val="00B27D65"/>
    <w:rsid w:val="00B30F58"/>
    <w:rsid w:val="00B31444"/>
    <w:rsid w:val="00B32606"/>
    <w:rsid w:val="00B331AA"/>
    <w:rsid w:val="00B333B7"/>
    <w:rsid w:val="00B33468"/>
    <w:rsid w:val="00B33C11"/>
    <w:rsid w:val="00B341A6"/>
    <w:rsid w:val="00B344DA"/>
    <w:rsid w:val="00B35997"/>
    <w:rsid w:val="00B35C02"/>
    <w:rsid w:val="00B37B7D"/>
    <w:rsid w:val="00B37F25"/>
    <w:rsid w:val="00B40388"/>
    <w:rsid w:val="00B40914"/>
    <w:rsid w:val="00B409D2"/>
    <w:rsid w:val="00B40D21"/>
    <w:rsid w:val="00B40F9C"/>
    <w:rsid w:val="00B41487"/>
    <w:rsid w:val="00B41C53"/>
    <w:rsid w:val="00B41D73"/>
    <w:rsid w:val="00B4200B"/>
    <w:rsid w:val="00B42924"/>
    <w:rsid w:val="00B452DA"/>
    <w:rsid w:val="00B45A63"/>
    <w:rsid w:val="00B45F23"/>
    <w:rsid w:val="00B45FAE"/>
    <w:rsid w:val="00B46348"/>
    <w:rsid w:val="00B46743"/>
    <w:rsid w:val="00B46974"/>
    <w:rsid w:val="00B47178"/>
    <w:rsid w:val="00B473F7"/>
    <w:rsid w:val="00B4772A"/>
    <w:rsid w:val="00B47CD2"/>
    <w:rsid w:val="00B47F9B"/>
    <w:rsid w:val="00B51021"/>
    <w:rsid w:val="00B512A5"/>
    <w:rsid w:val="00B515E3"/>
    <w:rsid w:val="00B53AD2"/>
    <w:rsid w:val="00B54093"/>
    <w:rsid w:val="00B55157"/>
    <w:rsid w:val="00B55B58"/>
    <w:rsid w:val="00B55E15"/>
    <w:rsid w:val="00B56029"/>
    <w:rsid w:val="00B56B5E"/>
    <w:rsid w:val="00B578DB"/>
    <w:rsid w:val="00B57A73"/>
    <w:rsid w:val="00B57CBF"/>
    <w:rsid w:val="00B601CC"/>
    <w:rsid w:val="00B60E99"/>
    <w:rsid w:val="00B60ECB"/>
    <w:rsid w:val="00B60F0A"/>
    <w:rsid w:val="00B610F4"/>
    <w:rsid w:val="00B615CA"/>
    <w:rsid w:val="00B61B8A"/>
    <w:rsid w:val="00B6312E"/>
    <w:rsid w:val="00B63A70"/>
    <w:rsid w:val="00B64671"/>
    <w:rsid w:val="00B65A70"/>
    <w:rsid w:val="00B65C17"/>
    <w:rsid w:val="00B65E31"/>
    <w:rsid w:val="00B6679C"/>
    <w:rsid w:val="00B66E70"/>
    <w:rsid w:val="00B66F53"/>
    <w:rsid w:val="00B67AA9"/>
    <w:rsid w:val="00B70E0B"/>
    <w:rsid w:val="00B71903"/>
    <w:rsid w:val="00B71BBF"/>
    <w:rsid w:val="00B724F0"/>
    <w:rsid w:val="00B7329A"/>
    <w:rsid w:val="00B73B6F"/>
    <w:rsid w:val="00B73EBD"/>
    <w:rsid w:val="00B74666"/>
    <w:rsid w:val="00B747F1"/>
    <w:rsid w:val="00B74C48"/>
    <w:rsid w:val="00B7619C"/>
    <w:rsid w:val="00B76219"/>
    <w:rsid w:val="00B7627E"/>
    <w:rsid w:val="00B76281"/>
    <w:rsid w:val="00B762A2"/>
    <w:rsid w:val="00B76D29"/>
    <w:rsid w:val="00B76FFC"/>
    <w:rsid w:val="00B77516"/>
    <w:rsid w:val="00B77BFF"/>
    <w:rsid w:val="00B8009B"/>
    <w:rsid w:val="00B80305"/>
    <w:rsid w:val="00B80317"/>
    <w:rsid w:val="00B809BD"/>
    <w:rsid w:val="00B80A6A"/>
    <w:rsid w:val="00B80ACC"/>
    <w:rsid w:val="00B80F2D"/>
    <w:rsid w:val="00B815C5"/>
    <w:rsid w:val="00B81CFC"/>
    <w:rsid w:val="00B8209E"/>
    <w:rsid w:val="00B820A5"/>
    <w:rsid w:val="00B820AA"/>
    <w:rsid w:val="00B82507"/>
    <w:rsid w:val="00B834E5"/>
    <w:rsid w:val="00B83652"/>
    <w:rsid w:val="00B83B75"/>
    <w:rsid w:val="00B83F5B"/>
    <w:rsid w:val="00B84223"/>
    <w:rsid w:val="00B84674"/>
    <w:rsid w:val="00B8485A"/>
    <w:rsid w:val="00B84EBC"/>
    <w:rsid w:val="00B85180"/>
    <w:rsid w:val="00B856C7"/>
    <w:rsid w:val="00B86BC7"/>
    <w:rsid w:val="00B873D8"/>
    <w:rsid w:val="00B87BE4"/>
    <w:rsid w:val="00B87C8D"/>
    <w:rsid w:val="00B91905"/>
    <w:rsid w:val="00B91C93"/>
    <w:rsid w:val="00B9261E"/>
    <w:rsid w:val="00B92CC7"/>
    <w:rsid w:val="00B93A27"/>
    <w:rsid w:val="00B93A51"/>
    <w:rsid w:val="00B956CA"/>
    <w:rsid w:val="00B956D0"/>
    <w:rsid w:val="00B957D6"/>
    <w:rsid w:val="00B964A6"/>
    <w:rsid w:val="00B97655"/>
    <w:rsid w:val="00B978DB"/>
    <w:rsid w:val="00BA0145"/>
    <w:rsid w:val="00BA0ACB"/>
    <w:rsid w:val="00BA0B17"/>
    <w:rsid w:val="00BA0C5F"/>
    <w:rsid w:val="00BA0CE1"/>
    <w:rsid w:val="00BA10AE"/>
    <w:rsid w:val="00BA165D"/>
    <w:rsid w:val="00BA1ABC"/>
    <w:rsid w:val="00BA2174"/>
    <w:rsid w:val="00BA2ABC"/>
    <w:rsid w:val="00BA32EB"/>
    <w:rsid w:val="00BA3880"/>
    <w:rsid w:val="00BA3EEE"/>
    <w:rsid w:val="00BA3FB1"/>
    <w:rsid w:val="00BA430B"/>
    <w:rsid w:val="00BA4718"/>
    <w:rsid w:val="00BA4ECC"/>
    <w:rsid w:val="00BA503B"/>
    <w:rsid w:val="00BA5B99"/>
    <w:rsid w:val="00BA7021"/>
    <w:rsid w:val="00BA73B0"/>
    <w:rsid w:val="00BB01F1"/>
    <w:rsid w:val="00BB0484"/>
    <w:rsid w:val="00BB09D6"/>
    <w:rsid w:val="00BB0B08"/>
    <w:rsid w:val="00BB0EEA"/>
    <w:rsid w:val="00BB1370"/>
    <w:rsid w:val="00BB18FA"/>
    <w:rsid w:val="00BB1FB4"/>
    <w:rsid w:val="00BB36B7"/>
    <w:rsid w:val="00BB4728"/>
    <w:rsid w:val="00BB47D7"/>
    <w:rsid w:val="00BB4B2D"/>
    <w:rsid w:val="00BB5A5D"/>
    <w:rsid w:val="00BB5E0E"/>
    <w:rsid w:val="00BB5E14"/>
    <w:rsid w:val="00BB7055"/>
    <w:rsid w:val="00BB7089"/>
    <w:rsid w:val="00BB70BD"/>
    <w:rsid w:val="00BB78FF"/>
    <w:rsid w:val="00BB7943"/>
    <w:rsid w:val="00BC0062"/>
    <w:rsid w:val="00BC091A"/>
    <w:rsid w:val="00BC0AC1"/>
    <w:rsid w:val="00BC1AAB"/>
    <w:rsid w:val="00BC1C21"/>
    <w:rsid w:val="00BC20C6"/>
    <w:rsid w:val="00BC2617"/>
    <w:rsid w:val="00BC29D8"/>
    <w:rsid w:val="00BC2EA6"/>
    <w:rsid w:val="00BC2F50"/>
    <w:rsid w:val="00BC3256"/>
    <w:rsid w:val="00BC373C"/>
    <w:rsid w:val="00BC463A"/>
    <w:rsid w:val="00BC4AA0"/>
    <w:rsid w:val="00BC4B2C"/>
    <w:rsid w:val="00BC6676"/>
    <w:rsid w:val="00BC67EB"/>
    <w:rsid w:val="00BC7670"/>
    <w:rsid w:val="00BC76D7"/>
    <w:rsid w:val="00BC7BFD"/>
    <w:rsid w:val="00BC7FFD"/>
    <w:rsid w:val="00BD076F"/>
    <w:rsid w:val="00BD0868"/>
    <w:rsid w:val="00BD0965"/>
    <w:rsid w:val="00BD0AB8"/>
    <w:rsid w:val="00BD1DCE"/>
    <w:rsid w:val="00BD303F"/>
    <w:rsid w:val="00BD3888"/>
    <w:rsid w:val="00BD4AF1"/>
    <w:rsid w:val="00BD5BC5"/>
    <w:rsid w:val="00BD5E4F"/>
    <w:rsid w:val="00BD6641"/>
    <w:rsid w:val="00BD71FB"/>
    <w:rsid w:val="00BD789C"/>
    <w:rsid w:val="00BE0216"/>
    <w:rsid w:val="00BE02E0"/>
    <w:rsid w:val="00BE04BD"/>
    <w:rsid w:val="00BE084C"/>
    <w:rsid w:val="00BE09E9"/>
    <w:rsid w:val="00BE0E5E"/>
    <w:rsid w:val="00BE1237"/>
    <w:rsid w:val="00BE21E9"/>
    <w:rsid w:val="00BE4F30"/>
    <w:rsid w:val="00BE5066"/>
    <w:rsid w:val="00BE546A"/>
    <w:rsid w:val="00BE7BA8"/>
    <w:rsid w:val="00BF19A4"/>
    <w:rsid w:val="00BF27F5"/>
    <w:rsid w:val="00BF334C"/>
    <w:rsid w:val="00BF341C"/>
    <w:rsid w:val="00BF3D54"/>
    <w:rsid w:val="00BF3FCB"/>
    <w:rsid w:val="00BF41A4"/>
    <w:rsid w:val="00BF442B"/>
    <w:rsid w:val="00BF55C2"/>
    <w:rsid w:val="00BF584E"/>
    <w:rsid w:val="00BF6D27"/>
    <w:rsid w:val="00BF7007"/>
    <w:rsid w:val="00BF70CB"/>
    <w:rsid w:val="00BF7141"/>
    <w:rsid w:val="00BF78E3"/>
    <w:rsid w:val="00C00104"/>
    <w:rsid w:val="00C003BD"/>
    <w:rsid w:val="00C00A0A"/>
    <w:rsid w:val="00C00C9D"/>
    <w:rsid w:val="00C0138F"/>
    <w:rsid w:val="00C0216A"/>
    <w:rsid w:val="00C0300A"/>
    <w:rsid w:val="00C03751"/>
    <w:rsid w:val="00C045F3"/>
    <w:rsid w:val="00C04AFE"/>
    <w:rsid w:val="00C04F06"/>
    <w:rsid w:val="00C05359"/>
    <w:rsid w:val="00C060EC"/>
    <w:rsid w:val="00C0675C"/>
    <w:rsid w:val="00C069D6"/>
    <w:rsid w:val="00C06BD4"/>
    <w:rsid w:val="00C06E51"/>
    <w:rsid w:val="00C0750D"/>
    <w:rsid w:val="00C07B81"/>
    <w:rsid w:val="00C07D22"/>
    <w:rsid w:val="00C07D5D"/>
    <w:rsid w:val="00C07ED4"/>
    <w:rsid w:val="00C10527"/>
    <w:rsid w:val="00C10D3A"/>
    <w:rsid w:val="00C10FF3"/>
    <w:rsid w:val="00C110A2"/>
    <w:rsid w:val="00C1110F"/>
    <w:rsid w:val="00C1129B"/>
    <w:rsid w:val="00C118A6"/>
    <w:rsid w:val="00C118E9"/>
    <w:rsid w:val="00C11CC9"/>
    <w:rsid w:val="00C12A2D"/>
    <w:rsid w:val="00C130A0"/>
    <w:rsid w:val="00C132AE"/>
    <w:rsid w:val="00C13706"/>
    <w:rsid w:val="00C1395D"/>
    <w:rsid w:val="00C13C49"/>
    <w:rsid w:val="00C13F9B"/>
    <w:rsid w:val="00C1510D"/>
    <w:rsid w:val="00C157C7"/>
    <w:rsid w:val="00C1682B"/>
    <w:rsid w:val="00C1703C"/>
    <w:rsid w:val="00C17375"/>
    <w:rsid w:val="00C173B2"/>
    <w:rsid w:val="00C17A3D"/>
    <w:rsid w:val="00C17A73"/>
    <w:rsid w:val="00C20749"/>
    <w:rsid w:val="00C209AC"/>
    <w:rsid w:val="00C2125E"/>
    <w:rsid w:val="00C21704"/>
    <w:rsid w:val="00C2265A"/>
    <w:rsid w:val="00C22ED5"/>
    <w:rsid w:val="00C23BA6"/>
    <w:rsid w:val="00C25470"/>
    <w:rsid w:val="00C25948"/>
    <w:rsid w:val="00C26A07"/>
    <w:rsid w:val="00C2706B"/>
    <w:rsid w:val="00C277EA"/>
    <w:rsid w:val="00C27C84"/>
    <w:rsid w:val="00C27E40"/>
    <w:rsid w:val="00C30E4F"/>
    <w:rsid w:val="00C31187"/>
    <w:rsid w:val="00C31FA8"/>
    <w:rsid w:val="00C3222B"/>
    <w:rsid w:val="00C3283A"/>
    <w:rsid w:val="00C32938"/>
    <w:rsid w:val="00C32A3E"/>
    <w:rsid w:val="00C333A2"/>
    <w:rsid w:val="00C33B9E"/>
    <w:rsid w:val="00C33E32"/>
    <w:rsid w:val="00C34E1B"/>
    <w:rsid w:val="00C355FA"/>
    <w:rsid w:val="00C35675"/>
    <w:rsid w:val="00C35D4A"/>
    <w:rsid w:val="00C36316"/>
    <w:rsid w:val="00C3695C"/>
    <w:rsid w:val="00C37AAB"/>
    <w:rsid w:val="00C37B34"/>
    <w:rsid w:val="00C37E4D"/>
    <w:rsid w:val="00C40C5D"/>
    <w:rsid w:val="00C419D6"/>
    <w:rsid w:val="00C41DAC"/>
    <w:rsid w:val="00C42093"/>
    <w:rsid w:val="00C42A71"/>
    <w:rsid w:val="00C42D1C"/>
    <w:rsid w:val="00C43B6D"/>
    <w:rsid w:val="00C43DFC"/>
    <w:rsid w:val="00C44446"/>
    <w:rsid w:val="00C45D7C"/>
    <w:rsid w:val="00C45FB1"/>
    <w:rsid w:val="00C46DA8"/>
    <w:rsid w:val="00C500BB"/>
    <w:rsid w:val="00C50EC5"/>
    <w:rsid w:val="00C5113A"/>
    <w:rsid w:val="00C5136D"/>
    <w:rsid w:val="00C51E57"/>
    <w:rsid w:val="00C51F10"/>
    <w:rsid w:val="00C5260C"/>
    <w:rsid w:val="00C5364C"/>
    <w:rsid w:val="00C53B47"/>
    <w:rsid w:val="00C55303"/>
    <w:rsid w:val="00C555E4"/>
    <w:rsid w:val="00C55954"/>
    <w:rsid w:val="00C5627A"/>
    <w:rsid w:val="00C56BFC"/>
    <w:rsid w:val="00C56D91"/>
    <w:rsid w:val="00C60F95"/>
    <w:rsid w:val="00C61E34"/>
    <w:rsid w:val="00C62E58"/>
    <w:rsid w:val="00C62FEE"/>
    <w:rsid w:val="00C631A8"/>
    <w:rsid w:val="00C63387"/>
    <w:rsid w:val="00C63724"/>
    <w:rsid w:val="00C639CE"/>
    <w:rsid w:val="00C63DFC"/>
    <w:rsid w:val="00C648FA"/>
    <w:rsid w:val="00C6502C"/>
    <w:rsid w:val="00C66154"/>
    <w:rsid w:val="00C66A70"/>
    <w:rsid w:val="00C66DDE"/>
    <w:rsid w:val="00C67E80"/>
    <w:rsid w:val="00C67EDC"/>
    <w:rsid w:val="00C67EDE"/>
    <w:rsid w:val="00C67F09"/>
    <w:rsid w:val="00C70657"/>
    <w:rsid w:val="00C71271"/>
    <w:rsid w:val="00C71D0A"/>
    <w:rsid w:val="00C72DE9"/>
    <w:rsid w:val="00C72EBB"/>
    <w:rsid w:val="00C73C3F"/>
    <w:rsid w:val="00C7407F"/>
    <w:rsid w:val="00C740C8"/>
    <w:rsid w:val="00C74F61"/>
    <w:rsid w:val="00C75500"/>
    <w:rsid w:val="00C75D92"/>
    <w:rsid w:val="00C76125"/>
    <w:rsid w:val="00C76D79"/>
    <w:rsid w:val="00C76EA1"/>
    <w:rsid w:val="00C779D5"/>
    <w:rsid w:val="00C77F17"/>
    <w:rsid w:val="00C80DDF"/>
    <w:rsid w:val="00C81333"/>
    <w:rsid w:val="00C8291F"/>
    <w:rsid w:val="00C831CE"/>
    <w:rsid w:val="00C83753"/>
    <w:rsid w:val="00C86325"/>
    <w:rsid w:val="00C86E8D"/>
    <w:rsid w:val="00C87277"/>
    <w:rsid w:val="00C8763E"/>
    <w:rsid w:val="00C903E6"/>
    <w:rsid w:val="00C90B0F"/>
    <w:rsid w:val="00C9140F"/>
    <w:rsid w:val="00C91563"/>
    <w:rsid w:val="00C91988"/>
    <w:rsid w:val="00C922FD"/>
    <w:rsid w:val="00C9252F"/>
    <w:rsid w:val="00C93AE2"/>
    <w:rsid w:val="00C93EB0"/>
    <w:rsid w:val="00C957CA"/>
    <w:rsid w:val="00C95869"/>
    <w:rsid w:val="00C969F1"/>
    <w:rsid w:val="00C96E6C"/>
    <w:rsid w:val="00C97B82"/>
    <w:rsid w:val="00CA0287"/>
    <w:rsid w:val="00CA085D"/>
    <w:rsid w:val="00CA0882"/>
    <w:rsid w:val="00CA1510"/>
    <w:rsid w:val="00CA1810"/>
    <w:rsid w:val="00CA2776"/>
    <w:rsid w:val="00CA29BE"/>
    <w:rsid w:val="00CA3988"/>
    <w:rsid w:val="00CA3CD7"/>
    <w:rsid w:val="00CA3EB2"/>
    <w:rsid w:val="00CA47FC"/>
    <w:rsid w:val="00CA5194"/>
    <w:rsid w:val="00CA519C"/>
    <w:rsid w:val="00CA542B"/>
    <w:rsid w:val="00CA568D"/>
    <w:rsid w:val="00CA673C"/>
    <w:rsid w:val="00CA756A"/>
    <w:rsid w:val="00CB0326"/>
    <w:rsid w:val="00CB07A6"/>
    <w:rsid w:val="00CB07E4"/>
    <w:rsid w:val="00CB239D"/>
    <w:rsid w:val="00CB2681"/>
    <w:rsid w:val="00CB2ABB"/>
    <w:rsid w:val="00CB2E5B"/>
    <w:rsid w:val="00CB4591"/>
    <w:rsid w:val="00CB4E02"/>
    <w:rsid w:val="00CB4E20"/>
    <w:rsid w:val="00CB4EFE"/>
    <w:rsid w:val="00CB5C79"/>
    <w:rsid w:val="00CB5CB7"/>
    <w:rsid w:val="00CB5CE5"/>
    <w:rsid w:val="00CB6B8E"/>
    <w:rsid w:val="00CB6DBA"/>
    <w:rsid w:val="00CB758F"/>
    <w:rsid w:val="00CC0491"/>
    <w:rsid w:val="00CC1C31"/>
    <w:rsid w:val="00CC1C9A"/>
    <w:rsid w:val="00CC2559"/>
    <w:rsid w:val="00CC484C"/>
    <w:rsid w:val="00CC4CEA"/>
    <w:rsid w:val="00CC4D0F"/>
    <w:rsid w:val="00CC57CF"/>
    <w:rsid w:val="00CC76FB"/>
    <w:rsid w:val="00CD03D3"/>
    <w:rsid w:val="00CD134E"/>
    <w:rsid w:val="00CD195F"/>
    <w:rsid w:val="00CD44F0"/>
    <w:rsid w:val="00CD4F95"/>
    <w:rsid w:val="00CD53A9"/>
    <w:rsid w:val="00CD596C"/>
    <w:rsid w:val="00CD5C8F"/>
    <w:rsid w:val="00CD5F73"/>
    <w:rsid w:val="00CD65DC"/>
    <w:rsid w:val="00CD7C4F"/>
    <w:rsid w:val="00CD7FF4"/>
    <w:rsid w:val="00CE0266"/>
    <w:rsid w:val="00CE1751"/>
    <w:rsid w:val="00CE2E71"/>
    <w:rsid w:val="00CE3A87"/>
    <w:rsid w:val="00CE3CC9"/>
    <w:rsid w:val="00CE3ED1"/>
    <w:rsid w:val="00CE4B10"/>
    <w:rsid w:val="00CE5C50"/>
    <w:rsid w:val="00CE6555"/>
    <w:rsid w:val="00CE6976"/>
    <w:rsid w:val="00CE704A"/>
    <w:rsid w:val="00CE73DA"/>
    <w:rsid w:val="00CF0429"/>
    <w:rsid w:val="00CF1779"/>
    <w:rsid w:val="00CF17B3"/>
    <w:rsid w:val="00CF19BF"/>
    <w:rsid w:val="00CF284E"/>
    <w:rsid w:val="00CF2A39"/>
    <w:rsid w:val="00CF2F8B"/>
    <w:rsid w:val="00CF3460"/>
    <w:rsid w:val="00CF4336"/>
    <w:rsid w:val="00CF44E8"/>
    <w:rsid w:val="00CF4574"/>
    <w:rsid w:val="00CF5848"/>
    <w:rsid w:val="00CF5B05"/>
    <w:rsid w:val="00CF5E6D"/>
    <w:rsid w:val="00CF641D"/>
    <w:rsid w:val="00CF6809"/>
    <w:rsid w:val="00D0079D"/>
    <w:rsid w:val="00D0097A"/>
    <w:rsid w:val="00D01AA3"/>
    <w:rsid w:val="00D0322F"/>
    <w:rsid w:val="00D04393"/>
    <w:rsid w:val="00D045C5"/>
    <w:rsid w:val="00D0490C"/>
    <w:rsid w:val="00D0513F"/>
    <w:rsid w:val="00D051A6"/>
    <w:rsid w:val="00D051DB"/>
    <w:rsid w:val="00D0535D"/>
    <w:rsid w:val="00D05377"/>
    <w:rsid w:val="00D05C98"/>
    <w:rsid w:val="00D069D7"/>
    <w:rsid w:val="00D105CD"/>
    <w:rsid w:val="00D10DCD"/>
    <w:rsid w:val="00D12089"/>
    <w:rsid w:val="00D12329"/>
    <w:rsid w:val="00D12B73"/>
    <w:rsid w:val="00D13A3A"/>
    <w:rsid w:val="00D13C6B"/>
    <w:rsid w:val="00D1404C"/>
    <w:rsid w:val="00D14123"/>
    <w:rsid w:val="00D141E6"/>
    <w:rsid w:val="00D1464F"/>
    <w:rsid w:val="00D1524B"/>
    <w:rsid w:val="00D15488"/>
    <w:rsid w:val="00D1550A"/>
    <w:rsid w:val="00D1599E"/>
    <w:rsid w:val="00D15D8A"/>
    <w:rsid w:val="00D15DF6"/>
    <w:rsid w:val="00D16E6E"/>
    <w:rsid w:val="00D1776B"/>
    <w:rsid w:val="00D2069E"/>
    <w:rsid w:val="00D20754"/>
    <w:rsid w:val="00D207CF"/>
    <w:rsid w:val="00D2134E"/>
    <w:rsid w:val="00D21500"/>
    <w:rsid w:val="00D21672"/>
    <w:rsid w:val="00D22509"/>
    <w:rsid w:val="00D22BC0"/>
    <w:rsid w:val="00D2379C"/>
    <w:rsid w:val="00D2446E"/>
    <w:rsid w:val="00D2448D"/>
    <w:rsid w:val="00D245C0"/>
    <w:rsid w:val="00D24813"/>
    <w:rsid w:val="00D24BE8"/>
    <w:rsid w:val="00D2527D"/>
    <w:rsid w:val="00D2547B"/>
    <w:rsid w:val="00D254A6"/>
    <w:rsid w:val="00D25BEB"/>
    <w:rsid w:val="00D25E57"/>
    <w:rsid w:val="00D25F52"/>
    <w:rsid w:val="00D260CF"/>
    <w:rsid w:val="00D26342"/>
    <w:rsid w:val="00D26697"/>
    <w:rsid w:val="00D2692F"/>
    <w:rsid w:val="00D269B4"/>
    <w:rsid w:val="00D26A1F"/>
    <w:rsid w:val="00D26DB9"/>
    <w:rsid w:val="00D276A0"/>
    <w:rsid w:val="00D302ED"/>
    <w:rsid w:val="00D31371"/>
    <w:rsid w:val="00D317FE"/>
    <w:rsid w:val="00D31CF8"/>
    <w:rsid w:val="00D31E18"/>
    <w:rsid w:val="00D32DDE"/>
    <w:rsid w:val="00D32F50"/>
    <w:rsid w:val="00D33AC0"/>
    <w:rsid w:val="00D34705"/>
    <w:rsid w:val="00D3529A"/>
    <w:rsid w:val="00D35E66"/>
    <w:rsid w:val="00D36204"/>
    <w:rsid w:val="00D36A55"/>
    <w:rsid w:val="00D374D1"/>
    <w:rsid w:val="00D404F9"/>
    <w:rsid w:val="00D40D16"/>
    <w:rsid w:val="00D42302"/>
    <w:rsid w:val="00D432B6"/>
    <w:rsid w:val="00D448C8"/>
    <w:rsid w:val="00D44C13"/>
    <w:rsid w:val="00D44C47"/>
    <w:rsid w:val="00D4598B"/>
    <w:rsid w:val="00D46AD8"/>
    <w:rsid w:val="00D473EC"/>
    <w:rsid w:val="00D4786D"/>
    <w:rsid w:val="00D50BFF"/>
    <w:rsid w:val="00D5100A"/>
    <w:rsid w:val="00D51092"/>
    <w:rsid w:val="00D51643"/>
    <w:rsid w:val="00D51A07"/>
    <w:rsid w:val="00D51F3C"/>
    <w:rsid w:val="00D53310"/>
    <w:rsid w:val="00D53B91"/>
    <w:rsid w:val="00D5447D"/>
    <w:rsid w:val="00D54F52"/>
    <w:rsid w:val="00D5546B"/>
    <w:rsid w:val="00D55A8E"/>
    <w:rsid w:val="00D55BD8"/>
    <w:rsid w:val="00D55D3C"/>
    <w:rsid w:val="00D55EAA"/>
    <w:rsid w:val="00D566D7"/>
    <w:rsid w:val="00D572E2"/>
    <w:rsid w:val="00D5798B"/>
    <w:rsid w:val="00D57FAC"/>
    <w:rsid w:val="00D607E4"/>
    <w:rsid w:val="00D60B60"/>
    <w:rsid w:val="00D612EC"/>
    <w:rsid w:val="00D61C93"/>
    <w:rsid w:val="00D62076"/>
    <w:rsid w:val="00D62308"/>
    <w:rsid w:val="00D62711"/>
    <w:rsid w:val="00D62E24"/>
    <w:rsid w:val="00D63C1B"/>
    <w:rsid w:val="00D6421E"/>
    <w:rsid w:val="00D6537A"/>
    <w:rsid w:val="00D656E2"/>
    <w:rsid w:val="00D65962"/>
    <w:rsid w:val="00D66025"/>
    <w:rsid w:val="00D666CC"/>
    <w:rsid w:val="00D66F62"/>
    <w:rsid w:val="00D67255"/>
    <w:rsid w:val="00D67B1F"/>
    <w:rsid w:val="00D71EF5"/>
    <w:rsid w:val="00D71F11"/>
    <w:rsid w:val="00D72403"/>
    <w:rsid w:val="00D724B7"/>
    <w:rsid w:val="00D73003"/>
    <w:rsid w:val="00D73112"/>
    <w:rsid w:val="00D73A6E"/>
    <w:rsid w:val="00D73E51"/>
    <w:rsid w:val="00D74733"/>
    <w:rsid w:val="00D75465"/>
    <w:rsid w:val="00D75696"/>
    <w:rsid w:val="00D76230"/>
    <w:rsid w:val="00D7656E"/>
    <w:rsid w:val="00D76F24"/>
    <w:rsid w:val="00D77F1F"/>
    <w:rsid w:val="00D80712"/>
    <w:rsid w:val="00D80E81"/>
    <w:rsid w:val="00D810CA"/>
    <w:rsid w:val="00D81958"/>
    <w:rsid w:val="00D81E75"/>
    <w:rsid w:val="00D82C3E"/>
    <w:rsid w:val="00D84B9A"/>
    <w:rsid w:val="00D84D49"/>
    <w:rsid w:val="00D85D28"/>
    <w:rsid w:val="00D867C9"/>
    <w:rsid w:val="00D8729E"/>
    <w:rsid w:val="00D87A07"/>
    <w:rsid w:val="00D909D0"/>
    <w:rsid w:val="00D9162F"/>
    <w:rsid w:val="00D91630"/>
    <w:rsid w:val="00D91881"/>
    <w:rsid w:val="00D91A7D"/>
    <w:rsid w:val="00D92B90"/>
    <w:rsid w:val="00D9410C"/>
    <w:rsid w:val="00D9693E"/>
    <w:rsid w:val="00D96DE8"/>
    <w:rsid w:val="00D96FD4"/>
    <w:rsid w:val="00D97C9E"/>
    <w:rsid w:val="00DA021C"/>
    <w:rsid w:val="00DA035E"/>
    <w:rsid w:val="00DA0536"/>
    <w:rsid w:val="00DA0868"/>
    <w:rsid w:val="00DA11C1"/>
    <w:rsid w:val="00DA188B"/>
    <w:rsid w:val="00DA1C78"/>
    <w:rsid w:val="00DA1E28"/>
    <w:rsid w:val="00DA1ECC"/>
    <w:rsid w:val="00DA270E"/>
    <w:rsid w:val="00DA2E91"/>
    <w:rsid w:val="00DA3CC6"/>
    <w:rsid w:val="00DA3D8E"/>
    <w:rsid w:val="00DA4BF4"/>
    <w:rsid w:val="00DA4C4A"/>
    <w:rsid w:val="00DA5B88"/>
    <w:rsid w:val="00DA5CCE"/>
    <w:rsid w:val="00DA6C18"/>
    <w:rsid w:val="00DA6D9F"/>
    <w:rsid w:val="00DA6EA8"/>
    <w:rsid w:val="00DA6F35"/>
    <w:rsid w:val="00DA7808"/>
    <w:rsid w:val="00DA787D"/>
    <w:rsid w:val="00DA7D74"/>
    <w:rsid w:val="00DB0292"/>
    <w:rsid w:val="00DB04DA"/>
    <w:rsid w:val="00DB0B66"/>
    <w:rsid w:val="00DB0B8E"/>
    <w:rsid w:val="00DB0EF2"/>
    <w:rsid w:val="00DB10FF"/>
    <w:rsid w:val="00DB1413"/>
    <w:rsid w:val="00DB1520"/>
    <w:rsid w:val="00DB1B70"/>
    <w:rsid w:val="00DB1E1D"/>
    <w:rsid w:val="00DB39CA"/>
    <w:rsid w:val="00DB4200"/>
    <w:rsid w:val="00DB4348"/>
    <w:rsid w:val="00DB473A"/>
    <w:rsid w:val="00DB4852"/>
    <w:rsid w:val="00DB5B8F"/>
    <w:rsid w:val="00DB5FE2"/>
    <w:rsid w:val="00DB6076"/>
    <w:rsid w:val="00DB6114"/>
    <w:rsid w:val="00DB63B3"/>
    <w:rsid w:val="00DB6C06"/>
    <w:rsid w:val="00DB7341"/>
    <w:rsid w:val="00DB7C52"/>
    <w:rsid w:val="00DC0426"/>
    <w:rsid w:val="00DC181E"/>
    <w:rsid w:val="00DC25DA"/>
    <w:rsid w:val="00DC2E44"/>
    <w:rsid w:val="00DC34BC"/>
    <w:rsid w:val="00DC3E78"/>
    <w:rsid w:val="00DC4946"/>
    <w:rsid w:val="00DC4B22"/>
    <w:rsid w:val="00DC5863"/>
    <w:rsid w:val="00DC6417"/>
    <w:rsid w:val="00DC6479"/>
    <w:rsid w:val="00DC6760"/>
    <w:rsid w:val="00DC6867"/>
    <w:rsid w:val="00DC6C78"/>
    <w:rsid w:val="00DC6E70"/>
    <w:rsid w:val="00DC733D"/>
    <w:rsid w:val="00DD01F6"/>
    <w:rsid w:val="00DD0CB9"/>
    <w:rsid w:val="00DD0E63"/>
    <w:rsid w:val="00DD1C16"/>
    <w:rsid w:val="00DD2437"/>
    <w:rsid w:val="00DD2B3E"/>
    <w:rsid w:val="00DD2FBE"/>
    <w:rsid w:val="00DD3035"/>
    <w:rsid w:val="00DD32B2"/>
    <w:rsid w:val="00DD3718"/>
    <w:rsid w:val="00DD3F7D"/>
    <w:rsid w:val="00DD43AA"/>
    <w:rsid w:val="00DD5727"/>
    <w:rsid w:val="00DD6492"/>
    <w:rsid w:val="00DD693D"/>
    <w:rsid w:val="00DD6F1E"/>
    <w:rsid w:val="00DD6FE2"/>
    <w:rsid w:val="00DD7076"/>
    <w:rsid w:val="00DD7D8C"/>
    <w:rsid w:val="00DE2761"/>
    <w:rsid w:val="00DE2D1C"/>
    <w:rsid w:val="00DE2FF5"/>
    <w:rsid w:val="00DE38F9"/>
    <w:rsid w:val="00DE45BC"/>
    <w:rsid w:val="00DE4C22"/>
    <w:rsid w:val="00DF06C2"/>
    <w:rsid w:val="00DF0F4D"/>
    <w:rsid w:val="00DF1D18"/>
    <w:rsid w:val="00DF22FA"/>
    <w:rsid w:val="00DF2A69"/>
    <w:rsid w:val="00DF2B33"/>
    <w:rsid w:val="00DF50DF"/>
    <w:rsid w:val="00DF5621"/>
    <w:rsid w:val="00DF60E5"/>
    <w:rsid w:val="00DF65D4"/>
    <w:rsid w:val="00DF69EB"/>
    <w:rsid w:val="00DF74E2"/>
    <w:rsid w:val="00DF77A3"/>
    <w:rsid w:val="00E000D3"/>
    <w:rsid w:val="00E000FA"/>
    <w:rsid w:val="00E00564"/>
    <w:rsid w:val="00E020DC"/>
    <w:rsid w:val="00E03BE4"/>
    <w:rsid w:val="00E03CBA"/>
    <w:rsid w:val="00E045D9"/>
    <w:rsid w:val="00E04BF0"/>
    <w:rsid w:val="00E04E1C"/>
    <w:rsid w:val="00E054C3"/>
    <w:rsid w:val="00E06930"/>
    <w:rsid w:val="00E07C31"/>
    <w:rsid w:val="00E10082"/>
    <w:rsid w:val="00E10ED9"/>
    <w:rsid w:val="00E11737"/>
    <w:rsid w:val="00E11BE4"/>
    <w:rsid w:val="00E12897"/>
    <w:rsid w:val="00E128B8"/>
    <w:rsid w:val="00E13155"/>
    <w:rsid w:val="00E13524"/>
    <w:rsid w:val="00E13556"/>
    <w:rsid w:val="00E136DF"/>
    <w:rsid w:val="00E15118"/>
    <w:rsid w:val="00E15286"/>
    <w:rsid w:val="00E153C6"/>
    <w:rsid w:val="00E158D4"/>
    <w:rsid w:val="00E172C0"/>
    <w:rsid w:val="00E2028D"/>
    <w:rsid w:val="00E2036E"/>
    <w:rsid w:val="00E206E3"/>
    <w:rsid w:val="00E209A3"/>
    <w:rsid w:val="00E20E5C"/>
    <w:rsid w:val="00E21282"/>
    <w:rsid w:val="00E21472"/>
    <w:rsid w:val="00E22075"/>
    <w:rsid w:val="00E22A65"/>
    <w:rsid w:val="00E2370F"/>
    <w:rsid w:val="00E246CA"/>
    <w:rsid w:val="00E24806"/>
    <w:rsid w:val="00E24FB0"/>
    <w:rsid w:val="00E25AC6"/>
    <w:rsid w:val="00E25B4A"/>
    <w:rsid w:val="00E26A0A"/>
    <w:rsid w:val="00E27619"/>
    <w:rsid w:val="00E276E1"/>
    <w:rsid w:val="00E30258"/>
    <w:rsid w:val="00E3045E"/>
    <w:rsid w:val="00E30CB0"/>
    <w:rsid w:val="00E310D2"/>
    <w:rsid w:val="00E31189"/>
    <w:rsid w:val="00E31195"/>
    <w:rsid w:val="00E312DB"/>
    <w:rsid w:val="00E313C7"/>
    <w:rsid w:val="00E31A13"/>
    <w:rsid w:val="00E31EAF"/>
    <w:rsid w:val="00E32A03"/>
    <w:rsid w:val="00E34456"/>
    <w:rsid w:val="00E34952"/>
    <w:rsid w:val="00E34C31"/>
    <w:rsid w:val="00E34FAC"/>
    <w:rsid w:val="00E351AA"/>
    <w:rsid w:val="00E35353"/>
    <w:rsid w:val="00E36A31"/>
    <w:rsid w:val="00E36C53"/>
    <w:rsid w:val="00E37125"/>
    <w:rsid w:val="00E37451"/>
    <w:rsid w:val="00E40D74"/>
    <w:rsid w:val="00E41789"/>
    <w:rsid w:val="00E42735"/>
    <w:rsid w:val="00E427A9"/>
    <w:rsid w:val="00E42E99"/>
    <w:rsid w:val="00E435CC"/>
    <w:rsid w:val="00E440D2"/>
    <w:rsid w:val="00E44A9B"/>
    <w:rsid w:val="00E44D21"/>
    <w:rsid w:val="00E458D5"/>
    <w:rsid w:val="00E46B5F"/>
    <w:rsid w:val="00E46F07"/>
    <w:rsid w:val="00E47F5F"/>
    <w:rsid w:val="00E500B3"/>
    <w:rsid w:val="00E50770"/>
    <w:rsid w:val="00E50EAD"/>
    <w:rsid w:val="00E50F4D"/>
    <w:rsid w:val="00E519AA"/>
    <w:rsid w:val="00E51B1B"/>
    <w:rsid w:val="00E51C5D"/>
    <w:rsid w:val="00E52474"/>
    <w:rsid w:val="00E53E13"/>
    <w:rsid w:val="00E53E71"/>
    <w:rsid w:val="00E5431F"/>
    <w:rsid w:val="00E5451E"/>
    <w:rsid w:val="00E54ABC"/>
    <w:rsid w:val="00E54F42"/>
    <w:rsid w:val="00E55472"/>
    <w:rsid w:val="00E55B08"/>
    <w:rsid w:val="00E55EEB"/>
    <w:rsid w:val="00E561A8"/>
    <w:rsid w:val="00E5648F"/>
    <w:rsid w:val="00E56607"/>
    <w:rsid w:val="00E60022"/>
    <w:rsid w:val="00E60324"/>
    <w:rsid w:val="00E60AD6"/>
    <w:rsid w:val="00E60DD9"/>
    <w:rsid w:val="00E60DE9"/>
    <w:rsid w:val="00E6248B"/>
    <w:rsid w:val="00E62D19"/>
    <w:rsid w:val="00E6331D"/>
    <w:rsid w:val="00E64A26"/>
    <w:rsid w:val="00E6549D"/>
    <w:rsid w:val="00E668FD"/>
    <w:rsid w:val="00E66E68"/>
    <w:rsid w:val="00E67313"/>
    <w:rsid w:val="00E675D4"/>
    <w:rsid w:val="00E67689"/>
    <w:rsid w:val="00E678CE"/>
    <w:rsid w:val="00E67DC9"/>
    <w:rsid w:val="00E71696"/>
    <w:rsid w:val="00E72442"/>
    <w:rsid w:val="00E72895"/>
    <w:rsid w:val="00E72A13"/>
    <w:rsid w:val="00E72D8A"/>
    <w:rsid w:val="00E73005"/>
    <w:rsid w:val="00E733B6"/>
    <w:rsid w:val="00E734F4"/>
    <w:rsid w:val="00E73BD2"/>
    <w:rsid w:val="00E74114"/>
    <w:rsid w:val="00E74A86"/>
    <w:rsid w:val="00E753C4"/>
    <w:rsid w:val="00E7641E"/>
    <w:rsid w:val="00E76935"/>
    <w:rsid w:val="00E80347"/>
    <w:rsid w:val="00E812DF"/>
    <w:rsid w:val="00E81B21"/>
    <w:rsid w:val="00E81CB1"/>
    <w:rsid w:val="00E81E1D"/>
    <w:rsid w:val="00E82763"/>
    <w:rsid w:val="00E82801"/>
    <w:rsid w:val="00E83670"/>
    <w:rsid w:val="00E84CCE"/>
    <w:rsid w:val="00E85E7A"/>
    <w:rsid w:val="00E86B76"/>
    <w:rsid w:val="00E86B7F"/>
    <w:rsid w:val="00E87434"/>
    <w:rsid w:val="00E8798D"/>
    <w:rsid w:val="00E9027D"/>
    <w:rsid w:val="00E903C6"/>
    <w:rsid w:val="00E90A6B"/>
    <w:rsid w:val="00E90A7B"/>
    <w:rsid w:val="00E90AFE"/>
    <w:rsid w:val="00E91298"/>
    <w:rsid w:val="00E91654"/>
    <w:rsid w:val="00E916A1"/>
    <w:rsid w:val="00E9170E"/>
    <w:rsid w:val="00E91750"/>
    <w:rsid w:val="00E918BD"/>
    <w:rsid w:val="00E91B9A"/>
    <w:rsid w:val="00E91CE4"/>
    <w:rsid w:val="00E92284"/>
    <w:rsid w:val="00E92ECA"/>
    <w:rsid w:val="00E93344"/>
    <w:rsid w:val="00E93862"/>
    <w:rsid w:val="00E94D04"/>
    <w:rsid w:val="00E94D90"/>
    <w:rsid w:val="00E94F14"/>
    <w:rsid w:val="00E954B6"/>
    <w:rsid w:val="00E9630A"/>
    <w:rsid w:val="00E96DEF"/>
    <w:rsid w:val="00E972F0"/>
    <w:rsid w:val="00E978D4"/>
    <w:rsid w:val="00E97E56"/>
    <w:rsid w:val="00EA0D96"/>
    <w:rsid w:val="00EA1016"/>
    <w:rsid w:val="00EA1175"/>
    <w:rsid w:val="00EA163A"/>
    <w:rsid w:val="00EA1A24"/>
    <w:rsid w:val="00EA21F3"/>
    <w:rsid w:val="00EA2A1B"/>
    <w:rsid w:val="00EA2C32"/>
    <w:rsid w:val="00EA2D40"/>
    <w:rsid w:val="00EA34E6"/>
    <w:rsid w:val="00EA3A42"/>
    <w:rsid w:val="00EA424F"/>
    <w:rsid w:val="00EA4658"/>
    <w:rsid w:val="00EA4846"/>
    <w:rsid w:val="00EA48A6"/>
    <w:rsid w:val="00EA5BB3"/>
    <w:rsid w:val="00EA5BE0"/>
    <w:rsid w:val="00EA738C"/>
    <w:rsid w:val="00EB0FC5"/>
    <w:rsid w:val="00EB1950"/>
    <w:rsid w:val="00EB1A2F"/>
    <w:rsid w:val="00EB2311"/>
    <w:rsid w:val="00EB2614"/>
    <w:rsid w:val="00EB26F3"/>
    <w:rsid w:val="00EB3203"/>
    <w:rsid w:val="00EB47EB"/>
    <w:rsid w:val="00EB4AD9"/>
    <w:rsid w:val="00EB55BE"/>
    <w:rsid w:val="00EB5BCA"/>
    <w:rsid w:val="00EB5D73"/>
    <w:rsid w:val="00EB6282"/>
    <w:rsid w:val="00EB62C5"/>
    <w:rsid w:val="00EB6704"/>
    <w:rsid w:val="00EB689C"/>
    <w:rsid w:val="00EB68ED"/>
    <w:rsid w:val="00EB711F"/>
    <w:rsid w:val="00EB72BF"/>
    <w:rsid w:val="00EB7508"/>
    <w:rsid w:val="00EC0BB1"/>
    <w:rsid w:val="00EC15A7"/>
    <w:rsid w:val="00EC17EF"/>
    <w:rsid w:val="00EC2DC2"/>
    <w:rsid w:val="00EC2FAD"/>
    <w:rsid w:val="00EC3881"/>
    <w:rsid w:val="00EC3B28"/>
    <w:rsid w:val="00EC460E"/>
    <w:rsid w:val="00EC5ECD"/>
    <w:rsid w:val="00EC62AB"/>
    <w:rsid w:val="00EC7E32"/>
    <w:rsid w:val="00ED07C8"/>
    <w:rsid w:val="00ED0AD2"/>
    <w:rsid w:val="00ED0DC2"/>
    <w:rsid w:val="00ED13F5"/>
    <w:rsid w:val="00ED1952"/>
    <w:rsid w:val="00ED197C"/>
    <w:rsid w:val="00ED1993"/>
    <w:rsid w:val="00ED1F9B"/>
    <w:rsid w:val="00ED25E5"/>
    <w:rsid w:val="00ED2D15"/>
    <w:rsid w:val="00ED3023"/>
    <w:rsid w:val="00ED3210"/>
    <w:rsid w:val="00ED3705"/>
    <w:rsid w:val="00ED44B9"/>
    <w:rsid w:val="00ED524E"/>
    <w:rsid w:val="00ED5323"/>
    <w:rsid w:val="00ED5AF1"/>
    <w:rsid w:val="00ED692A"/>
    <w:rsid w:val="00ED6F49"/>
    <w:rsid w:val="00EE001A"/>
    <w:rsid w:val="00EE018E"/>
    <w:rsid w:val="00EE039B"/>
    <w:rsid w:val="00EE0C12"/>
    <w:rsid w:val="00EE1091"/>
    <w:rsid w:val="00EE201B"/>
    <w:rsid w:val="00EE2341"/>
    <w:rsid w:val="00EE26BF"/>
    <w:rsid w:val="00EE26FB"/>
    <w:rsid w:val="00EE27C5"/>
    <w:rsid w:val="00EE2D06"/>
    <w:rsid w:val="00EE3B42"/>
    <w:rsid w:val="00EE3D1C"/>
    <w:rsid w:val="00EE476F"/>
    <w:rsid w:val="00EE478A"/>
    <w:rsid w:val="00EE67FB"/>
    <w:rsid w:val="00EE6A20"/>
    <w:rsid w:val="00EE6A34"/>
    <w:rsid w:val="00EE7C28"/>
    <w:rsid w:val="00EF0055"/>
    <w:rsid w:val="00EF0DDA"/>
    <w:rsid w:val="00EF116E"/>
    <w:rsid w:val="00EF2962"/>
    <w:rsid w:val="00EF34EC"/>
    <w:rsid w:val="00EF35BE"/>
    <w:rsid w:val="00EF3709"/>
    <w:rsid w:val="00EF391D"/>
    <w:rsid w:val="00EF474D"/>
    <w:rsid w:val="00EF4EBD"/>
    <w:rsid w:val="00EF656C"/>
    <w:rsid w:val="00EF7078"/>
    <w:rsid w:val="00EF76A4"/>
    <w:rsid w:val="00F0001D"/>
    <w:rsid w:val="00F01425"/>
    <w:rsid w:val="00F025FA"/>
    <w:rsid w:val="00F0298D"/>
    <w:rsid w:val="00F02B69"/>
    <w:rsid w:val="00F0308B"/>
    <w:rsid w:val="00F03CDF"/>
    <w:rsid w:val="00F04138"/>
    <w:rsid w:val="00F04E35"/>
    <w:rsid w:val="00F059E4"/>
    <w:rsid w:val="00F0669A"/>
    <w:rsid w:val="00F07169"/>
    <w:rsid w:val="00F0759B"/>
    <w:rsid w:val="00F10222"/>
    <w:rsid w:val="00F10AF4"/>
    <w:rsid w:val="00F10E2A"/>
    <w:rsid w:val="00F1136F"/>
    <w:rsid w:val="00F1138F"/>
    <w:rsid w:val="00F11D22"/>
    <w:rsid w:val="00F12B85"/>
    <w:rsid w:val="00F1348A"/>
    <w:rsid w:val="00F13530"/>
    <w:rsid w:val="00F13791"/>
    <w:rsid w:val="00F1386E"/>
    <w:rsid w:val="00F14743"/>
    <w:rsid w:val="00F14FD0"/>
    <w:rsid w:val="00F15024"/>
    <w:rsid w:val="00F1564B"/>
    <w:rsid w:val="00F1658B"/>
    <w:rsid w:val="00F16A66"/>
    <w:rsid w:val="00F16B49"/>
    <w:rsid w:val="00F16D81"/>
    <w:rsid w:val="00F16DF1"/>
    <w:rsid w:val="00F1782E"/>
    <w:rsid w:val="00F179C8"/>
    <w:rsid w:val="00F20264"/>
    <w:rsid w:val="00F20ED8"/>
    <w:rsid w:val="00F217D6"/>
    <w:rsid w:val="00F22CE4"/>
    <w:rsid w:val="00F22FC6"/>
    <w:rsid w:val="00F2336E"/>
    <w:rsid w:val="00F2386A"/>
    <w:rsid w:val="00F2389F"/>
    <w:rsid w:val="00F23BF4"/>
    <w:rsid w:val="00F25820"/>
    <w:rsid w:val="00F25D86"/>
    <w:rsid w:val="00F25E9B"/>
    <w:rsid w:val="00F26092"/>
    <w:rsid w:val="00F26D86"/>
    <w:rsid w:val="00F3048B"/>
    <w:rsid w:val="00F30709"/>
    <w:rsid w:val="00F3072E"/>
    <w:rsid w:val="00F30789"/>
    <w:rsid w:val="00F31B04"/>
    <w:rsid w:val="00F32035"/>
    <w:rsid w:val="00F3263E"/>
    <w:rsid w:val="00F32937"/>
    <w:rsid w:val="00F32CF9"/>
    <w:rsid w:val="00F337EC"/>
    <w:rsid w:val="00F33C8A"/>
    <w:rsid w:val="00F33D93"/>
    <w:rsid w:val="00F33DBA"/>
    <w:rsid w:val="00F34167"/>
    <w:rsid w:val="00F341E1"/>
    <w:rsid w:val="00F35802"/>
    <w:rsid w:val="00F3582B"/>
    <w:rsid w:val="00F3633D"/>
    <w:rsid w:val="00F370B6"/>
    <w:rsid w:val="00F37420"/>
    <w:rsid w:val="00F3764B"/>
    <w:rsid w:val="00F37CF8"/>
    <w:rsid w:val="00F37E10"/>
    <w:rsid w:val="00F402EA"/>
    <w:rsid w:val="00F40644"/>
    <w:rsid w:val="00F40DE4"/>
    <w:rsid w:val="00F41D5C"/>
    <w:rsid w:val="00F41E22"/>
    <w:rsid w:val="00F42B2D"/>
    <w:rsid w:val="00F42EDA"/>
    <w:rsid w:val="00F435CD"/>
    <w:rsid w:val="00F44F13"/>
    <w:rsid w:val="00F4512E"/>
    <w:rsid w:val="00F45534"/>
    <w:rsid w:val="00F4562F"/>
    <w:rsid w:val="00F4648C"/>
    <w:rsid w:val="00F46D06"/>
    <w:rsid w:val="00F46E29"/>
    <w:rsid w:val="00F47998"/>
    <w:rsid w:val="00F47BAC"/>
    <w:rsid w:val="00F50775"/>
    <w:rsid w:val="00F50B92"/>
    <w:rsid w:val="00F50D3B"/>
    <w:rsid w:val="00F517E8"/>
    <w:rsid w:val="00F51918"/>
    <w:rsid w:val="00F51D36"/>
    <w:rsid w:val="00F51FF3"/>
    <w:rsid w:val="00F52066"/>
    <w:rsid w:val="00F52F40"/>
    <w:rsid w:val="00F535F8"/>
    <w:rsid w:val="00F53673"/>
    <w:rsid w:val="00F53950"/>
    <w:rsid w:val="00F53DEC"/>
    <w:rsid w:val="00F54CB2"/>
    <w:rsid w:val="00F5503D"/>
    <w:rsid w:val="00F5505F"/>
    <w:rsid w:val="00F557F3"/>
    <w:rsid w:val="00F55BD0"/>
    <w:rsid w:val="00F56296"/>
    <w:rsid w:val="00F56525"/>
    <w:rsid w:val="00F576D0"/>
    <w:rsid w:val="00F57731"/>
    <w:rsid w:val="00F579A7"/>
    <w:rsid w:val="00F602B0"/>
    <w:rsid w:val="00F6086F"/>
    <w:rsid w:val="00F61755"/>
    <w:rsid w:val="00F623D8"/>
    <w:rsid w:val="00F6319F"/>
    <w:rsid w:val="00F63863"/>
    <w:rsid w:val="00F63C86"/>
    <w:rsid w:val="00F64640"/>
    <w:rsid w:val="00F646FF"/>
    <w:rsid w:val="00F64ADB"/>
    <w:rsid w:val="00F65339"/>
    <w:rsid w:val="00F65452"/>
    <w:rsid w:val="00F66C1D"/>
    <w:rsid w:val="00F66C3A"/>
    <w:rsid w:val="00F66D8B"/>
    <w:rsid w:val="00F67091"/>
    <w:rsid w:val="00F67B27"/>
    <w:rsid w:val="00F70196"/>
    <w:rsid w:val="00F70C62"/>
    <w:rsid w:val="00F70CC2"/>
    <w:rsid w:val="00F70E5C"/>
    <w:rsid w:val="00F70F6B"/>
    <w:rsid w:val="00F71A40"/>
    <w:rsid w:val="00F72DDB"/>
    <w:rsid w:val="00F73406"/>
    <w:rsid w:val="00F7360F"/>
    <w:rsid w:val="00F73D38"/>
    <w:rsid w:val="00F74113"/>
    <w:rsid w:val="00F746D6"/>
    <w:rsid w:val="00F7500B"/>
    <w:rsid w:val="00F7593C"/>
    <w:rsid w:val="00F75988"/>
    <w:rsid w:val="00F75A35"/>
    <w:rsid w:val="00F80460"/>
    <w:rsid w:val="00F80781"/>
    <w:rsid w:val="00F80907"/>
    <w:rsid w:val="00F80AC7"/>
    <w:rsid w:val="00F80AFE"/>
    <w:rsid w:val="00F815FE"/>
    <w:rsid w:val="00F81CE4"/>
    <w:rsid w:val="00F82816"/>
    <w:rsid w:val="00F82DB8"/>
    <w:rsid w:val="00F83148"/>
    <w:rsid w:val="00F8467B"/>
    <w:rsid w:val="00F84A7B"/>
    <w:rsid w:val="00F84FF2"/>
    <w:rsid w:val="00F853BD"/>
    <w:rsid w:val="00F85908"/>
    <w:rsid w:val="00F85C99"/>
    <w:rsid w:val="00F862F7"/>
    <w:rsid w:val="00F875C6"/>
    <w:rsid w:val="00F87D80"/>
    <w:rsid w:val="00F87D90"/>
    <w:rsid w:val="00F9062C"/>
    <w:rsid w:val="00F91493"/>
    <w:rsid w:val="00F914DB"/>
    <w:rsid w:val="00F923C8"/>
    <w:rsid w:val="00F93608"/>
    <w:rsid w:val="00F9370C"/>
    <w:rsid w:val="00F93FA7"/>
    <w:rsid w:val="00F94257"/>
    <w:rsid w:val="00F94425"/>
    <w:rsid w:val="00F94D60"/>
    <w:rsid w:val="00F9533D"/>
    <w:rsid w:val="00F95A99"/>
    <w:rsid w:val="00F95B2B"/>
    <w:rsid w:val="00F96436"/>
    <w:rsid w:val="00F97771"/>
    <w:rsid w:val="00F97E41"/>
    <w:rsid w:val="00FA085F"/>
    <w:rsid w:val="00FA0A89"/>
    <w:rsid w:val="00FA0F16"/>
    <w:rsid w:val="00FA1558"/>
    <w:rsid w:val="00FA18EF"/>
    <w:rsid w:val="00FA1BF6"/>
    <w:rsid w:val="00FA2338"/>
    <w:rsid w:val="00FA2A13"/>
    <w:rsid w:val="00FA2C6B"/>
    <w:rsid w:val="00FA2DBF"/>
    <w:rsid w:val="00FA35A7"/>
    <w:rsid w:val="00FA379D"/>
    <w:rsid w:val="00FA3FA7"/>
    <w:rsid w:val="00FA69F3"/>
    <w:rsid w:val="00FA6AAD"/>
    <w:rsid w:val="00FA6EC4"/>
    <w:rsid w:val="00FA7741"/>
    <w:rsid w:val="00FB023D"/>
    <w:rsid w:val="00FB02E6"/>
    <w:rsid w:val="00FB0439"/>
    <w:rsid w:val="00FB18AB"/>
    <w:rsid w:val="00FB25CA"/>
    <w:rsid w:val="00FB2752"/>
    <w:rsid w:val="00FB2FF5"/>
    <w:rsid w:val="00FB3A9B"/>
    <w:rsid w:val="00FB3EF3"/>
    <w:rsid w:val="00FB41D0"/>
    <w:rsid w:val="00FB44E1"/>
    <w:rsid w:val="00FB575E"/>
    <w:rsid w:val="00FB6863"/>
    <w:rsid w:val="00FB74B4"/>
    <w:rsid w:val="00FB7E74"/>
    <w:rsid w:val="00FC019A"/>
    <w:rsid w:val="00FC058A"/>
    <w:rsid w:val="00FC139D"/>
    <w:rsid w:val="00FC1826"/>
    <w:rsid w:val="00FC2D3A"/>
    <w:rsid w:val="00FC2E30"/>
    <w:rsid w:val="00FC4CE2"/>
    <w:rsid w:val="00FC4F72"/>
    <w:rsid w:val="00FC5109"/>
    <w:rsid w:val="00FC52E8"/>
    <w:rsid w:val="00FC55C5"/>
    <w:rsid w:val="00FC7365"/>
    <w:rsid w:val="00FD1030"/>
    <w:rsid w:val="00FD1071"/>
    <w:rsid w:val="00FD109D"/>
    <w:rsid w:val="00FD213B"/>
    <w:rsid w:val="00FD2992"/>
    <w:rsid w:val="00FD2E56"/>
    <w:rsid w:val="00FD300A"/>
    <w:rsid w:val="00FD35B5"/>
    <w:rsid w:val="00FD3921"/>
    <w:rsid w:val="00FD3986"/>
    <w:rsid w:val="00FD40EF"/>
    <w:rsid w:val="00FD468D"/>
    <w:rsid w:val="00FD4956"/>
    <w:rsid w:val="00FD54D1"/>
    <w:rsid w:val="00FD620D"/>
    <w:rsid w:val="00FD6949"/>
    <w:rsid w:val="00FD6986"/>
    <w:rsid w:val="00FD6C96"/>
    <w:rsid w:val="00FD6D01"/>
    <w:rsid w:val="00FD6F9D"/>
    <w:rsid w:val="00FD7A29"/>
    <w:rsid w:val="00FD7A7E"/>
    <w:rsid w:val="00FE024B"/>
    <w:rsid w:val="00FE0414"/>
    <w:rsid w:val="00FE0836"/>
    <w:rsid w:val="00FE0892"/>
    <w:rsid w:val="00FE0D2D"/>
    <w:rsid w:val="00FE0D71"/>
    <w:rsid w:val="00FE1290"/>
    <w:rsid w:val="00FE34D7"/>
    <w:rsid w:val="00FE4527"/>
    <w:rsid w:val="00FE4B70"/>
    <w:rsid w:val="00FE5999"/>
    <w:rsid w:val="00FE5C5F"/>
    <w:rsid w:val="00FE5F54"/>
    <w:rsid w:val="00FE68E1"/>
    <w:rsid w:val="00FF01AC"/>
    <w:rsid w:val="00FF0323"/>
    <w:rsid w:val="00FF06BC"/>
    <w:rsid w:val="00FF1380"/>
    <w:rsid w:val="00FF3517"/>
    <w:rsid w:val="00FF3DAA"/>
    <w:rsid w:val="00FF47B2"/>
    <w:rsid w:val="00FF6097"/>
    <w:rsid w:val="00FF7684"/>
    <w:rsid w:val="00FF79D0"/>
    <w:rsid w:val="00FF7A24"/>
    <w:rsid w:val="00FF7BA3"/>
    <w:rsid w:val="00FF7D50"/>
    <w:rsid w:val="47D57620"/>
    <w:rsid w:val="6FA21A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12EBDB4"/>
  <w15:docId w15:val="{03A740DB-E136-4A47-BCE3-2882412E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qFormat="1"/>
    <w:lsdException w:name="heading 7" w:uiPriority="0"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iPriority="0" w:qFormat="1"/>
    <w:lsdException w:name="header" w:unhideWhenUsed="1" w:qFormat="1"/>
    <w:lsdException w:name="footer"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qFormat="1"/>
    <w:lsdException w:name="List Bullet 3" w:unhideWhenUsed="1" w:qFormat="1"/>
    <w:lsdException w:name="List Bullet 4"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spacing w:before="180" w:after="180" w:line="276" w:lineRule="auto"/>
      <w:jc w:val="both"/>
    </w:pPr>
    <w:rPr>
      <w:rFonts w:ascii="Times New Roman" w:eastAsia="宋体" w:hAnsi="Times New Roman" w:cs="Times New Roman (Body CS)"/>
      <w:sz w:val="21"/>
      <w:szCs w:val="24"/>
    </w:rPr>
  </w:style>
  <w:style w:type="paragraph" w:styleId="1">
    <w:name w:val="heading 1"/>
    <w:next w:val="a1"/>
    <w:link w:val="10"/>
    <w:qFormat/>
    <w:pPr>
      <w:keepNext/>
      <w:keepLines/>
      <w:numPr>
        <w:numId w:val="1"/>
      </w:numPr>
      <w:snapToGrid w:val="0"/>
      <w:spacing w:before="240" w:after="240" w:line="276" w:lineRule="auto"/>
      <w:outlineLvl w:val="0"/>
    </w:pPr>
    <w:rPr>
      <w:rFonts w:ascii="Times New Roman Bold" w:eastAsia="宋体" w:hAnsi="Times New Roman Bold" w:cs="Times New Roman (Body CS)"/>
      <w:b/>
      <w:bCs/>
      <w:caps/>
      <w:sz w:val="30"/>
      <w:szCs w:val="44"/>
    </w:rPr>
  </w:style>
  <w:style w:type="paragraph" w:styleId="2">
    <w:name w:val="heading 2"/>
    <w:next w:val="a1"/>
    <w:link w:val="21"/>
    <w:unhideWhenUsed/>
    <w:qFormat/>
    <w:pPr>
      <w:keepNext/>
      <w:keepLines/>
      <w:numPr>
        <w:ilvl w:val="1"/>
        <w:numId w:val="1"/>
      </w:numPr>
      <w:snapToGrid w:val="0"/>
      <w:spacing w:before="180" w:after="180" w:line="276" w:lineRule="auto"/>
      <w:outlineLvl w:val="1"/>
    </w:pPr>
    <w:rPr>
      <w:rFonts w:ascii="Times New Roman Bold" w:eastAsia="宋体" w:hAnsi="Times New Roman Bold" w:cs="Times New Roman (Headings CS)"/>
      <w:b/>
      <w:bCs/>
      <w:sz w:val="28"/>
      <w:szCs w:val="32"/>
    </w:rPr>
  </w:style>
  <w:style w:type="paragraph" w:styleId="3">
    <w:name w:val="heading 3"/>
    <w:next w:val="a1"/>
    <w:link w:val="30"/>
    <w:unhideWhenUsed/>
    <w:qFormat/>
    <w:pPr>
      <w:keepNext/>
      <w:keepLines/>
      <w:numPr>
        <w:ilvl w:val="2"/>
        <w:numId w:val="1"/>
      </w:numPr>
      <w:snapToGrid w:val="0"/>
      <w:spacing w:before="120" w:after="120" w:line="276" w:lineRule="auto"/>
      <w:outlineLvl w:val="2"/>
    </w:pPr>
    <w:rPr>
      <w:rFonts w:ascii="Times New Roman Bold" w:eastAsia="宋体" w:hAnsi="Times New Roman Bold" w:cs="Times New Roman (Body CS)"/>
      <w:b/>
      <w:bCs/>
      <w:sz w:val="24"/>
      <w:szCs w:val="32"/>
    </w:rPr>
  </w:style>
  <w:style w:type="paragraph" w:styleId="40">
    <w:name w:val="heading 4"/>
    <w:next w:val="a1"/>
    <w:link w:val="41"/>
    <w:unhideWhenUsed/>
    <w:qFormat/>
    <w:pPr>
      <w:keepNext/>
      <w:keepLines/>
      <w:numPr>
        <w:ilvl w:val="3"/>
        <w:numId w:val="1"/>
      </w:numPr>
      <w:snapToGrid w:val="0"/>
      <w:spacing w:before="120" w:after="120" w:line="276" w:lineRule="auto"/>
      <w:outlineLvl w:val="3"/>
    </w:pPr>
    <w:rPr>
      <w:rFonts w:ascii="Times New Roman" w:eastAsia="宋体" w:hAnsi="Times New Roman" w:cs="Times New Roman (Headings CS)"/>
      <w:bCs/>
      <w:i/>
      <w:sz w:val="24"/>
      <w:szCs w:val="28"/>
    </w:rPr>
  </w:style>
  <w:style w:type="paragraph" w:styleId="5">
    <w:name w:val="heading 5"/>
    <w:basedOn w:val="a1"/>
    <w:next w:val="a1"/>
    <w:link w:val="50"/>
    <w:unhideWhenUsed/>
    <w:qFormat/>
    <w:pPr>
      <w:keepNext/>
      <w:keepLines/>
      <w:spacing w:before="280" w:after="290" w:line="376" w:lineRule="auto"/>
      <w:outlineLvl w:val="4"/>
    </w:pPr>
    <w:rPr>
      <w:b/>
      <w:bCs/>
      <w:sz w:val="28"/>
      <w:szCs w:val="28"/>
    </w:rPr>
  </w:style>
  <w:style w:type="paragraph" w:styleId="6">
    <w:name w:val="heading 6"/>
    <w:next w:val="a1"/>
    <w:link w:val="60"/>
    <w:qFormat/>
    <w:pPr>
      <w:keepNext/>
      <w:spacing w:after="240"/>
      <w:outlineLvl w:val="5"/>
    </w:pPr>
    <w:rPr>
      <w:rFonts w:ascii="Times New Roman Bold" w:eastAsia="宋体" w:hAnsi="Times New Roman Bold" w:cs="Arial"/>
      <w:b/>
      <w:iCs/>
      <w:sz w:val="24"/>
      <w:szCs w:val="24"/>
      <w:lang w:eastAsia="en-US"/>
    </w:rPr>
  </w:style>
  <w:style w:type="paragraph" w:styleId="7">
    <w:name w:val="heading 7"/>
    <w:basedOn w:val="a1"/>
    <w:next w:val="a1"/>
    <w:link w:val="70"/>
    <w:unhideWhenUsed/>
    <w:qFormat/>
    <w:pPr>
      <w:keepNext/>
      <w:keepLines/>
      <w:spacing w:before="240" w:after="64" w:line="320" w:lineRule="auto"/>
      <w:outlineLvl w:val="6"/>
    </w:pPr>
    <w:rPr>
      <w:b/>
      <w:bCs/>
      <w:sz w:val="24"/>
    </w:rPr>
  </w:style>
  <w:style w:type="paragraph" w:styleId="8">
    <w:name w:val="heading 8"/>
    <w:next w:val="a1"/>
    <w:link w:val="80"/>
    <w:qFormat/>
    <w:pPr>
      <w:keepNext/>
      <w:spacing w:after="240"/>
      <w:outlineLvl w:val="7"/>
    </w:pPr>
    <w:rPr>
      <w:rFonts w:ascii="Times New Roman Bold" w:eastAsia="宋体" w:hAnsi="Times New Roman Bold" w:cs="Arial"/>
      <w:b/>
      <w:iCs/>
      <w:sz w:val="24"/>
      <w:szCs w:val="24"/>
      <w:lang w:eastAsia="en-US"/>
    </w:rPr>
  </w:style>
  <w:style w:type="paragraph" w:styleId="9">
    <w:name w:val="heading 9"/>
    <w:next w:val="a1"/>
    <w:link w:val="90"/>
    <w:qFormat/>
    <w:pPr>
      <w:keepNext/>
      <w:spacing w:after="240"/>
      <w:outlineLvl w:val="8"/>
    </w:pPr>
    <w:rPr>
      <w:rFonts w:ascii="Times New Roman Bold" w:eastAsia="宋体" w:hAnsi="Times New Roman Bold" w:cs="Arial"/>
      <w:b/>
      <w:iCs/>
      <w:sz w:val="24"/>
      <w:szCs w:val="24"/>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autoRedefine/>
    <w:uiPriority w:val="39"/>
    <w:unhideWhenUsed/>
    <w:qFormat/>
    <w:pPr>
      <w:spacing w:before="0" w:after="0" w:line="240" w:lineRule="auto"/>
      <w:ind w:leftChars="1200" w:left="2520"/>
    </w:pPr>
    <w:rPr>
      <w:rFonts w:asciiTheme="minorHAnsi" w:eastAsiaTheme="minorEastAsia" w:hAnsiTheme="minorHAnsi" w:cstheme="minorBidi"/>
      <w:kern w:val="2"/>
      <w:szCs w:val="22"/>
    </w:rPr>
  </w:style>
  <w:style w:type="paragraph" w:styleId="4">
    <w:name w:val="List Bullet 4"/>
    <w:basedOn w:val="a1"/>
    <w:uiPriority w:val="99"/>
    <w:unhideWhenUsed/>
    <w:qFormat/>
    <w:pPr>
      <w:numPr>
        <w:numId w:val="2"/>
      </w:numPr>
      <w:adjustRightInd w:val="0"/>
      <w:snapToGrid w:val="0"/>
      <w:spacing w:before="120" w:after="120"/>
      <w:contextualSpacing/>
    </w:pPr>
  </w:style>
  <w:style w:type="paragraph" w:styleId="a5">
    <w:name w:val="caption"/>
    <w:next w:val="a1"/>
    <w:link w:val="a6"/>
    <w:uiPriority w:val="35"/>
    <w:qFormat/>
    <w:pPr>
      <w:keepNext/>
      <w:widowControl w:val="0"/>
      <w:tabs>
        <w:tab w:val="left" w:pos="420"/>
      </w:tabs>
      <w:spacing w:before="120" w:after="120" w:line="360" w:lineRule="auto"/>
      <w:ind w:left="907"/>
    </w:pPr>
    <w:rPr>
      <w:rFonts w:ascii="Arial Unicode MS" w:eastAsia="Arial Unicode MS" w:hAnsi="Arial Unicode MS" w:cs="Arial Unicode MS"/>
      <w:color w:val="000000"/>
      <w:u w:color="000000"/>
    </w:rPr>
  </w:style>
  <w:style w:type="paragraph" w:styleId="a">
    <w:name w:val="List Bullet"/>
    <w:basedOn w:val="a1"/>
    <w:qFormat/>
    <w:pPr>
      <w:widowControl/>
      <w:numPr>
        <w:numId w:val="3"/>
      </w:numPr>
      <w:spacing w:before="0" w:after="100" w:line="280" w:lineRule="atLeast"/>
      <w:jc w:val="left"/>
    </w:pPr>
    <w:rPr>
      <w:rFonts w:ascii="Arial" w:hAnsi="Arial" w:cs="Times New Roman"/>
      <w:sz w:val="22"/>
    </w:rPr>
  </w:style>
  <w:style w:type="paragraph" w:styleId="a7">
    <w:name w:val="annotation text"/>
    <w:basedOn w:val="a1"/>
    <w:link w:val="a8"/>
    <w:qFormat/>
    <w:pPr>
      <w:spacing w:before="0" w:after="0" w:line="240" w:lineRule="auto"/>
      <w:jc w:val="left"/>
    </w:pPr>
    <w:rPr>
      <w:rFonts w:cs="Times New Roman"/>
      <w:kern w:val="2"/>
      <w:szCs w:val="21"/>
    </w:rPr>
  </w:style>
  <w:style w:type="paragraph" w:styleId="31">
    <w:name w:val="List Bullet 3"/>
    <w:basedOn w:val="a1"/>
    <w:uiPriority w:val="99"/>
    <w:unhideWhenUsed/>
    <w:qFormat/>
    <w:pPr>
      <w:adjustRightInd w:val="0"/>
      <w:snapToGrid w:val="0"/>
      <w:spacing w:before="120" w:after="120"/>
      <w:contextualSpacing/>
    </w:pPr>
  </w:style>
  <w:style w:type="paragraph" w:styleId="a9">
    <w:name w:val="Body Text"/>
    <w:basedOn w:val="a1"/>
    <w:link w:val="aa"/>
    <w:uiPriority w:val="99"/>
    <w:unhideWhenUsed/>
    <w:qFormat/>
    <w:pPr>
      <w:spacing w:after="120"/>
    </w:pPr>
  </w:style>
  <w:style w:type="paragraph" w:styleId="20">
    <w:name w:val="List Bullet 2"/>
    <w:basedOn w:val="a1"/>
    <w:uiPriority w:val="99"/>
    <w:unhideWhenUsed/>
    <w:qFormat/>
    <w:pPr>
      <w:numPr>
        <w:numId w:val="4"/>
      </w:numPr>
      <w:adjustRightInd w:val="0"/>
      <w:snapToGrid w:val="0"/>
      <w:spacing w:before="120" w:after="120"/>
    </w:pPr>
  </w:style>
  <w:style w:type="paragraph" w:styleId="TOC5">
    <w:name w:val="toc 5"/>
    <w:basedOn w:val="a1"/>
    <w:next w:val="a1"/>
    <w:autoRedefine/>
    <w:uiPriority w:val="39"/>
    <w:unhideWhenUsed/>
    <w:qFormat/>
    <w:pPr>
      <w:spacing w:before="0" w:after="0" w:line="240" w:lineRule="auto"/>
      <w:ind w:leftChars="800" w:left="1680"/>
    </w:pPr>
    <w:rPr>
      <w:rFonts w:asciiTheme="minorHAnsi" w:eastAsiaTheme="minorEastAsia" w:hAnsiTheme="minorHAnsi" w:cstheme="minorBidi"/>
      <w:kern w:val="2"/>
      <w:szCs w:val="22"/>
    </w:rPr>
  </w:style>
  <w:style w:type="paragraph" w:styleId="TOC3">
    <w:name w:val="toc 3"/>
    <w:basedOn w:val="a1"/>
    <w:uiPriority w:val="39"/>
    <w:qFormat/>
    <w:rsid w:val="00BE546A"/>
    <w:pPr>
      <w:tabs>
        <w:tab w:val="left" w:pos="2282"/>
        <w:tab w:val="right" w:leader="dot" w:pos="9356"/>
      </w:tabs>
      <w:autoSpaceDE w:val="0"/>
      <w:autoSpaceDN w:val="0"/>
      <w:spacing w:before="60" w:after="60" w:line="240" w:lineRule="auto"/>
      <w:ind w:leftChars="619" w:left="2279" w:hangingChars="408" w:hanging="979"/>
      <w:jc w:val="left"/>
    </w:pPr>
    <w:rPr>
      <w:rFonts w:cs="Times New Roman"/>
      <w:noProof/>
      <w:color w:val="0000FF"/>
      <w:sz w:val="24"/>
    </w:rPr>
  </w:style>
  <w:style w:type="paragraph" w:styleId="ab">
    <w:name w:val="Plain Text"/>
    <w:basedOn w:val="a1"/>
    <w:link w:val="ac"/>
    <w:uiPriority w:val="99"/>
    <w:qFormat/>
    <w:pPr>
      <w:widowControl/>
      <w:spacing w:beforeLines="50" w:before="0" w:after="120" w:line="312" w:lineRule="auto"/>
      <w:ind w:firstLineChars="50" w:firstLine="50"/>
      <w:jc w:val="left"/>
    </w:pPr>
    <w:rPr>
      <w:rFonts w:ascii="宋体" w:hAnsi="Courier New" w:cs="宋体"/>
      <w:color w:val="000000"/>
      <w:sz w:val="24"/>
      <w:szCs w:val="20"/>
    </w:rPr>
  </w:style>
  <w:style w:type="paragraph" w:styleId="TOC8">
    <w:name w:val="toc 8"/>
    <w:basedOn w:val="a1"/>
    <w:next w:val="a1"/>
    <w:autoRedefine/>
    <w:uiPriority w:val="39"/>
    <w:unhideWhenUsed/>
    <w:qFormat/>
    <w:pPr>
      <w:spacing w:before="0" w:after="0" w:line="240" w:lineRule="auto"/>
      <w:ind w:leftChars="1400" w:left="2940"/>
    </w:pPr>
    <w:rPr>
      <w:rFonts w:asciiTheme="minorHAnsi" w:eastAsiaTheme="minorEastAsia" w:hAnsiTheme="minorHAnsi" w:cstheme="minorBidi"/>
      <w:kern w:val="2"/>
      <w:szCs w:val="22"/>
    </w:rPr>
  </w:style>
  <w:style w:type="paragraph" w:styleId="ad">
    <w:name w:val="Balloon Text"/>
    <w:basedOn w:val="a1"/>
    <w:link w:val="ae"/>
    <w:uiPriority w:val="99"/>
    <w:semiHidden/>
    <w:unhideWhenUsed/>
    <w:qFormat/>
    <w:pPr>
      <w:spacing w:before="0" w:after="0" w:line="240" w:lineRule="auto"/>
    </w:pPr>
    <w:rPr>
      <w:sz w:val="18"/>
      <w:szCs w:val="18"/>
    </w:rPr>
  </w:style>
  <w:style w:type="paragraph" w:styleId="af">
    <w:name w:val="footer"/>
    <w:basedOn w:val="a1"/>
    <w:link w:val="af0"/>
    <w:uiPriority w:val="99"/>
    <w:unhideWhenUsed/>
    <w:qFormat/>
    <w:pPr>
      <w:tabs>
        <w:tab w:val="center" w:pos="4513"/>
        <w:tab w:val="right" w:pos="9026"/>
      </w:tabs>
      <w:snapToGrid w:val="0"/>
      <w:spacing w:line="240" w:lineRule="auto"/>
    </w:pPr>
    <w:rPr>
      <w:sz w:val="18"/>
      <w:szCs w:val="18"/>
    </w:rPr>
  </w:style>
  <w:style w:type="paragraph" w:styleId="af1">
    <w:name w:val="header"/>
    <w:basedOn w:val="a1"/>
    <w:link w:val="af2"/>
    <w:uiPriority w:val="99"/>
    <w:unhideWhenUsed/>
    <w:qFormat/>
    <w:pPr>
      <w:pBdr>
        <w:bottom w:val="single" w:sz="6" w:space="1" w:color="auto"/>
      </w:pBdr>
      <w:tabs>
        <w:tab w:val="center" w:pos="4513"/>
        <w:tab w:val="right" w:pos="9026"/>
      </w:tabs>
      <w:snapToGrid w:val="0"/>
      <w:spacing w:before="60" w:after="60" w:line="240" w:lineRule="auto"/>
      <w:contextualSpacing/>
    </w:pPr>
    <w:rPr>
      <w:szCs w:val="18"/>
    </w:rPr>
  </w:style>
  <w:style w:type="paragraph" w:styleId="TOC1">
    <w:name w:val="toc 1"/>
    <w:basedOn w:val="a1"/>
    <w:link w:val="TOC10"/>
    <w:uiPriority w:val="39"/>
    <w:qFormat/>
    <w:rsid w:val="00BE546A"/>
    <w:pPr>
      <w:tabs>
        <w:tab w:val="left" w:pos="1062"/>
        <w:tab w:val="right" w:leader="dot" w:pos="9356"/>
      </w:tabs>
      <w:overflowPunct w:val="0"/>
      <w:autoSpaceDE w:val="0"/>
      <w:autoSpaceDN w:val="0"/>
      <w:spacing w:before="120" w:after="120" w:line="240" w:lineRule="auto"/>
      <w:ind w:left="590" w:hangingChars="245" w:hanging="590"/>
      <w:jc w:val="left"/>
    </w:pPr>
    <w:rPr>
      <w:rFonts w:cs="Times New Roman"/>
      <w:b/>
      <w:bCs/>
      <w:noProof/>
      <w:color w:val="0000FF"/>
      <w:sz w:val="24"/>
      <w:szCs w:val="30"/>
    </w:rPr>
  </w:style>
  <w:style w:type="paragraph" w:styleId="TOC4">
    <w:name w:val="toc 4"/>
    <w:basedOn w:val="a1"/>
    <w:next w:val="a1"/>
    <w:uiPriority w:val="39"/>
    <w:unhideWhenUsed/>
    <w:qFormat/>
    <w:rsid w:val="00E500B3"/>
    <w:pPr>
      <w:tabs>
        <w:tab w:val="left" w:pos="3276"/>
        <w:tab w:val="right" w:leader="dot" w:pos="9352"/>
      </w:tabs>
      <w:snapToGrid w:val="0"/>
      <w:spacing w:before="60" w:after="60" w:line="240" w:lineRule="auto"/>
      <w:ind w:left="3262" w:hanging="992"/>
      <w:jc w:val="left"/>
    </w:pPr>
    <w:rPr>
      <w:color w:val="0023F5"/>
      <w:sz w:val="24"/>
    </w:rPr>
  </w:style>
  <w:style w:type="paragraph" w:styleId="a0">
    <w:name w:val="footnote text"/>
    <w:basedOn w:val="a1"/>
    <w:link w:val="af3"/>
    <w:uiPriority w:val="99"/>
    <w:unhideWhenUsed/>
    <w:qFormat/>
    <w:pPr>
      <w:numPr>
        <w:numId w:val="5"/>
      </w:numPr>
      <w:snapToGrid w:val="0"/>
      <w:spacing w:before="120" w:after="120"/>
    </w:pPr>
    <w:rPr>
      <w:sz w:val="18"/>
      <w:szCs w:val="18"/>
    </w:rPr>
  </w:style>
  <w:style w:type="paragraph" w:styleId="TOC6">
    <w:name w:val="toc 6"/>
    <w:basedOn w:val="a1"/>
    <w:next w:val="a1"/>
    <w:autoRedefine/>
    <w:uiPriority w:val="39"/>
    <w:unhideWhenUsed/>
    <w:qFormat/>
    <w:pPr>
      <w:spacing w:before="0" w:after="0" w:line="240" w:lineRule="auto"/>
      <w:ind w:leftChars="1000" w:left="2100"/>
    </w:pPr>
    <w:rPr>
      <w:rFonts w:asciiTheme="minorHAnsi" w:eastAsiaTheme="minorEastAsia" w:hAnsiTheme="minorHAnsi" w:cstheme="minorBidi"/>
      <w:kern w:val="2"/>
      <w:szCs w:val="22"/>
    </w:rPr>
  </w:style>
  <w:style w:type="paragraph" w:styleId="TOC2">
    <w:name w:val="toc 2"/>
    <w:basedOn w:val="a1"/>
    <w:uiPriority w:val="39"/>
    <w:qFormat/>
    <w:rsid w:val="00BE546A"/>
    <w:pPr>
      <w:tabs>
        <w:tab w:val="left" w:pos="1316"/>
        <w:tab w:val="right" w:leader="dot" w:pos="9356"/>
      </w:tabs>
      <w:autoSpaceDE w:val="0"/>
      <w:autoSpaceDN w:val="0"/>
      <w:spacing w:before="60" w:after="60" w:line="240" w:lineRule="auto"/>
      <w:ind w:leftChars="286" w:left="1304" w:hangingChars="293" w:hanging="703"/>
      <w:jc w:val="left"/>
    </w:pPr>
    <w:rPr>
      <w:rFonts w:cs="Times New Roman"/>
      <w:bCs/>
      <w:noProof/>
      <w:color w:val="0000FF"/>
      <w:sz w:val="24"/>
      <w:szCs w:val="22"/>
    </w:rPr>
  </w:style>
  <w:style w:type="paragraph" w:styleId="TOC9">
    <w:name w:val="toc 9"/>
    <w:basedOn w:val="a1"/>
    <w:next w:val="a1"/>
    <w:autoRedefine/>
    <w:uiPriority w:val="39"/>
    <w:unhideWhenUsed/>
    <w:qFormat/>
    <w:pPr>
      <w:spacing w:before="0" w:after="0" w:line="240" w:lineRule="auto"/>
      <w:ind w:leftChars="1600" w:left="3360"/>
    </w:pPr>
    <w:rPr>
      <w:rFonts w:asciiTheme="minorHAnsi" w:eastAsiaTheme="minorEastAsia" w:hAnsiTheme="minorHAnsi" w:cstheme="minorBidi"/>
      <w:kern w:val="2"/>
      <w:szCs w:val="22"/>
    </w:rPr>
  </w:style>
  <w:style w:type="paragraph" w:styleId="HTML">
    <w:name w:val="HTML Preformatted"/>
    <w:basedOn w:val="a1"/>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宋体" w:hAnsi="宋体" w:cs="宋体"/>
      <w:sz w:val="24"/>
    </w:rPr>
  </w:style>
  <w:style w:type="paragraph" w:styleId="af4">
    <w:name w:val="Normal (Web)"/>
    <w:basedOn w:val="a1"/>
    <w:uiPriority w:val="99"/>
    <w:unhideWhenUsed/>
    <w:qFormat/>
    <w:pPr>
      <w:widowControl/>
      <w:spacing w:before="100" w:beforeAutospacing="1" w:after="100" w:afterAutospacing="1" w:line="240" w:lineRule="auto"/>
      <w:jc w:val="left"/>
    </w:pPr>
    <w:rPr>
      <w:rFonts w:ascii="宋体" w:hAnsi="宋体" w:cs="宋体"/>
      <w:sz w:val="24"/>
    </w:rPr>
  </w:style>
  <w:style w:type="paragraph" w:styleId="af5">
    <w:name w:val="Title"/>
    <w:basedOn w:val="a1"/>
    <w:next w:val="a1"/>
    <w:link w:val="af6"/>
    <w:uiPriority w:val="10"/>
    <w:qFormat/>
    <w:pPr>
      <w:spacing w:before="240" w:after="240"/>
      <w:jc w:val="center"/>
    </w:pPr>
    <w:rPr>
      <w:rFonts w:ascii="Times New Roman Bold" w:hAnsi="Times New Roman Bold" w:cs="Times New Roman (Headings CS)"/>
      <w:b/>
      <w:bCs/>
      <w:sz w:val="44"/>
      <w:szCs w:val="32"/>
    </w:rPr>
  </w:style>
  <w:style w:type="paragraph" w:styleId="af7">
    <w:name w:val="annotation subject"/>
    <w:basedOn w:val="a7"/>
    <w:next w:val="a7"/>
    <w:link w:val="af8"/>
    <w:uiPriority w:val="99"/>
    <w:semiHidden/>
    <w:unhideWhenUsed/>
    <w:qFormat/>
    <w:pPr>
      <w:spacing w:before="180" w:after="180" w:line="276" w:lineRule="auto"/>
    </w:pPr>
    <w:rPr>
      <w:rFonts w:cs="Times New Roman (Body CS)"/>
      <w:b/>
      <w:bCs/>
      <w:kern w:val="0"/>
      <w:szCs w:val="24"/>
    </w:rPr>
  </w:style>
  <w:style w:type="table" w:styleId="af9">
    <w:name w:val="Table Grid"/>
    <w:basedOn w:val="a3"/>
    <w:qFormat/>
    <w:pPr>
      <w:overflowPunct w:val="0"/>
      <w:autoSpaceDE w:val="0"/>
      <w:autoSpaceDN w:val="0"/>
      <w:adjustRightInd w:val="0"/>
      <w:textAlignment w:val="baseline"/>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basedOn w:val="a2"/>
    <w:uiPriority w:val="22"/>
    <w:qFormat/>
    <w:rPr>
      <w:b/>
      <w:bCs/>
    </w:rPr>
  </w:style>
  <w:style w:type="character" w:styleId="afb">
    <w:name w:val="Emphasis"/>
    <w:basedOn w:val="a2"/>
    <w:uiPriority w:val="20"/>
    <w:qFormat/>
    <w:rPr>
      <w:i/>
      <w:iCs/>
    </w:rPr>
  </w:style>
  <w:style w:type="character" w:styleId="afc">
    <w:name w:val="Hyperlink"/>
    <w:basedOn w:val="a2"/>
    <w:uiPriority w:val="99"/>
    <w:unhideWhenUsed/>
    <w:qFormat/>
    <w:rPr>
      <w:color w:val="0563C1" w:themeColor="hyperlink"/>
      <w:u w:val="single"/>
    </w:rPr>
  </w:style>
  <w:style w:type="character" w:styleId="afd">
    <w:name w:val="annotation reference"/>
    <w:basedOn w:val="a2"/>
    <w:qFormat/>
    <w:rPr>
      <w:rFonts w:ascii="Verdana" w:eastAsia="仿宋_GB2312" w:hAnsi="Verdana" w:cs="Verdana"/>
      <w:sz w:val="21"/>
      <w:szCs w:val="21"/>
      <w:lang w:val="en-US" w:eastAsia="en-US" w:bidi="ar-SA"/>
    </w:rPr>
  </w:style>
  <w:style w:type="character" w:styleId="afe">
    <w:name w:val="footnote reference"/>
    <w:basedOn w:val="a2"/>
    <w:uiPriority w:val="99"/>
    <w:semiHidden/>
    <w:unhideWhenUsed/>
    <w:qFormat/>
    <w:rPr>
      <w:vertAlign w:val="superscript"/>
    </w:rPr>
  </w:style>
  <w:style w:type="character" w:customStyle="1" w:styleId="10">
    <w:name w:val="标题 1 字符"/>
    <w:basedOn w:val="a2"/>
    <w:link w:val="1"/>
    <w:qFormat/>
    <w:rPr>
      <w:rFonts w:ascii="Times New Roman Bold" w:eastAsia="宋体" w:hAnsi="Times New Roman Bold" w:cs="Times New Roman (Body CS)"/>
      <w:b/>
      <w:bCs/>
      <w:caps/>
      <w:kern w:val="0"/>
      <w:sz w:val="30"/>
      <w:szCs w:val="44"/>
    </w:rPr>
  </w:style>
  <w:style w:type="character" w:customStyle="1" w:styleId="21">
    <w:name w:val="标题 2 字符"/>
    <w:basedOn w:val="a2"/>
    <w:link w:val="2"/>
    <w:qFormat/>
    <w:rPr>
      <w:rFonts w:ascii="Times New Roman Bold" w:eastAsia="宋体" w:hAnsi="Times New Roman Bold" w:cs="Times New Roman (Headings CS)"/>
      <w:b/>
      <w:bCs/>
      <w:kern w:val="0"/>
      <w:sz w:val="28"/>
      <w:szCs w:val="32"/>
    </w:rPr>
  </w:style>
  <w:style w:type="character" w:customStyle="1" w:styleId="30">
    <w:name w:val="标题 3 字符"/>
    <w:basedOn w:val="a2"/>
    <w:link w:val="3"/>
    <w:qFormat/>
    <w:rPr>
      <w:rFonts w:ascii="Times New Roman Bold" w:eastAsia="宋体" w:hAnsi="Times New Roman Bold" w:cs="Times New Roman (Body CS)"/>
      <w:b/>
      <w:bCs/>
      <w:kern w:val="0"/>
      <w:sz w:val="24"/>
      <w:szCs w:val="32"/>
    </w:rPr>
  </w:style>
  <w:style w:type="character" w:customStyle="1" w:styleId="41">
    <w:name w:val="标题 4 字符"/>
    <w:basedOn w:val="a2"/>
    <w:link w:val="40"/>
    <w:qFormat/>
    <w:rPr>
      <w:rFonts w:ascii="Times New Roman" w:eastAsia="宋体" w:hAnsi="Times New Roman" w:cs="Times New Roman (Headings CS)"/>
      <w:bCs/>
      <w:i/>
      <w:kern w:val="0"/>
      <w:sz w:val="24"/>
      <w:szCs w:val="28"/>
    </w:rPr>
  </w:style>
  <w:style w:type="paragraph" w:customStyle="1" w:styleId="Normal2">
    <w:name w:val="Normal2"/>
    <w:basedOn w:val="a1"/>
    <w:qFormat/>
    <w:pPr>
      <w:ind w:firstLine="420"/>
    </w:pPr>
  </w:style>
  <w:style w:type="character" w:customStyle="1" w:styleId="af6">
    <w:name w:val="标题 字符"/>
    <w:basedOn w:val="a2"/>
    <w:link w:val="af5"/>
    <w:uiPriority w:val="10"/>
    <w:qFormat/>
    <w:rPr>
      <w:rFonts w:ascii="Times New Roman Bold" w:eastAsia="宋体" w:hAnsi="Times New Roman Bold" w:cs="Times New Roman (Headings CS)"/>
      <w:b/>
      <w:bCs/>
      <w:kern w:val="0"/>
      <w:sz w:val="44"/>
      <w:szCs w:val="32"/>
    </w:rPr>
  </w:style>
  <w:style w:type="character" w:customStyle="1" w:styleId="af3">
    <w:name w:val="脚注文本 字符"/>
    <w:basedOn w:val="a2"/>
    <w:link w:val="a0"/>
    <w:uiPriority w:val="99"/>
    <w:qFormat/>
    <w:rPr>
      <w:rFonts w:ascii="Times New Roman" w:eastAsia="宋体" w:hAnsi="Times New Roman" w:cs="Times New Roman (Body CS)"/>
      <w:kern w:val="0"/>
      <w:sz w:val="18"/>
      <w:szCs w:val="18"/>
    </w:rPr>
  </w:style>
  <w:style w:type="paragraph" w:customStyle="1" w:styleId="TOC11">
    <w:name w:val="TOC 标题1"/>
    <w:basedOn w:val="1"/>
    <w:next w:val="a1"/>
    <w:autoRedefine/>
    <w:uiPriority w:val="39"/>
    <w:unhideWhenUsed/>
    <w:qFormat/>
    <w:rsid w:val="004F1FD9"/>
    <w:pPr>
      <w:keepNext w:val="0"/>
      <w:keepLines w:val="0"/>
      <w:widowControl w:val="0"/>
      <w:numPr>
        <w:numId w:val="0"/>
      </w:numPr>
      <w:overflowPunct w:val="0"/>
      <w:autoSpaceDE w:val="0"/>
      <w:autoSpaceDN w:val="0"/>
      <w:adjustRightInd w:val="0"/>
      <w:spacing w:beforeLines="50" w:before="120" w:afterLines="50" w:after="120" w:line="300" w:lineRule="auto"/>
      <w:jc w:val="center"/>
      <w:outlineLvl w:val="9"/>
    </w:pPr>
    <w:rPr>
      <w:rFonts w:ascii="Times New Roman" w:hAnsi="Times New Roman" w:cs="Times New Roman"/>
      <w:kern w:val="44"/>
      <w:sz w:val="28"/>
      <w:szCs w:val="28"/>
    </w:rPr>
  </w:style>
  <w:style w:type="paragraph" w:customStyle="1" w:styleId="Abbreviation">
    <w:name w:val="Abbreviation"/>
    <w:next w:val="a1"/>
    <w:qFormat/>
    <w:pPr>
      <w:spacing w:after="240"/>
      <w:outlineLvl w:val="0"/>
    </w:pPr>
    <w:rPr>
      <w:rFonts w:ascii="Times New Roman Bold" w:eastAsia="宋体" w:hAnsi="Times New Roman Bold" w:cs="Times New Roman (Body CS)"/>
      <w:b/>
      <w:sz w:val="28"/>
      <w:szCs w:val="24"/>
    </w:rPr>
  </w:style>
  <w:style w:type="paragraph" w:customStyle="1" w:styleId="SAPH1TEXT">
    <w:name w:val="SAP_H1_TEXT"/>
    <w:basedOn w:val="1"/>
    <w:qFormat/>
    <w:pPr>
      <w:numPr>
        <w:numId w:val="0"/>
      </w:numPr>
      <w:outlineLvl w:val="9"/>
    </w:pPr>
    <w:rPr>
      <w:rFonts w:ascii="Times New Roman" w:hAnsi="Times New Roman"/>
    </w:rPr>
  </w:style>
  <w:style w:type="paragraph" w:customStyle="1" w:styleId="SAPH1LEVEL">
    <w:name w:val="SAP_H1_LEVEL"/>
    <w:basedOn w:val="1"/>
    <w:qFormat/>
    <w:pPr>
      <w:numPr>
        <w:numId w:val="0"/>
      </w:numPr>
    </w:pPr>
  </w:style>
  <w:style w:type="character" w:customStyle="1" w:styleId="af2">
    <w:name w:val="页眉 字符"/>
    <w:basedOn w:val="a2"/>
    <w:link w:val="af1"/>
    <w:uiPriority w:val="99"/>
    <w:qFormat/>
    <w:rPr>
      <w:rFonts w:ascii="Times New Roman" w:eastAsia="宋体" w:hAnsi="Times New Roman" w:cs="Times New Roman (Body CS)"/>
      <w:kern w:val="0"/>
      <w:szCs w:val="18"/>
    </w:rPr>
  </w:style>
  <w:style w:type="character" w:customStyle="1" w:styleId="af0">
    <w:name w:val="页脚 字符"/>
    <w:basedOn w:val="a2"/>
    <w:link w:val="af"/>
    <w:uiPriority w:val="99"/>
    <w:qFormat/>
    <w:rPr>
      <w:rFonts w:ascii="Times New Roman" w:eastAsia="宋体" w:hAnsi="Times New Roman" w:cs="Times New Roman (Body CS)"/>
      <w:kern w:val="0"/>
      <w:sz w:val="18"/>
      <w:szCs w:val="18"/>
    </w:rPr>
  </w:style>
  <w:style w:type="character" w:customStyle="1" w:styleId="70">
    <w:name w:val="标题 7 字符"/>
    <w:basedOn w:val="a2"/>
    <w:link w:val="7"/>
    <w:uiPriority w:val="9"/>
    <w:semiHidden/>
    <w:qFormat/>
    <w:rPr>
      <w:rFonts w:ascii="Times New Roman" w:eastAsia="宋体" w:hAnsi="Times New Roman" w:cs="Times New Roman (Body CS)"/>
      <w:b/>
      <w:bCs/>
      <w:kern w:val="0"/>
      <w:sz w:val="24"/>
    </w:rPr>
  </w:style>
  <w:style w:type="character" w:customStyle="1" w:styleId="50">
    <w:name w:val="标题 5 字符"/>
    <w:basedOn w:val="a2"/>
    <w:link w:val="5"/>
    <w:uiPriority w:val="9"/>
    <w:semiHidden/>
    <w:qFormat/>
    <w:rPr>
      <w:rFonts w:ascii="Times New Roman" w:eastAsia="宋体" w:hAnsi="Times New Roman" w:cs="Times New Roman (Body CS)"/>
      <w:b/>
      <w:bCs/>
      <w:kern w:val="0"/>
      <w:sz w:val="28"/>
      <w:szCs w:val="28"/>
    </w:rPr>
  </w:style>
  <w:style w:type="paragraph" w:customStyle="1" w:styleId="F-PParagraph">
    <w:name w:val="F-P Paragraph"/>
    <w:link w:val="F-PParagraphChar"/>
    <w:qFormat/>
    <w:pPr>
      <w:spacing w:after="180" w:line="360" w:lineRule="exact"/>
      <w:jc w:val="both"/>
    </w:pPr>
    <w:rPr>
      <w:rFonts w:ascii="Times New Roman" w:eastAsia="Times New Roman" w:hAnsi="Times New Roman" w:cs="Times New Roman"/>
      <w:sz w:val="24"/>
      <w:lang w:eastAsia="en-US"/>
    </w:rPr>
  </w:style>
  <w:style w:type="character" w:customStyle="1" w:styleId="F-PParagraphChar">
    <w:name w:val="F-P Paragraph Char"/>
    <w:link w:val="F-PParagraph"/>
    <w:qFormat/>
    <w:rPr>
      <w:rFonts w:ascii="Times New Roman" w:eastAsia="Times New Roman" w:hAnsi="Times New Roman" w:cs="Times New Roman"/>
      <w:kern w:val="0"/>
      <w:sz w:val="24"/>
      <w:szCs w:val="20"/>
      <w:lang w:val="en-US" w:eastAsia="en-US"/>
    </w:rPr>
  </w:style>
  <w:style w:type="paragraph" w:customStyle="1" w:styleId="F-PParagraphheading">
    <w:name w:val="F-P Paragraph heading"/>
    <w:basedOn w:val="F-PParagraph"/>
    <w:next w:val="F-PParagraph"/>
    <w:qFormat/>
    <w:rPr>
      <w:rFonts w:ascii="Times New Roman Bold" w:hAnsi="Times New Roman Bold"/>
      <w:b/>
    </w:rPr>
  </w:style>
  <w:style w:type="paragraph" w:customStyle="1" w:styleId="TableText">
    <w:name w:val="TableText"/>
    <w:qFormat/>
    <w:rPr>
      <w:rFonts w:ascii="Times New Roman" w:eastAsia="宋体" w:hAnsi="Times New Roman" w:cs="Arial"/>
      <w:lang w:eastAsia="en-US"/>
    </w:rPr>
  </w:style>
  <w:style w:type="paragraph" w:customStyle="1" w:styleId="SAPTable">
    <w:name w:val="SAP_Table"/>
    <w:qFormat/>
    <w:pPr>
      <w:keepNext/>
      <w:numPr>
        <w:numId w:val="6"/>
      </w:numPr>
      <w:snapToGrid w:val="0"/>
      <w:spacing w:before="120" w:after="120" w:line="276" w:lineRule="auto"/>
      <w:contextualSpacing/>
      <w:jc w:val="center"/>
    </w:pPr>
    <w:rPr>
      <w:rFonts w:ascii="Times New Roman Bold" w:eastAsia="宋体" w:hAnsi="Times New Roman Bold" w:cs="Times New Roman (Body CS)"/>
      <w:b/>
      <w:sz w:val="21"/>
      <w:szCs w:val="24"/>
    </w:rPr>
  </w:style>
  <w:style w:type="paragraph" w:customStyle="1" w:styleId="SAPFigure">
    <w:name w:val="SAP_Figure"/>
    <w:qFormat/>
    <w:pPr>
      <w:numPr>
        <w:numId w:val="7"/>
      </w:numPr>
      <w:snapToGrid w:val="0"/>
      <w:spacing w:before="120" w:after="120" w:line="276" w:lineRule="auto"/>
      <w:contextualSpacing/>
      <w:jc w:val="center"/>
    </w:pPr>
    <w:rPr>
      <w:rFonts w:ascii="Times New Roman Bold" w:eastAsia="宋体" w:hAnsi="Times New Roman Bold" w:cs="Times New Roman (Body CS)"/>
      <w:b/>
      <w:sz w:val="21"/>
      <w:szCs w:val="24"/>
    </w:rPr>
  </w:style>
  <w:style w:type="paragraph" w:customStyle="1" w:styleId="SAPList">
    <w:name w:val="SAP_List"/>
    <w:qFormat/>
    <w:pPr>
      <w:numPr>
        <w:numId w:val="8"/>
      </w:numPr>
      <w:snapToGrid w:val="0"/>
      <w:spacing w:before="120" w:after="120" w:line="276" w:lineRule="auto"/>
      <w:contextualSpacing/>
      <w:jc w:val="center"/>
    </w:pPr>
    <w:rPr>
      <w:rFonts w:ascii="Times New Roman Bold" w:eastAsia="宋体" w:hAnsi="Times New Roman Bold" w:cs="Times New Roman (Body CS)"/>
      <w:b/>
      <w:sz w:val="21"/>
      <w:szCs w:val="24"/>
    </w:r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 w:type="paragraph" w:customStyle="1" w:styleId="ListBulletedItem">
    <w:name w:val="List: Bulleted Item"/>
    <w:basedOn w:val="a1"/>
    <w:qFormat/>
    <w:pPr>
      <w:widowControl/>
      <w:numPr>
        <w:numId w:val="9"/>
      </w:numPr>
      <w:spacing w:before="20" w:after="160" w:line="280" w:lineRule="exact"/>
      <w:jc w:val="left"/>
    </w:pPr>
    <w:rPr>
      <w:rFonts w:ascii="Arial" w:eastAsia="MS Gothic" w:hAnsi="Arial" w:cs="Times New Roman"/>
      <w:b/>
      <w:sz w:val="24"/>
      <w:szCs w:val="20"/>
      <w:lang w:eastAsia="en-US"/>
    </w:rPr>
  </w:style>
  <w:style w:type="paragraph" w:customStyle="1" w:styleId="Formular">
    <w:name w:val="Formular"/>
    <w:basedOn w:val="Normal2"/>
    <w:qFormat/>
    <w:pPr>
      <w:contextualSpacing/>
    </w:pPr>
    <w:rPr>
      <w:i/>
    </w:rPr>
  </w:style>
  <w:style w:type="character" w:customStyle="1" w:styleId="60">
    <w:name w:val="标题 6 字符"/>
    <w:basedOn w:val="a2"/>
    <w:link w:val="6"/>
    <w:qFormat/>
    <w:rPr>
      <w:rFonts w:ascii="Times New Roman Bold" w:eastAsia="宋体" w:hAnsi="Times New Roman Bold" w:cs="Arial"/>
      <w:b/>
      <w:iCs/>
      <w:kern w:val="0"/>
      <w:sz w:val="24"/>
      <w:lang w:val="en-US" w:eastAsia="en-US"/>
    </w:rPr>
  </w:style>
  <w:style w:type="character" w:customStyle="1" w:styleId="80">
    <w:name w:val="标题 8 字符"/>
    <w:basedOn w:val="a2"/>
    <w:link w:val="8"/>
    <w:qFormat/>
    <w:rPr>
      <w:rFonts w:ascii="Times New Roman Bold" w:eastAsia="宋体" w:hAnsi="Times New Roman Bold" w:cs="Arial"/>
      <w:b/>
      <w:iCs/>
      <w:kern w:val="0"/>
      <w:sz w:val="24"/>
      <w:lang w:val="en-US" w:eastAsia="en-US"/>
    </w:rPr>
  </w:style>
  <w:style w:type="character" w:customStyle="1" w:styleId="90">
    <w:name w:val="标题 9 字符"/>
    <w:basedOn w:val="a2"/>
    <w:link w:val="9"/>
    <w:qFormat/>
    <w:rPr>
      <w:rFonts w:ascii="Times New Roman Bold" w:eastAsia="宋体" w:hAnsi="Times New Roman Bold" w:cs="Arial"/>
      <w:b/>
      <w:iCs/>
      <w:kern w:val="0"/>
      <w:sz w:val="24"/>
      <w:lang w:val="en-US" w:eastAsia="en-US"/>
    </w:rPr>
  </w:style>
  <w:style w:type="paragraph" w:styleId="aff">
    <w:name w:val="List Paragraph"/>
    <w:basedOn w:val="a1"/>
    <w:link w:val="aff0"/>
    <w:uiPriority w:val="34"/>
    <w:qFormat/>
    <w:pPr>
      <w:spacing w:before="0" w:after="0" w:line="240" w:lineRule="auto"/>
      <w:ind w:firstLineChars="200" w:firstLine="420"/>
    </w:pPr>
    <w:rPr>
      <w:rFonts w:cs="Times New Roman"/>
      <w:kern w:val="2"/>
      <w:szCs w:val="21"/>
    </w:rPr>
  </w:style>
  <w:style w:type="character" w:customStyle="1" w:styleId="aff0">
    <w:name w:val="列表段落 字符"/>
    <w:link w:val="aff"/>
    <w:uiPriority w:val="34"/>
    <w:qFormat/>
    <w:locked/>
    <w:rPr>
      <w:rFonts w:ascii="Times New Roman" w:eastAsia="宋体" w:hAnsi="Times New Roman" w:cs="Times New Roman"/>
      <w:szCs w:val="21"/>
      <w:lang w:val="en-US"/>
    </w:rPr>
  </w:style>
  <w:style w:type="character" w:styleId="aff1">
    <w:name w:val="Placeholder Text"/>
    <w:basedOn w:val="a2"/>
    <w:uiPriority w:val="99"/>
    <w:semiHidden/>
    <w:qFormat/>
    <w:rPr>
      <w:color w:val="808080"/>
    </w:rPr>
  </w:style>
  <w:style w:type="character" w:customStyle="1" w:styleId="a8">
    <w:name w:val="批注文字 字符"/>
    <w:basedOn w:val="a2"/>
    <w:link w:val="a7"/>
    <w:qFormat/>
    <w:rPr>
      <w:rFonts w:ascii="Times New Roman" w:eastAsia="宋体" w:hAnsi="Times New Roman" w:cs="Times New Roman"/>
      <w:szCs w:val="21"/>
      <w:lang w:val="en-US"/>
    </w:rPr>
  </w:style>
  <w:style w:type="character" w:customStyle="1" w:styleId="11">
    <w:name w:val="不明显强调1"/>
    <w:basedOn w:val="a2"/>
    <w:uiPriority w:val="19"/>
    <w:qFormat/>
    <w:rPr>
      <w:i/>
      <w:iCs/>
      <w:color w:val="404040" w:themeColor="text1" w:themeTint="BF"/>
    </w:rPr>
  </w:style>
  <w:style w:type="character" w:customStyle="1" w:styleId="12">
    <w:name w:val="明显强调1"/>
    <w:basedOn w:val="a2"/>
    <w:uiPriority w:val="21"/>
    <w:qFormat/>
    <w:rPr>
      <w:i/>
      <w:iCs/>
      <w:color w:val="4472C4" w:themeColor="accent1"/>
    </w:rPr>
  </w:style>
  <w:style w:type="paragraph" w:customStyle="1" w:styleId="SAPEmphasis">
    <w:name w:val="SAP_Emphasis"/>
    <w:basedOn w:val="a1"/>
    <w:qFormat/>
    <w:rPr>
      <w:rFonts w:ascii="Times New Roman Bold" w:hAnsi="Times New Roman Bold"/>
      <w:b/>
      <w:u w:val="single"/>
    </w:rPr>
  </w:style>
  <w:style w:type="character" w:customStyle="1" w:styleId="af8">
    <w:name w:val="批注主题 字符"/>
    <w:basedOn w:val="a8"/>
    <w:link w:val="af7"/>
    <w:uiPriority w:val="99"/>
    <w:semiHidden/>
    <w:qFormat/>
    <w:rPr>
      <w:rFonts w:ascii="Times New Roman" w:eastAsia="宋体" w:hAnsi="Times New Roman" w:cs="Times New Roman (Body CS)"/>
      <w:b/>
      <w:bCs/>
      <w:kern w:val="0"/>
      <w:szCs w:val="21"/>
      <w:lang w:val="en-US"/>
    </w:rPr>
  </w:style>
  <w:style w:type="paragraph" w:customStyle="1" w:styleId="13">
    <w:name w:val="修订1"/>
    <w:hidden/>
    <w:uiPriority w:val="99"/>
    <w:semiHidden/>
    <w:qFormat/>
    <w:rPr>
      <w:rFonts w:ascii="Times New Roman" w:eastAsia="宋体" w:hAnsi="Times New Roman" w:cs="Times New Roman (Body CS)"/>
      <w:sz w:val="21"/>
      <w:szCs w:val="24"/>
    </w:rPr>
  </w:style>
  <w:style w:type="paragraph" w:customStyle="1" w:styleId="Para">
    <w:name w:val="Para"/>
    <w:link w:val="ParaChar"/>
    <w:qFormat/>
    <w:pPr>
      <w:suppressAutoHyphens/>
      <w:spacing w:after="180" w:line="320" w:lineRule="exact"/>
    </w:pPr>
    <w:rPr>
      <w:rFonts w:ascii="Times New Roman" w:eastAsia="宋体" w:hAnsi="Times New Roman" w:cs="Times New Roman"/>
      <w:sz w:val="24"/>
      <w:lang w:eastAsia="en-US"/>
    </w:rPr>
  </w:style>
  <w:style w:type="character" w:customStyle="1" w:styleId="ParaChar">
    <w:name w:val="Para Char"/>
    <w:link w:val="Para"/>
    <w:qFormat/>
    <w:rPr>
      <w:rFonts w:ascii="Times New Roman" w:eastAsia="宋体" w:hAnsi="Times New Roman" w:cs="Times New Roman"/>
      <w:kern w:val="0"/>
      <w:sz w:val="24"/>
      <w:szCs w:val="20"/>
      <w:lang w:val="en-US" w:eastAsia="en-US"/>
    </w:rPr>
  </w:style>
  <w:style w:type="paragraph" w:customStyle="1" w:styleId="SynopsisText">
    <w:name w:val="Synopsis Text"/>
    <w:basedOn w:val="a1"/>
    <w:link w:val="SynopsisTextChar"/>
    <w:qFormat/>
    <w:pPr>
      <w:widowControl/>
      <w:spacing w:before="0" w:after="60" w:line="220" w:lineRule="exact"/>
      <w:ind w:left="72" w:right="72"/>
      <w:jc w:val="left"/>
    </w:pPr>
    <w:rPr>
      <w:rFonts w:ascii="Arial" w:hAnsi="Arial" w:cs="Times New Roman"/>
      <w:sz w:val="20"/>
    </w:rPr>
  </w:style>
  <w:style w:type="character" w:customStyle="1" w:styleId="SynopsisTextChar">
    <w:name w:val="Synopsis Text Char"/>
    <w:link w:val="SynopsisText"/>
    <w:qFormat/>
    <w:rPr>
      <w:rFonts w:ascii="Arial" w:eastAsia="宋体" w:hAnsi="Arial" w:cs="Times New Roman"/>
      <w:kern w:val="0"/>
      <w:sz w:val="20"/>
      <w:lang w:val="en-US"/>
    </w:rPr>
  </w:style>
  <w:style w:type="table" w:customStyle="1" w:styleId="TableGrid1">
    <w:name w:val="Table Grid1"/>
    <w:basedOn w:val="a3"/>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批注框文本 字符"/>
    <w:basedOn w:val="a2"/>
    <w:link w:val="ad"/>
    <w:uiPriority w:val="99"/>
    <w:semiHidden/>
    <w:qFormat/>
    <w:rPr>
      <w:rFonts w:ascii="Times New Roman" w:eastAsia="宋体" w:hAnsi="Times New Roman" w:cs="Times New Roman (Body CS)"/>
      <w:kern w:val="0"/>
      <w:sz w:val="18"/>
      <w:szCs w:val="18"/>
    </w:rPr>
  </w:style>
  <w:style w:type="character" w:customStyle="1" w:styleId="ac">
    <w:name w:val="纯文本 字符"/>
    <w:basedOn w:val="a2"/>
    <w:link w:val="ab"/>
    <w:qFormat/>
    <w:rPr>
      <w:rFonts w:ascii="宋体" w:eastAsia="宋体" w:hAnsi="Courier New" w:cs="宋体"/>
      <w:color w:val="000000"/>
      <w:kern w:val="0"/>
      <w:sz w:val="24"/>
      <w:szCs w:val="20"/>
    </w:rPr>
  </w:style>
  <w:style w:type="paragraph" w:customStyle="1" w:styleId="aff2">
    <w:name w:val="！正文"/>
    <w:qFormat/>
    <w:pPr>
      <w:widowControl w:val="0"/>
      <w:spacing w:line="360" w:lineRule="auto"/>
      <w:ind w:firstLineChars="200" w:firstLine="200"/>
      <w:jc w:val="both"/>
    </w:pPr>
    <w:rPr>
      <w:rFonts w:ascii="Times New Roman" w:eastAsia="宋体" w:hAnsi="Times New Roman" w:cs="Times New Roman"/>
      <w:color w:val="000000"/>
      <w:kern w:val="2"/>
      <w:sz w:val="24"/>
      <w:szCs w:val="24"/>
      <w:u w:color="000000"/>
    </w:rPr>
  </w:style>
  <w:style w:type="character" w:customStyle="1" w:styleId="aa">
    <w:name w:val="正文文本 字符"/>
    <w:basedOn w:val="a2"/>
    <w:link w:val="a9"/>
    <w:uiPriority w:val="99"/>
    <w:qFormat/>
    <w:rPr>
      <w:rFonts w:ascii="Times New Roman" w:eastAsia="宋体" w:hAnsi="Times New Roman" w:cs="Times New Roman (Body CS)"/>
      <w:kern w:val="0"/>
    </w:rPr>
  </w:style>
  <w:style w:type="paragraph" w:customStyle="1" w:styleId="Text">
    <w:name w:val="Text"/>
    <w:basedOn w:val="a1"/>
    <w:link w:val="Text0"/>
    <w:qFormat/>
    <w:pPr>
      <w:spacing w:before="0" w:after="240" w:line="240" w:lineRule="auto"/>
    </w:pPr>
    <w:rPr>
      <w:rFonts w:eastAsia="MS Mincho" w:cs="Times New Roman"/>
      <w:kern w:val="2"/>
      <w:sz w:val="24"/>
      <w:lang w:eastAsia="ja-JP"/>
    </w:rPr>
  </w:style>
  <w:style w:type="character" w:customStyle="1" w:styleId="Text0">
    <w:name w:val="Text (文字)"/>
    <w:link w:val="Text"/>
    <w:qFormat/>
    <w:rPr>
      <w:rFonts w:ascii="Times New Roman" w:eastAsia="MS Mincho" w:hAnsi="Times New Roman" w:cs="Times New Roman"/>
      <w:sz w:val="24"/>
      <w:lang w:eastAsia="ja-JP"/>
    </w:rPr>
  </w:style>
  <w:style w:type="character" w:customStyle="1" w:styleId="14">
    <w:name w:val="未处理的提及1"/>
    <w:basedOn w:val="a2"/>
    <w:uiPriority w:val="99"/>
    <w:semiHidden/>
    <w:unhideWhenUsed/>
    <w:qFormat/>
    <w:rPr>
      <w:color w:val="605E5C"/>
      <w:shd w:val="clear" w:color="auto" w:fill="E1DFDD"/>
    </w:rPr>
  </w:style>
  <w:style w:type="character" w:customStyle="1" w:styleId="HTML0">
    <w:name w:val="HTML 预设格式 字符"/>
    <w:basedOn w:val="a2"/>
    <w:link w:val="HTML"/>
    <w:uiPriority w:val="99"/>
    <w:semiHidden/>
    <w:qFormat/>
    <w:rPr>
      <w:rFonts w:ascii="宋体" w:eastAsia="宋体" w:hAnsi="宋体" w:cs="宋体"/>
      <w:kern w:val="0"/>
      <w:sz w:val="24"/>
    </w:rPr>
  </w:style>
  <w:style w:type="character" w:customStyle="1" w:styleId="22">
    <w:name w:val="未处理的提及2"/>
    <w:basedOn w:val="a2"/>
    <w:uiPriority w:val="99"/>
    <w:semiHidden/>
    <w:unhideWhenUsed/>
    <w:qFormat/>
    <w:rPr>
      <w:color w:val="605E5C"/>
      <w:shd w:val="clear" w:color="auto" w:fill="E1DFDD"/>
    </w:rPr>
  </w:style>
  <w:style w:type="paragraph" w:customStyle="1" w:styleId="Aff3">
    <w:name w:val="正文 A"/>
    <w:qFormat/>
    <w:pPr>
      <w:widowControl w:val="0"/>
      <w:spacing w:line="360" w:lineRule="auto"/>
      <w:ind w:firstLineChars="200" w:firstLine="200"/>
      <w:jc w:val="both"/>
    </w:pPr>
    <w:rPr>
      <w:rFonts w:ascii="Times New Roman" w:eastAsia="宋体" w:hAnsi="Times New Roman" w:cs="Calibri"/>
      <w:color w:val="000000"/>
      <w:kern w:val="2"/>
      <w:sz w:val="24"/>
      <w:szCs w:val="21"/>
      <w:u w:color="000000"/>
    </w:rPr>
  </w:style>
  <w:style w:type="table" w:customStyle="1" w:styleId="TableNormal">
    <w:name w:val="Table Normal"/>
    <w:qFormat/>
    <w:rPr>
      <w:rFonts w:ascii="Times New Roman" w:eastAsia="宋体" w:hAnsi="Times New Roman" w:cs="Times New Roman"/>
    </w:rPr>
    <w:tblPr>
      <w:tblCellMar>
        <w:top w:w="0" w:type="dxa"/>
        <w:left w:w="0" w:type="dxa"/>
        <w:bottom w:w="0" w:type="dxa"/>
        <w:right w:w="0" w:type="dxa"/>
      </w:tblCellMar>
    </w:tblPr>
  </w:style>
  <w:style w:type="character" w:customStyle="1" w:styleId="15">
    <w:name w:val="纯文本 字符1"/>
    <w:uiPriority w:val="99"/>
    <w:qFormat/>
    <w:rPr>
      <w:rFonts w:asciiTheme="minorEastAsia" w:eastAsiaTheme="minorEastAsia" w:hAnsiTheme="minorEastAsia"/>
      <w:color w:val="231F20"/>
      <w:sz w:val="24"/>
      <w:szCs w:val="21"/>
    </w:rPr>
  </w:style>
  <w:style w:type="character" w:customStyle="1" w:styleId="a6">
    <w:name w:val="题注 字符"/>
    <w:link w:val="a5"/>
    <w:uiPriority w:val="35"/>
    <w:qFormat/>
    <w:locked/>
    <w:rPr>
      <w:rFonts w:ascii="Arial Unicode MS" w:eastAsia="Arial Unicode MS" w:hAnsi="Arial Unicode MS" w:cs="Arial Unicode MS"/>
      <w:color w:val="000000"/>
      <w:kern w:val="0"/>
      <w:sz w:val="20"/>
      <w:szCs w:val="20"/>
      <w:u w:color="000000"/>
    </w:rPr>
  </w:style>
  <w:style w:type="paragraph" w:customStyle="1" w:styleId="16">
    <w:name w:val="正文文本1"/>
    <w:basedOn w:val="a1"/>
    <w:link w:val="1Char"/>
    <w:qFormat/>
    <w:pPr>
      <w:widowControl/>
      <w:spacing w:beforeLines="50" w:before="50" w:afterLines="50" w:after="50" w:line="312" w:lineRule="auto"/>
      <w:ind w:firstLineChars="200" w:firstLine="200"/>
    </w:pPr>
    <w:rPr>
      <w:rFonts w:cs="Times New Roman"/>
      <w:sz w:val="24"/>
      <w:lang w:eastAsia="en-US"/>
    </w:rPr>
  </w:style>
  <w:style w:type="character" w:customStyle="1" w:styleId="1Char">
    <w:name w:val="正文文本1 Char"/>
    <w:basedOn w:val="a2"/>
    <w:link w:val="16"/>
    <w:qFormat/>
    <w:rPr>
      <w:rFonts w:ascii="Times New Roman" w:eastAsia="宋体" w:hAnsi="Times New Roman" w:cs="Times New Roman"/>
      <w:kern w:val="0"/>
      <w:sz w:val="24"/>
      <w:lang w:val="en-US" w:eastAsia="en-US"/>
    </w:rPr>
  </w:style>
  <w:style w:type="character" w:customStyle="1" w:styleId="fontstyle01">
    <w:name w:val="fontstyle01"/>
    <w:basedOn w:val="a2"/>
    <w:qFormat/>
    <w:rPr>
      <w:rFonts w:ascii="宋体" w:eastAsia="宋体" w:hAnsi="宋体" w:hint="eastAsia"/>
      <w:color w:val="000000"/>
      <w:sz w:val="22"/>
      <w:szCs w:val="22"/>
    </w:rPr>
  </w:style>
  <w:style w:type="character" w:customStyle="1" w:styleId="fontstyle21">
    <w:name w:val="fontstyle21"/>
    <w:basedOn w:val="a2"/>
    <w:qFormat/>
    <w:rPr>
      <w:rFonts w:ascii="Times New Roman" w:hAnsi="Times New Roman" w:cs="Times New Roman" w:hint="default"/>
      <w:b/>
      <w:bCs/>
      <w:color w:val="000000"/>
      <w:sz w:val="22"/>
      <w:szCs w:val="22"/>
    </w:rPr>
  </w:style>
  <w:style w:type="character" w:customStyle="1" w:styleId="cf01">
    <w:name w:val="cf01"/>
    <w:basedOn w:val="a2"/>
    <w:qFormat/>
    <w:rPr>
      <w:rFonts w:ascii="Microsoft YaHei UI" w:eastAsia="Microsoft YaHei UI" w:hAnsi="Microsoft YaHei UI" w:hint="eastAsia"/>
      <w:sz w:val="18"/>
      <w:szCs w:val="18"/>
    </w:rPr>
  </w:style>
  <w:style w:type="character" w:customStyle="1" w:styleId="cf11">
    <w:name w:val="cf11"/>
    <w:basedOn w:val="a2"/>
    <w:qFormat/>
    <w:rPr>
      <w:rFonts w:ascii="Microsoft YaHei UI" w:eastAsia="Microsoft YaHei UI" w:hAnsi="Microsoft YaHei UI" w:hint="eastAsia"/>
      <w:sz w:val="18"/>
      <w:szCs w:val="18"/>
    </w:rPr>
  </w:style>
  <w:style w:type="character" w:customStyle="1" w:styleId="TOC10">
    <w:name w:val="TOC 1 字符"/>
    <w:basedOn w:val="a2"/>
    <w:link w:val="TOC1"/>
    <w:uiPriority w:val="39"/>
    <w:rsid w:val="00BE546A"/>
    <w:rPr>
      <w:rFonts w:ascii="Times New Roman" w:eastAsia="宋体" w:hAnsi="Times New Roman" w:cs="Times New Roman"/>
      <w:b/>
      <w:bCs/>
      <w:noProof/>
      <w:color w:val="0000FF"/>
      <w:sz w:val="24"/>
      <w:szCs w:val="30"/>
    </w:rPr>
  </w:style>
  <w:style w:type="paragraph" w:styleId="aff4">
    <w:name w:val="Revision"/>
    <w:hidden/>
    <w:uiPriority w:val="99"/>
    <w:unhideWhenUsed/>
    <w:rsid w:val="002B1B15"/>
    <w:rPr>
      <w:rFonts w:ascii="Times New Roman" w:eastAsia="宋体" w:hAnsi="Times New Roman" w:cs="Times New Roman (Body CS)"/>
      <w:sz w:val="21"/>
      <w:szCs w:val="24"/>
    </w:rPr>
  </w:style>
  <w:style w:type="paragraph" w:styleId="aff5">
    <w:name w:val="table of figures"/>
    <w:basedOn w:val="a1"/>
    <w:next w:val="a1"/>
    <w:uiPriority w:val="99"/>
    <w:unhideWhenUsed/>
    <w:rsid w:val="00BE546A"/>
    <w:pPr>
      <w:tabs>
        <w:tab w:val="left" w:pos="1701"/>
        <w:tab w:val="right" w:leader="dot" w:pos="9061"/>
      </w:tabs>
      <w:autoSpaceDE w:val="0"/>
      <w:autoSpaceDN w:val="0"/>
      <w:adjustRightInd w:val="0"/>
      <w:snapToGrid w:val="0"/>
      <w:spacing w:before="60" w:after="60" w:line="240" w:lineRule="auto"/>
      <w:ind w:left="1651" w:hangingChars="688" w:hanging="1651"/>
      <w:jc w:val="left"/>
    </w:pPr>
    <w:rPr>
      <w:rFonts w:cs="Times New Roman"/>
      <w:color w:val="0000FF"/>
      <w:sz w:val="24"/>
      <w:szCs w:val="22"/>
    </w:rPr>
  </w:style>
  <w:style w:type="paragraph" w:customStyle="1" w:styleId="BT6161">
    <w:name w:val="BT6.1.6.1"/>
    <w:basedOn w:val="40"/>
    <w:qFormat/>
    <w:rsid w:val="00AC124B"/>
    <w:pPr>
      <w:keepNext w:val="0"/>
      <w:keepLines w:val="0"/>
      <w:overflowPunct w:val="0"/>
      <w:autoSpaceDE w:val="0"/>
      <w:autoSpaceDN w:val="0"/>
      <w:adjustRightInd w:val="0"/>
      <w:spacing w:beforeLines="50" w:afterLines="50" w:line="288" w:lineRule="auto"/>
    </w:pPr>
    <w:rPr>
      <w:rFonts w:cs="Times New Roman"/>
      <w:b/>
      <w:bCs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278A6C7610268E4F85A70EA96C7332D4" ma:contentTypeVersion="4" ma:contentTypeDescription="新建文档。" ma:contentTypeScope="" ma:versionID="cd3a36d3d31152c14e05f5a6e6bd4110">
  <xsd:schema xmlns:xsd="http://www.w3.org/2001/XMLSchema" xmlns:xs="http://www.w3.org/2001/XMLSchema" xmlns:p="http://schemas.microsoft.com/office/2006/metadata/properties" xmlns:ns2="9f5a3a86-2785-4e48-961c-4e88948e2580" xmlns:ns3="da3639af-b6dd-4bd6-a862-ac073331bb00" targetNamespace="http://schemas.microsoft.com/office/2006/metadata/properties" ma:root="true" ma:fieldsID="7e8fe9edad27a94d10c55d1e7021e7a1" ns2:_="" ns3:_="">
    <xsd:import namespace="9f5a3a86-2785-4e48-961c-4e88948e2580"/>
    <xsd:import namespace="da3639af-b6dd-4bd6-a862-ac073331bb00"/>
    <xsd:element name="properties">
      <xsd:complexType>
        <xsd:sequence>
          <xsd:element name="documentManagement">
            <xsd:complexType>
              <xsd:all>
                <xsd:element ref="ns2:SharedWithUsers" minOccurs="0"/>
                <xsd:element ref="ns2:SharedWithDetail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a3a86-2785-4e48-961c-4e88948e258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享对象详细信息"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3639af-b6dd-4bd6-a862-ac073331bb00" elementFormDefault="qualified">
    <xsd:import namespace="http://schemas.microsoft.com/office/2006/documentManagement/types"/>
    <xsd:import namespace="http://schemas.microsoft.com/office/infopath/2007/PartnerControls"/>
    <xsd:element name="Comment" ma:index="10"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da3639af-b6dd-4bd6-a862-ac073331bb0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D90A758-1CDA-4A37-817B-746709496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a3a86-2785-4e48-961c-4e88948e2580"/>
    <ds:schemaRef ds:uri="da3639af-b6dd-4bd6-a862-ac073331b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3AB1F2-EB13-4C16-ABEA-79FADA0E0637}">
  <ds:schemaRefs>
    <ds:schemaRef ds:uri="http://schemas.microsoft.com/sharepoint/v3/contenttype/forms"/>
  </ds:schemaRefs>
</ds:datastoreItem>
</file>

<file path=customXml/itemProps3.xml><?xml version="1.0" encoding="utf-8"?>
<ds:datastoreItem xmlns:ds="http://schemas.openxmlformats.org/officeDocument/2006/customXml" ds:itemID="{613E79CF-4C74-40D1-B715-D35EF9A1555C}">
  <ds:schemaRefs>
    <ds:schemaRef ds:uri="http://schemas.microsoft.com/office/2006/metadata/properties"/>
    <ds:schemaRef ds:uri="http://schemas.microsoft.com/office/infopath/2007/PartnerControls"/>
    <ds:schemaRef ds:uri="da3639af-b6dd-4bd6-a862-ac073331bb00"/>
  </ds:schemaRefs>
</ds:datastoreItem>
</file>

<file path=customXml/itemProps4.xml><?xml version="1.0" encoding="utf-8"?>
<ds:datastoreItem xmlns:ds="http://schemas.openxmlformats.org/officeDocument/2006/customXml" ds:itemID="{6E991BD8-7EF4-42EE-A05F-011AA01B270C}">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52</Pages>
  <Words>46195</Words>
  <Characters>57283</Characters>
  <Application>Microsoft Office Word</Application>
  <DocSecurity>0</DocSecurity>
  <Lines>6364</Lines>
  <Paragraphs>5748</Paragraphs>
  <ScaleCrop>false</ScaleCrop>
  <Company/>
  <LinksUpToDate>false</LinksUpToDate>
  <CharactersWithSpaces>97730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WANGJUN</dc:creator>
  <cp:lastModifiedBy>E</cp:lastModifiedBy>
  <cp:revision>35</cp:revision>
  <cp:lastPrinted>2021-03-12T05:16:00Z</cp:lastPrinted>
  <dcterms:created xsi:type="dcterms:W3CDTF">2024-12-19T05:22:00Z</dcterms:created>
  <dcterms:modified xsi:type="dcterms:W3CDTF">2025-12-09T07:34:00Z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0x010100278A6C7610268E4F85A70EA96C7332D4</vt:lpwstr>
  </property>
  <property fmtid="{D5CDD505-2E9C-101B-9397-08002B2CF9AE}" pid="3" name="KSOTemplateDocerSaveRecord">
    <vt:lpwstr>eyJoZGlkIjoiODViZjQyMGNhMjlkNmZhNjY4NGI4NDliZGFkM2MwODIiLCJ1c2VySWQiOiI2NDEwMjQ1ODYifQ==</vt:lpwstr>
  </property>
  <property fmtid="{D5CDD505-2E9C-101B-9397-08002B2CF9AE}" pid="4" name="KSOProductBuildVer">
    <vt:lpwstr>2052-12.1.0.20305</vt:lpwstr>
  </property>
  <property fmtid="{D5CDD505-2E9C-101B-9397-08002B2CF9AE}" pid="5" name="ICV">
    <vt:lpwstr>565661F6CDE34177AC4E7F0B8E622C79_12</vt:lpwstr>
  </property>
</Properties>
</file>