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899F7B">
      <w:pPr>
        <w:pStyle w:val="4"/>
        <w:overflowPunct w:val="0"/>
        <w:autoSpaceDE w:val="0"/>
        <w:autoSpaceDN w:val="0"/>
        <w:adjustRightInd w:val="0"/>
        <w:snapToGrid w:val="0"/>
        <w:spacing w:before="120" w:beforeLines="50" w:after="120" w:afterLines="50" w:line="300" w:lineRule="auto"/>
        <w:ind w:firstLine="482"/>
        <w:rPr>
          <w:rFonts w:cs="Times New Roman"/>
          <w:b/>
          <w:bCs/>
          <w:color w:val="auto"/>
          <w:szCs w:val="24"/>
          <w:shd w:val="clear" w:color="auto" w:fill="FFFF00"/>
        </w:rPr>
      </w:pPr>
    </w:p>
    <w:p w14:paraId="50B1875A">
      <w:pPr>
        <w:pStyle w:val="4"/>
        <w:overflowPunct w:val="0"/>
        <w:autoSpaceDE w:val="0"/>
        <w:autoSpaceDN w:val="0"/>
        <w:adjustRightInd w:val="0"/>
        <w:snapToGrid w:val="0"/>
        <w:spacing w:before="120" w:beforeLines="50" w:after="120" w:afterLines="50" w:line="300" w:lineRule="auto"/>
        <w:ind w:firstLine="482"/>
        <w:rPr>
          <w:rFonts w:cs="Times New Roman"/>
          <w:b/>
          <w:bCs/>
          <w:color w:val="auto"/>
          <w:szCs w:val="24"/>
          <w:shd w:val="clear" w:color="auto" w:fill="FFFF00"/>
        </w:rPr>
      </w:pPr>
    </w:p>
    <w:p w14:paraId="41B8071A">
      <w:pPr>
        <w:pStyle w:val="4"/>
        <w:overflowPunct w:val="0"/>
        <w:autoSpaceDE w:val="0"/>
        <w:autoSpaceDN w:val="0"/>
        <w:adjustRightInd w:val="0"/>
        <w:snapToGrid w:val="0"/>
        <w:spacing w:before="120" w:beforeLines="50" w:after="120" w:afterLines="50" w:line="300" w:lineRule="auto"/>
        <w:ind w:firstLine="482"/>
        <w:rPr>
          <w:rFonts w:cs="Times New Roman"/>
          <w:b/>
          <w:bCs/>
          <w:color w:val="auto"/>
          <w:szCs w:val="24"/>
          <w:shd w:val="clear" w:color="auto" w:fill="FFFF00"/>
        </w:rPr>
      </w:pPr>
    </w:p>
    <w:p w14:paraId="4BF54CFB">
      <w:pPr>
        <w:pStyle w:val="4"/>
        <w:overflowPunct w:val="0"/>
        <w:autoSpaceDE w:val="0"/>
        <w:autoSpaceDN w:val="0"/>
        <w:adjustRightInd w:val="0"/>
        <w:snapToGrid w:val="0"/>
        <w:spacing w:before="120" w:beforeLines="50" w:after="120" w:afterLines="50" w:line="300" w:lineRule="auto"/>
        <w:ind w:firstLine="482"/>
        <w:rPr>
          <w:rFonts w:cs="Times New Roman"/>
          <w:b/>
          <w:bCs/>
          <w:color w:val="auto"/>
          <w:szCs w:val="24"/>
          <w:shd w:val="clear" w:color="auto" w:fill="FFFF00"/>
        </w:rPr>
      </w:pPr>
    </w:p>
    <w:p w14:paraId="1C971F8A">
      <w:pPr>
        <w:overflowPunct w:val="0"/>
        <w:autoSpaceDE w:val="0"/>
        <w:autoSpaceDN w:val="0"/>
        <w:adjustRightInd w:val="0"/>
        <w:snapToGrid w:val="0"/>
        <w:spacing w:before="120" w:beforeLines="50" w:after="120" w:afterLines="50" w:line="300" w:lineRule="auto"/>
        <w:jc w:val="center"/>
        <w:rPr>
          <w:rFonts w:eastAsia="宋体"/>
          <w:b/>
        </w:rPr>
      </w:pPr>
      <w:r>
        <w:rPr>
          <w:b/>
        </w:rPr>
        <w:t>CLINICAL STUDY PROTOCOL</w:t>
      </w:r>
    </w:p>
    <w:p w14:paraId="6CA1A940">
      <w:pPr>
        <w:overflowPunct w:val="0"/>
        <w:autoSpaceDE w:val="0"/>
        <w:autoSpaceDN w:val="0"/>
        <w:adjustRightInd w:val="0"/>
        <w:snapToGrid w:val="0"/>
        <w:spacing w:before="120" w:beforeLines="50" w:after="120" w:afterLines="50" w:line="300" w:lineRule="auto"/>
        <w:jc w:val="center"/>
        <w:rPr>
          <w:rFonts w:eastAsia="宋体"/>
          <w:b/>
          <w:bCs/>
          <w:shd w:val="clear" w:color="auto" w:fill="FFFFFF"/>
          <w:lang w:eastAsia="zh-CN"/>
        </w:rPr>
      </w:pPr>
    </w:p>
    <w:p w14:paraId="10E6FE54">
      <w:pPr>
        <w:overflowPunct w:val="0"/>
        <w:autoSpaceDE w:val="0"/>
        <w:autoSpaceDN w:val="0"/>
        <w:adjustRightInd w:val="0"/>
        <w:snapToGrid w:val="0"/>
        <w:spacing w:before="120" w:beforeLines="50" w:after="120" w:afterLines="50" w:line="300" w:lineRule="auto"/>
        <w:jc w:val="center"/>
        <w:rPr>
          <w:rFonts w:eastAsia="宋体"/>
          <w:b/>
          <w:spacing w:val="-6"/>
        </w:rPr>
      </w:pPr>
      <w:bookmarkStart w:id="0" w:name="_Hlk155087781"/>
      <w:bookmarkStart w:id="1" w:name="_Toc454282496"/>
      <w:r>
        <w:rPr>
          <w:b/>
        </w:rPr>
        <w:t>A MULTICENTER, RANDOMIZED, DOUBLE-BLIND, PLACEBO-CONTROLLED PHASE II CLINICAL STUDY EVALUATING THE SAFETY, TOLERABILITY, AND EFFICACY OF RAY1225 INJECTION IN PATIENTS WITH T2DM</w:t>
      </w:r>
      <w:bookmarkEnd w:id="0"/>
      <w:bookmarkEnd w:id="1"/>
    </w:p>
    <w:p w14:paraId="08B79C95">
      <w:pPr>
        <w:pStyle w:val="4"/>
        <w:overflowPunct w:val="0"/>
        <w:autoSpaceDE w:val="0"/>
        <w:autoSpaceDN w:val="0"/>
        <w:adjustRightInd w:val="0"/>
        <w:snapToGrid w:val="0"/>
        <w:spacing w:before="120" w:beforeLines="50" w:after="120" w:afterLines="50" w:line="300" w:lineRule="auto"/>
        <w:ind w:firstLine="482"/>
        <w:jc w:val="center"/>
        <w:rPr>
          <w:rFonts w:cs="Times New Roman"/>
          <w:b/>
          <w:color w:val="auto"/>
          <w:szCs w:val="24"/>
        </w:rPr>
      </w:pPr>
    </w:p>
    <w:p w14:paraId="06FEBF39">
      <w:pPr>
        <w:pStyle w:val="4"/>
        <w:overflowPunct w:val="0"/>
        <w:autoSpaceDE w:val="0"/>
        <w:autoSpaceDN w:val="0"/>
        <w:adjustRightInd w:val="0"/>
        <w:snapToGrid w:val="0"/>
        <w:spacing w:before="120" w:beforeLines="50" w:after="120" w:afterLines="50" w:line="300" w:lineRule="auto"/>
        <w:ind w:firstLine="482"/>
        <w:jc w:val="center"/>
        <w:rPr>
          <w:rFonts w:cs="Times New Roman"/>
          <w:b/>
          <w:bCs/>
          <w:color w:val="auto"/>
          <w:szCs w:val="24"/>
          <w:shd w:val="clear" w:color="auto" w:fill="FFFF00"/>
        </w:rPr>
      </w:pPr>
    </w:p>
    <w:p w14:paraId="00F4DCE9">
      <w:pPr>
        <w:pStyle w:val="4"/>
        <w:overflowPunct w:val="0"/>
        <w:autoSpaceDE w:val="0"/>
        <w:autoSpaceDN w:val="0"/>
        <w:adjustRightInd w:val="0"/>
        <w:snapToGrid w:val="0"/>
        <w:spacing w:before="120" w:beforeLines="50" w:after="120" w:afterLines="50" w:line="300" w:lineRule="auto"/>
        <w:ind w:firstLine="482"/>
        <w:jc w:val="center"/>
        <w:rPr>
          <w:rFonts w:cs="Times New Roman"/>
          <w:b/>
          <w:bCs/>
          <w:color w:val="auto"/>
          <w:szCs w:val="24"/>
          <w:shd w:val="clear" w:color="auto" w:fill="FFFF00"/>
        </w:rPr>
      </w:pPr>
    </w:p>
    <w:p w14:paraId="75FA9EEF">
      <w:pPr>
        <w:pStyle w:val="4"/>
        <w:overflowPunct w:val="0"/>
        <w:autoSpaceDE w:val="0"/>
        <w:autoSpaceDN w:val="0"/>
        <w:adjustRightInd w:val="0"/>
        <w:snapToGrid w:val="0"/>
        <w:spacing w:before="120" w:beforeLines="50" w:after="120" w:afterLines="50" w:line="300" w:lineRule="auto"/>
        <w:ind w:firstLine="482"/>
        <w:jc w:val="center"/>
        <w:rPr>
          <w:rFonts w:cs="Times New Roman"/>
          <w:b/>
          <w:bCs/>
          <w:color w:val="auto"/>
          <w:szCs w:val="24"/>
          <w:shd w:val="clear" w:color="auto" w:fill="FFFF00"/>
        </w:rPr>
      </w:pPr>
    </w:p>
    <w:p w14:paraId="2AB01DA1">
      <w:pPr>
        <w:pStyle w:val="4"/>
        <w:overflowPunct w:val="0"/>
        <w:autoSpaceDE w:val="0"/>
        <w:autoSpaceDN w:val="0"/>
        <w:adjustRightInd w:val="0"/>
        <w:snapToGrid w:val="0"/>
        <w:spacing w:before="120" w:beforeLines="50" w:after="120" w:afterLines="50" w:line="300" w:lineRule="auto"/>
        <w:ind w:firstLine="2477" w:firstLineChars="1028"/>
        <w:rPr>
          <w:rFonts w:cs="Times New Roman"/>
          <w:color w:val="auto"/>
          <w:szCs w:val="24"/>
        </w:rPr>
      </w:pPr>
      <w:r>
        <w:rPr>
          <w:rFonts w:cs="Times New Roman"/>
          <w:b/>
          <w:bCs/>
          <w:color w:val="auto"/>
          <w:szCs w:val="24"/>
        </w:rPr>
        <w:t>Protocol No.: RAY1225-23-03</w:t>
      </w:r>
    </w:p>
    <w:p w14:paraId="416D650E">
      <w:pPr>
        <w:pStyle w:val="4"/>
        <w:overflowPunct w:val="0"/>
        <w:autoSpaceDE w:val="0"/>
        <w:autoSpaceDN w:val="0"/>
        <w:adjustRightInd w:val="0"/>
        <w:snapToGrid w:val="0"/>
        <w:spacing w:before="120" w:beforeLines="50" w:after="120" w:afterLines="50" w:line="300" w:lineRule="auto"/>
        <w:ind w:firstLine="2477" w:firstLineChars="1028"/>
        <w:rPr>
          <w:rFonts w:eastAsia="PMingLiU" w:cs="Times New Roman"/>
          <w:b/>
          <w:bCs/>
          <w:color w:val="auto"/>
          <w:szCs w:val="24"/>
        </w:rPr>
      </w:pPr>
      <w:r>
        <w:rPr>
          <w:rFonts w:cs="Times New Roman"/>
          <w:b/>
          <w:bCs/>
          <w:color w:val="auto"/>
          <w:szCs w:val="24"/>
        </w:rPr>
        <w:t>Version No.: 1.1</w:t>
      </w:r>
    </w:p>
    <w:p w14:paraId="1CCAB370">
      <w:pPr>
        <w:pStyle w:val="4"/>
        <w:overflowPunct w:val="0"/>
        <w:autoSpaceDE w:val="0"/>
        <w:autoSpaceDN w:val="0"/>
        <w:adjustRightInd w:val="0"/>
        <w:snapToGrid w:val="0"/>
        <w:spacing w:before="120" w:beforeLines="50" w:after="120" w:afterLines="50" w:line="300" w:lineRule="auto"/>
        <w:ind w:firstLine="2477" w:firstLineChars="1028"/>
        <w:rPr>
          <w:rFonts w:cs="Times New Roman"/>
          <w:b/>
          <w:bCs/>
          <w:color w:val="auto"/>
          <w:szCs w:val="24"/>
        </w:rPr>
      </w:pPr>
      <w:r>
        <w:rPr>
          <w:rFonts w:cs="Times New Roman"/>
          <w:b/>
          <w:bCs/>
          <w:color w:val="auto"/>
          <w:szCs w:val="24"/>
        </w:rPr>
        <w:t>Version Date: Jan. 26, 2024</w:t>
      </w:r>
    </w:p>
    <w:p w14:paraId="27529200">
      <w:pPr>
        <w:pStyle w:val="4"/>
        <w:overflowPunct w:val="0"/>
        <w:autoSpaceDE w:val="0"/>
        <w:autoSpaceDN w:val="0"/>
        <w:adjustRightInd w:val="0"/>
        <w:snapToGrid w:val="0"/>
        <w:spacing w:before="120" w:beforeLines="50" w:after="120" w:afterLines="50" w:line="300" w:lineRule="auto"/>
        <w:ind w:firstLine="480"/>
        <w:rPr>
          <w:rFonts w:cs="Times New Roman"/>
          <w:color w:val="auto"/>
          <w:szCs w:val="24"/>
        </w:rPr>
      </w:pPr>
    </w:p>
    <w:p w14:paraId="25B7DA53">
      <w:pPr>
        <w:pStyle w:val="4"/>
        <w:overflowPunct w:val="0"/>
        <w:autoSpaceDE w:val="0"/>
        <w:autoSpaceDN w:val="0"/>
        <w:adjustRightInd w:val="0"/>
        <w:snapToGrid w:val="0"/>
        <w:spacing w:before="120" w:beforeLines="50" w:after="120" w:afterLines="50" w:line="300" w:lineRule="auto"/>
        <w:ind w:firstLine="482"/>
        <w:jc w:val="left"/>
        <w:rPr>
          <w:rFonts w:cs="Times New Roman"/>
          <w:b/>
          <w:bCs/>
          <w:color w:val="auto"/>
          <w:szCs w:val="24"/>
          <w:lang w:val="zh-TW" w:eastAsia="zh-TW"/>
        </w:rPr>
      </w:pPr>
    </w:p>
    <w:p w14:paraId="31E6A392">
      <w:pPr>
        <w:pStyle w:val="4"/>
        <w:overflowPunct w:val="0"/>
        <w:autoSpaceDE w:val="0"/>
        <w:autoSpaceDN w:val="0"/>
        <w:adjustRightInd w:val="0"/>
        <w:snapToGrid w:val="0"/>
        <w:spacing w:before="120" w:beforeLines="50" w:after="120" w:afterLines="50" w:line="300" w:lineRule="auto"/>
        <w:ind w:left="1399" w:leftChars="583" w:firstLine="0" w:firstLineChars="0"/>
        <w:jc w:val="left"/>
        <w:rPr>
          <w:rFonts w:cs="Times New Roman"/>
          <w:b/>
          <w:color w:val="auto"/>
          <w:szCs w:val="24"/>
        </w:rPr>
      </w:pPr>
      <w:r>
        <w:rPr>
          <w:rFonts w:cs="Times New Roman"/>
          <w:b/>
          <w:color w:val="auto"/>
          <w:szCs w:val="24"/>
        </w:rPr>
        <w:t xml:space="preserve">Leading Center: </w:t>
      </w:r>
      <w:bookmarkStart w:id="2" w:name="_Hlk155087883"/>
      <w:r>
        <w:rPr>
          <w:rFonts w:cs="Times New Roman"/>
          <w:b/>
          <w:color w:val="auto"/>
          <w:szCs w:val="24"/>
        </w:rPr>
        <w:t>Peking University People's Hospital</w:t>
      </w:r>
      <w:bookmarkEnd w:id="2"/>
    </w:p>
    <w:p w14:paraId="2CB5FA5D">
      <w:pPr>
        <w:pStyle w:val="4"/>
        <w:overflowPunct w:val="0"/>
        <w:autoSpaceDE w:val="0"/>
        <w:autoSpaceDN w:val="0"/>
        <w:adjustRightInd w:val="0"/>
        <w:snapToGrid w:val="0"/>
        <w:spacing w:before="120" w:beforeLines="50" w:after="120" w:afterLines="50" w:line="300" w:lineRule="auto"/>
        <w:ind w:firstLine="1402" w:firstLineChars="582"/>
        <w:jc w:val="left"/>
        <w:rPr>
          <w:rFonts w:cs="Times New Roman"/>
          <w:b/>
          <w:color w:val="auto"/>
          <w:szCs w:val="24"/>
        </w:rPr>
      </w:pPr>
      <w:r>
        <w:rPr>
          <w:rFonts w:cs="Times New Roman"/>
          <w:b/>
          <w:color w:val="auto"/>
          <w:szCs w:val="24"/>
        </w:rPr>
        <w:t>Sponsor: Guangdong Raynovent Biotech Co., Ltd.</w:t>
      </w:r>
    </w:p>
    <w:p w14:paraId="5C5295EE">
      <w:pPr>
        <w:pStyle w:val="4"/>
        <w:overflowPunct w:val="0"/>
        <w:autoSpaceDE w:val="0"/>
        <w:autoSpaceDN w:val="0"/>
        <w:adjustRightInd w:val="0"/>
        <w:snapToGrid w:val="0"/>
        <w:spacing w:before="120" w:beforeLines="50" w:after="120" w:afterLines="50" w:line="300" w:lineRule="auto"/>
        <w:ind w:firstLine="482"/>
        <w:jc w:val="left"/>
        <w:rPr>
          <w:rFonts w:cs="Times New Roman"/>
          <w:b/>
          <w:bCs/>
          <w:color w:val="auto"/>
          <w:szCs w:val="24"/>
          <w:lang w:eastAsia="zh-TW"/>
        </w:rPr>
      </w:pPr>
    </w:p>
    <w:p w14:paraId="674EA4A0">
      <w:pPr>
        <w:pStyle w:val="4"/>
        <w:overflowPunct w:val="0"/>
        <w:autoSpaceDE w:val="0"/>
        <w:autoSpaceDN w:val="0"/>
        <w:adjustRightInd w:val="0"/>
        <w:snapToGrid w:val="0"/>
        <w:spacing w:before="120" w:beforeLines="50" w:after="120" w:afterLines="50" w:line="300" w:lineRule="auto"/>
        <w:ind w:firstLine="482"/>
        <w:rPr>
          <w:rFonts w:cs="Times New Roman"/>
          <w:b/>
          <w:bCs/>
          <w:color w:val="auto"/>
          <w:szCs w:val="24"/>
        </w:rPr>
      </w:pPr>
    </w:p>
    <w:p w14:paraId="497E0EDF">
      <w:pPr>
        <w:pStyle w:val="4"/>
        <w:overflowPunct w:val="0"/>
        <w:autoSpaceDE w:val="0"/>
        <w:autoSpaceDN w:val="0"/>
        <w:adjustRightInd w:val="0"/>
        <w:snapToGrid w:val="0"/>
        <w:spacing w:before="120" w:beforeLines="50" w:after="120" w:afterLines="50" w:line="300" w:lineRule="auto"/>
        <w:ind w:firstLine="482"/>
        <w:rPr>
          <w:rFonts w:cs="Times New Roman"/>
          <w:b/>
          <w:bCs/>
          <w:color w:val="auto"/>
          <w:szCs w:val="24"/>
        </w:rPr>
      </w:pPr>
    </w:p>
    <w:p w14:paraId="1093E129">
      <w:pPr>
        <w:pStyle w:val="4"/>
        <w:overflowPunct w:val="0"/>
        <w:autoSpaceDE w:val="0"/>
        <w:autoSpaceDN w:val="0"/>
        <w:adjustRightInd w:val="0"/>
        <w:snapToGrid w:val="0"/>
        <w:spacing w:before="120" w:beforeLines="50" w:after="120" w:afterLines="50" w:line="300" w:lineRule="auto"/>
        <w:ind w:firstLine="482"/>
        <w:rPr>
          <w:rFonts w:cs="Times New Roman"/>
          <w:b/>
          <w:bCs/>
          <w:color w:val="auto"/>
          <w:szCs w:val="24"/>
        </w:rPr>
      </w:pPr>
    </w:p>
    <w:p w14:paraId="4F0E6DCF">
      <w:pPr>
        <w:pStyle w:val="4"/>
        <w:overflowPunct w:val="0"/>
        <w:autoSpaceDE w:val="0"/>
        <w:autoSpaceDN w:val="0"/>
        <w:adjustRightInd w:val="0"/>
        <w:snapToGrid w:val="0"/>
        <w:spacing w:before="120" w:beforeLines="50" w:after="120" w:afterLines="50" w:line="300" w:lineRule="auto"/>
        <w:ind w:firstLine="482"/>
        <w:rPr>
          <w:rFonts w:cs="Times New Roman"/>
          <w:b/>
          <w:bCs/>
          <w:color w:val="auto"/>
          <w:szCs w:val="24"/>
        </w:rPr>
      </w:pPr>
    </w:p>
    <w:p w14:paraId="1E500F01">
      <w:pPr>
        <w:pStyle w:val="4"/>
        <w:overflowPunct w:val="0"/>
        <w:autoSpaceDE w:val="0"/>
        <w:autoSpaceDN w:val="0"/>
        <w:adjustRightInd w:val="0"/>
        <w:snapToGrid w:val="0"/>
        <w:spacing w:before="120" w:beforeLines="50" w:after="120" w:afterLines="50" w:line="300" w:lineRule="auto"/>
        <w:ind w:firstLine="0" w:firstLineChars="0"/>
        <w:rPr>
          <w:rFonts w:cs="Times New Roman"/>
          <w:b/>
          <w:bCs/>
          <w:color w:val="auto"/>
          <w:szCs w:val="24"/>
        </w:rPr>
      </w:pPr>
    </w:p>
    <w:tbl>
      <w:tblPr>
        <w:tblStyle w:val="51"/>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28" w:type="dxa"/>
          <w:left w:w="57" w:type="dxa"/>
          <w:bottom w:w="28" w:type="dxa"/>
          <w:right w:w="57" w:type="dxa"/>
        </w:tblCellMar>
      </w:tblPr>
      <w:tblGrid>
        <w:gridCol w:w="9474"/>
      </w:tblGrid>
      <w:tr w14:paraId="73A5B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c>
          <w:tcPr>
            <w:tcW w:w="500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tcPr>
          <w:p w14:paraId="005C6545">
            <w:pPr>
              <w:pStyle w:val="4"/>
              <w:overflowPunct w:val="0"/>
              <w:autoSpaceDE w:val="0"/>
              <w:autoSpaceDN w:val="0"/>
              <w:adjustRightInd w:val="0"/>
              <w:snapToGrid w:val="0"/>
              <w:spacing w:line="240" w:lineRule="auto"/>
              <w:ind w:firstLine="0" w:firstLineChars="0"/>
              <w:jc w:val="left"/>
              <w:rPr>
                <w:rFonts w:cs="Times New Roman"/>
                <w:color w:val="auto"/>
                <w:sz w:val="20"/>
                <w:szCs w:val="20"/>
              </w:rPr>
            </w:pPr>
            <w:r>
              <w:rPr>
                <w:rFonts w:cs="Times New Roman"/>
                <w:b/>
                <w:bCs/>
                <w:color w:val="auto"/>
                <w:sz w:val="20"/>
                <w:szCs w:val="20"/>
              </w:rPr>
              <w:t>The information contained in this document is proprietary and confidential. Duplication, distribution, or dissemination in other ways to any third party without the written permission of Guangdong Raynovent Biotech Co., Ltd. is prohibited.</w:t>
            </w:r>
          </w:p>
        </w:tc>
      </w:tr>
    </w:tbl>
    <w:p w14:paraId="5C340973">
      <w:pPr>
        <w:overflowPunct w:val="0"/>
        <w:autoSpaceDE w:val="0"/>
        <w:autoSpaceDN w:val="0"/>
        <w:adjustRightInd w:val="0"/>
        <w:snapToGrid w:val="0"/>
        <w:spacing w:before="120" w:beforeLines="50" w:after="120" w:afterLines="50" w:line="300" w:lineRule="auto"/>
        <w:jc w:val="center"/>
        <w:rPr>
          <w:rFonts w:eastAsia="宋体"/>
          <w:lang w:val="zh-TW" w:eastAsia="zh-TW"/>
        </w:rPr>
        <w:sectPr>
          <w:headerReference r:id="rId6" w:type="first"/>
          <w:headerReference r:id="rId5" w:type="default"/>
          <w:pgSz w:w="12240" w:h="15840"/>
          <w:pgMar w:top="1440" w:right="1440" w:bottom="1440" w:left="1440" w:header="720" w:footer="720" w:gutter="0"/>
          <w:pgNumType w:start="1"/>
          <w:cols w:space="0" w:num="1"/>
          <w:titlePg/>
          <w:docGrid w:linePitch="326" w:charSpace="0"/>
        </w:sectPr>
      </w:pPr>
    </w:p>
    <w:p w14:paraId="1065E45E">
      <w:pPr>
        <w:pStyle w:val="4"/>
        <w:overflowPunct w:val="0"/>
        <w:autoSpaceDE w:val="0"/>
        <w:autoSpaceDN w:val="0"/>
        <w:adjustRightInd w:val="0"/>
        <w:snapToGrid w:val="0"/>
        <w:spacing w:before="120" w:beforeLines="50" w:after="120" w:afterLines="50" w:line="300" w:lineRule="auto"/>
        <w:ind w:firstLine="0" w:firstLineChars="0"/>
        <w:jc w:val="center"/>
        <w:rPr>
          <w:rFonts w:cs="Times New Roman"/>
          <w:b/>
          <w:bCs/>
          <w:color w:val="auto"/>
          <w:szCs w:val="24"/>
        </w:rPr>
      </w:pPr>
      <w:r>
        <w:rPr>
          <w:rFonts w:cs="Times New Roman"/>
          <w:b/>
          <w:color w:val="auto"/>
          <w:szCs w:val="24"/>
        </w:rPr>
        <w:t>A Multicenter, Randomized, Double-blind, Placebo-controlled Phase II Clinical Study Evaluating the Safety, Tolerability, and Efficacy of RAY1225 Injection in Patients with T2DM</w:t>
      </w:r>
    </w:p>
    <w:tbl>
      <w:tblPr>
        <w:tblStyle w:val="51"/>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28" w:type="dxa"/>
          <w:left w:w="57" w:type="dxa"/>
          <w:bottom w:w="28" w:type="dxa"/>
          <w:right w:w="57" w:type="dxa"/>
        </w:tblCellMar>
      </w:tblPr>
      <w:tblGrid>
        <w:gridCol w:w="1860"/>
        <w:gridCol w:w="1010"/>
        <w:gridCol w:w="2344"/>
        <w:gridCol w:w="4260"/>
      </w:tblGrid>
      <w:tr w14:paraId="6AD7C2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c>
          <w:tcPr>
            <w:tcW w:w="982"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tcPr>
          <w:p w14:paraId="21AE0473">
            <w:pPr>
              <w:pStyle w:val="4"/>
              <w:overflowPunct w:val="0"/>
              <w:autoSpaceDE w:val="0"/>
              <w:autoSpaceDN w:val="0"/>
              <w:adjustRightInd w:val="0"/>
              <w:snapToGrid w:val="0"/>
              <w:spacing w:line="240" w:lineRule="auto"/>
              <w:ind w:firstLine="0" w:firstLineChars="0"/>
              <w:jc w:val="center"/>
              <w:rPr>
                <w:rFonts w:cs="Times New Roman"/>
                <w:b/>
                <w:bCs/>
                <w:color w:val="auto"/>
                <w:sz w:val="20"/>
                <w:szCs w:val="20"/>
              </w:rPr>
            </w:pPr>
            <w:r>
              <w:rPr>
                <w:rFonts w:cs="Times New Roman"/>
                <w:b/>
                <w:bCs/>
                <w:color w:val="auto"/>
                <w:sz w:val="20"/>
                <w:szCs w:val="20"/>
              </w:rPr>
              <w:t>Protocol/</w:t>
            </w:r>
            <w:r>
              <w:rPr>
                <w:rFonts w:cs="Times New Roman"/>
                <w:b/>
                <w:bCs/>
                <w:color w:val="auto"/>
                <w:sz w:val="20"/>
                <w:szCs w:val="20"/>
              </w:rPr>
              <w:br w:type="textWrapping"/>
            </w:r>
            <w:r>
              <w:rPr>
                <w:rFonts w:cs="Times New Roman"/>
                <w:b/>
                <w:bCs/>
                <w:color w:val="auto"/>
                <w:sz w:val="20"/>
                <w:szCs w:val="20"/>
              </w:rPr>
              <w:t>Amendment No.</w:t>
            </w:r>
          </w:p>
        </w:tc>
        <w:tc>
          <w:tcPr>
            <w:tcW w:w="533"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tcPr>
          <w:p w14:paraId="2BED62BB">
            <w:pPr>
              <w:pStyle w:val="4"/>
              <w:overflowPunct w:val="0"/>
              <w:autoSpaceDE w:val="0"/>
              <w:autoSpaceDN w:val="0"/>
              <w:adjustRightInd w:val="0"/>
              <w:snapToGrid w:val="0"/>
              <w:spacing w:line="240" w:lineRule="auto"/>
              <w:ind w:firstLine="0" w:firstLineChars="0"/>
              <w:jc w:val="center"/>
              <w:rPr>
                <w:rFonts w:cs="Times New Roman"/>
                <w:b/>
                <w:bCs/>
                <w:color w:val="auto"/>
                <w:sz w:val="20"/>
                <w:szCs w:val="20"/>
              </w:rPr>
            </w:pPr>
            <w:r>
              <w:rPr>
                <w:rFonts w:cs="Times New Roman"/>
                <w:b/>
                <w:bCs/>
                <w:color w:val="auto"/>
                <w:sz w:val="20"/>
                <w:szCs w:val="20"/>
              </w:rPr>
              <w:t>Version No.</w:t>
            </w:r>
          </w:p>
        </w:tc>
        <w:tc>
          <w:tcPr>
            <w:tcW w:w="1237"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tcPr>
          <w:p w14:paraId="4CF16731">
            <w:pPr>
              <w:pStyle w:val="4"/>
              <w:overflowPunct w:val="0"/>
              <w:autoSpaceDE w:val="0"/>
              <w:autoSpaceDN w:val="0"/>
              <w:adjustRightInd w:val="0"/>
              <w:snapToGrid w:val="0"/>
              <w:spacing w:line="240" w:lineRule="auto"/>
              <w:ind w:firstLine="0" w:firstLineChars="0"/>
              <w:jc w:val="center"/>
              <w:rPr>
                <w:rFonts w:cs="Times New Roman"/>
                <w:b/>
                <w:bCs/>
                <w:color w:val="auto"/>
                <w:sz w:val="20"/>
                <w:szCs w:val="20"/>
              </w:rPr>
            </w:pPr>
            <w:r>
              <w:rPr>
                <w:rFonts w:cs="Times New Roman"/>
                <w:b/>
                <w:bCs/>
                <w:color w:val="auto"/>
                <w:sz w:val="20"/>
                <w:szCs w:val="20"/>
              </w:rPr>
              <w:t>Formulation date (version date)</w:t>
            </w:r>
          </w:p>
        </w:tc>
        <w:tc>
          <w:tcPr>
            <w:tcW w:w="2248"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tcPr>
          <w:p w14:paraId="641092AC">
            <w:pPr>
              <w:pStyle w:val="4"/>
              <w:overflowPunct w:val="0"/>
              <w:autoSpaceDE w:val="0"/>
              <w:autoSpaceDN w:val="0"/>
              <w:adjustRightInd w:val="0"/>
              <w:snapToGrid w:val="0"/>
              <w:spacing w:line="240" w:lineRule="auto"/>
              <w:ind w:firstLine="0" w:firstLineChars="0"/>
              <w:jc w:val="center"/>
              <w:rPr>
                <w:rFonts w:cs="Times New Roman"/>
                <w:b/>
                <w:bCs/>
                <w:color w:val="auto"/>
                <w:sz w:val="20"/>
                <w:szCs w:val="20"/>
              </w:rPr>
            </w:pPr>
            <w:r>
              <w:rPr>
                <w:rFonts w:cs="Times New Roman"/>
                <w:b/>
                <w:bCs/>
                <w:color w:val="auto"/>
                <w:sz w:val="20"/>
                <w:szCs w:val="20"/>
              </w:rPr>
              <w:t>Revision</w:t>
            </w:r>
          </w:p>
        </w:tc>
      </w:tr>
      <w:tr w14:paraId="7E6A29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c>
          <w:tcPr>
            <w:tcW w:w="982"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tcPr>
          <w:p w14:paraId="724B9A2E">
            <w:pPr>
              <w:overflowPunct w:val="0"/>
              <w:autoSpaceDE w:val="0"/>
              <w:autoSpaceDN w:val="0"/>
              <w:adjustRightInd w:val="0"/>
              <w:snapToGrid w:val="0"/>
              <w:jc w:val="center"/>
              <w:rPr>
                <w:rFonts w:eastAsia="宋体"/>
                <w:sz w:val="20"/>
                <w:szCs w:val="20"/>
              </w:rPr>
            </w:pPr>
            <w:r>
              <w:rPr>
                <w:sz w:val="20"/>
                <w:szCs w:val="20"/>
              </w:rPr>
              <w:t>RAY1225-23-03</w:t>
            </w:r>
          </w:p>
        </w:tc>
        <w:tc>
          <w:tcPr>
            <w:tcW w:w="533"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tcPr>
          <w:p w14:paraId="5966BFD6">
            <w:pPr>
              <w:overflowPunct w:val="0"/>
              <w:autoSpaceDE w:val="0"/>
              <w:autoSpaceDN w:val="0"/>
              <w:adjustRightInd w:val="0"/>
              <w:snapToGrid w:val="0"/>
              <w:jc w:val="center"/>
              <w:rPr>
                <w:rFonts w:eastAsia="宋体"/>
                <w:sz w:val="20"/>
                <w:szCs w:val="20"/>
              </w:rPr>
            </w:pPr>
            <w:r>
              <w:rPr>
                <w:sz w:val="20"/>
                <w:szCs w:val="20"/>
              </w:rPr>
              <w:t>1.0</w:t>
            </w:r>
          </w:p>
        </w:tc>
        <w:tc>
          <w:tcPr>
            <w:tcW w:w="1237"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tcPr>
          <w:p w14:paraId="55DA4896">
            <w:pPr>
              <w:overflowPunct w:val="0"/>
              <w:autoSpaceDE w:val="0"/>
              <w:autoSpaceDN w:val="0"/>
              <w:adjustRightInd w:val="0"/>
              <w:snapToGrid w:val="0"/>
              <w:jc w:val="center"/>
              <w:rPr>
                <w:rFonts w:eastAsia="宋体"/>
                <w:sz w:val="20"/>
                <w:szCs w:val="20"/>
              </w:rPr>
            </w:pPr>
            <w:r>
              <w:rPr>
                <w:sz w:val="20"/>
                <w:szCs w:val="20"/>
              </w:rPr>
              <w:t>Jan. 15, 2024</w:t>
            </w:r>
          </w:p>
        </w:tc>
        <w:tc>
          <w:tcPr>
            <w:tcW w:w="2248"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tcPr>
          <w:p w14:paraId="321F8626">
            <w:pPr>
              <w:overflowPunct w:val="0"/>
              <w:autoSpaceDE w:val="0"/>
              <w:autoSpaceDN w:val="0"/>
              <w:adjustRightInd w:val="0"/>
              <w:snapToGrid w:val="0"/>
              <w:rPr>
                <w:rFonts w:eastAsia="宋体"/>
                <w:sz w:val="20"/>
                <w:szCs w:val="20"/>
              </w:rPr>
            </w:pPr>
            <w:r>
              <w:rPr>
                <w:sz w:val="20"/>
                <w:szCs w:val="20"/>
              </w:rPr>
              <w:t>NA</w:t>
            </w:r>
          </w:p>
        </w:tc>
      </w:tr>
      <w:tr w14:paraId="516CAB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c>
          <w:tcPr>
            <w:tcW w:w="982"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tcPr>
          <w:p w14:paraId="5474C9EB">
            <w:pPr>
              <w:overflowPunct w:val="0"/>
              <w:autoSpaceDE w:val="0"/>
              <w:autoSpaceDN w:val="0"/>
              <w:adjustRightInd w:val="0"/>
              <w:snapToGrid w:val="0"/>
              <w:jc w:val="center"/>
              <w:rPr>
                <w:rFonts w:eastAsia="宋体"/>
                <w:sz w:val="20"/>
                <w:szCs w:val="20"/>
              </w:rPr>
            </w:pPr>
            <w:r>
              <w:rPr>
                <w:sz w:val="20"/>
                <w:szCs w:val="20"/>
              </w:rPr>
              <w:t>RAY1225-23-03</w:t>
            </w:r>
          </w:p>
        </w:tc>
        <w:tc>
          <w:tcPr>
            <w:tcW w:w="533"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tcPr>
          <w:p w14:paraId="1F732858">
            <w:pPr>
              <w:overflowPunct w:val="0"/>
              <w:autoSpaceDE w:val="0"/>
              <w:autoSpaceDN w:val="0"/>
              <w:adjustRightInd w:val="0"/>
              <w:snapToGrid w:val="0"/>
              <w:jc w:val="center"/>
              <w:rPr>
                <w:rFonts w:eastAsia="宋体"/>
                <w:sz w:val="20"/>
                <w:szCs w:val="20"/>
              </w:rPr>
            </w:pPr>
            <w:r>
              <w:rPr>
                <w:sz w:val="20"/>
                <w:szCs w:val="20"/>
              </w:rPr>
              <w:t>1.1</w:t>
            </w:r>
          </w:p>
        </w:tc>
        <w:tc>
          <w:tcPr>
            <w:tcW w:w="1237"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tcPr>
          <w:p w14:paraId="1FDF87FF">
            <w:pPr>
              <w:overflowPunct w:val="0"/>
              <w:autoSpaceDE w:val="0"/>
              <w:autoSpaceDN w:val="0"/>
              <w:adjustRightInd w:val="0"/>
              <w:snapToGrid w:val="0"/>
              <w:jc w:val="center"/>
              <w:rPr>
                <w:rFonts w:eastAsia="宋体"/>
                <w:sz w:val="20"/>
                <w:szCs w:val="20"/>
              </w:rPr>
            </w:pPr>
            <w:r>
              <w:rPr>
                <w:sz w:val="20"/>
                <w:szCs w:val="20"/>
              </w:rPr>
              <w:t>Jan. 26, 2024</w:t>
            </w:r>
          </w:p>
        </w:tc>
        <w:tc>
          <w:tcPr>
            <w:tcW w:w="2248"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tcPr>
          <w:p w14:paraId="34BEEB79">
            <w:pPr>
              <w:pStyle w:val="78"/>
              <w:numPr>
                <w:ilvl w:val="0"/>
                <w:numId w:val="2"/>
              </w:numPr>
              <w:overflowPunct w:val="0"/>
              <w:autoSpaceDE w:val="0"/>
              <w:autoSpaceDN w:val="0"/>
              <w:adjustRightInd w:val="0"/>
              <w:snapToGrid w:val="0"/>
              <w:jc w:val="left"/>
              <w:rPr>
                <w:rFonts w:hAnsi="Times New Roman" w:eastAsia="宋体" w:cs="Times New Roman"/>
                <w:sz w:val="20"/>
                <w:szCs w:val="20"/>
              </w:rPr>
            </w:pPr>
            <w:r>
              <w:rPr>
                <w:rFonts w:hAnsi="Times New Roman" w:cs="Times New Roman"/>
                <w:sz w:val="20"/>
                <w:szCs w:val="20"/>
              </w:rPr>
              <w:t>Change the time point for immunogenicity test from 20 weeks to 22 weeks after the first dose;</w:t>
            </w:r>
          </w:p>
          <w:p w14:paraId="32CEE878">
            <w:pPr>
              <w:pStyle w:val="78"/>
              <w:numPr>
                <w:ilvl w:val="0"/>
                <w:numId w:val="2"/>
              </w:numPr>
              <w:overflowPunct w:val="0"/>
              <w:autoSpaceDE w:val="0"/>
              <w:autoSpaceDN w:val="0"/>
              <w:adjustRightInd w:val="0"/>
              <w:snapToGrid w:val="0"/>
              <w:jc w:val="left"/>
              <w:rPr>
                <w:rFonts w:hAnsi="Times New Roman" w:eastAsia="宋体" w:cs="Times New Roman"/>
                <w:sz w:val="20"/>
                <w:szCs w:val="20"/>
              </w:rPr>
            </w:pPr>
            <w:r>
              <w:rPr>
                <w:rFonts w:hAnsi="Times New Roman" w:cs="Times New Roman"/>
                <w:sz w:val="20"/>
                <w:szCs w:val="20"/>
              </w:rPr>
              <w:t>Correct the clerical error in time point of RAY1225 PK blood sampling in Part B dose escalation study to "up to 18 blood sampling points";</w:t>
            </w:r>
          </w:p>
          <w:p w14:paraId="74A69275">
            <w:pPr>
              <w:pStyle w:val="78"/>
              <w:numPr>
                <w:ilvl w:val="0"/>
                <w:numId w:val="2"/>
              </w:numPr>
              <w:overflowPunct w:val="0"/>
              <w:autoSpaceDE w:val="0"/>
              <w:autoSpaceDN w:val="0"/>
              <w:adjustRightInd w:val="0"/>
              <w:snapToGrid w:val="0"/>
              <w:jc w:val="left"/>
              <w:rPr>
                <w:rFonts w:hAnsi="Times New Roman" w:eastAsia="宋体" w:cs="Times New Roman"/>
                <w:sz w:val="20"/>
                <w:szCs w:val="20"/>
              </w:rPr>
            </w:pPr>
            <w:r>
              <w:rPr>
                <w:rFonts w:hAnsi="Times New Roman" w:cs="Times New Roman"/>
                <w:sz w:val="20"/>
                <w:szCs w:val="20"/>
              </w:rPr>
              <w:t>Add clarifications to exclusion criterion 18;</w:t>
            </w:r>
          </w:p>
          <w:p w14:paraId="53EDF56F">
            <w:pPr>
              <w:pStyle w:val="78"/>
              <w:numPr>
                <w:ilvl w:val="0"/>
                <w:numId w:val="2"/>
              </w:numPr>
              <w:overflowPunct w:val="0"/>
              <w:autoSpaceDE w:val="0"/>
              <w:autoSpaceDN w:val="0"/>
              <w:adjustRightInd w:val="0"/>
              <w:snapToGrid w:val="0"/>
              <w:jc w:val="left"/>
              <w:rPr>
                <w:rFonts w:hAnsi="Times New Roman" w:eastAsia="宋体" w:cs="Times New Roman"/>
                <w:sz w:val="20"/>
                <w:szCs w:val="20"/>
              </w:rPr>
            </w:pPr>
            <w:r>
              <w:rPr>
                <w:rFonts w:hAnsi="Times New Roman" w:cs="Times New Roman"/>
                <w:sz w:val="20"/>
                <w:szCs w:val="20"/>
              </w:rPr>
              <w:t>Safety endpoints are supplemented with the "incidence of neutralizing antibodies (Nab)";</w:t>
            </w:r>
          </w:p>
          <w:p w14:paraId="5512730D">
            <w:pPr>
              <w:pStyle w:val="78"/>
              <w:numPr>
                <w:ilvl w:val="0"/>
                <w:numId w:val="2"/>
              </w:numPr>
              <w:overflowPunct w:val="0"/>
              <w:autoSpaceDE w:val="0"/>
              <w:autoSpaceDN w:val="0"/>
              <w:adjustRightInd w:val="0"/>
              <w:snapToGrid w:val="0"/>
              <w:jc w:val="left"/>
              <w:rPr>
                <w:rFonts w:hAnsi="Times New Roman" w:eastAsia="宋体" w:cs="Times New Roman"/>
                <w:sz w:val="20"/>
                <w:szCs w:val="20"/>
              </w:rPr>
            </w:pPr>
            <w:r>
              <w:rPr>
                <w:rFonts w:hAnsi="Times New Roman" w:cs="Times New Roman"/>
                <w:sz w:val="20"/>
                <w:szCs w:val="20"/>
              </w:rPr>
              <w:t>In the randomization method, the numbering rules for the randomization number of the replacement subjects are corrected, and the numbering rules in Part B are supplemented;</w:t>
            </w:r>
          </w:p>
          <w:p w14:paraId="326E1A72">
            <w:pPr>
              <w:pStyle w:val="78"/>
              <w:numPr>
                <w:ilvl w:val="0"/>
                <w:numId w:val="2"/>
              </w:numPr>
              <w:overflowPunct w:val="0"/>
              <w:autoSpaceDE w:val="0"/>
              <w:autoSpaceDN w:val="0"/>
              <w:adjustRightInd w:val="0"/>
              <w:snapToGrid w:val="0"/>
              <w:jc w:val="left"/>
              <w:rPr>
                <w:rFonts w:hAnsi="Times New Roman" w:eastAsia="宋体" w:cs="Times New Roman"/>
                <w:sz w:val="20"/>
                <w:szCs w:val="20"/>
              </w:rPr>
            </w:pPr>
            <w:r>
              <w:rPr>
                <w:rFonts w:hAnsi="Times New Roman" w:cs="Times New Roman"/>
                <w:sz w:val="20"/>
                <w:szCs w:val="20"/>
              </w:rPr>
              <w:t>Update the description of blinding to "The study staff dispensing and administering drugs are unblinded, while the investigator and the subject are blinded";</w:t>
            </w:r>
          </w:p>
          <w:p w14:paraId="5D70F4D0">
            <w:pPr>
              <w:pStyle w:val="78"/>
              <w:numPr>
                <w:ilvl w:val="0"/>
                <w:numId w:val="2"/>
              </w:numPr>
              <w:overflowPunct w:val="0"/>
              <w:autoSpaceDE w:val="0"/>
              <w:autoSpaceDN w:val="0"/>
              <w:adjustRightInd w:val="0"/>
              <w:snapToGrid w:val="0"/>
              <w:jc w:val="left"/>
              <w:rPr>
                <w:rFonts w:hAnsi="Times New Roman" w:eastAsia="宋体" w:cs="Times New Roman"/>
                <w:sz w:val="20"/>
                <w:szCs w:val="20"/>
              </w:rPr>
            </w:pPr>
            <w:r>
              <w:rPr>
                <w:rFonts w:hAnsi="Times New Roman" w:cs="Times New Roman"/>
                <w:sz w:val="20"/>
                <w:szCs w:val="20"/>
              </w:rPr>
              <w:t>Add "monocyte percentage" to routine hematology.</w:t>
            </w:r>
          </w:p>
        </w:tc>
      </w:tr>
    </w:tbl>
    <w:p w14:paraId="00D6457A">
      <w:pPr>
        <w:pStyle w:val="4"/>
        <w:overflowPunct w:val="0"/>
        <w:autoSpaceDE w:val="0"/>
        <w:autoSpaceDN w:val="0"/>
        <w:adjustRightInd w:val="0"/>
        <w:snapToGrid w:val="0"/>
        <w:spacing w:before="120" w:beforeLines="50" w:after="120" w:afterLines="50" w:line="300" w:lineRule="auto"/>
        <w:ind w:firstLine="480"/>
        <w:jc w:val="center"/>
        <w:rPr>
          <w:rFonts w:cs="Times New Roman"/>
          <w:color w:val="auto"/>
          <w:szCs w:val="24"/>
          <w:lang w:eastAsia="zh-TW"/>
        </w:rPr>
      </w:pPr>
    </w:p>
    <w:p w14:paraId="37340454">
      <w:pPr>
        <w:pStyle w:val="54"/>
        <w:overflowPunct w:val="0"/>
        <w:autoSpaceDE w:val="0"/>
        <w:autoSpaceDN w:val="0"/>
        <w:adjustRightInd w:val="0"/>
        <w:snapToGrid w:val="0"/>
        <w:spacing w:before="120" w:beforeLines="50" w:after="120" w:afterLines="50" w:line="300" w:lineRule="auto"/>
        <w:jc w:val="both"/>
        <w:rPr>
          <w:rFonts w:ascii="Times New Roman" w:hAnsi="Times New Roman" w:cs="Times New Roman"/>
          <w:color w:val="auto"/>
          <w:sz w:val="24"/>
          <w:szCs w:val="24"/>
        </w:rPr>
      </w:pPr>
    </w:p>
    <w:p w14:paraId="12765F9E">
      <w:pPr>
        <w:pStyle w:val="4"/>
        <w:overflowPunct w:val="0"/>
        <w:autoSpaceDE w:val="0"/>
        <w:autoSpaceDN w:val="0"/>
        <w:adjustRightInd w:val="0"/>
        <w:snapToGrid w:val="0"/>
        <w:spacing w:before="120" w:beforeLines="50" w:after="120" w:afterLines="50" w:line="300" w:lineRule="auto"/>
        <w:ind w:firstLine="482"/>
        <w:jc w:val="center"/>
        <w:rPr>
          <w:rFonts w:cs="Times New Roman"/>
          <w:b/>
          <w:bCs/>
          <w:color w:val="auto"/>
          <w:szCs w:val="24"/>
          <w:lang w:val="zh-TW" w:eastAsia="zh-TW"/>
        </w:rPr>
        <w:sectPr>
          <w:footerReference r:id="rId9" w:type="first"/>
          <w:headerReference r:id="rId7" w:type="default"/>
          <w:footerReference r:id="rId8" w:type="default"/>
          <w:pgSz w:w="12240" w:h="15840"/>
          <w:pgMar w:top="1440" w:right="1440" w:bottom="1440" w:left="1440" w:header="720" w:footer="720" w:gutter="0"/>
          <w:pgNumType w:start="1"/>
          <w:cols w:space="0" w:num="1"/>
          <w:titlePg/>
          <w:docGrid w:linePitch="326" w:charSpace="0"/>
        </w:sectPr>
      </w:pPr>
    </w:p>
    <w:p w14:paraId="764482DD">
      <w:pPr>
        <w:pStyle w:val="4"/>
        <w:overflowPunct w:val="0"/>
        <w:autoSpaceDE w:val="0"/>
        <w:autoSpaceDN w:val="0"/>
        <w:adjustRightInd w:val="0"/>
        <w:snapToGrid w:val="0"/>
        <w:spacing w:before="120" w:beforeLines="50" w:after="120" w:afterLines="50" w:line="300" w:lineRule="auto"/>
        <w:ind w:firstLine="0" w:firstLineChars="0"/>
        <w:jc w:val="center"/>
        <w:rPr>
          <w:rFonts w:cs="Times New Roman"/>
          <w:b/>
          <w:bCs/>
          <w:color w:val="auto"/>
          <w:szCs w:val="24"/>
        </w:rPr>
      </w:pPr>
      <w:r>
        <w:rPr>
          <w:rFonts w:cs="Times New Roman"/>
          <w:b/>
          <w:bCs/>
          <w:color w:val="auto"/>
          <w:szCs w:val="24"/>
        </w:rPr>
        <w:t>SIGNATURE PAGE</w:t>
      </w:r>
    </w:p>
    <w:p w14:paraId="3D8F0DD2">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r>
        <w:rPr>
          <w:rFonts w:cs="Times New Roman"/>
          <w:color w:val="auto"/>
          <w:szCs w:val="24"/>
        </w:rPr>
        <w:t>I have read this clinical study protocol (protocol No.: RAY1225-23-03, version No.: 1.1, version date: Jan. 26, 2024). I agree to fulfill my duties in accordance with Chinese laws, the "Declaration of Helsinki", the GCP, and this study protocol. This study can only be implemented after being approved by the ethics committee (EC).</w:t>
      </w:r>
    </w:p>
    <w:p w14:paraId="34120476">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r>
        <w:rPr>
          <w:rFonts w:cs="Times New Roman"/>
          <w:color w:val="auto"/>
          <w:szCs w:val="24"/>
        </w:rPr>
        <w:t>During the implementation of the study, I will strictly follow the requirements of this protocol. Modifications to this protocol, if necessary, can only be implemented after notifying the sponsor and obtaining consent as well as obtaining approval again or filing consent of the EC, unless actions must be taken to protect the safety, rights, and interests of the subjects. I agree to be monitored or audited by the clinical research associate or auditor assigned by the sponsor and inspected by the drug regulatory authorities to ensure the quality of the clinical study.</w:t>
      </w:r>
    </w:p>
    <w:p w14:paraId="3241EE2C">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r>
        <w:rPr>
          <w:rFonts w:cs="Times New Roman"/>
          <w:color w:val="auto"/>
          <w:szCs w:val="24"/>
        </w:rPr>
        <w:t>The information contained herein and any protocol supplements are confidential and proprietary to Guangdong Raynovent Biotech Co., Ltd. I guarantee that I will not use the content of this protocol in other clinical studies, nor will I disclose the content of this protocol to any other individuals or groups irrelevant to the study without prior written permission from Guangdong Raynovent Biotech Co., Ltd.</w:t>
      </w:r>
    </w:p>
    <w:p w14:paraId="265AD684">
      <w:pPr>
        <w:pStyle w:val="4"/>
        <w:overflowPunct w:val="0"/>
        <w:autoSpaceDE w:val="0"/>
        <w:autoSpaceDN w:val="0"/>
        <w:adjustRightInd w:val="0"/>
        <w:snapToGrid w:val="0"/>
        <w:spacing w:before="120" w:beforeLines="50" w:after="120" w:afterLines="50" w:line="300" w:lineRule="auto"/>
        <w:ind w:firstLine="480"/>
        <w:rPr>
          <w:rFonts w:cs="Times New Roman"/>
          <w:color w:val="auto"/>
          <w:szCs w:val="24"/>
        </w:rPr>
      </w:pPr>
    </w:p>
    <w:p w14:paraId="05E45934">
      <w:pPr>
        <w:pStyle w:val="4"/>
        <w:overflowPunct w:val="0"/>
        <w:autoSpaceDE w:val="0"/>
        <w:autoSpaceDN w:val="0"/>
        <w:adjustRightInd w:val="0"/>
        <w:snapToGrid w:val="0"/>
        <w:spacing w:before="120" w:beforeLines="50" w:after="120" w:afterLines="50" w:line="300" w:lineRule="auto"/>
        <w:ind w:firstLine="480"/>
        <w:rPr>
          <w:rFonts w:cs="Times New Roman"/>
          <w:color w:val="auto"/>
          <w:szCs w:val="24"/>
        </w:rPr>
      </w:pPr>
    </w:p>
    <w:p w14:paraId="243ECBCD">
      <w:pPr>
        <w:pStyle w:val="4"/>
        <w:overflowPunct w:val="0"/>
        <w:autoSpaceDE w:val="0"/>
        <w:autoSpaceDN w:val="0"/>
        <w:adjustRightInd w:val="0"/>
        <w:snapToGrid w:val="0"/>
        <w:spacing w:before="120" w:beforeLines="50" w:after="120" w:afterLines="50" w:line="300" w:lineRule="auto"/>
        <w:ind w:firstLine="480"/>
        <w:rPr>
          <w:rFonts w:cs="Times New Roman"/>
          <w:color w:val="auto"/>
          <w:szCs w:val="24"/>
        </w:rPr>
      </w:pPr>
    </w:p>
    <w:p w14:paraId="181D3BE3">
      <w:pPr>
        <w:pStyle w:val="4"/>
        <w:overflowPunct w:val="0"/>
        <w:autoSpaceDE w:val="0"/>
        <w:autoSpaceDN w:val="0"/>
        <w:adjustRightInd w:val="0"/>
        <w:snapToGrid w:val="0"/>
        <w:spacing w:before="120" w:beforeLines="50" w:after="120" w:afterLines="50" w:line="300" w:lineRule="auto"/>
        <w:ind w:firstLine="480"/>
        <w:rPr>
          <w:rFonts w:cs="Times New Roman"/>
          <w:color w:val="auto"/>
          <w:szCs w:val="24"/>
        </w:rPr>
      </w:pPr>
    </w:p>
    <w:p w14:paraId="348F20B9">
      <w:pPr>
        <w:pStyle w:val="4"/>
        <w:overflowPunct w:val="0"/>
        <w:autoSpaceDE w:val="0"/>
        <w:autoSpaceDN w:val="0"/>
        <w:adjustRightInd w:val="0"/>
        <w:snapToGrid w:val="0"/>
        <w:spacing w:before="120" w:beforeLines="50" w:after="120" w:afterLines="50" w:line="300" w:lineRule="auto"/>
        <w:ind w:firstLine="240" w:firstLineChars="100"/>
        <w:rPr>
          <w:rFonts w:cs="Times New Roman"/>
          <w:color w:val="auto"/>
          <w:szCs w:val="24"/>
          <w:u w:val="single"/>
        </w:rPr>
      </w:pPr>
    </w:p>
    <w:p w14:paraId="4BF4B82C">
      <w:pPr>
        <w:pStyle w:val="4"/>
        <w:overflowPunct w:val="0"/>
        <w:autoSpaceDE w:val="0"/>
        <w:autoSpaceDN w:val="0"/>
        <w:adjustRightInd w:val="0"/>
        <w:snapToGrid w:val="0"/>
        <w:spacing w:before="120" w:beforeLines="50" w:after="120" w:afterLines="50" w:line="300" w:lineRule="auto"/>
        <w:ind w:firstLine="0" w:firstLineChars="0"/>
        <w:rPr>
          <w:rFonts w:cs="Times New Roman"/>
          <w:b/>
          <w:bCs/>
          <w:color w:val="auto"/>
          <w:szCs w:val="24"/>
        </w:rPr>
      </w:pPr>
      <w:r>
        <w:rPr>
          <w:rFonts w:cs="Times New Roman"/>
          <w:color w:val="auto"/>
          <w:szCs w:val="24"/>
        </w:rPr>
        <w:t xml:space="preserve">Clinical Study Institution: </w:t>
      </w:r>
      <w:r>
        <w:rPr>
          <w:rFonts w:cs="Times New Roman"/>
          <w:bCs/>
          <w:color w:val="auto"/>
          <w:szCs w:val="24"/>
        </w:rPr>
        <w:t>Peking University People's Hospital</w:t>
      </w:r>
    </w:p>
    <w:p w14:paraId="064A45A2">
      <w:pPr>
        <w:pStyle w:val="4"/>
        <w:overflowPunct w:val="0"/>
        <w:autoSpaceDE w:val="0"/>
        <w:autoSpaceDN w:val="0"/>
        <w:adjustRightInd w:val="0"/>
        <w:snapToGrid w:val="0"/>
        <w:spacing w:before="120" w:beforeLines="50" w:after="120" w:afterLines="50" w:line="300" w:lineRule="auto"/>
        <w:ind w:firstLine="0" w:firstLineChars="0"/>
        <w:rPr>
          <w:rFonts w:cs="Times New Roman"/>
          <w:color w:val="auto"/>
          <w:szCs w:val="24"/>
        </w:rPr>
      </w:pPr>
      <w:r>
        <w:rPr>
          <w:rFonts w:cs="Times New Roman"/>
          <w:color w:val="auto"/>
          <w:szCs w:val="24"/>
        </w:rPr>
        <w:t>Address: No. 11, Xizhimen South Street, Xicheng District, Beijing, China</w:t>
      </w:r>
    </w:p>
    <w:p w14:paraId="6A5DFC90">
      <w:pPr>
        <w:pStyle w:val="4"/>
        <w:overflowPunct w:val="0"/>
        <w:autoSpaceDE w:val="0"/>
        <w:autoSpaceDN w:val="0"/>
        <w:adjustRightInd w:val="0"/>
        <w:snapToGrid w:val="0"/>
        <w:spacing w:before="120" w:beforeLines="50" w:after="120" w:afterLines="50" w:line="300" w:lineRule="auto"/>
        <w:ind w:firstLine="0" w:firstLineChars="0"/>
        <w:rPr>
          <w:rFonts w:cs="Times New Roman"/>
          <w:color w:val="auto"/>
          <w:szCs w:val="24"/>
        </w:rPr>
      </w:pPr>
      <w:r>
        <w:rPr>
          <w:rFonts w:cs="Times New Roman"/>
          <w:color w:val="auto"/>
          <w:szCs w:val="24"/>
        </w:rPr>
        <w:t>Principal Investigator (print): Ji Linong</w:t>
      </w:r>
    </w:p>
    <w:p w14:paraId="2956EE2E">
      <w:pPr>
        <w:pStyle w:val="4"/>
        <w:overflowPunct w:val="0"/>
        <w:autoSpaceDE w:val="0"/>
        <w:autoSpaceDN w:val="0"/>
        <w:adjustRightInd w:val="0"/>
        <w:snapToGrid w:val="0"/>
        <w:spacing w:before="120" w:beforeLines="50" w:after="120" w:afterLines="50" w:line="300" w:lineRule="auto"/>
        <w:ind w:firstLine="480"/>
        <w:rPr>
          <w:rFonts w:cs="Times New Roman"/>
          <w:color w:val="auto"/>
          <w:szCs w:val="24"/>
          <w:lang w:val="zh-TW" w:eastAsia="zh-TW"/>
        </w:rPr>
      </w:pPr>
    </w:p>
    <w:p w14:paraId="363F349E">
      <w:pPr>
        <w:pStyle w:val="4"/>
        <w:overflowPunct w:val="0"/>
        <w:autoSpaceDE w:val="0"/>
        <w:autoSpaceDN w:val="0"/>
        <w:adjustRightInd w:val="0"/>
        <w:snapToGrid w:val="0"/>
        <w:spacing w:before="120" w:beforeLines="50" w:after="120" w:afterLines="50" w:line="300" w:lineRule="auto"/>
        <w:ind w:firstLine="480"/>
        <w:rPr>
          <w:rFonts w:cs="Times New Roman"/>
          <w:color w:val="auto"/>
          <w:szCs w:val="24"/>
          <w:lang w:eastAsia="zh-TW"/>
        </w:rPr>
      </w:pPr>
    </w:p>
    <w:p w14:paraId="3CBE5258">
      <w:pPr>
        <w:tabs>
          <w:tab w:val="left" w:pos="4452"/>
        </w:tabs>
        <w:overflowPunct w:val="0"/>
        <w:autoSpaceDE w:val="0"/>
        <w:autoSpaceDN w:val="0"/>
        <w:adjustRightInd w:val="0"/>
        <w:snapToGrid w:val="0"/>
        <w:spacing w:before="120" w:beforeLines="50" w:after="120" w:afterLines="50" w:line="300" w:lineRule="auto"/>
        <w:rPr>
          <w:rFonts w:eastAsia="宋体"/>
          <w:b/>
          <w:bCs/>
        </w:rPr>
      </w:pPr>
      <w:r>
        <w:t>(Signature): _______________</w:t>
      </w:r>
      <w:r>
        <w:tab/>
      </w:r>
      <w:r>
        <w:t>Signature Date: ________ (MMM/DD/YYYY)</w:t>
      </w:r>
      <w:r>
        <w:br w:type="page"/>
      </w:r>
    </w:p>
    <w:p w14:paraId="3724A534">
      <w:pPr>
        <w:pStyle w:val="4"/>
        <w:overflowPunct w:val="0"/>
        <w:autoSpaceDE w:val="0"/>
        <w:autoSpaceDN w:val="0"/>
        <w:adjustRightInd w:val="0"/>
        <w:snapToGrid w:val="0"/>
        <w:spacing w:before="120" w:beforeLines="50" w:after="120" w:afterLines="50" w:line="300" w:lineRule="auto"/>
        <w:ind w:firstLine="0" w:firstLineChars="0"/>
        <w:jc w:val="center"/>
        <w:rPr>
          <w:rFonts w:cs="Times New Roman"/>
          <w:b/>
          <w:bCs/>
          <w:color w:val="auto"/>
          <w:szCs w:val="24"/>
        </w:rPr>
      </w:pPr>
      <w:r>
        <w:rPr>
          <w:rFonts w:cs="Times New Roman"/>
          <w:b/>
          <w:bCs/>
          <w:color w:val="auto"/>
          <w:szCs w:val="24"/>
        </w:rPr>
        <w:t>SIGNATURE PAGE</w:t>
      </w:r>
    </w:p>
    <w:p w14:paraId="0975EE15">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r>
        <w:rPr>
          <w:rFonts w:cs="Times New Roman"/>
          <w:color w:val="auto"/>
          <w:szCs w:val="24"/>
        </w:rPr>
        <w:t>I have read this clinical study protocol (protocol No.: RAY1225-23-03, version No.: 1.1, version date: Jan. 26, 2024). I agree with the content of the study protocol and agree to fulfill my duties in accordance with Chinese laws, the "Declaration of Helsinki", the GCP, and this study protocol. I will discuss the protocol and relevant information with our people involved in the data management and statistical analysis of this study to ensure that they fully understand this protocol and how to write this data management and statistical analysis report.</w:t>
      </w:r>
    </w:p>
    <w:p w14:paraId="0C3B6330">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r>
        <w:rPr>
          <w:rFonts w:cs="Times New Roman"/>
          <w:color w:val="auto"/>
          <w:szCs w:val="24"/>
        </w:rPr>
        <w:t>The information contained herein and any protocol supplements are confidential and proprietary to Guangdong Raynovent Biotech Co., Ltd. I guarantee that I will not use the content of this protocol in other clinical studies, nor will I disclose the content of this protocol to any other individuals or groups irrelevant to the study without prior written permission from Guangdong Raynovent Biotech Co., Ltd.</w:t>
      </w:r>
    </w:p>
    <w:p w14:paraId="5D58EDD2">
      <w:pPr>
        <w:pStyle w:val="4"/>
        <w:overflowPunct w:val="0"/>
        <w:autoSpaceDE w:val="0"/>
        <w:autoSpaceDN w:val="0"/>
        <w:adjustRightInd w:val="0"/>
        <w:snapToGrid w:val="0"/>
        <w:spacing w:before="120" w:beforeLines="50" w:after="120" w:afterLines="50" w:line="300" w:lineRule="auto"/>
        <w:ind w:firstLine="480"/>
        <w:rPr>
          <w:rFonts w:cs="Times New Roman"/>
          <w:color w:val="auto"/>
          <w:szCs w:val="24"/>
        </w:rPr>
      </w:pPr>
    </w:p>
    <w:p w14:paraId="37A872C6">
      <w:pPr>
        <w:pStyle w:val="4"/>
        <w:overflowPunct w:val="0"/>
        <w:autoSpaceDE w:val="0"/>
        <w:autoSpaceDN w:val="0"/>
        <w:adjustRightInd w:val="0"/>
        <w:snapToGrid w:val="0"/>
        <w:spacing w:before="120" w:beforeLines="50" w:after="120" w:afterLines="50" w:line="300" w:lineRule="auto"/>
        <w:ind w:firstLine="480"/>
        <w:rPr>
          <w:rFonts w:cs="Times New Roman"/>
          <w:color w:val="auto"/>
          <w:szCs w:val="24"/>
        </w:rPr>
      </w:pPr>
    </w:p>
    <w:p w14:paraId="5447D578">
      <w:pPr>
        <w:pStyle w:val="4"/>
        <w:overflowPunct w:val="0"/>
        <w:autoSpaceDE w:val="0"/>
        <w:autoSpaceDN w:val="0"/>
        <w:adjustRightInd w:val="0"/>
        <w:snapToGrid w:val="0"/>
        <w:spacing w:before="120" w:beforeLines="50" w:after="120" w:afterLines="50" w:line="300" w:lineRule="auto"/>
        <w:ind w:firstLine="480"/>
        <w:rPr>
          <w:rFonts w:cs="Times New Roman"/>
          <w:color w:val="auto"/>
          <w:szCs w:val="24"/>
        </w:rPr>
      </w:pPr>
    </w:p>
    <w:p w14:paraId="62D537A1">
      <w:pPr>
        <w:pStyle w:val="4"/>
        <w:overflowPunct w:val="0"/>
        <w:autoSpaceDE w:val="0"/>
        <w:autoSpaceDN w:val="0"/>
        <w:adjustRightInd w:val="0"/>
        <w:snapToGrid w:val="0"/>
        <w:spacing w:before="120" w:beforeLines="50" w:after="120" w:afterLines="50" w:line="300" w:lineRule="auto"/>
        <w:ind w:firstLine="480"/>
        <w:rPr>
          <w:rFonts w:cs="Times New Roman"/>
          <w:color w:val="auto"/>
          <w:szCs w:val="24"/>
        </w:rPr>
      </w:pPr>
    </w:p>
    <w:p w14:paraId="28C40FEE">
      <w:pPr>
        <w:pStyle w:val="4"/>
        <w:overflowPunct w:val="0"/>
        <w:autoSpaceDE w:val="0"/>
        <w:autoSpaceDN w:val="0"/>
        <w:adjustRightInd w:val="0"/>
        <w:snapToGrid w:val="0"/>
        <w:spacing w:before="120" w:beforeLines="50" w:after="120" w:afterLines="50" w:line="300" w:lineRule="auto"/>
        <w:ind w:firstLine="240" w:firstLineChars="100"/>
        <w:jc w:val="left"/>
        <w:rPr>
          <w:rFonts w:cs="Times New Roman"/>
          <w:color w:val="auto"/>
          <w:szCs w:val="24"/>
          <w:u w:val="single"/>
        </w:rPr>
      </w:pPr>
    </w:p>
    <w:p w14:paraId="338E3653">
      <w:pPr>
        <w:pStyle w:val="183"/>
        <w:overflowPunct w:val="0"/>
        <w:autoSpaceDE w:val="0"/>
        <w:autoSpaceDN w:val="0"/>
        <w:adjustRightInd w:val="0"/>
        <w:snapToGrid w:val="0"/>
        <w:spacing w:before="120" w:after="120" w:line="300" w:lineRule="auto"/>
        <w:ind w:firstLine="0" w:firstLineChars="0"/>
        <w:jc w:val="left"/>
        <w:rPr>
          <w:u w:color="000000"/>
        </w:rPr>
      </w:pPr>
      <w:r>
        <w:t>Data Management and Statistical Analysis Agency: Beijing Fangsheng Yuanlin Medical Technology Co., Ltd.</w:t>
      </w:r>
    </w:p>
    <w:p w14:paraId="70B9DE38">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r>
        <w:rPr>
          <w:rFonts w:cs="Times New Roman"/>
          <w:color w:val="auto"/>
          <w:szCs w:val="24"/>
        </w:rPr>
        <w:t>Address: Room 2911, No. 161, Rui Center, Jinze Road, Fengtai District, Beijing, China.</w:t>
      </w:r>
    </w:p>
    <w:p w14:paraId="258F0C45">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r>
        <w:rPr>
          <w:rFonts w:cs="Times New Roman"/>
          <w:color w:val="auto"/>
          <w:szCs w:val="24"/>
        </w:rPr>
        <w:t>Representative of the Data Management and Statistical Analysis Agency (print): Liu Wangjun</w:t>
      </w:r>
    </w:p>
    <w:p w14:paraId="1E41EB0D">
      <w:pPr>
        <w:pStyle w:val="4"/>
        <w:overflowPunct w:val="0"/>
        <w:autoSpaceDE w:val="0"/>
        <w:autoSpaceDN w:val="0"/>
        <w:adjustRightInd w:val="0"/>
        <w:snapToGrid w:val="0"/>
        <w:spacing w:before="120" w:beforeLines="50" w:after="120" w:afterLines="50" w:line="300" w:lineRule="auto"/>
        <w:ind w:firstLine="480"/>
        <w:rPr>
          <w:rFonts w:cs="Times New Roman"/>
          <w:color w:val="auto"/>
          <w:szCs w:val="24"/>
          <w:lang w:val="zh-TW" w:eastAsia="zh-TW"/>
        </w:rPr>
      </w:pPr>
    </w:p>
    <w:p w14:paraId="1B700956">
      <w:pPr>
        <w:pStyle w:val="4"/>
        <w:overflowPunct w:val="0"/>
        <w:autoSpaceDE w:val="0"/>
        <w:autoSpaceDN w:val="0"/>
        <w:adjustRightInd w:val="0"/>
        <w:snapToGrid w:val="0"/>
        <w:spacing w:before="120" w:beforeLines="50" w:after="120" w:afterLines="50" w:line="300" w:lineRule="auto"/>
        <w:ind w:firstLine="480"/>
        <w:rPr>
          <w:rFonts w:cs="Times New Roman"/>
          <w:color w:val="auto"/>
          <w:szCs w:val="24"/>
          <w:u w:val="single"/>
        </w:rPr>
      </w:pPr>
    </w:p>
    <w:p w14:paraId="70BA7405">
      <w:pPr>
        <w:tabs>
          <w:tab w:val="left" w:pos="4452"/>
        </w:tabs>
        <w:overflowPunct w:val="0"/>
        <w:autoSpaceDE w:val="0"/>
        <w:autoSpaceDN w:val="0"/>
        <w:adjustRightInd w:val="0"/>
        <w:snapToGrid w:val="0"/>
        <w:spacing w:before="120" w:beforeLines="50" w:after="120" w:afterLines="50" w:line="300" w:lineRule="auto"/>
        <w:rPr>
          <w:rFonts w:eastAsia="宋体"/>
          <w:b/>
          <w:bCs/>
        </w:rPr>
      </w:pPr>
      <w:r>
        <w:t>(Signature): _______________</w:t>
      </w:r>
      <w:r>
        <w:tab/>
      </w:r>
      <w:r>
        <w:t>Signature Date: ________ (MMM/DD/YYYY)</w:t>
      </w:r>
    </w:p>
    <w:p w14:paraId="239FE7EA">
      <w:pPr>
        <w:pStyle w:val="4"/>
        <w:overflowPunct w:val="0"/>
        <w:autoSpaceDE w:val="0"/>
        <w:autoSpaceDN w:val="0"/>
        <w:adjustRightInd w:val="0"/>
        <w:snapToGrid w:val="0"/>
        <w:spacing w:before="120" w:beforeLines="50" w:after="120" w:afterLines="50" w:line="300" w:lineRule="auto"/>
        <w:ind w:firstLine="480"/>
        <w:jc w:val="center"/>
        <w:rPr>
          <w:rFonts w:cs="Times New Roman"/>
          <w:b/>
          <w:bCs/>
          <w:color w:val="auto"/>
          <w:szCs w:val="24"/>
        </w:rPr>
      </w:pPr>
      <w:r>
        <w:rPr>
          <w:rFonts w:cs="Times New Roman"/>
          <w:szCs w:val="24"/>
        </w:rPr>
        <w:br w:type="page"/>
      </w:r>
    </w:p>
    <w:p w14:paraId="3C01D8EE">
      <w:pPr>
        <w:pStyle w:val="4"/>
        <w:overflowPunct w:val="0"/>
        <w:autoSpaceDE w:val="0"/>
        <w:autoSpaceDN w:val="0"/>
        <w:adjustRightInd w:val="0"/>
        <w:snapToGrid w:val="0"/>
        <w:spacing w:before="120" w:beforeLines="50" w:after="120" w:afterLines="50" w:line="300" w:lineRule="auto"/>
        <w:ind w:firstLine="0" w:firstLineChars="0"/>
        <w:jc w:val="center"/>
        <w:rPr>
          <w:rFonts w:cs="Times New Roman"/>
          <w:b/>
          <w:bCs/>
          <w:color w:val="auto"/>
          <w:szCs w:val="24"/>
        </w:rPr>
      </w:pPr>
      <w:r>
        <w:rPr>
          <w:rFonts w:cs="Times New Roman"/>
          <w:b/>
          <w:bCs/>
          <w:color w:val="auto"/>
          <w:szCs w:val="24"/>
        </w:rPr>
        <w:t>SIGNATURE PAGE</w:t>
      </w:r>
    </w:p>
    <w:p w14:paraId="50B0EDDA">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r>
        <w:rPr>
          <w:rFonts w:cs="Times New Roman"/>
          <w:color w:val="auto"/>
          <w:szCs w:val="24"/>
        </w:rPr>
        <w:t>I have read this clinical study protocol (protocol No.: RAY1225-23-03, version No.: 1.1, version date: Jan. 26, 2024). I agree to fulfill my duties in accordance with Chinese laws, the "Declaration of Helsinki", the GCP, and this study protocol, be responsible for initiating, applying, organizing, funding, and monitoring this clinical study, provide financial compensation to subjects who suffer from study-related damage or death in the clinical study, and provide legal and economic guarantees for investigators.</w:t>
      </w:r>
    </w:p>
    <w:p w14:paraId="2EA1A395">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r>
        <w:rPr>
          <w:rFonts w:cs="Times New Roman"/>
          <w:color w:val="auto"/>
          <w:szCs w:val="24"/>
        </w:rPr>
        <w:t>This study can only be implemented after being approved by the ethics committee (EC). I will ensure that the rights and interests of subjects in the clinical study are guaranteed and the study records and reported data are authentic, accurate, and complete. Modifications to this protocol, if necessary, can only be implemented after obtaining approval again or filing consent of the EC, unless actions must be taken to protect the safety, rights, and interests of the subjects.</w:t>
      </w:r>
    </w:p>
    <w:p w14:paraId="0A0D4760">
      <w:pPr>
        <w:pStyle w:val="4"/>
        <w:overflowPunct w:val="0"/>
        <w:autoSpaceDE w:val="0"/>
        <w:autoSpaceDN w:val="0"/>
        <w:adjustRightInd w:val="0"/>
        <w:snapToGrid w:val="0"/>
        <w:spacing w:before="120" w:beforeLines="50" w:after="120" w:afterLines="50" w:line="300" w:lineRule="auto"/>
        <w:ind w:firstLine="360" w:firstLineChars="150"/>
        <w:rPr>
          <w:rFonts w:cs="Times New Roman"/>
          <w:color w:val="auto"/>
          <w:szCs w:val="24"/>
          <w:lang w:val="zh-TW" w:eastAsia="zh-TW"/>
        </w:rPr>
      </w:pPr>
    </w:p>
    <w:p w14:paraId="3A77E2DA">
      <w:pPr>
        <w:pStyle w:val="4"/>
        <w:overflowPunct w:val="0"/>
        <w:autoSpaceDE w:val="0"/>
        <w:autoSpaceDN w:val="0"/>
        <w:adjustRightInd w:val="0"/>
        <w:snapToGrid w:val="0"/>
        <w:spacing w:before="120" w:beforeLines="50" w:after="120" w:afterLines="50" w:line="300" w:lineRule="auto"/>
        <w:ind w:firstLine="360" w:firstLineChars="150"/>
        <w:rPr>
          <w:rFonts w:cs="Times New Roman"/>
          <w:color w:val="auto"/>
          <w:szCs w:val="24"/>
          <w:lang w:val="zh-TW" w:eastAsia="zh-TW"/>
        </w:rPr>
      </w:pPr>
    </w:p>
    <w:p w14:paraId="244688C8">
      <w:pPr>
        <w:pStyle w:val="4"/>
        <w:overflowPunct w:val="0"/>
        <w:autoSpaceDE w:val="0"/>
        <w:autoSpaceDN w:val="0"/>
        <w:adjustRightInd w:val="0"/>
        <w:snapToGrid w:val="0"/>
        <w:spacing w:before="120" w:beforeLines="50" w:after="120" w:afterLines="50" w:line="300" w:lineRule="auto"/>
        <w:ind w:firstLine="360" w:firstLineChars="150"/>
        <w:rPr>
          <w:rFonts w:cs="Times New Roman"/>
          <w:color w:val="auto"/>
          <w:szCs w:val="24"/>
          <w:lang w:val="zh-TW" w:eastAsia="zh-TW"/>
        </w:rPr>
      </w:pPr>
    </w:p>
    <w:p w14:paraId="40FA345A">
      <w:pPr>
        <w:pStyle w:val="4"/>
        <w:overflowPunct w:val="0"/>
        <w:autoSpaceDE w:val="0"/>
        <w:autoSpaceDN w:val="0"/>
        <w:adjustRightInd w:val="0"/>
        <w:snapToGrid w:val="0"/>
        <w:spacing w:before="120" w:beforeLines="50" w:after="120" w:afterLines="50" w:line="300" w:lineRule="auto"/>
        <w:ind w:firstLine="360" w:firstLineChars="150"/>
        <w:rPr>
          <w:rFonts w:cs="Times New Roman"/>
          <w:color w:val="auto"/>
          <w:szCs w:val="24"/>
          <w:lang w:val="zh-TW" w:eastAsia="zh-TW"/>
        </w:rPr>
      </w:pPr>
    </w:p>
    <w:p w14:paraId="59B73669">
      <w:pPr>
        <w:pStyle w:val="4"/>
        <w:overflowPunct w:val="0"/>
        <w:autoSpaceDE w:val="0"/>
        <w:autoSpaceDN w:val="0"/>
        <w:adjustRightInd w:val="0"/>
        <w:snapToGrid w:val="0"/>
        <w:spacing w:before="120" w:beforeLines="50" w:after="120" w:afterLines="50" w:line="300" w:lineRule="auto"/>
        <w:ind w:firstLine="360" w:firstLineChars="150"/>
        <w:rPr>
          <w:rFonts w:cs="Times New Roman"/>
          <w:color w:val="auto"/>
          <w:szCs w:val="24"/>
          <w:lang w:val="zh-TW" w:eastAsia="zh-TW"/>
        </w:rPr>
      </w:pPr>
    </w:p>
    <w:p w14:paraId="64AF528D">
      <w:pPr>
        <w:pStyle w:val="4"/>
        <w:overflowPunct w:val="0"/>
        <w:autoSpaceDE w:val="0"/>
        <w:autoSpaceDN w:val="0"/>
        <w:adjustRightInd w:val="0"/>
        <w:snapToGrid w:val="0"/>
        <w:spacing w:before="120" w:beforeLines="50" w:after="120" w:afterLines="50" w:line="300" w:lineRule="auto"/>
        <w:ind w:firstLine="360" w:firstLineChars="150"/>
        <w:rPr>
          <w:rFonts w:cs="Times New Roman"/>
          <w:color w:val="auto"/>
          <w:szCs w:val="24"/>
          <w:lang w:val="zh-TW" w:eastAsia="zh-TW"/>
        </w:rPr>
      </w:pPr>
    </w:p>
    <w:p w14:paraId="34FEE774">
      <w:pPr>
        <w:pStyle w:val="4"/>
        <w:overflowPunct w:val="0"/>
        <w:autoSpaceDE w:val="0"/>
        <w:autoSpaceDN w:val="0"/>
        <w:adjustRightInd w:val="0"/>
        <w:snapToGrid w:val="0"/>
        <w:spacing w:before="120" w:beforeLines="50" w:after="120" w:afterLines="50" w:line="300" w:lineRule="auto"/>
        <w:ind w:firstLine="360" w:firstLineChars="150"/>
        <w:jc w:val="right"/>
        <w:rPr>
          <w:rFonts w:cs="Times New Roman"/>
          <w:color w:val="auto"/>
          <w:szCs w:val="24"/>
          <w:lang w:val="zh-TW" w:eastAsia="zh-TW"/>
        </w:rPr>
      </w:pPr>
    </w:p>
    <w:p w14:paraId="32022D20">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r>
        <w:rPr>
          <w:rFonts w:cs="Times New Roman"/>
          <w:color w:val="auto"/>
          <w:szCs w:val="24"/>
        </w:rPr>
        <w:t xml:space="preserve">Sponsor: </w:t>
      </w:r>
      <w:r>
        <w:rPr>
          <w:rFonts w:cs="Times New Roman"/>
          <w:bCs/>
          <w:color w:val="auto"/>
          <w:szCs w:val="24"/>
        </w:rPr>
        <w:t>Guangdong Raynovent Biotech Co., Ltd.</w:t>
      </w:r>
    </w:p>
    <w:p w14:paraId="1889F241">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r>
        <w:rPr>
          <w:rFonts w:cs="Times New Roman"/>
          <w:color w:val="auto"/>
          <w:szCs w:val="24"/>
        </w:rPr>
        <w:t>Address: Room 501, Building D, No. 288, Shenzhou Road, Huangpu District, Guangzhou, China</w:t>
      </w:r>
    </w:p>
    <w:p w14:paraId="7F1F61FB">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r>
        <w:rPr>
          <w:rFonts w:cs="Times New Roman"/>
          <w:color w:val="auto"/>
          <w:szCs w:val="24"/>
        </w:rPr>
        <w:t>Sponsor's Representative (print): Li Jing</w:t>
      </w:r>
    </w:p>
    <w:p w14:paraId="207B31B6">
      <w:pPr>
        <w:pStyle w:val="4"/>
        <w:overflowPunct w:val="0"/>
        <w:autoSpaceDE w:val="0"/>
        <w:autoSpaceDN w:val="0"/>
        <w:adjustRightInd w:val="0"/>
        <w:snapToGrid w:val="0"/>
        <w:spacing w:before="120" w:beforeLines="50" w:after="120" w:afterLines="50" w:line="300" w:lineRule="auto"/>
        <w:ind w:firstLine="480"/>
        <w:rPr>
          <w:rFonts w:cs="Times New Roman"/>
          <w:color w:val="auto"/>
          <w:szCs w:val="24"/>
        </w:rPr>
      </w:pPr>
    </w:p>
    <w:p w14:paraId="61228A85">
      <w:pPr>
        <w:pStyle w:val="4"/>
        <w:overflowPunct w:val="0"/>
        <w:autoSpaceDE w:val="0"/>
        <w:autoSpaceDN w:val="0"/>
        <w:adjustRightInd w:val="0"/>
        <w:snapToGrid w:val="0"/>
        <w:spacing w:before="120" w:beforeLines="50" w:after="120" w:afterLines="50" w:line="300" w:lineRule="auto"/>
        <w:ind w:firstLine="480"/>
        <w:rPr>
          <w:rFonts w:cs="Times New Roman"/>
          <w:color w:val="auto"/>
          <w:szCs w:val="24"/>
          <w:u w:val="single"/>
        </w:rPr>
      </w:pPr>
    </w:p>
    <w:p w14:paraId="71FEC720">
      <w:pPr>
        <w:tabs>
          <w:tab w:val="left" w:pos="4452"/>
        </w:tabs>
        <w:overflowPunct w:val="0"/>
        <w:autoSpaceDE w:val="0"/>
        <w:autoSpaceDN w:val="0"/>
        <w:adjustRightInd w:val="0"/>
        <w:snapToGrid w:val="0"/>
        <w:spacing w:before="120" w:beforeLines="50" w:after="120" w:afterLines="50" w:line="300" w:lineRule="auto"/>
      </w:pPr>
      <w:r>
        <w:t xml:space="preserve">(Signature): _______________ </w:t>
      </w:r>
      <w:r>
        <w:tab/>
      </w:r>
      <w:r>
        <w:t>Signature Date: ________ (MMM/DD/YYYY)</w:t>
      </w:r>
    </w:p>
    <w:p w14:paraId="562A1B06">
      <w:pPr>
        <w:pStyle w:val="4"/>
        <w:overflowPunct w:val="0"/>
        <w:autoSpaceDE w:val="0"/>
        <w:autoSpaceDN w:val="0"/>
        <w:adjustRightInd w:val="0"/>
        <w:snapToGrid w:val="0"/>
        <w:spacing w:before="120" w:beforeLines="50" w:after="120" w:afterLines="50" w:line="300" w:lineRule="auto"/>
        <w:ind w:firstLine="480"/>
        <w:rPr>
          <w:rFonts w:cs="Times New Roman"/>
          <w:color w:val="auto"/>
          <w:szCs w:val="24"/>
        </w:rPr>
      </w:pPr>
    </w:p>
    <w:p w14:paraId="285B8D86">
      <w:pPr>
        <w:pStyle w:val="4"/>
        <w:overflowPunct w:val="0"/>
        <w:autoSpaceDE w:val="0"/>
        <w:autoSpaceDN w:val="0"/>
        <w:adjustRightInd w:val="0"/>
        <w:snapToGrid w:val="0"/>
        <w:spacing w:before="120" w:beforeLines="50" w:after="120" w:afterLines="50" w:line="300" w:lineRule="auto"/>
        <w:ind w:firstLine="360" w:firstLineChars="150"/>
        <w:rPr>
          <w:rFonts w:cs="Times New Roman"/>
          <w:color w:val="auto"/>
          <w:szCs w:val="24"/>
        </w:rPr>
      </w:pPr>
      <w:r>
        <w:rPr>
          <w:rFonts w:cs="Times New Roman"/>
          <w:szCs w:val="24"/>
        </w:rPr>
        <w:br w:type="page"/>
      </w:r>
    </w:p>
    <w:p w14:paraId="12A6E81B">
      <w:pPr>
        <w:pStyle w:val="4"/>
        <w:overflowPunct w:val="0"/>
        <w:autoSpaceDE w:val="0"/>
        <w:autoSpaceDN w:val="0"/>
        <w:adjustRightInd w:val="0"/>
        <w:snapToGrid w:val="0"/>
        <w:spacing w:before="120" w:beforeLines="50" w:after="120" w:afterLines="50" w:line="300" w:lineRule="auto"/>
        <w:ind w:firstLine="480"/>
        <w:rPr>
          <w:rFonts w:cs="Times New Roman"/>
          <w:color w:val="auto"/>
          <w:szCs w:val="24"/>
        </w:rPr>
        <w:sectPr>
          <w:footerReference r:id="rId11" w:type="first"/>
          <w:footerReference r:id="rId10" w:type="default"/>
          <w:pgSz w:w="12240" w:h="15840"/>
          <w:pgMar w:top="1440" w:right="1440" w:bottom="1440" w:left="1440" w:header="720" w:footer="720" w:gutter="0"/>
          <w:pgNumType w:start="1"/>
          <w:cols w:space="0" w:num="1"/>
          <w:titlePg/>
          <w:docGrid w:linePitch="326" w:charSpace="0"/>
        </w:sectPr>
      </w:pPr>
    </w:p>
    <w:sdt>
      <w:sdtPr>
        <w:rPr>
          <w:rFonts w:eastAsia="宋体"/>
          <w:b w:val="0"/>
          <w:bCs w:val="0"/>
          <w:sz w:val="24"/>
          <w:szCs w:val="24"/>
        </w:rPr>
        <w:id w:val="147480490"/>
        <w15:color w:val="DBDBDB"/>
        <w:docPartObj>
          <w:docPartGallery w:val="Table of Contents"/>
          <w:docPartUnique/>
        </w:docPartObj>
      </w:sdtPr>
      <w:sdtEndPr>
        <w:rPr>
          <w:rFonts w:eastAsia="宋体"/>
          <w:b w:val="0"/>
          <w:bCs w:val="0"/>
          <w:sz w:val="24"/>
          <w:szCs w:val="24"/>
        </w:rPr>
      </w:sdtEndPr>
      <w:sdtContent>
        <w:p w14:paraId="4E8942FC">
          <w:pPr>
            <w:pStyle w:val="194"/>
            <w:rPr>
              <w:rFonts w:eastAsia="宋体"/>
            </w:rPr>
          </w:pPr>
          <w:bookmarkStart w:id="3" w:name="_Toc159596215"/>
          <w:bookmarkStart w:id="4" w:name="_Toc119348434"/>
          <w:bookmarkStart w:id="5" w:name="_Toc156062948"/>
          <w:bookmarkStart w:id="6" w:name="_Toc120302865"/>
          <w:bookmarkStart w:id="7" w:name="_Toc119348075"/>
          <w:bookmarkStart w:id="8" w:name="_Toc129459468"/>
          <w:r>
            <w:t>TABLE OF CONTENTS</w:t>
          </w:r>
          <w:bookmarkEnd w:id="3"/>
          <w:bookmarkEnd w:id="4"/>
          <w:bookmarkEnd w:id="5"/>
          <w:bookmarkEnd w:id="6"/>
          <w:bookmarkEnd w:id="7"/>
          <w:bookmarkEnd w:id="8"/>
        </w:p>
        <w:p w14:paraId="77F06786">
          <w:pPr>
            <w:pStyle w:val="29"/>
            <w:ind w:left="480" w:hanging="480"/>
            <w:rPr>
              <w:rFonts w:asciiTheme="minorHAnsi" w:hAnsiTheme="minorHAnsi" w:eastAsiaTheme="minorEastAsia" w:cstheme="minorBidi"/>
              <w:b w:val="0"/>
              <w:color w:val="auto"/>
              <w:sz w:val="21"/>
              <w:szCs w:val="22"/>
              <w14:ligatures w14:val="standardContextual"/>
            </w:rPr>
          </w:pPr>
          <w:r>
            <w:rPr>
              <w:b w:val="0"/>
            </w:rPr>
            <w:fldChar w:fldCharType="begin"/>
          </w:r>
          <w:r>
            <w:rPr>
              <w:b w:val="0"/>
            </w:rPr>
            <w:instrText xml:space="preserve"> TOC \h \z \t "标题 1,1,标题 2,2,标题 3,3,A0,1,F,4" </w:instrText>
          </w:r>
          <w:r>
            <w:rPr>
              <w:b w:val="0"/>
            </w:rPr>
            <w:fldChar w:fldCharType="separate"/>
          </w:r>
          <w:r>
            <w:fldChar w:fldCharType="begin"/>
          </w:r>
          <w:r>
            <w:instrText xml:space="preserve"> HYPERLINK \l "_Toc159596215" </w:instrText>
          </w:r>
          <w:r>
            <w:fldChar w:fldCharType="separate"/>
          </w:r>
          <w:r>
            <w:rPr>
              <w:rStyle w:val="49"/>
            </w:rPr>
            <w:t>TABLE OF CONTENTS</w:t>
          </w:r>
          <w:r>
            <w:tab/>
          </w:r>
          <w:r>
            <w:fldChar w:fldCharType="begin"/>
          </w:r>
          <w:r>
            <w:instrText xml:space="preserve"> PAGEREF _Toc159596215 \h </w:instrText>
          </w:r>
          <w:r>
            <w:fldChar w:fldCharType="separate"/>
          </w:r>
          <w:r>
            <w:t>1</w:t>
          </w:r>
          <w:r>
            <w:fldChar w:fldCharType="end"/>
          </w:r>
          <w:r>
            <w:fldChar w:fldCharType="end"/>
          </w:r>
        </w:p>
        <w:p w14:paraId="5CC089B2">
          <w:pPr>
            <w:pStyle w:val="29"/>
            <w:ind w:left="482" w:hanging="482"/>
            <w:rPr>
              <w:rFonts w:asciiTheme="minorHAnsi" w:hAnsiTheme="minorHAnsi" w:eastAsiaTheme="minorEastAsia" w:cstheme="minorBidi"/>
              <w:b w:val="0"/>
              <w:color w:val="auto"/>
              <w:sz w:val="21"/>
              <w:szCs w:val="22"/>
              <w14:ligatures w14:val="standardContextual"/>
            </w:rPr>
          </w:pPr>
          <w:r>
            <w:fldChar w:fldCharType="begin"/>
          </w:r>
          <w:r>
            <w:instrText xml:space="preserve"> HYPERLINK \l "_Toc159596216" </w:instrText>
          </w:r>
          <w:r>
            <w:fldChar w:fldCharType="separate"/>
          </w:r>
          <w:r>
            <w:rPr>
              <w:rStyle w:val="49"/>
            </w:rPr>
            <w:t>SYNOPSIS</w:t>
          </w:r>
          <w:r>
            <w:tab/>
          </w:r>
          <w:r>
            <w:fldChar w:fldCharType="begin"/>
          </w:r>
          <w:r>
            <w:instrText xml:space="preserve"> PAGEREF _Toc159596216 \h </w:instrText>
          </w:r>
          <w:r>
            <w:fldChar w:fldCharType="separate"/>
          </w:r>
          <w:r>
            <w:t>7</w:t>
          </w:r>
          <w:r>
            <w:fldChar w:fldCharType="end"/>
          </w:r>
          <w:r>
            <w:fldChar w:fldCharType="end"/>
          </w:r>
        </w:p>
        <w:p w14:paraId="616F61FB">
          <w:pPr>
            <w:pStyle w:val="29"/>
            <w:ind w:left="482" w:hanging="482"/>
            <w:rPr>
              <w:rFonts w:asciiTheme="minorHAnsi" w:hAnsiTheme="minorHAnsi" w:eastAsiaTheme="minorEastAsia" w:cstheme="minorBidi"/>
              <w:b w:val="0"/>
              <w:color w:val="auto"/>
              <w:sz w:val="21"/>
              <w:szCs w:val="22"/>
              <w14:ligatures w14:val="standardContextual"/>
            </w:rPr>
          </w:pPr>
          <w:r>
            <w:fldChar w:fldCharType="begin"/>
          </w:r>
          <w:r>
            <w:instrText xml:space="preserve"> HYPERLINK \l "_Toc159596217" </w:instrText>
          </w:r>
          <w:r>
            <w:fldChar w:fldCharType="separate"/>
          </w:r>
          <w:r>
            <w:rPr>
              <w:rStyle w:val="49"/>
            </w:rPr>
            <w:t>ABBREVIATIONS AND TERMS</w:t>
          </w:r>
          <w:r>
            <w:tab/>
          </w:r>
          <w:r>
            <w:fldChar w:fldCharType="begin"/>
          </w:r>
          <w:r>
            <w:instrText xml:space="preserve"> PAGEREF _Toc159596217 \h </w:instrText>
          </w:r>
          <w:r>
            <w:fldChar w:fldCharType="separate"/>
          </w:r>
          <w:r>
            <w:t>22</w:t>
          </w:r>
          <w:r>
            <w:fldChar w:fldCharType="end"/>
          </w:r>
          <w:r>
            <w:fldChar w:fldCharType="end"/>
          </w:r>
        </w:p>
        <w:p w14:paraId="090EBEBE">
          <w:pPr>
            <w:pStyle w:val="29"/>
            <w:ind w:left="482" w:hanging="482"/>
            <w:rPr>
              <w:rFonts w:asciiTheme="minorHAnsi" w:hAnsiTheme="minorHAnsi" w:eastAsiaTheme="minorEastAsia" w:cstheme="minorBidi"/>
              <w:b w:val="0"/>
              <w:color w:val="auto"/>
              <w:sz w:val="21"/>
              <w:szCs w:val="22"/>
              <w14:ligatures w14:val="standardContextual"/>
            </w:rPr>
          </w:pPr>
          <w:r>
            <w:fldChar w:fldCharType="begin"/>
          </w:r>
          <w:r>
            <w:instrText xml:space="preserve"> HYPERLINK \l "_Toc159596218" </w:instrText>
          </w:r>
          <w:r>
            <w:fldChar w:fldCharType="separate"/>
          </w:r>
          <w:r>
            <w:rPr>
              <w:rStyle w:val="49"/>
            </w:rPr>
            <w:t>1</w:t>
          </w:r>
          <w:r>
            <w:rPr>
              <w:rFonts w:asciiTheme="minorHAnsi" w:hAnsiTheme="minorHAnsi" w:eastAsiaTheme="minorEastAsia" w:cstheme="minorBidi"/>
              <w:b w:val="0"/>
              <w:color w:val="auto"/>
              <w:sz w:val="21"/>
              <w:szCs w:val="22"/>
              <w14:ligatures w14:val="standardContextual"/>
            </w:rPr>
            <w:tab/>
          </w:r>
          <w:r>
            <w:rPr>
              <w:rStyle w:val="49"/>
            </w:rPr>
            <w:t>RESEARCH BACKGROUND</w:t>
          </w:r>
          <w:r>
            <w:tab/>
          </w:r>
          <w:r>
            <w:fldChar w:fldCharType="begin"/>
          </w:r>
          <w:r>
            <w:instrText xml:space="preserve"> PAGEREF _Toc159596218 \h </w:instrText>
          </w:r>
          <w:r>
            <w:fldChar w:fldCharType="separate"/>
          </w:r>
          <w:r>
            <w:t>24</w:t>
          </w:r>
          <w:r>
            <w:fldChar w:fldCharType="end"/>
          </w:r>
          <w:r>
            <w:fldChar w:fldCharType="end"/>
          </w:r>
        </w:p>
        <w:p w14:paraId="15B8295C">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"_Toc159596219" </w:instrText>
          </w:r>
          <w:r>
            <w:fldChar w:fldCharType="separate"/>
          </w:r>
          <w:r>
            <w:rPr>
              <w:rStyle w:val="49"/>
            </w:rPr>
            <w:t>1.1</w:t>
          </w:r>
          <w:r>
            <w:rPr>
              <w:rFonts w:asciiTheme="minorHAnsi" w:hAnsiTheme="minorHAnsi" w:eastAsiaTheme="minorEastAsia" w:cstheme="minorBidi"/>
              <w:color w:val="auto"/>
              <w:sz w:val="21"/>
              <w:szCs w:val="22"/>
              <w14:ligatures w14:val="standardContextual"/>
            </w:rPr>
            <w:tab/>
          </w:r>
          <w:r>
            <w:rPr>
              <w:rStyle w:val="49"/>
            </w:rPr>
            <w:t>Overview of Investigational Drug and Diseases</w:t>
          </w:r>
          <w:r>
            <w:tab/>
          </w:r>
          <w:r>
            <w:fldChar w:fldCharType="begin"/>
          </w:r>
          <w:r>
            <w:instrText xml:space="preserve"> PAGEREF _Toc159596219 \h </w:instrText>
          </w:r>
          <w:r>
            <w:fldChar w:fldCharType="separate"/>
          </w:r>
          <w:r>
            <w:t>24</w:t>
          </w:r>
          <w:r>
            <w:fldChar w:fldCharType="end"/>
          </w:r>
          <w:r>
            <w:fldChar w:fldCharType="end"/>
          </w:r>
        </w:p>
        <w:p w14:paraId="551779F3">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"_Toc159596220" </w:instrText>
          </w:r>
          <w:r>
            <w:fldChar w:fldCharType="separate"/>
          </w:r>
          <w:r>
            <w:rPr>
              <w:rStyle w:val="49"/>
            </w:rPr>
            <w:t>1.2</w:t>
          </w:r>
          <w:r>
            <w:rPr>
              <w:rFonts w:asciiTheme="minorHAnsi" w:hAnsiTheme="minorHAnsi" w:eastAsiaTheme="minorEastAsia" w:cstheme="minorBidi"/>
              <w:color w:val="auto"/>
              <w:sz w:val="21"/>
              <w:szCs w:val="22"/>
              <w14:ligatures w14:val="standardContextual"/>
            </w:rPr>
            <w:tab/>
          </w:r>
          <w:r>
            <w:rPr>
              <w:rStyle w:val="49"/>
            </w:rPr>
            <w:t>Nonclinical Studies</w:t>
          </w:r>
          <w:r>
            <w:tab/>
          </w:r>
          <w:r>
            <w:fldChar w:fldCharType="begin"/>
          </w:r>
          <w:r>
            <w:instrText xml:space="preserve"> PAGEREF _Toc159596220 \h </w:instrText>
          </w:r>
          <w:r>
            <w:fldChar w:fldCharType="separate"/>
          </w:r>
          <w:r>
            <w:t>26</w:t>
          </w:r>
          <w:r>
            <w:fldChar w:fldCharType="end"/>
          </w:r>
          <w:r>
            <w:fldChar w:fldCharType="end"/>
          </w:r>
        </w:p>
        <w:p w14:paraId="00AE3CB8">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"_Toc159596221" </w:instrText>
          </w:r>
          <w:r>
            <w:fldChar w:fldCharType="separate"/>
          </w:r>
          <w:r>
            <w:rPr>
              <w:rStyle w:val="49"/>
            </w:rPr>
            <w:t>1.2.1</w:t>
          </w:r>
          <w:r>
            <w:rPr>
              <w:rFonts w:asciiTheme="minorHAnsi" w:hAnsiTheme="minorHAnsi" w:eastAsiaTheme="minorEastAsia" w:cstheme="minorBidi"/>
              <w:color w:val="auto"/>
              <w:sz w:val="21"/>
              <w:szCs w:val="22"/>
              <w14:ligatures w14:val="standardContextual"/>
            </w:rPr>
            <w:tab/>
          </w:r>
          <w:r>
            <w:rPr>
              <w:rStyle w:val="49"/>
            </w:rPr>
            <w:t>Pharmacodynamic evaluation</w:t>
          </w:r>
          <w:r>
            <w:tab/>
          </w:r>
          <w:r>
            <w:fldChar w:fldCharType="begin"/>
          </w:r>
          <w:r>
            <w:instrText xml:space="preserve"> PAGEREF _Toc159596221 \h </w:instrText>
          </w:r>
          <w:r>
            <w:fldChar w:fldCharType="separate"/>
          </w:r>
          <w:r>
            <w:t>26</w:t>
          </w:r>
          <w:r>
            <w:fldChar w:fldCharType="end"/>
          </w:r>
          <w:r>
            <w:fldChar w:fldCharType="end"/>
          </w:r>
        </w:p>
        <w:p w14:paraId="375BFF5D">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"_Toc159596222" </w:instrText>
          </w:r>
          <w:r>
            <w:fldChar w:fldCharType="separate"/>
          </w:r>
          <w:r>
            <w:rPr>
              <w:rStyle w:val="49"/>
            </w:rPr>
            <w:t>1.2.2</w:t>
          </w:r>
          <w:r>
            <w:rPr>
              <w:rFonts w:asciiTheme="minorHAnsi" w:hAnsiTheme="minorHAnsi" w:eastAsiaTheme="minorEastAsia" w:cstheme="minorBidi"/>
              <w:color w:val="auto"/>
              <w:sz w:val="21"/>
              <w:szCs w:val="22"/>
              <w14:ligatures w14:val="standardContextual"/>
            </w:rPr>
            <w:tab/>
          </w:r>
          <w:r>
            <w:rPr>
              <w:rStyle w:val="49"/>
            </w:rPr>
            <w:t>Pharmacokinetics</w:t>
          </w:r>
          <w:r>
            <w:tab/>
          </w:r>
          <w:r>
            <w:fldChar w:fldCharType="begin"/>
          </w:r>
          <w:r>
            <w:instrText xml:space="preserve"> PAGEREF _Toc159596222 \h </w:instrText>
          </w:r>
          <w:r>
            <w:fldChar w:fldCharType="separate"/>
          </w:r>
          <w:r>
            <w:t>27</w:t>
          </w:r>
          <w:r>
            <w:fldChar w:fldCharType="end"/>
          </w:r>
          <w:r>
            <w:fldChar w:fldCharType="end"/>
          </w:r>
        </w:p>
        <w:p w14:paraId="5F60662E">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"_Toc159596223" </w:instrText>
          </w:r>
          <w:r>
            <w:fldChar w:fldCharType="separate"/>
          </w:r>
          <w:r>
            <w:rPr>
              <w:rStyle w:val="49"/>
            </w:rPr>
            <w:t>1.2.3</w:t>
          </w:r>
          <w:r>
            <w:rPr>
              <w:rFonts w:asciiTheme="minorHAnsi" w:hAnsiTheme="minorHAnsi" w:eastAsiaTheme="minorEastAsia" w:cstheme="minorBidi"/>
              <w:color w:val="auto"/>
              <w:sz w:val="21"/>
              <w:szCs w:val="22"/>
              <w14:ligatures w14:val="standardContextual"/>
            </w:rPr>
            <w:tab/>
          </w:r>
          <w:r>
            <w:rPr>
              <w:rStyle w:val="49"/>
            </w:rPr>
            <w:t>Safety evaluation</w:t>
          </w:r>
          <w:r>
            <w:tab/>
          </w:r>
          <w:r>
            <w:fldChar w:fldCharType="begin"/>
          </w:r>
          <w:r>
            <w:instrText xml:space="preserve"> PAGEREF _Toc159596223 \h </w:instrText>
          </w:r>
          <w:r>
            <w:fldChar w:fldCharType="separate"/>
          </w:r>
          <w:r>
            <w:t>28</w:t>
          </w:r>
          <w:r>
            <w:fldChar w:fldCharType="end"/>
          </w:r>
          <w:r>
            <w:fldChar w:fldCharType="end"/>
          </w:r>
        </w:p>
        <w:p w14:paraId="103CDE63">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"_Toc159596224" </w:instrText>
          </w:r>
          <w:r>
            <w:fldChar w:fldCharType="separate"/>
          </w:r>
          <w:r>
            <w:rPr>
              <w:rStyle w:val="49"/>
            </w:rPr>
            <w:t>1.3</w:t>
          </w:r>
          <w:r>
            <w:rPr>
              <w:rFonts w:asciiTheme="minorHAnsi" w:hAnsiTheme="minorHAnsi" w:eastAsiaTheme="minorEastAsia" w:cstheme="minorBidi"/>
              <w:color w:val="auto"/>
              <w:sz w:val="21"/>
              <w:szCs w:val="22"/>
              <w14:ligatures w14:val="standardContextual"/>
            </w:rPr>
            <w:tab/>
          </w:r>
          <w:r>
            <w:rPr>
              <w:rStyle w:val="49"/>
            </w:rPr>
            <w:t>Preliminary Clinical Studies</w:t>
          </w:r>
          <w:r>
            <w:tab/>
          </w:r>
          <w:r>
            <w:fldChar w:fldCharType="begin"/>
          </w:r>
          <w:r>
            <w:instrText xml:space="preserve"> PAGEREF _Toc159596224 \h </w:instrText>
          </w:r>
          <w:r>
            <w:fldChar w:fldCharType="separate"/>
          </w:r>
          <w:r>
            <w:t>30</w:t>
          </w:r>
          <w:r>
            <w:fldChar w:fldCharType="end"/>
          </w:r>
          <w:r>
            <w:fldChar w:fldCharType="end"/>
          </w:r>
        </w:p>
        <w:p w14:paraId="0A2C301E">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"_Toc159596225" </w:instrText>
          </w:r>
          <w:r>
            <w:fldChar w:fldCharType="separate"/>
          </w:r>
          <w:r>
            <w:rPr>
              <w:rStyle w:val="49"/>
            </w:rPr>
            <w:t>1.3.1</w:t>
          </w:r>
          <w:r>
            <w:rPr>
              <w:rFonts w:asciiTheme="minorHAnsi" w:hAnsiTheme="minorHAnsi" w:eastAsiaTheme="minorEastAsia" w:cstheme="minorBidi"/>
              <w:color w:val="auto"/>
              <w:sz w:val="21"/>
              <w:szCs w:val="22"/>
              <w14:ligatures w14:val="standardContextual"/>
            </w:rPr>
            <w:tab/>
          </w:r>
          <w:r>
            <w:rPr>
              <w:rStyle w:val="49"/>
            </w:rPr>
            <w:t>Phase I single/multiple ascending dose clinical study (RAY1225-22-01)</w:t>
          </w:r>
          <w:r>
            <w:tab/>
          </w:r>
          <w:r>
            <w:fldChar w:fldCharType="begin"/>
          </w:r>
          <w:r>
            <w:instrText xml:space="preserve"> PAGEREF _Toc159596225 \h </w:instrText>
          </w:r>
          <w:r>
            <w:fldChar w:fldCharType="separate"/>
          </w:r>
          <w:r>
            <w:t>30</w:t>
          </w:r>
          <w:r>
            <w:fldChar w:fldCharType="end"/>
          </w:r>
          <w:r>
            <w:fldChar w:fldCharType="end"/>
          </w:r>
        </w:p>
        <w:p w14:paraId="5C3EB28F">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"_Toc159596226" </w:instrText>
          </w:r>
          <w:r>
            <w:fldChar w:fldCharType="separate"/>
          </w:r>
          <w:r>
            <w:rPr>
              <w:rStyle w:val="49"/>
            </w:rPr>
            <w:t>1.4</w:t>
          </w:r>
          <w:r>
            <w:rPr>
              <w:rFonts w:asciiTheme="minorHAnsi" w:hAnsiTheme="minorHAnsi" w:eastAsiaTheme="minorEastAsia" w:cstheme="minorBidi"/>
              <w:color w:val="auto"/>
              <w:sz w:val="21"/>
              <w:szCs w:val="22"/>
              <w14:ligatures w14:val="standardContextual"/>
            </w:rPr>
            <w:tab/>
          </w:r>
          <w:r>
            <w:rPr>
              <w:rStyle w:val="49"/>
            </w:rPr>
            <w:t>Overall Risk/Benefit Assessment</w:t>
          </w:r>
          <w:r>
            <w:tab/>
          </w:r>
          <w:r>
            <w:fldChar w:fldCharType="begin"/>
          </w:r>
          <w:r>
            <w:instrText xml:space="preserve"> PAGEREF _Toc159596226 \h </w:instrText>
          </w:r>
          <w:r>
            <w:fldChar w:fldCharType="separate"/>
          </w:r>
          <w:r>
            <w:t>31</w:t>
          </w:r>
          <w:r>
            <w:fldChar w:fldCharType="end"/>
          </w:r>
          <w:r>
            <w:fldChar w:fldCharType="end"/>
          </w:r>
        </w:p>
        <w:p w14:paraId="6C54F29C">
          <w:pPr>
            <w:pStyle w:val="29"/>
            <w:ind w:left="482" w:hanging="482"/>
            <w:rPr>
              <w:rFonts w:asciiTheme="minorHAnsi" w:hAnsiTheme="minorHAnsi" w:eastAsiaTheme="minorEastAsia" w:cstheme="minorBidi"/>
              <w:b w:val="0"/>
              <w:color w:val="auto"/>
              <w:sz w:val="21"/>
              <w:szCs w:val="22"/>
              <w14:ligatures w14:val="standardContextual"/>
            </w:rPr>
          </w:pPr>
          <w:r>
            <w:fldChar w:fldCharType="begin"/>
          </w:r>
          <w:r>
            <w:instrText xml:space="preserve"> HYPERLINK \l "_Toc159596227" </w:instrText>
          </w:r>
          <w:r>
            <w:fldChar w:fldCharType="separate"/>
          </w:r>
          <w:r>
            <w:rPr>
              <w:rStyle w:val="49"/>
            </w:rPr>
            <w:t>2</w:t>
          </w:r>
          <w:r>
            <w:rPr>
              <w:rFonts w:asciiTheme="minorHAnsi" w:hAnsiTheme="minorHAnsi" w:eastAsiaTheme="minorEastAsia" w:cstheme="minorBidi"/>
              <w:b w:val="0"/>
              <w:color w:val="auto"/>
              <w:sz w:val="21"/>
              <w:szCs w:val="22"/>
              <w14:ligatures w14:val="standardContextual"/>
            </w:rPr>
            <w:tab/>
          </w:r>
          <w:r>
            <w:rPr>
              <w:rStyle w:val="49"/>
            </w:rPr>
            <w:t>STUDY OBJECTIVES AND STUDY ENDPOINTS</w:t>
          </w:r>
          <w:r>
            <w:tab/>
          </w:r>
          <w:r>
            <w:fldChar w:fldCharType="begin"/>
          </w:r>
          <w:r>
            <w:instrText xml:space="preserve"> PAGEREF _Toc159596227 \h </w:instrText>
          </w:r>
          <w:r>
            <w:fldChar w:fldCharType="separate"/>
          </w:r>
          <w:r>
            <w:t>33</w:t>
          </w:r>
          <w:r>
            <w:fldChar w:fldCharType="end"/>
          </w:r>
          <w:r>
            <w:fldChar w:fldCharType="end"/>
          </w:r>
        </w:p>
        <w:p w14:paraId="11EC42A3">
          <w:pPr>
            <w:pStyle w:val="29"/>
            <w:ind w:left="482" w:hanging="482"/>
            <w:rPr>
              <w:rFonts w:asciiTheme="minorHAnsi" w:hAnsiTheme="minorHAnsi" w:eastAsiaTheme="minorEastAsia" w:cstheme="minorBidi"/>
              <w:b w:val="0"/>
              <w:color w:val="auto"/>
              <w:sz w:val="21"/>
              <w:szCs w:val="22"/>
              <w14:ligatures w14:val="standardContextual"/>
            </w:rPr>
          </w:pPr>
          <w:r>
            <w:fldChar w:fldCharType="begin"/>
          </w:r>
          <w:r>
            <w:instrText xml:space="preserve"> HYPERLINK \l "_Toc159596228" </w:instrText>
          </w:r>
          <w:r>
            <w:fldChar w:fldCharType="separate"/>
          </w:r>
          <w:r>
            <w:rPr>
              <w:rStyle w:val="49"/>
            </w:rPr>
            <w:t>3</w:t>
          </w:r>
          <w:r>
            <w:rPr>
              <w:rFonts w:asciiTheme="minorHAnsi" w:hAnsiTheme="minorHAnsi" w:eastAsiaTheme="minorEastAsia" w:cstheme="minorBidi"/>
              <w:b w:val="0"/>
              <w:color w:val="auto"/>
              <w:sz w:val="21"/>
              <w:szCs w:val="22"/>
              <w14:ligatures w14:val="standardContextual"/>
            </w:rPr>
            <w:tab/>
          </w:r>
          <w:r>
            <w:rPr>
              <w:rStyle w:val="49"/>
            </w:rPr>
            <w:t>STUDY DESIGN</w:t>
          </w:r>
          <w:r>
            <w:tab/>
          </w:r>
          <w:r>
            <w:fldChar w:fldCharType="begin"/>
          </w:r>
          <w:r>
            <w:instrText xml:space="preserve"> PAGEREF _Toc159596228 \h </w:instrText>
          </w:r>
          <w:r>
            <w:fldChar w:fldCharType="separate"/>
          </w:r>
          <w:r>
            <w:t>33</w:t>
          </w:r>
          <w:r>
            <w:fldChar w:fldCharType="end"/>
          </w:r>
          <w:r>
            <w:fldChar w:fldCharType="end"/>
          </w:r>
        </w:p>
        <w:p w14:paraId="2FC51359">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"_Toc159596229" </w:instrText>
          </w:r>
          <w:r>
            <w:fldChar w:fldCharType="separate"/>
          </w:r>
          <w:r>
            <w:rPr>
              <w:rStyle w:val="49"/>
            </w:rPr>
            <w:t>3.1</w:t>
          </w:r>
          <w:r>
            <w:rPr>
              <w:rFonts w:asciiTheme="minorHAnsi" w:hAnsiTheme="minorHAnsi" w:eastAsiaTheme="minorEastAsia" w:cstheme="minorBidi"/>
              <w:color w:val="auto"/>
              <w:sz w:val="21"/>
              <w:szCs w:val="22"/>
              <w14:ligatures w14:val="standardContextual"/>
            </w:rPr>
            <w:tab/>
          </w:r>
          <w:r>
            <w:rPr>
              <w:rStyle w:val="49"/>
            </w:rPr>
            <w:t>Overall Study Design</w:t>
          </w:r>
          <w:r>
            <w:tab/>
          </w:r>
          <w:r>
            <w:fldChar w:fldCharType="begin"/>
          </w:r>
          <w:r>
            <w:instrText xml:space="preserve"> PAGEREF _Toc159596229 \h </w:instrText>
          </w:r>
          <w:r>
            <w:fldChar w:fldCharType="separate"/>
          </w:r>
          <w:r>
            <w:t>33</w:t>
          </w:r>
          <w:r>
            <w:fldChar w:fldCharType="end"/>
          </w:r>
          <w:r>
            <w:fldChar w:fldCharType="end"/>
          </w:r>
        </w:p>
        <w:p w14:paraId="368416A6">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"_Toc159596230" </w:instrText>
          </w:r>
          <w:r>
            <w:fldChar w:fldCharType="separate"/>
          </w:r>
          <w:r>
            <w:rPr>
              <w:rStyle w:val="49"/>
            </w:rPr>
            <w:t>3.1.1</w:t>
          </w:r>
          <w:r>
            <w:rPr>
              <w:rFonts w:asciiTheme="minorHAnsi" w:hAnsiTheme="minorHAnsi" w:eastAsiaTheme="minorEastAsia" w:cstheme="minorBidi"/>
              <w:color w:val="auto"/>
              <w:sz w:val="21"/>
              <w:szCs w:val="22"/>
              <w14:ligatures w14:val="standardContextual"/>
            </w:rPr>
            <w:tab/>
          </w:r>
          <w:r>
            <w:rPr>
              <w:rStyle w:val="49"/>
            </w:rPr>
            <w:t>Part A: parallel study</w:t>
          </w:r>
          <w:r>
            <w:tab/>
          </w:r>
          <w:r>
            <w:fldChar w:fldCharType="begin"/>
          </w:r>
          <w:r>
            <w:instrText xml:space="preserve"> PAGEREF _Toc159596230 \h </w:instrText>
          </w:r>
          <w:r>
            <w:fldChar w:fldCharType="separate"/>
          </w:r>
          <w:r>
            <w:t>34</w:t>
          </w:r>
          <w:r>
            <w:fldChar w:fldCharType="end"/>
          </w:r>
          <w:r>
            <w:fldChar w:fldCharType="end"/>
          </w:r>
        </w:p>
        <w:p w14:paraId="0465A591">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"_Toc159596231" </w:instrText>
          </w:r>
          <w:r>
            <w:fldChar w:fldCharType="separate"/>
          </w:r>
          <w:r>
            <w:rPr>
              <w:rStyle w:val="49"/>
            </w:rPr>
            <w:t>3.1.2</w:t>
          </w:r>
          <w:r>
            <w:rPr>
              <w:rFonts w:asciiTheme="minorHAnsi" w:hAnsiTheme="minorHAnsi" w:eastAsiaTheme="minorEastAsia" w:cstheme="minorBidi"/>
              <w:color w:val="auto"/>
              <w:sz w:val="21"/>
              <w:szCs w:val="22"/>
              <w14:ligatures w14:val="standardContextual"/>
            </w:rPr>
            <w:tab/>
          </w:r>
          <w:r>
            <w:rPr>
              <w:rStyle w:val="49"/>
            </w:rPr>
            <w:t>Part B:</w:t>
          </w:r>
          <w:r>
            <w:tab/>
          </w:r>
          <w:r>
            <w:fldChar w:fldCharType="begin"/>
          </w:r>
          <w:r>
            <w:instrText xml:space="preserve"> PAGEREF _Toc159596231 \h </w:instrText>
          </w:r>
          <w:r>
            <w:fldChar w:fldCharType="separate"/>
          </w:r>
          <w:r>
            <w:t>34</w:t>
          </w:r>
          <w:r>
            <w:fldChar w:fldCharType="end"/>
          </w:r>
          <w:r>
            <w:fldChar w:fldCharType="end"/>
          </w:r>
        </w:p>
        <w:p w14:paraId="4A8D5530">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"_Toc159596232" </w:instrText>
          </w:r>
          <w:r>
            <w:fldChar w:fldCharType="separate"/>
          </w:r>
          <w:r>
            <w:rPr>
              <w:rStyle w:val="49"/>
            </w:rPr>
            <w:t>3.1.3</w:t>
          </w:r>
          <w:r>
            <w:rPr>
              <w:rFonts w:asciiTheme="minorHAnsi" w:hAnsiTheme="minorHAnsi" w:eastAsiaTheme="minorEastAsia" w:cstheme="minorBidi"/>
              <w:color w:val="auto"/>
              <w:sz w:val="21"/>
              <w:szCs w:val="22"/>
              <w14:ligatures w14:val="standardContextual"/>
            </w:rPr>
            <w:tab/>
          </w:r>
          <w:r>
            <w:rPr>
              <w:rStyle w:val="49"/>
            </w:rPr>
            <w:t>Flowchart of study design</w:t>
          </w:r>
          <w:r>
            <w:tab/>
          </w:r>
          <w:r>
            <w:fldChar w:fldCharType="begin"/>
          </w:r>
          <w:r>
            <w:instrText xml:space="preserve"> PAGEREF _Toc159596232 \h </w:instrText>
          </w:r>
          <w:r>
            <w:fldChar w:fldCharType="separate"/>
          </w:r>
          <w:r>
            <w:t>35</w:t>
          </w:r>
          <w:r>
            <w:fldChar w:fldCharType="end"/>
          </w:r>
          <w:r>
            <w:fldChar w:fldCharType="end"/>
          </w:r>
        </w:p>
        <w:p w14:paraId="2B09DE0B">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"_Toc159596233" </w:instrText>
          </w:r>
          <w:r>
            <w:fldChar w:fldCharType="separate"/>
          </w:r>
          <w:r>
            <w:rPr>
              <w:rStyle w:val="49"/>
            </w:rPr>
            <w:t>3.2</w:t>
          </w:r>
          <w:r>
            <w:rPr>
              <w:rFonts w:asciiTheme="minorHAnsi" w:hAnsiTheme="minorHAnsi" w:eastAsiaTheme="minorEastAsia" w:cstheme="minorBidi"/>
              <w:color w:val="auto"/>
              <w:sz w:val="21"/>
              <w:szCs w:val="22"/>
              <w14:ligatures w14:val="standardContextual"/>
            </w:rPr>
            <w:tab/>
          </w:r>
          <w:r>
            <w:rPr>
              <w:rStyle w:val="49"/>
            </w:rPr>
            <w:t>Rationale for Study Design</w:t>
          </w:r>
          <w:r>
            <w:tab/>
          </w:r>
          <w:r>
            <w:fldChar w:fldCharType="begin"/>
          </w:r>
          <w:r>
            <w:instrText xml:space="preserve"> PAGEREF _Toc159596233 \h </w:instrText>
          </w:r>
          <w:r>
            <w:fldChar w:fldCharType="separate"/>
          </w:r>
          <w:r>
            <w:t>36</w:t>
          </w:r>
          <w:r>
            <w:fldChar w:fldCharType="end"/>
          </w:r>
          <w:r>
            <w:fldChar w:fldCharType="end"/>
          </w:r>
        </w:p>
        <w:p w14:paraId="34980A0A">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"_Toc159596234" </w:instrText>
          </w:r>
          <w:r>
            <w:fldChar w:fldCharType="separate"/>
          </w:r>
          <w:r>
            <w:rPr>
              <w:rStyle w:val="49"/>
            </w:rPr>
            <w:t>3.2.1</w:t>
          </w:r>
          <w:r>
            <w:rPr>
              <w:rFonts w:asciiTheme="minorHAnsi" w:hAnsiTheme="minorHAnsi" w:eastAsiaTheme="minorEastAsia" w:cstheme="minorBidi"/>
              <w:color w:val="auto"/>
              <w:sz w:val="21"/>
              <w:szCs w:val="22"/>
              <w14:ligatures w14:val="standardContextual"/>
            </w:rPr>
            <w:tab/>
          </w:r>
          <w:r>
            <w:rPr>
              <w:rStyle w:val="49"/>
            </w:rPr>
            <w:t>Rationale for selection of primary efficacy endpoints</w:t>
          </w:r>
          <w:r>
            <w:tab/>
          </w:r>
          <w:r>
            <w:fldChar w:fldCharType="begin"/>
          </w:r>
          <w:r>
            <w:instrText xml:space="preserve"> PAGEREF _Toc159596234 \h </w:instrText>
          </w:r>
          <w:r>
            <w:fldChar w:fldCharType="separate"/>
          </w:r>
          <w:r>
            <w:t>36</w:t>
          </w:r>
          <w:r>
            <w:fldChar w:fldCharType="end"/>
          </w:r>
          <w:r>
            <w:fldChar w:fldCharType="end"/>
          </w:r>
        </w:p>
        <w:p w14:paraId="47C5E465">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"_Toc159596235" </w:instrText>
          </w:r>
          <w:r>
            <w:fldChar w:fldCharType="separate"/>
          </w:r>
          <w:r>
            <w:rPr>
              <w:rStyle w:val="49"/>
            </w:rPr>
            <w:t>3.2.2</w:t>
          </w:r>
          <w:r>
            <w:rPr>
              <w:rFonts w:asciiTheme="minorHAnsi" w:hAnsiTheme="minorHAnsi" w:eastAsiaTheme="minorEastAsia" w:cstheme="minorBidi"/>
              <w:color w:val="auto"/>
              <w:sz w:val="21"/>
              <w:szCs w:val="22"/>
              <w14:ligatures w14:val="standardContextual"/>
            </w:rPr>
            <w:tab/>
          </w:r>
          <w:r>
            <w:rPr>
              <w:rStyle w:val="49"/>
            </w:rPr>
            <w:t>Rationale for selection of control drug</w:t>
          </w:r>
          <w:r>
            <w:tab/>
          </w:r>
          <w:r>
            <w:fldChar w:fldCharType="begin"/>
          </w:r>
          <w:r>
            <w:instrText xml:space="preserve"> PAGEREF _Toc159596235 \h </w:instrText>
          </w:r>
          <w:r>
            <w:fldChar w:fldCharType="separate"/>
          </w:r>
          <w:r>
            <w:t>36</w:t>
          </w:r>
          <w:r>
            <w:fldChar w:fldCharType="end"/>
          </w:r>
          <w:r>
            <w:fldChar w:fldCharType="end"/>
          </w:r>
        </w:p>
        <w:p w14:paraId="0DD7CA77">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"_Toc159596236" </w:instrText>
          </w:r>
          <w:r>
            <w:fldChar w:fldCharType="separate"/>
          </w:r>
          <w:r>
            <w:rPr>
              <w:rStyle w:val="49"/>
            </w:rPr>
            <w:t>3.2.3</w:t>
          </w:r>
          <w:r>
            <w:rPr>
              <w:rFonts w:asciiTheme="minorHAnsi" w:hAnsiTheme="minorHAnsi" w:eastAsiaTheme="minorEastAsia" w:cstheme="minorBidi"/>
              <w:color w:val="auto"/>
              <w:sz w:val="21"/>
              <w:szCs w:val="22"/>
              <w14:ligatures w14:val="standardContextual"/>
            </w:rPr>
            <w:tab/>
          </w:r>
          <w:r>
            <w:rPr>
              <w:rStyle w:val="49"/>
            </w:rPr>
            <w:t>Rationale for dose selection</w:t>
          </w:r>
          <w:r>
            <w:tab/>
          </w:r>
          <w:r>
            <w:fldChar w:fldCharType="begin"/>
          </w:r>
          <w:r>
            <w:instrText xml:space="preserve"> PAGEREF _Toc159596236 \h </w:instrText>
          </w:r>
          <w:r>
            <w:fldChar w:fldCharType="separate"/>
          </w:r>
          <w:r>
            <w:t>36</w:t>
          </w:r>
          <w:r>
            <w:fldChar w:fldCharType="end"/>
          </w:r>
          <w:r>
            <w:fldChar w:fldCharType="end"/>
          </w:r>
        </w:p>
        <w:p w14:paraId="2A7EED8E">
          <w:pPr>
            <w:pStyle w:val="29"/>
            <w:ind w:left="482" w:hanging="482"/>
            <w:rPr>
              <w:rFonts w:asciiTheme="minorHAnsi" w:hAnsiTheme="minorHAnsi" w:eastAsiaTheme="minorEastAsia" w:cstheme="minorBidi"/>
              <w:b w:val="0"/>
              <w:color w:val="auto"/>
              <w:sz w:val="21"/>
              <w:szCs w:val="22"/>
              <w14:ligatures w14:val="standardContextual"/>
            </w:rPr>
          </w:pPr>
          <w:r>
            <w:fldChar w:fldCharType="begin"/>
          </w:r>
          <w:r>
            <w:instrText xml:space="preserve"> HYPERLINK \l "_Toc159596237" </w:instrText>
          </w:r>
          <w:r>
            <w:fldChar w:fldCharType="separate"/>
          </w:r>
          <w:r>
            <w:rPr>
              <w:rStyle w:val="49"/>
            </w:rPr>
            <w:t>4</w:t>
          </w:r>
          <w:r>
            <w:rPr>
              <w:rFonts w:asciiTheme="minorHAnsi" w:hAnsiTheme="minorHAnsi" w:eastAsiaTheme="minorEastAsia" w:cstheme="minorBidi"/>
              <w:b w:val="0"/>
              <w:color w:val="auto"/>
              <w:sz w:val="21"/>
              <w:szCs w:val="22"/>
              <w14:ligatures w14:val="standardContextual"/>
            </w:rPr>
            <w:tab/>
          </w:r>
          <w:r>
            <w:rPr>
              <w:rStyle w:val="49"/>
            </w:rPr>
            <w:t>STUDY POPULATION</w:t>
          </w:r>
          <w:r>
            <w:tab/>
          </w:r>
          <w:r>
            <w:fldChar w:fldCharType="begin"/>
          </w:r>
          <w:r>
            <w:instrText xml:space="preserve"> PAGEREF _Toc159596237 \h </w:instrText>
          </w:r>
          <w:r>
            <w:fldChar w:fldCharType="separate"/>
          </w:r>
          <w:r>
            <w:t>37</w:t>
          </w:r>
          <w:r>
            <w:fldChar w:fldCharType="end"/>
          </w:r>
          <w:r>
            <w:fldChar w:fldCharType="end"/>
          </w:r>
        </w:p>
        <w:p w14:paraId="626C2E82">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"_Toc159596238" </w:instrText>
          </w:r>
          <w:r>
            <w:fldChar w:fldCharType="separate"/>
          </w:r>
          <w:r>
            <w:rPr>
              <w:rStyle w:val="49"/>
            </w:rPr>
            <w:t>4.1</w:t>
          </w:r>
          <w:r>
            <w:rPr>
              <w:rFonts w:asciiTheme="minorHAnsi" w:hAnsiTheme="minorHAnsi" w:eastAsiaTheme="minorEastAsia" w:cstheme="minorBidi"/>
              <w:color w:val="auto"/>
              <w:sz w:val="21"/>
              <w:szCs w:val="22"/>
              <w14:ligatures w14:val="standardContextual"/>
            </w:rPr>
            <w:tab/>
          </w:r>
          <w:r>
            <w:rPr>
              <w:rStyle w:val="49"/>
            </w:rPr>
            <w:t>Subject Selection</w:t>
          </w:r>
          <w:r>
            <w:tab/>
          </w:r>
          <w:r>
            <w:fldChar w:fldCharType="begin"/>
          </w:r>
          <w:r>
            <w:instrText xml:space="preserve"> PAGEREF _Toc159596238 \h </w:instrText>
          </w:r>
          <w:r>
            <w:fldChar w:fldCharType="separate"/>
          </w:r>
          <w:r>
            <w:t>37</w:t>
          </w:r>
          <w:r>
            <w:fldChar w:fldCharType="end"/>
          </w:r>
          <w:r>
            <w:fldChar w:fldCharType="end"/>
          </w:r>
        </w:p>
        <w:p w14:paraId="6B412DD4">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"_Toc159596239" </w:instrText>
          </w:r>
          <w:r>
            <w:fldChar w:fldCharType="separate"/>
          </w:r>
          <w:r>
            <w:rPr>
              <w:rStyle w:val="49"/>
            </w:rPr>
            <w:t>4.1.1</w:t>
          </w:r>
          <w:r>
            <w:rPr>
              <w:rFonts w:asciiTheme="minorHAnsi" w:hAnsiTheme="minorHAnsi" w:eastAsiaTheme="minorEastAsia" w:cstheme="minorBidi"/>
              <w:color w:val="auto"/>
              <w:sz w:val="21"/>
              <w:szCs w:val="22"/>
              <w14:ligatures w14:val="standardContextual"/>
            </w:rPr>
            <w:tab/>
          </w:r>
          <w:r>
            <w:rPr>
              <w:rStyle w:val="49"/>
            </w:rPr>
            <w:t>Inclusion criteria</w:t>
          </w:r>
          <w:r>
            <w:tab/>
          </w:r>
          <w:r>
            <w:fldChar w:fldCharType="begin"/>
          </w:r>
          <w:r>
            <w:instrText xml:space="preserve"> PAGEREF _Toc159596239 \h </w:instrText>
          </w:r>
          <w:r>
            <w:fldChar w:fldCharType="separate"/>
          </w:r>
          <w:r>
            <w:t>37</w:t>
          </w:r>
          <w:r>
            <w:fldChar w:fldCharType="end"/>
          </w:r>
          <w:r>
            <w:fldChar w:fldCharType="end"/>
          </w:r>
        </w:p>
        <w:p w14:paraId="3E8820D7">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"_Toc159596240" </w:instrText>
          </w:r>
          <w:r>
            <w:fldChar w:fldCharType="separate"/>
          </w:r>
          <w:r>
            <w:rPr>
              <w:rStyle w:val="49"/>
            </w:rPr>
            <w:t>4.1.2</w:t>
          </w:r>
          <w:r>
            <w:rPr>
              <w:rFonts w:asciiTheme="minorHAnsi" w:hAnsiTheme="minorHAnsi" w:eastAsiaTheme="minorEastAsia" w:cstheme="minorBidi"/>
              <w:color w:val="auto"/>
              <w:sz w:val="21"/>
              <w:szCs w:val="22"/>
              <w14:ligatures w14:val="standardContextual"/>
            </w:rPr>
            <w:tab/>
          </w:r>
          <w:r>
            <w:rPr>
              <w:rStyle w:val="49"/>
            </w:rPr>
            <w:t>Exclusion criteria</w:t>
          </w:r>
          <w:r>
            <w:tab/>
          </w:r>
          <w:r>
            <w:fldChar w:fldCharType="begin"/>
          </w:r>
          <w:r>
            <w:instrText xml:space="preserve"> PAGEREF _Toc159596240 \h </w:instrText>
          </w:r>
          <w:r>
            <w:fldChar w:fldCharType="separate"/>
          </w:r>
          <w:r>
            <w:t>38</w:t>
          </w:r>
          <w:r>
            <w:fldChar w:fldCharType="end"/>
          </w:r>
          <w:r>
            <w:fldChar w:fldCharType="end"/>
          </w:r>
        </w:p>
        <w:p w14:paraId="0760B7A5">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"_Toc159596241" </w:instrText>
          </w:r>
          <w:r>
            <w:fldChar w:fldCharType="separate"/>
          </w:r>
          <w:r>
            <w:rPr>
              <w:rStyle w:val="49"/>
            </w:rPr>
            <w:t>4.2</w:t>
          </w:r>
          <w:r>
            <w:rPr>
              <w:rFonts w:asciiTheme="minorHAnsi" w:hAnsiTheme="minorHAnsi" w:eastAsiaTheme="minorEastAsia" w:cstheme="minorBidi"/>
              <w:color w:val="auto"/>
              <w:sz w:val="21"/>
              <w:szCs w:val="22"/>
              <w14:ligatures w14:val="standardContextual"/>
            </w:rPr>
            <w:tab/>
          </w:r>
          <w:r>
            <w:rPr>
              <w:rStyle w:val="49"/>
            </w:rPr>
            <w:t>Screening Failure</w:t>
          </w:r>
          <w:r>
            <w:tab/>
          </w:r>
          <w:r>
            <w:fldChar w:fldCharType="begin"/>
          </w:r>
          <w:r>
            <w:instrText xml:space="preserve"> PAGEREF _Toc159596241 \h </w:instrText>
          </w:r>
          <w:r>
            <w:fldChar w:fldCharType="separate"/>
          </w:r>
          <w:r>
            <w:t>41</w:t>
          </w:r>
          <w:r>
            <w:fldChar w:fldCharType="end"/>
          </w:r>
          <w:r>
            <w:fldChar w:fldCharType="end"/>
          </w:r>
        </w:p>
        <w:p w14:paraId="2471D8C2">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"_Toc159596242" </w:instrText>
          </w:r>
          <w:r>
            <w:fldChar w:fldCharType="separate"/>
          </w:r>
          <w:r>
            <w:rPr>
              <w:rStyle w:val="49"/>
            </w:rPr>
            <w:t>4.3</w:t>
          </w:r>
          <w:r>
            <w:rPr>
              <w:rFonts w:asciiTheme="minorHAnsi" w:hAnsiTheme="minorHAnsi" w:eastAsiaTheme="minorEastAsia" w:cstheme="minorBidi"/>
              <w:color w:val="auto"/>
              <w:sz w:val="21"/>
              <w:szCs w:val="22"/>
              <w14:ligatures w14:val="standardContextual"/>
            </w:rPr>
            <w:tab/>
          </w:r>
          <w:r>
            <w:rPr>
              <w:rStyle w:val="49"/>
            </w:rPr>
            <w:t>Withdrawal of Subjects</w:t>
          </w:r>
          <w:r>
            <w:tab/>
          </w:r>
          <w:r>
            <w:fldChar w:fldCharType="begin"/>
          </w:r>
          <w:r>
            <w:instrText xml:space="preserve"> PAGEREF _Toc159596242 \h </w:instrText>
          </w:r>
          <w:r>
            <w:fldChar w:fldCharType="separate"/>
          </w:r>
          <w:r>
            <w:t>42</w:t>
          </w:r>
          <w:r>
            <w:fldChar w:fldCharType="end"/>
          </w:r>
          <w:r>
            <w:fldChar w:fldCharType="end"/>
          </w:r>
        </w:p>
        <w:p w14:paraId="3E955D93">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"_Toc159596243" </w:instrText>
          </w:r>
          <w:r>
            <w:fldChar w:fldCharType="separate"/>
          </w:r>
          <w:r>
            <w:rPr>
              <w:rStyle w:val="49"/>
            </w:rPr>
            <w:t>4.3.1</w:t>
          </w:r>
          <w:r>
            <w:rPr>
              <w:rFonts w:asciiTheme="minorHAnsi" w:hAnsiTheme="minorHAnsi" w:eastAsiaTheme="minorEastAsia" w:cstheme="minorBidi"/>
              <w:color w:val="auto"/>
              <w:sz w:val="21"/>
              <w:szCs w:val="22"/>
              <w14:ligatures w14:val="standardContextual"/>
            </w:rPr>
            <w:tab/>
          </w:r>
          <w:r>
            <w:rPr>
              <w:rStyle w:val="49"/>
            </w:rPr>
            <w:t>Reasons</w:t>
          </w:r>
          <w:r>
            <w:tab/>
          </w:r>
          <w:r>
            <w:fldChar w:fldCharType="begin"/>
          </w:r>
          <w:r>
            <w:instrText xml:space="preserve"> PAGEREF _Toc159596243 \h </w:instrText>
          </w:r>
          <w:r>
            <w:fldChar w:fldCharType="separate"/>
          </w:r>
          <w:r>
            <w:t>42</w:t>
          </w:r>
          <w:r>
            <w:fldChar w:fldCharType="end"/>
          </w:r>
          <w:r>
            <w:fldChar w:fldCharType="end"/>
          </w:r>
        </w:p>
        <w:p w14:paraId="033394BE">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"_Toc159596244" </w:instrText>
          </w:r>
          <w:r>
            <w:fldChar w:fldCharType="separate"/>
          </w:r>
          <w:r>
            <w:rPr>
              <w:rStyle w:val="49"/>
            </w:rPr>
            <w:t>4.3.2</w:t>
          </w:r>
          <w:r>
            <w:rPr>
              <w:rFonts w:asciiTheme="minorHAnsi" w:hAnsiTheme="minorHAnsi" w:eastAsiaTheme="minorEastAsia" w:cstheme="minorBidi"/>
              <w:color w:val="auto"/>
              <w:sz w:val="21"/>
              <w:szCs w:val="22"/>
              <w14:ligatures w14:val="standardContextual"/>
            </w:rPr>
            <w:tab/>
          </w:r>
          <w:r>
            <w:rPr>
              <w:rStyle w:val="49"/>
            </w:rPr>
            <w:t>Principle for handling subject withdrawals</w:t>
          </w:r>
          <w:r>
            <w:tab/>
          </w:r>
          <w:r>
            <w:fldChar w:fldCharType="begin"/>
          </w:r>
          <w:r>
            <w:instrText xml:space="preserve"> PAGEREF _Toc159596244 \h </w:instrText>
          </w:r>
          <w:r>
            <w:fldChar w:fldCharType="separate"/>
          </w:r>
          <w:r>
            <w:t>42</w:t>
          </w:r>
          <w:r>
            <w:fldChar w:fldCharType="end"/>
          </w:r>
          <w:r>
            <w:fldChar w:fldCharType="end"/>
          </w:r>
        </w:p>
        <w:p w14:paraId="6CDDE34F">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"_Toc159596245" </w:instrText>
          </w:r>
          <w:r>
            <w:fldChar w:fldCharType="separate"/>
          </w:r>
          <w:r>
            <w:rPr>
              <w:rStyle w:val="49"/>
            </w:rPr>
            <w:t>4.4</w:t>
          </w:r>
          <w:r>
            <w:rPr>
              <w:rFonts w:asciiTheme="minorHAnsi" w:hAnsiTheme="minorHAnsi" w:eastAsiaTheme="minorEastAsia" w:cstheme="minorBidi"/>
              <w:color w:val="auto"/>
              <w:sz w:val="21"/>
              <w:szCs w:val="22"/>
              <w14:ligatures w14:val="standardContextual"/>
            </w:rPr>
            <w:tab/>
          </w:r>
          <w:r>
            <w:rPr>
              <w:rStyle w:val="49"/>
            </w:rPr>
            <w:t>Study Suspension/Termination Criteria</w:t>
          </w:r>
          <w:r>
            <w:tab/>
          </w:r>
          <w:r>
            <w:fldChar w:fldCharType="begin"/>
          </w:r>
          <w:r>
            <w:instrText xml:space="preserve"> PAGEREF _Toc159596245 \h </w:instrText>
          </w:r>
          <w:r>
            <w:fldChar w:fldCharType="separate"/>
          </w:r>
          <w:r>
            <w:t>43</w:t>
          </w:r>
          <w:r>
            <w:fldChar w:fldCharType="end"/>
          </w:r>
          <w:r>
            <w:fldChar w:fldCharType="end"/>
          </w:r>
        </w:p>
        <w:p w14:paraId="176646F0">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"_Toc159596246" </w:instrText>
          </w:r>
          <w:r>
            <w:fldChar w:fldCharType="separate"/>
          </w:r>
          <w:r>
            <w:rPr>
              <w:rStyle w:val="49"/>
            </w:rPr>
            <w:t>4.5</w:t>
          </w:r>
          <w:r>
            <w:rPr>
              <w:rFonts w:asciiTheme="minorHAnsi" w:hAnsiTheme="minorHAnsi" w:eastAsiaTheme="minorEastAsia" w:cstheme="minorBidi"/>
              <w:color w:val="auto"/>
              <w:sz w:val="21"/>
              <w:szCs w:val="22"/>
              <w14:ligatures w14:val="standardContextual"/>
            </w:rPr>
            <w:tab/>
          </w:r>
          <w:r>
            <w:rPr>
              <w:rStyle w:val="49"/>
            </w:rPr>
            <w:t>Removal Criteria</w:t>
          </w:r>
          <w:r>
            <w:tab/>
          </w:r>
          <w:r>
            <w:fldChar w:fldCharType="begin"/>
          </w:r>
          <w:r>
            <w:instrText xml:space="preserve"> PAGEREF _Toc159596246 \h </w:instrText>
          </w:r>
          <w:r>
            <w:fldChar w:fldCharType="separate"/>
          </w:r>
          <w:r>
            <w:t>44</w:t>
          </w:r>
          <w:r>
            <w:fldChar w:fldCharType="end"/>
          </w:r>
          <w:r>
            <w:fldChar w:fldCharType="end"/>
          </w:r>
        </w:p>
        <w:p w14:paraId="49BC2BB2">
          <w:pPr>
            <w:pStyle w:val="29"/>
            <w:ind w:left="482" w:hanging="482"/>
            <w:rPr>
              <w:rFonts w:asciiTheme="minorHAnsi" w:hAnsiTheme="minorHAnsi" w:eastAsiaTheme="minorEastAsia" w:cstheme="minorBidi"/>
              <w:b w:val="0"/>
              <w:color w:val="auto"/>
              <w:sz w:val="21"/>
              <w:szCs w:val="22"/>
              <w14:ligatures w14:val="standardContextual"/>
            </w:rPr>
          </w:pPr>
          <w:r>
            <w:fldChar w:fldCharType="begin"/>
          </w:r>
          <w:r>
            <w:instrText xml:space="preserve"> HYPERLINK \l "_Toc159596247" </w:instrText>
          </w:r>
          <w:r>
            <w:fldChar w:fldCharType="separate"/>
          </w:r>
          <w:r>
            <w:rPr>
              <w:rStyle w:val="49"/>
            </w:rPr>
            <w:t>5</w:t>
          </w:r>
          <w:r>
            <w:rPr>
              <w:rFonts w:asciiTheme="minorHAnsi" w:hAnsiTheme="minorHAnsi" w:eastAsiaTheme="minorEastAsia" w:cstheme="minorBidi"/>
              <w:b w:val="0"/>
              <w:color w:val="auto"/>
              <w:sz w:val="21"/>
              <w:szCs w:val="22"/>
              <w14:ligatures w14:val="standardContextual"/>
            </w:rPr>
            <w:tab/>
          </w:r>
          <w:r>
            <w:rPr>
              <w:rStyle w:val="49"/>
            </w:rPr>
            <w:t>INVESTIGATIONAL PRODUCTS AND DOSAGE REGIMEN</w:t>
          </w:r>
          <w:r>
            <w:tab/>
          </w:r>
          <w:r>
            <w:fldChar w:fldCharType="begin"/>
          </w:r>
          <w:r>
            <w:instrText xml:space="preserve"> PAGEREF _Toc159596247 \h </w:instrText>
          </w:r>
          <w:r>
            <w:fldChar w:fldCharType="separate"/>
          </w:r>
          <w:r>
            <w:t>44</w:t>
          </w:r>
          <w:r>
            <w:fldChar w:fldCharType="end"/>
          </w:r>
          <w:r>
            <w:fldChar w:fldCharType="end"/>
          </w:r>
        </w:p>
        <w:p w14:paraId="52E52294">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"_Toc159596248" </w:instrText>
          </w:r>
          <w:r>
            <w:fldChar w:fldCharType="separate"/>
          </w:r>
          <w:r>
            <w:rPr>
              <w:rStyle w:val="49"/>
            </w:rPr>
            <w:t>5.1</w:t>
          </w:r>
          <w:r>
            <w:rPr>
              <w:rFonts w:asciiTheme="minorHAnsi" w:hAnsiTheme="minorHAnsi" w:eastAsiaTheme="minorEastAsia" w:cstheme="minorBidi"/>
              <w:color w:val="auto"/>
              <w:sz w:val="21"/>
              <w:szCs w:val="22"/>
              <w14:ligatures w14:val="standardContextual"/>
            </w:rPr>
            <w:tab/>
          </w:r>
          <w:r>
            <w:rPr>
              <w:rStyle w:val="49"/>
            </w:rPr>
            <w:t>Basic Information on Investigational Products</w:t>
          </w:r>
          <w:r>
            <w:tab/>
          </w:r>
          <w:r>
            <w:fldChar w:fldCharType="begin"/>
          </w:r>
          <w:r>
            <w:instrText xml:space="preserve"> PAGEREF _Toc159596248 \h </w:instrText>
          </w:r>
          <w:r>
            <w:fldChar w:fldCharType="separate"/>
          </w:r>
          <w:r>
            <w:t>44</w:t>
          </w:r>
          <w:r>
            <w:fldChar w:fldCharType="end"/>
          </w:r>
          <w:r>
            <w:fldChar w:fldCharType="end"/>
          </w:r>
        </w:p>
        <w:p w14:paraId="3B6C7C94">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"_Toc159596249" </w:instrText>
          </w:r>
          <w:r>
            <w:fldChar w:fldCharType="separate"/>
          </w:r>
          <w:r>
            <w:rPr>
              <w:rStyle w:val="49"/>
            </w:rPr>
            <w:t>5.2</w:t>
          </w:r>
          <w:r>
            <w:rPr>
              <w:rFonts w:asciiTheme="minorHAnsi" w:hAnsiTheme="minorHAnsi" w:eastAsiaTheme="minorEastAsia" w:cstheme="minorBidi"/>
              <w:color w:val="auto"/>
              <w:sz w:val="21"/>
              <w:szCs w:val="22"/>
              <w14:ligatures w14:val="standardContextual"/>
            </w:rPr>
            <w:tab/>
          </w:r>
          <w:r>
            <w:rPr>
              <w:rStyle w:val="49"/>
            </w:rPr>
            <w:t>Dosage Regimen and Method</w:t>
          </w:r>
          <w:r>
            <w:tab/>
          </w:r>
          <w:r>
            <w:fldChar w:fldCharType="begin"/>
          </w:r>
          <w:r>
            <w:instrText xml:space="preserve"> PAGEREF _Toc159596249 \h </w:instrText>
          </w:r>
          <w:r>
            <w:fldChar w:fldCharType="separate"/>
          </w:r>
          <w:r>
            <w:t>45</w:t>
          </w:r>
          <w:r>
            <w:fldChar w:fldCharType="end"/>
          </w:r>
          <w:r>
            <w:fldChar w:fldCharType="end"/>
          </w:r>
        </w:p>
        <w:p w14:paraId="4BF41A6C">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"_Toc159596250" </w:instrText>
          </w:r>
          <w:r>
            <w:fldChar w:fldCharType="separate"/>
          </w:r>
          <w:r>
            <w:rPr>
              <w:rStyle w:val="49"/>
            </w:rPr>
            <w:t>5.2.1</w:t>
          </w:r>
          <w:r>
            <w:rPr>
              <w:rFonts w:asciiTheme="minorHAnsi" w:hAnsiTheme="minorHAnsi" w:eastAsiaTheme="minorEastAsia" w:cstheme="minorBidi"/>
              <w:color w:val="auto"/>
              <w:sz w:val="21"/>
              <w:szCs w:val="22"/>
              <w14:ligatures w14:val="standardContextual"/>
            </w:rPr>
            <w:tab/>
          </w:r>
          <w:r>
            <w:rPr>
              <w:rStyle w:val="49"/>
            </w:rPr>
            <w:t>RAY1225 injection and simulant</w:t>
          </w:r>
          <w:r>
            <w:tab/>
          </w:r>
          <w:r>
            <w:fldChar w:fldCharType="begin"/>
          </w:r>
          <w:r>
            <w:instrText xml:space="preserve"> PAGEREF _Toc159596250 \h </w:instrText>
          </w:r>
          <w:r>
            <w:fldChar w:fldCharType="separate"/>
          </w:r>
          <w:r>
            <w:t>45</w:t>
          </w:r>
          <w:r>
            <w:fldChar w:fldCharType="end"/>
          </w:r>
          <w:r>
            <w:fldChar w:fldCharType="end"/>
          </w:r>
        </w:p>
        <w:p w14:paraId="6EA68736">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"_Toc159596251" </w:instrText>
          </w:r>
          <w:r>
            <w:fldChar w:fldCharType="separate"/>
          </w:r>
          <w:r>
            <w:rPr>
              <w:rStyle w:val="49"/>
            </w:rPr>
            <w:t>5.2.2</w:t>
          </w:r>
          <w:r>
            <w:rPr>
              <w:rFonts w:asciiTheme="minorHAnsi" w:hAnsiTheme="minorHAnsi" w:eastAsiaTheme="minorEastAsia" w:cstheme="minorBidi"/>
              <w:color w:val="auto"/>
              <w:sz w:val="21"/>
              <w:szCs w:val="22"/>
              <w14:ligatures w14:val="standardContextual"/>
            </w:rPr>
            <w:tab/>
          </w:r>
          <w:r>
            <w:rPr>
              <w:rStyle w:val="49"/>
            </w:rPr>
            <w:t>Acetaminophen tablets (for group 1 in dose escalation study only)</w:t>
          </w:r>
          <w:r>
            <w:tab/>
          </w:r>
          <w:r>
            <w:fldChar w:fldCharType="begin"/>
          </w:r>
          <w:r>
            <w:instrText xml:space="preserve"> PAGEREF _Toc159596251 \h </w:instrText>
          </w:r>
          <w:r>
            <w:fldChar w:fldCharType="separate"/>
          </w:r>
          <w:r>
            <w:t>47</w:t>
          </w:r>
          <w:r>
            <w:fldChar w:fldCharType="end"/>
          </w:r>
          <w:r>
            <w:fldChar w:fldCharType="end"/>
          </w:r>
        </w:p>
        <w:p w14:paraId="059E04A1">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"_Toc159596252" </w:instrText>
          </w:r>
          <w:r>
            <w:fldChar w:fldCharType="separate"/>
          </w:r>
          <w:r>
            <w:rPr>
              <w:rStyle w:val="49"/>
            </w:rPr>
            <w:t>5.3</w:t>
          </w:r>
          <w:r>
            <w:rPr>
              <w:rFonts w:asciiTheme="minorHAnsi" w:hAnsiTheme="minorHAnsi" w:eastAsiaTheme="minorEastAsia" w:cstheme="minorBidi"/>
              <w:color w:val="auto"/>
              <w:sz w:val="21"/>
              <w:szCs w:val="22"/>
              <w14:ligatures w14:val="standardContextual"/>
            </w:rPr>
            <w:tab/>
          </w:r>
          <w:r>
            <w:rPr>
              <w:rStyle w:val="49"/>
            </w:rPr>
            <w:t>Randomization and Blinding</w:t>
          </w:r>
          <w:r>
            <w:tab/>
          </w:r>
          <w:r>
            <w:fldChar w:fldCharType="begin"/>
          </w:r>
          <w:r>
            <w:instrText xml:space="preserve"> PAGEREF _Toc159596252 \h </w:instrText>
          </w:r>
          <w:r>
            <w:fldChar w:fldCharType="separate"/>
          </w:r>
          <w:r>
            <w:t>47</w:t>
          </w:r>
          <w:r>
            <w:fldChar w:fldCharType="end"/>
          </w:r>
          <w:r>
            <w:fldChar w:fldCharType="end"/>
          </w:r>
        </w:p>
        <w:p w14:paraId="1A243815">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"_Toc159596253" </w:instrText>
          </w:r>
          <w:r>
            <w:fldChar w:fldCharType="separate"/>
          </w:r>
          <w:r>
            <w:rPr>
              <w:rStyle w:val="49"/>
            </w:rPr>
            <w:t>5.3.1</w:t>
          </w:r>
          <w:r>
            <w:rPr>
              <w:rFonts w:asciiTheme="minorHAnsi" w:hAnsiTheme="minorHAnsi" w:eastAsiaTheme="minorEastAsia" w:cstheme="minorBidi"/>
              <w:color w:val="auto"/>
              <w:sz w:val="21"/>
              <w:szCs w:val="22"/>
              <w14:ligatures w14:val="standardContextual"/>
            </w:rPr>
            <w:tab/>
          </w:r>
          <w:r>
            <w:rPr>
              <w:rStyle w:val="49"/>
            </w:rPr>
            <w:t>Randomization method</w:t>
          </w:r>
          <w:r>
            <w:tab/>
          </w:r>
          <w:r>
            <w:fldChar w:fldCharType="begin"/>
          </w:r>
          <w:r>
            <w:instrText xml:space="preserve"> PAGEREF _Toc159596253 \h </w:instrText>
          </w:r>
          <w:r>
            <w:fldChar w:fldCharType="separate"/>
          </w:r>
          <w:r>
            <w:t>47</w:t>
          </w:r>
          <w:r>
            <w:fldChar w:fldCharType="end"/>
          </w:r>
          <w:r>
            <w:fldChar w:fldCharType="end"/>
          </w:r>
        </w:p>
        <w:p w14:paraId="7A883BD1">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"_Toc159596254" </w:instrText>
          </w:r>
          <w:r>
            <w:fldChar w:fldCharType="separate"/>
          </w:r>
          <w:r>
            <w:rPr>
              <w:rStyle w:val="49"/>
            </w:rPr>
            <w:t>5.3.2</w:t>
          </w:r>
          <w:r>
            <w:rPr>
              <w:rFonts w:asciiTheme="minorHAnsi" w:hAnsiTheme="minorHAnsi" w:eastAsiaTheme="minorEastAsia" w:cstheme="minorBidi"/>
              <w:color w:val="auto"/>
              <w:sz w:val="21"/>
              <w:szCs w:val="22"/>
              <w14:ligatures w14:val="standardContextual"/>
            </w:rPr>
            <w:tab/>
          </w:r>
          <w:r>
            <w:rPr>
              <w:rStyle w:val="49"/>
            </w:rPr>
            <w:t>Blinding</w:t>
          </w:r>
          <w:r>
            <w:tab/>
          </w:r>
          <w:r>
            <w:fldChar w:fldCharType="begin"/>
          </w:r>
          <w:r>
            <w:instrText xml:space="preserve"> PAGEREF _Toc159596254 \h </w:instrText>
          </w:r>
          <w:r>
            <w:fldChar w:fldCharType="separate"/>
          </w:r>
          <w:r>
            <w:t>48</w:t>
          </w:r>
          <w:r>
            <w:fldChar w:fldCharType="end"/>
          </w:r>
          <w:r>
            <w:fldChar w:fldCharType="end"/>
          </w:r>
        </w:p>
        <w:p w14:paraId="576BB7FC">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"_Toc159596255" </w:instrText>
          </w:r>
          <w:r>
            <w:fldChar w:fldCharType="separate"/>
          </w:r>
          <w:r>
            <w:rPr>
              <w:rStyle w:val="49"/>
            </w:rPr>
            <w:t>5.3.3</w:t>
          </w:r>
          <w:r>
            <w:rPr>
              <w:rFonts w:asciiTheme="minorHAnsi" w:hAnsiTheme="minorHAnsi" w:eastAsiaTheme="minorEastAsia" w:cstheme="minorBidi"/>
              <w:color w:val="auto"/>
              <w:sz w:val="21"/>
              <w:szCs w:val="22"/>
              <w14:ligatures w14:val="standardContextual"/>
            </w:rPr>
            <w:tab/>
          </w:r>
          <w:r>
            <w:rPr>
              <w:rStyle w:val="49"/>
            </w:rPr>
            <w:t>On-site blinding</w:t>
          </w:r>
          <w:r>
            <w:tab/>
          </w:r>
          <w:r>
            <w:fldChar w:fldCharType="begin"/>
          </w:r>
          <w:r>
            <w:instrText xml:space="preserve"> PAGEREF _Toc159596255 \h </w:instrText>
          </w:r>
          <w:r>
            <w:fldChar w:fldCharType="separate"/>
          </w:r>
          <w:r>
            <w:t>49</w:t>
          </w:r>
          <w:r>
            <w:fldChar w:fldCharType="end"/>
          </w:r>
          <w:r>
            <w:fldChar w:fldCharType="end"/>
          </w:r>
        </w:p>
        <w:p w14:paraId="5A7E3083">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"_Toc159596256" </w:instrText>
          </w:r>
          <w:r>
            <w:fldChar w:fldCharType="separate"/>
          </w:r>
          <w:r>
            <w:rPr>
              <w:rStyle w:val="49"/>
            </w:rPr>
            <w:t>5.3.4</w:t>
          </w:r>
          <w:r>
            <w:rPr>
              <w:rFonts w:asciiTheme="minorHAnsi" w:hAnsiTheme="minorHAnsi" w:eastAsiaTheme="minorEastAsia" w:cstheme="minorBidi"/>
              <w:color w:val="auto"/>
              <w:sz w:val="21"/>
              <w:szCs w:val="22"/>
              <w14:ligatures w14:val="standardContextual"/>
            </w:rPr>
            <w:tab/>
          </w:r>
          <w:r>
            <w:rPr>
              <w:rStyle w:val="49"/>
            </w:rPr>
            <w:t>Emergency unblinding</w:t>
          </w:r>
          <w:r>
            <w:tab/>
          </w:r>
          <w:r>
            <w:fldChar w:fldCharType="begin"/>
          </w:r>
          <w:r>
            <w:instrText xml:space="preserve"> PAGEREF _Toc159596256 \h </w:instrText>
          </w:r>
          <w:r>
            <w:fldChar w:fldCharType="separate"/>
          </w:r>
          <w:r>
            <w:t>49</w:t>
          </w:r>
          <w:r>
            <w:fldChar w:fldCharType="end"/>
          </w:r>
          <w:r>
            <w:fldChar w:fldCharType="end"/>
          </w:r>
        </w:p>
        <w:p w14:paraId="3617F5FF">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"_Toc159596257" </w:instrText>
          </w:r>
          <w:r>
            <w:fldChar w:fldCharType="separate"/>
          </w:r>
          <w:r>
            <w:rPr>
              <w:rStyle w:val="49"/>
            </w:rPr>
            <w:t>5.4</w:t>
          </w:r>
          <w:r>
            <w:rPr>
              <w:rFonts w:asciiTheme="minorHAnsi" w:hAnsiTheme="minorHAnsi" w:eastAsiaTheme="minorEastAsia" w:cstheme="minorBidi"/>
              <w:color w:val="auto"/>
              <w:sz w:val="21"/>
              <w:szCs w:val="22"/>
              <w14:ligatures w14:val="standardContextual"/>
            </w:rPr>
            <w:tab/>
          </w:r>
          <w:r>
            <w:rPr>
              <w:rStyle w:val="49"/>
            </w:rPr>
            <w:t>Receipt, Distribution, and Storage of Drugs</w:t>
          </w:r>
          <w:r>
            <w:tab/>
          </w:r>
          <w:r>
            <w:fldChar w:fldCharType="begin"/>
          </w:r>
          <w:r>
            <w:instrText xml:space="preserve"> PAGEREF _Toc159596257 \h </w:instrText>
          </w:r>
          <w:r>
            <w:fldChar w:fldCharType="separate"/>
          </w:r>
          <w:r>
            <w:t>49</w:t>
          </w:r>
          <w:r>
            <w:fldChar w:fldCharType="end"/>
          </w:r>
          <w:r>
            <w:fldChar w:fldCharType="end"/>
          </w:r>
        </w:p>
        <w:p w14:paraId="5044FA66">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"_Toc159596258" </w:instrText>
          </w:r>
          <w:r>
            <w:fldChar w:fldCharType="separate"/>
          </w:r>
          <w:r>
            <w:rPr>
              <w:rStyle w:val="49"/>
            </w:rPr>
            <w:t>5.4.1</w:t>
          </w:r>
          <w:r>
            <w:rPr>
              <w:rFonts w:asciiTheme="minorHAnsi" w:hAnsiTheme="minorHAnsi" w:eastAsiaTheme="minorEastAsia" w:cstheme="minorBidi"/>
              <w:color w:val="auto"/>
              <w:sz w:val="21"/>
              <w:szCs w:val="22"/>
              <w14:ligatures w14:val="standardContextual"/>
            </w:rPr>
            <w:tab/>
          </w:r>
          <w:r>
            <w:rPr>
              <w:rStyle w:val="49"/>
            </w:rPr>
            <w:t>Drug distribution</w:t>
          </w:r>
          <w:r>
            <w:tab/>
          </w:r>
          <w:r>
            <w:fldChar w:fldCharType="begin"/>
          </w:r>
          <w:r>
            <w:instrText xml:space="preserve"> PAGEREF _Toc159596258 \h </w:instrText>
          </w:r>
          <w:r>
            <w:fldChar w:fldCharType="separate"/>
          </w:r>
          <w:r>
            <w:t>49</w:t>
          </w:r>
          <w:r>
            <w:fldChar w:fldCharType="end"/>
          </w:r>
          <w:r>
            <w:fldChar w:fldCharType="end"/>
          </w:r>
        </w:p>
        <w:p w14:paraId="0146EED4">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"_Toc159596259" </w:instrText>
          </w:r>
          <w:r>
            <w:fldChar w:fldCharType="separate"/>
          </w:r>
          <w:r>
            <w:rPr>
              <w:rStyle w:val="49"/>
            </w:rPr>
            <w:t>5.4.2</w:t>
          </w:r>
          <w:r>
            <w:rPr>
              <w:rFonts w:asciiTheme="minorHAnsi" w:hAnsiTheme="minorHAnsi" w:eastAsiaTheme="minorEastAsia" w:cstheme="minorBidi"/>
              <w:color w:val="auto"/>
              <w:sz w:val="21"/>
              <w:szCs w:val="22"/>
              <w14:ligatures w14:val="standardContextual"/>
            </w:rPr>
            <w:tab/>
          </w:r>
          <w:r>
            <w:rPr>
              <w:rStyle w:val="49"/>
            </w:rPr>
            <w:t>Drug storage</w:t>
          </w:r>
          <w:r>
            <w:tab/>
          </w:r>
          <w:r>
            <w:fldChar w:fldCharType="begin"/>
          </w:r>
          <w:r>
            <w:instrText xml:space="preserve"> PAGEREF _Toc159596259 \h </w:instrText>
          </w:r>
          <w:r>
            <w:fldChar w:fldCharType="separate"/>
          </w:r>
          <w:r>
            <w:t>49</w:t>
          </w:r>
          <w:r>
            <w:fldChar w:fldCharType="end"/>
          </w:r>
          <w:r>
            <w:fldChar w:fldCharType="end"/>
          </w:r>
        </w:p>
        <w:p w14:paraId="1944F157">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"_Toc159596260" </w:instrText>
          </w:r>
          <w:r>
            <w:fldChar w:fldCharType="separate"/>
          </w:r>
          <w:r>
            <w:rPr>
              <w:rStyle w:val="49"/>
            </w:rPr>
            <w:t>5.5</w:t>
          </w:r>
          <w:r>
            <w:rPr>
              <w:rFonts w:asciiTheme="minorHAnsi" w:hAnsiTheme="minorHAnsi" w:eastAsiaTheme="minorEastAsia" w:cstheme="minorBidi"/>
              <w:color w:val="auto"/>
              <w:sz w:val="21"/>
              <w:szCs w:val="22"/>
              <w14:ligatures w14:val="standardContextual"/>
            </w:rPr>
            <w:tab/>
          </w:r>
          <w:r>
            <w:rPr>
              <w:rStyle w:val="49"/>
            </w:rPr>
            <w:t>Treatment Compliance</w:t>
          </w:r>
          <w:r>
            <w:tab/>
          </w:r>
          <w:r>
            <w:fldChar w:fldCharType="begin"/>
          </w:r>
          <w:r>
            <w:instrText xml:space="preserve"> PAGEREF _Toc159596260 \h </w:instrText>
          </w:r>
          <w:r>
            <w:fldChar w:fldCharType="separate"/>
          </w:r>
          <w:r>
            <w:t>49</w:t>
          </w:r>
          <w:r>
            <w:fldChar w:fldCharType="end"/>
          </w:r>
          <w:r>
            <w:fldChar w:fldCharType="end"/>
          </w:r>
        </w:p>
        <w:p w14:paraId="04EB6489">
          <w:pPr>
            <w:pStyle w:val="29"/>
            <w:ind w:left="482" w:hanging="482"/>
            <w:rPr>
              <w:rFonts w:asciiTheme="minorHAnsi" w:hAnsiTheme="minorHAnsi" w:eastAsiaTheme="minorEastAsia" w:cstheme="minorBidi"/>
              <w:b w:val="0"/>
              <w:color w:val="auto"/>
              <w:sz w:val="21"/>
              <w:szCs w:val="22"/>
              <w14:ligatures w14:val="standardContextual"/>
            </w:rPr>
          </w:pPr>
          <w:r>
            <w:fldChar w:fldCharType="begin"/>
          </w:r>
          <w:r>
            <w:instrText xml:space="preserve"> HYPERLINK \l "_Toc159596261" </w:instrText>
          </w:r>
          <w:r>
            <w:fldChar w:fldCharType="separate"/>
          </w:r>
          <w:r>
            <w:rPr>
              <w:rStyle w:val="49"/>
            </w:rPr>
            <w:t>6</w:t>
          </w:r>
          <w:r>
            <w:rPr>
              <w:rFonts w:asciiTheme="minorHAnsi" w:hAnsiTheme="minorHAnsi" w:eastAsiaTheme="minorEastAsia" w:cstheme="minorBidi"/>
              <w:b w:val="0"/>
              <w:color w:val="auto"/>
              <w:sz w:val="21"/>
              <w:szCs w:val="22"/>
              <w14:ligatures w14:val="standardContextual"/>
            </w:rPr>
            <w:tab/>
          </w:r>
          <w:r>
            <w:rPr>
              <w:rStyle w:val="49"/>
            </w:rPr>
            <w:t>RESTRICTIONS</w:t>
          </w:r>
          <w:r>
            <w:tab/>
          </w:r>
          <w:r>
            <w:fldChar w:fldCharType="begin"/>
          </w:r>
          <w:r>
            <w:instrText xml:space="preserve"> PAGEREF _Toc159596261 \h </w:instrText>
          </w:r>
          <w:r>
            <w:fldChar w:fldCharType="separate"/>
          </w:r>
          <w:r>
            <w:t>50</w:t>
          </w:r>
          <w:r>
            <w:fldChar w:fldCharType="end"/>
          </w:r>
          <w:r>
            <w:fldChar w:fldCharType="end"/>
          </w:r>
        </w:p>
        <w:p w14:paraId="557C9726">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"_Toc159596262" </w:instrText>
          </w:r>
          <w:r>
            <w:fldChar w:fldCharType="separate"/>
          </w:r>
          <w:r>
            <w:rPr>
              <w:rStyle w:val="49"/>
            </w:rPr>
            <w:t>6.1</w:t>
          </w:r>
          <w:r>
            <w:rPr>
              <w:rFonts w:asciiTheme="minorHAnsi" w:hAnsiTheme="minorHAnsi" w:eastAsiaTheme="minorEastAsia" w:cstheme="minorBidi"/>
              <w:color w:val="auto"/>
              <w:sz w:val="21"/>
              <w:szCs w:val="22"/>
              <w14:ligatures w14:val="standardContextual"/>
            </w:rPr>
            <w:tab/>
          </w:r>
          <w:r>
            <w:rPr>
              <w:rStyle w:val="49"/>
            </w:rPr>
            <w:t>Prior Treatments</w:t>
          </w:r>
          <w:r>
            <w:tab/>
          </w:r>
          <w:r>
            <w:fldChar w:fldCharType="begin"/>
          </w:r>
          <w:r>
            <w:instrText xml:space="preserve"> PAGEREF _Toc159596262 \h </w:instrText>
          </w:r>
          <w:r>
            <w:fldChar w:fldCharType="separate"/>
          </w:r>
          <w:r>
            <w:t>50</w:t>
          </w:r>
          <w:r>
            <w:fldChar w:fldCharType="end"/>
          </w:r>
          <w:r>
            <w:fldChar w:fldCharType="end"/>
          </w:r>
        </w:p>
        <w:p w14:paraId="27BF77EB">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"_Toc159596263" </w:instrText>
          </w:r>
          <w:r>
            <w:fldChar w:fldCharType="separate"/>
          </w:r>
          <w:r>
            <w:rPr>
              <w:rStyle w:val="49"/>
            </w:rPr>
            <w:t>6.2</w:t>
          </w:r>
          <w:r>
            <w:rPr>
              <w:rFonts w:asciiTheme="minorHAnsi" w:hAnsiTheme="minorHAnsi" w:eastAsiaTheme="minorEastAsia" w:cstheme="minorBidi"/>
              <w:color w:val="auto"/>
              <w:sz w:val="21"/>
              <w:szCs w:val="22"/>
              <w14:ligatures w14:val="standardContextual"/>
            </w:rPr>
            <w:tab/>
          </w:r>
          <w:r>
            <w:rPr>
              <w:rStyle w:val="49"/>
            </w:rPr>
            <w:t>Concomitant Treatments</w:t>
          </w:r>
          <w:r>
            <w:tab/>
          </w:r>
          <w:r>
            <w:fldChar w:fldCharType="begin"/>
          </w:r>
          <w:r>
            <w:instrText xml:space="preserve"> PAGEREF _Toc159596263 \h </w:instrText>
          </w:r>
          <w:r>
            <w:fldChar w:fldCharType="separate"/>
          </w:r>
          <w:r>
            <w:t>50</w:t>
          </w:r>
          <w:r>
            <w:fldChar w:fldCharType="end"/>
          </w:r>
          <w:r>
            <w:fldChar w:fldCharType="end"/>
          </w:r>
        </w:p>
        <w:p w14:paraId="77682BC3">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"_Toc159596264" </w:instrText>
          </w:r>
          <w:r>
            <w:fldChar w:fldCharType="separate"/>
          </w:r>
          <w:r>
            <w:rPr>
              <w:rStyle w:val="49"/>
            </w:rPr>
            <w:t>6.2.1</w:t>
          </w:r>
          <w:r>
            <w:rPr>
              <w:rFonts w:asciiTheme="minorHAnsi" w:hAnsiTheme="minorHAnsi" w:eastAsiaTheme="minorEastAsia" w:cstheme="minorBidi"/>
              <w:color w:val="auto"/>
              <w:sz w:val="21"/>
              <w:szCs w:val="22"/>
              <w14:ligatures w14:val="standardContextual"/>
            </w:rPr>
            <w:tab/>
          </w:r>
          <w:r>
            <w:rPr>
              <w:rStyle w:val="49"/>
            </w:rPr>
            <w:t>Prohibited concomitant treatments during the study</w:t>
          </w:r>
          <w:r>
            <w:tab/>
          </w:r>
          <w:r>
            <w:fldChar w:fldCharType="begin"/>
          </w:r>
          <w:r>
            <w:instrText xml:space="preserve"> PAGEREF _Toc159596264 \h </w:instrText>
          </w:r>
          <w:r>
            <w:fldChar w:fldCharType="separate"/>
          </w:r>
          <w:r>
            <w:t>50</w:t>
          </w:r>
          <w:r>
            <w:fldChar w:fldCharType="end"/>
          </w:r>
          <w:r>
            <w:fldChar w:fldCharType="end"/>
          </w:r>
        </w:p>
        <w:p w14:paraId="7263DD49">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"_Toc159596265" </w:instrText>
          </w:r>
          <w:r>
            <w:fldChar w:fldCharType="separate"/>
          </w:r>
          <w:r>
            <w:rPr>
              <w:rStyle w:val="49"/>
            </w:rPr>
            <w:t>6.2.2</w:t>
          </w:r>
          <w:r>
            <w:rPr>
              <w:rFonts w:asciiTheme="minorHAnsi" w:hAnsiTheme="minorHAnsi" w:eastAsiaTheme="minorEastAsia" w:cstheme="minorBidi"/>
              <w:color w:val="auto"/>
              <w:sz w:val="21"/>
              <w:szCs w:val="22"/>
              <w14:ligatures w14:val="standardContextual"/>
            </w:rPr>
            <w:tab/>
          </w:r>
          <w:r>
            <w:rPr>
              <w:rStyle w:val="49"/>
            </w:rPr>
            <w:t>Use of concomitant treatments as appropriate during the study</w:t>
          </w:r>
          <w:r>
            <w:tab/>
          </w:r>
          <w:r>
            <w:fldChar w:fldCharType="begin"/>
          </w:r>
          <w:r>
            <w:instrText xml:space="preserve"> PAGEREF _Toc159596265 \h </w:instrText>
          </w:r>
          <w:r>
            <w:fldChar w:fldCharType="separate"/>
          </w:r>
          <w:r>
            <w:t>51</w:t>
          </w:r>
          <w:r>
            <w:fldChar w:fldCharType="end"/>
          </w:r>
          <w:r>
            <w:fldChar w:fldCharType="end"/>
          </w:r>
        </w:p>
        <w:p w14:paraId="7C2D26B0">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"_Toc159596266" </w:instrText>
          </w:r>
          <w:r>
            <w:fldChar w:fldCharType="separate"/>
          </w:r>
          <w:r>
            <w:rPr>
              <w:rStyle w:val="49"/>
            </w:rPr>
            <w:t>6.3</w:t>
          </w:r>
          <w:r>
            <w:rPr>
              <w:rFonts w:asciiTheme="minorHAnsi" w:hAnsiTheme="minorHAnsi" w:eastAsiaTheme="minorEastAsia" w:cstheme="minorBidi"/>
              <w:color w:val="auto"/>
              <w:sz w:val="21"/>
              <w:szCs w:val="22"/>
              <w14:ligatures w14:val="standardContextual"/>
            </w:rPr>
            <w:tab/>
          </w:r>
          <w:r>
            <w:rPr>
              <w:rStyle w:val="49"/>
            </w:rPr>
            <w:t>Lifestyle Intervention</w:t>
          </w:r>
          <w:r>
            <w:tab/>
          </w:r>
          <w:r>
            <w:fldChar w:fldCharType="begin"/>
          </w:r>
          <w:r>
            <w:instrText xml:space="preserve"> PAGEREF _Toc159596266 \h </w:instrText>
          </w:r>
          <w:r>
            <w:fldChar w:fldCharType="separate"/>
          </w:r>
          <w:r>
            <w:t>52</w:t>
          </w:r>
          <w:r>
            <w:fldChar w:fldCharType="end"/>
          </w:r>
          <w:r>
            <w:fldChar w:fldCharType="end"/>
          </w:r>
        </w:p>
        <w:p w14:paraId="6B3220CD">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"_Toc159596267" </w:instrText>
          </w:r>
          <w:r>
            <w:fldChar w:fldCharType="separate"/>
          </w:r>
          <w:r>
            <w:rPr>
              <w:rStyle w:val="49"/>
            </w:rPr>
            <w:t>6.4</w:t>
          </w:r>
          <w:r>
            <w:rPr>
              <w:rFonts w:asciiTheme="minorHAnsi" w:hAnsiTheme="minorHAnsi" w:eastAsiaTheme="minorEastAsia" w:cstheme="minorBidi"/>
              <w:color w:val="auto"/>
              <w:sz w:val="21"/>
              <w:szCs w:val="22"/>
              <w14:ligatures w14:val="standardContextual"/>
            </w:rPr>
            <w:tab/>
          </w:r>
          <w:r>
            <w:rPr>
              <w:rStyle w:val="49"/>
            </w:rPr>
            <w:t>Contraception</w:t>
          </w:r>
          <w:r>
            <w:tab/>
          </w:r>
          <w:r>
            <w:fldChar w:fldCharType="begin"/>
          </w:r>
          <w:r>
            <w:instrText xml:space="preserve"> PAGEREF _Toc159596267 \h </w:instrText>
          </w:r>
          <w:r>
            <w:fldChar w:fldCharType="separate"/>
          </w:r>
          <w:r>
            <w:t>52</w:t>
          </w:r>
          <w:r>
            <w:fldChar w:fldCharType="end"/>
          </w:r>
          <w:r>
            <w:fldChar w:fldCharType="end"/>
          </w:r>
        </w:p>
        <w:p w14:paraId="7D2143D7">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"_Toc159596268" </w:instrText>
          </w:r>
          <w:r>
            <w:fldChar w:fldCharType="separate"/>
          </w:r>
          <w:r>
            <w:rPr>
              <w:rStyle w:val="49"/>
            </w:rPr>
            <w:t>6.5</w:t>
          </w:r>
          <w:r>
            <w:rPr>
              <w:rFonts w:asciiTheme="minorHAnsi" w:hAnsiTheme="minorHAnsi" w:eastAsiaTheme="minorEastAsia" w:cstheme="minorBidi"/>
              <w:color w:val="auto"/>
              <w:sz w:val="21"/>
              <w:szCs w:val="22"/>
              <w14:ligatures w14:val="standardContextual"/>
            </w:rPr>
            <w:tab/>
          </w:r>
          <w:r>
            <w:rPr>
              <w:rStyle w:val="49"/>
            </w:rPr>
            <w:t>Other Restrictions</w:t>
          </w:r>
          <w:r>
            <w:tab/>
          </w:r>
          <w:r>
            <w:fldChar w:fldCharType="begin"/>
          </w:r>
          <w:r>
            <w:instrText xml:space="preserve"> PAGEREF _Toc159596268 \h </w:instrText>
          </w:r>
          <w:r>
            <w:fldChar w:fldCharType="separate"/>
          </w:r>
          <w:r>
            <w:t>53</w:t>
          </w:r>
          <w:r>
            <w:fldChar w:fldCharType="end"/>
          </w:r>
          <w:r>
            <w:fldChar w:fldCharType="end"/>
          </w:r>
        </w:p>
        <w:p w14:paraId="00349A8D">
          <w:pPr>
            <w:pStyle w:val="29"/>
            <w:ind w:left="482" w:hanging="482"/>
            <w:rPr>
              <w:rFonts w:asciiTheme="minorHAnsi" w:hAnsiTheme="minorHAnsi" w:eastAsiaTheme="minorEastAsia" w:cstheme="minorBidi"/>
              <w:b w:val="0"/>
              <w:color w:val="auto"/>
              <w:sz w:val="21"/>
              <w:szCs w:val="22"/>
              <w14:ligatures w14:val="standardContextual"/>
            </w:rPr>
          </w:pPr>
          <w:r>
            <w:fldChar w:fldCharType="begin"/>
          </w:r>
          <w:r>
            <w:instrText xml:space="preserve"> HYPERLINK \l "_Toc159596269" </w:instrText>
          </w:r>
          <w:r>
            <w:fldChar w:fldCharType="separate"/>
          </w:r>
          <w:r>
            <w:rPr>
              <w:rStyle w:val="49"/>
            </w:rPr>
            <w:t>7</w:t>
          </w:r>
          <w:r>
            <w:rPr>
              <w:rFonts w:asciiTheme="minorHAnsi" w:hAnsiTheme="minorHAnsi" w:eastAsiaTheme="minorEastAsia" w:cstheme="minorBidi"/>
              <w:b w:val="0"/>
              <w:color w:val="auto"/>
              <w:sz w:val="21"/>
              <w:szCs w:val="22"/>
              <w14:ligatures w14:val="standardContextual"/>
            </w:rPr>
            <w:tab/>
          </w:r>
          <w:r>
            <w:rPr>
              <w:rStyle w:val="49"/>
            </w:rPr>
            <w:t>STUDY PROCEDURE</w:t>
          </w:r>
          <w:r>
            <w:tab/>
          </w:r>
          <w:r>
            <w:fldChar w:fldCharType="begin"/>
          </w:r>
          <w:r>
            <w:instrText xml:space="preserve"> PAGEREF _Toc159596269 \h </w:instrText>
          </w:r>
          <w:r>
            <w:fldChar w:fldCharType="separate"/>
          </w:r>
          <w:r>
            <w:t>53</w:t>
          </w:r>
          <w:r>
            <w:fldChar w:fldCharType="end"/>
          </w:r>
          <w:r>
            <w:fldChar w:fldCharType="end"/>
          </w:r>
        </w:p>
        <w:p w14:paraId="7D19C80B">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"_Toc159596270" </w:instrText>
          </w:r>
          <w:r>
            <w:fldChar w:fldCharType="separate"/>
          </w:r>
          <w:r>
            <w:rPr>
              <w:rStyle w:val="49"/>
            </w:rPr>
            <w:t>7.1</w:t>
          </w:r>
          <w:r>
            <w:rPr>
              <w:rFonts w:asciiTheme="minorHAnsi" w:hAnsiTheme="minorHAnsi" w:eastAsiaTheme="minorEastAsia" w:cstheme="minorBidi"/>
              <w:color w:val="auto"/>
              <w:sz w:val="21"/>
              <w:szCs w:val="22"/>
              <w14:ligatures w14:val="standardContextual"/>
            </w:rPr>
            <w:tab/>
          </w:r>
          <w:r>
            <w:rPr>
              <w:rStyle w:val="49"/>
            </w:rPr>
            <w:t>Screening Period (D−14 to D−1)</w:t>
          </w:r>
          <w:r>
            <w:tab/>
          </w:r>
          <w:r>
            <w:fldChar w:fldCharType="begin"/>
          </w:r>
          <w:r>
            <w:instrText xml:space="preserve"> PAGEREF _Toc159596270 \h </w:instrText>
          </w:r>
          <w:r>
            <w:fldChar w:fldCharType="separate"/>
          </w:r>
          <w:r>
            <w:t>53</w:t>
          </w:r>
          <w:r>
            <w:fldChar w:fldCharType="end"/>
          </w:r>
          <w:r>
            <w:fldChar w:fldCharType="end"/>
          </w:r>
        </w:p>
        <w:p w14:paraId="611C505F">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"_Toc159596271" </w:instrText>
          </w:r>
          <w:r>
            <w:fldChar w:fldCharType="separate"/>
          </w:r>
          <w:r>
            <w:rPr>
              <w:rStyle w:val="49"/>
            </w:rPr>
            <w:t>7.2</w:t>
          </w:r>
          <w:r>
            <w:rPr>
              <w:rFonts w:asciiTheme="minorHAnsi" w:hAnsiTheme="minorHAnsi" w:eastAsiaTheme="minorEastAsia" w:cstheme="minorBidi"/>
              <w:color w:val="auto"/>
              <w:sz w:val="21"/>
              <w:szCs w:val="22"/>
              <w14:ligatures w14:val="standardContextual"/>
            </w:rPr>
            <w:tab/>
          </w:r>
          <w:r>
            <w:rPr>
              <w:rStyle w:val="49"/>
            </w:rPr>
            <w:t>Treatment and Observation Periods</w:t>
          </w:r>
          <w:r>
            <w:tab/>
          </w:r>
          <w:r>
            <w:fldChar w:fldCharType="begin"/>
          </w:r>
          <w:r>
            <w:instrText xml:space="preserve"> PAGEREF _Toc159596271 \h </w:instrText>
          </w:r>
          <w:r>
            <w:fldChar w:fldCharType="separate"/>
          </w:r>
          <w:r>
            <w:t>54</w:t>
          </w:r>
          <w:r>
            <w:fldChar w:fldCharType="end"/>
          </w:r>
          <w:r>
            <w:fldChar w:fldCharType="end"/>
          </w:r>
        </w:p>
        <w:p w14:paraId="164436D6">
          <w:pPr>
            <w:pStyle w:val="29"/>
            <w:ind w:left="482" w:hanging="482"/>
            <w:rPr>
              <w:rFonts w:asciiTheme="minorHAnsi" w:hAnsiTheme="minorHAnsi" w:eastAsiaTheme="minorEastAsia" w:cstheme="minorBidi"/>
              <w:b w:val="0"/>
              <w:color w:val="auto"/>
              <w:sz w:val="21"/>
              <w:szCs w:val="22"/>
              <w14:ligatures w14:val="standardContextual"/>
            </w:rPr>
          </w:pPr>
          <w:r>
            <w:fldChar w:fldCharType="begin"/>
          </w:r>
          <w:r>
            <w:instrText xml:space="preserve"> HYPERLINK \l "_Toc159596272" </w:instrText>
          </w:r>
          <w:r>
            <w:fldChar w:fldCharType="separate"/>
          </w:r>
          <w:r>
            <w:rPr>
              <w:rStyle w:val="49"/>
            </w:rPr>
            <w:t>8</w:t>
          </w:r>
          <w:r>
            <w:rPr>
              <w:rFonts w:asciiTheme="minorHAnsi" w:hAnsiTheme="minorHAnsi" w:eastAsiaTheme="minorEastAsia" w:cstheme="minorBidi"/>
              <w:b w:val="0"/>
              <w:color w:val="auto"/>
              <w:sz w:val="21"/>
              <w:szCs w:val="22"/>
              <w14:ligatures w14:val="standardContextual"/>
            </w:rPr>
            <w:tab/>
          </w:r>
          <w:r>
            <w:rPr>
              <w:rStyle w:val="49"/>
            </w:rPr>
            <w:t>BIOLOGICAL SAMPLES</w:t>
          </w:r>
          <w:r>
            <w:tab/>
          </w:r>
          <w:r>
            <w:fldChar w:fldCharType="begin"/>
          </w:r>
          <w:r>
            <w:instrText xml:space="preserve"> PAGEREF _Toc159596272 \h </w:instrText>
          </w:r>
          <w:r>
            <w:fldChar w:fldCharType="separate"/>
          </w:r>
          <w:r>
            <w:t>54</w:t>
          </w:r>
          <w:r>
            <w:fldChar w:fldCharType="end"/>
          </w:r>
          <w:r>
            <w:fldChar w:fldCharType="end"/>
          </w:r>
        </w:p>
        <w:p w14:paraId="51F87FEA">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"_Toc159596273" </w:instrText>
          </w:r>
          <w:r>
            <w:fldChar w:fldCharType="separate"/>
          </w:r>
          <w:r>
            <w:rPr>
              <w:rStyle w:val="49"/>
            </w:rPr>
            <w:t>8.1</w:t>
          </w:r>
          <w:r>
            <w:rPr>
              <w:rFonts w:asciiTheme="minorHAnsi" w:hAnsiTheme="minorHAnsi" w:eastAsiaTheme="minorEastAsia" w:cstheme="minorBidi"/>
              <w:color w:val="auto"/>
              <w:sz w:val="21"/>
              <w:szCs w:val="22"/>
              <w14:ligatures w14:val="standardContextual"/>
            </w:rPr>
            <w:tab/>
          </w:r>
          <w:r>
            <w:rPr>
              <w:rStyle w:val="49"/>
            </w:rPr>
            <w:t>Collection of Biological Samples</w:t>
          </w:r>
          <w:r>
            <w:tab/>
          </w:r>
          <w:r>
            <w:fldChar w:fldCharType="begin"/>
          </w:r>
          <w:r>
            <w:instrText xml:space="preserve"> PAGEREF _Toc159596273 \h </w:instrText>
          </w:r>
          <w:r>
            <w:fldChar w:fldCharType="separate"/>
          </w:r>
          <w:r>
            <w:t>54</w:t>
          </w:r>
          <w:r>
            <w:fldChar w:fldCharType="end"/>
          </w:r>
          <w:r>
            <w:fldChar w:fldCharType="end"/>
          </w:r>
        </w:p>
        <w:p w14:paraId="45501B7C">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"_Toc159596274" </w:instrText>
          </w:r>
          <w:r>
            <w:fldChar w:fldCharType="separate"/>
          </w:r>
          <w:r>
            <w:rPr>
              <w:rStyle w:val="49"/>
            </w:rPr>
            <w:t>8.1.1</w:t>
          </w:r>
          <w:r>
            <w:rPr>
              <w:rFonts w:asciiTheme="minorHAnsi" w:hAnsiTheme="minorHAnsi" w:eastAsiaTheme="minorEastAsia" w:cstheme="minorBidi"/>
              <w:color w:val="auto"/>
              <w:sz w:val="21"/>
              <w:szCs w:val="22"/>
              <w14:ligatures w14:val="standardContextual"/>
            </w:rPr>
            <w:tab/>
          </w:r>
          <w:r>
            <w:rPr>
              <w:rStyle w:val="49"/>
            </w:rPr>
            <w:t>Collection of pharmacokinetic samples</w:t>
          </w:r>
          <w:r>
            <w:tab/>
          </w:r>
          <w:r>
            <w:fldChar w:fldCharType="begin"/>
          </w:r>
          <w:r>
            <w:instrText xml:space="preserve"> PAGEREF _Toc159596274 \h </w:instrText>
          </w:r>
          <w:r>
            <w:fldChar w:fldCharType="separate"/>
          </w:r>
          <w:r>
            <w:t>54</w:t>
          </w:r>
          <w:r>
            <w:fldChar w:fldCharType="end"/>
          </w:r>
          <w:r>
            <w:fldChar w:fldCharType="end"/>
          </w:r>
        </w:p>
        <w:p w14:paraId="2D3B37F8">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"_Toc159596275" </w:instrText>
          </w:r>
          <w:r>
            <w:fldChar w:fldCharType="separate"/>
          </w:r>
          <w:r>
            <w:rPr>
              <w:rStyle w:val="49"/>
            </w:rPr>
            <w:t>8.1.2</w:t>
          </w:r>
          <w:r>
            <w:rPr>
              <w:rFonts w:asciiTheme="minorHAnsi" w:hAnsiTheme="minorHAnsi" w:eastAsiaTheme="minorEastAsia" w:cstheme="minorBidi"/>
              <w:color w:val="auto"/>
              <w:sz w:val="21"/>
              <w:szCs w:val="22"/>
              <w14:ligatures w14:val="standardContextual"/>
            </w:rPr>
            <w:tab/>
          </w:r>
          <w:r>
            <w:rPr>
              <w:rStyle w:val="49"/>
            </w:rPr>
            <w:t>Collection of immunogenicity samples</w:t>
          </w:r>
          <w:r>
            <w:tab/>
          </w:r>
          <w:r>
            <w:fldChar w:fldCharType="begin"/>
          </w:r>
          <w:r>
            <w:instrText xml:space="preserve"> PAGEREF _Toc159596275 \h </w:instrText>
          </w:r>
          <w:r>
            <w:fldChar w:fldCharType="separate"/>
          </w:r>
          <w:r>
            <w:t>55</w:t>
          </w:r>
          <w:r>
            <w:fldChar w:fldCharType="end"/>
          </w:r>
          <w:r>
            <w:fldChar w:fldCharType="end"/>
          </w:r>
        </w:p>
        <w:p w14:paraId="53DEE95A">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"_Toc159596276" </w:instrText>
          </w:r>
          <w:r>
            <w:fldChar w:fldCharType="separate"/>
          </w:r>
          <w:r>
            <w:rPr>
              <w:rStyle w:val="49"/>
            </w:rPr>
            <w:t>8.1.3</w:t>
          </w:r>
          <w:r>
            <w:rPr>
              <w:rFonts w:asciiTheme="minorHAnsi" w:hAnsiTheme="minorHAnsi" w:eastAsiaTheme="minorEastAsia" w:cstheme="minorBidi"/>
              <w:color w:val="auto"/>
              <w:sz w:val="21"/>
              <w:szCs w:val="22"/>
              <w14:ligatures w14:val="standardContextual"/>
            </w:rPr>
            <w:tab/>
          </w:r>
          <w:r>
            <w:rPr>
              <w:rStyle w:val="49"/>
            </w:rPr>
            <w:t>Collection and processing methods of biological samples</w:t>
          </w:r>
          <w:r>
            <w:tab/>
          </w:r>
          <w:r>
            <w:fldChar w:fldCharType="begin"/>
          </w:r>
          <w:r>
            <w:instrText xml:space="preserve"> PAGEREF _Toc159596276 \h </w:instrText>
          </w:r>
          <w:r>
            <w:fldChar w:fldCharType="separate"/>
          </w:r>
          <w:r>
            <w:t>55</w:t>
          </w:r>
          <w:r>
            <w:fldChar w:fldCharType="end"/>
          </w:r>
          <w:r>
            <w:fldChar w:fldCharType="end"/>
          </w:r>
        </w:p>
        <w:p w14:paraId="29AB0DBE">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"_Toc159596277" </w:instrText>
          </w:r>
          <w:r>
            <w:fldChar w:fldCharType="separate"/>
          </w:r>
          <w:r>
            <w:rPr>
              <w:rStyle w:val="49"/>
            </w:rPr>
            <w:t>8.2</w:t>
          </w:r>
          <w:r>
            <w:rPr>
              <w:rFonts w:asciiTheme="minorHAnsi" w:hAnsiTheme="minorHAnsi" w:eastAsiaTheme="minorEastAsia" w:cstheme="minorBidi"/>
              <w:color w:val="auto"/>
              <w:sz w:val="21"/>
              <w:szCs w:val="22"/>
              <w14:ligatures w14:val="standardContextual"/>
            </w:rPr>
            <w:tab/>
          </w:r>
          <w:r>
            <w:rPr>
              <w:rStyle w:val="49"/>
            </w:rPr>
            <w:t>Nomenclature of Biological Samples</w:t>
          </w:r>
          <w:r>
            <w:tab/>
          </w:r>
          <w:r>
            <w:fldChar w:fldCharType="begin"/>
          </w:r>
          <w:r>
            <w:instrText xml:space="preserve"> PAGEREF _Toc159596277 \h </w:instrText>
          </w:r>
          <w:r>
            <w:fldChar w:fldCharType="separate"/>
          </w:r>
          <w:r>
            <w:t>55</w:t>
          </w:r>
          <w:r>
            <w:fldChar w:fldCharType="end"/>
          </w:r>
          <w:r>
            <w:fldChar w:fldCharType="end"/>
          </w:r>
        </w:p>
        <w:p w14:paraId="223B0904">
          <w:pPr>
            <w:pStyle w:val="29"/>
            <w:ind w:left="482" w:hanging="482"/>
            <w:rPr>
              <w:rFonts w:asciiTheme="minorHAnsi" w:hAnsiTheme="minorHAnsi" w:eastAsiaTheme="minorEastAsia" w:cstheme="minorBidi"/>
              <w:b w:val="0"/>
              <w:color w:val="auto"/>
              <w:sz w:val="21"/>
              <w:szCs w:val="22"/>
              <w14:ligatures w14:val="standardContextual"/>
            </w:rPr>
          </w:pPr>
          <w:r>
            <w:fldChar w:fldCharType="begin"/>
          </w:r>
          <w:r>
            <w:instrText xml:space="preserve"> HYPERLINK \l "_Toc159596278" </w:instrText>
          </w:r>
          <w:r>
            <w:fldChar w:fldCharType="separate"/>
          </w:r>
          <w:r>
            <w:rPr>
              <w:rStyle w:val="49"/>
            </w:rPr>
            <w:t>9</w:t>
          </w:r>
          <w:r>
            <w:rPr>
              <w:rFonts w:asciiTheme="minorHAnsi" w:hAnsiTheme="minorHAnsi" w:eastAsiaTheme="minorEastAsia" w:cstheme="minorBidi"/>
              <w:b w:val="0"/>
              <w:color w:val="auto"/>
              <w:sz w:val="21"/>
              <w:szCs w:val="22"/>
              <w14:ligatures w14:val="standardContextual"/>
            </w:rPr>
            <w:tab/>
          </w:r>
          <w:r>
            <w:rPr>
              <w:rStyle w:val="49"/>
            </w:rPr>
            <w:t>ENDPOINTS</w:t>
          </w:r>
          <w:r>
            <w:tab/>
          </w:r>
          <w:r>
            <w:fldChar w:fldCharType="begin"/>
          </w:r>
          <w:r>
            <w:instrText xml:space="preserve"> PAGEREF _Toc159596278 \h </w:instrText>
          </w:r>
          <w:r>
            <w:fldChar w:fldCharType="separate"/>
          </w:r>
          <w:r>
            <w:t>55</w:t>
          </w:r>
          <w:r>
            <w:fldChar w:fldCharType="end"/>
          </w:r>
          <w:r>
            <w:fldChar w:fldCharType="end"/>
          </w:r>
        </w:p>
        <w:p w14:paraId="4DD5B3DF">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"_Toc159596279" </w:instrText>
          </w:r>
          <w:r>
            <w:fldChar w:fldCharType="separate"/>
          </w:r>
          <w:r>
            <w:rPr>
              <w:rStyle w:val="49"/>
            </w:rPr>
            <w:t>9.1</w:t>
          </w:r>
          <w:r>
            <w:rPr>
              <w:rFonts w:asciiTheme="minorHAnsi" w:hAnsiTheme="minorHAnsi" w:eastAsiaTheme="minorEastAsia" w:cstheme="minorBidi"/>
              <w:color w:val="auto"/>
              <w:sz w:val="21"/>
              <w:szCs w:val="22"/>
              <w14:ligatures w14:val="standardContextual"/>
            </w:rPr>
            <w:tab/>
          </w:r>
          <w:r>
            <w:rPr>
              <w:rStyle w:val="49"/>
            </w:rPr>
            <w:t>Safety Evaluation</w:t>
          </w:r>
          <w:r>
            <w:tab/>
          </w:r>
          <w:r>
            <w:fldChar w:fldCharType="begin"/>
          </w:r>
          <w:r>
            <w:instrText xml:space="preserve"> PAGEREF _Toc159596279 \h </w:instrText>
          </w:r>
          <w:r>
            <w:fldChar w:fldCharType="separate"/>
          </w:r>
          <w:r>
            <w:t>55</w:t>
          </w:r>
          <w:r>
            <w:fldChar w:fldCharType="end"/>
          </w:r>
          <w:r>
            <w:fldChar w:fldCharType="end"/>
          </w:r>
        </w:p>
        <w:p w14:paraId="1A624E8D">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"_Toc159596280" </w:instrText>
          </w:r>
          <w:r>
            <w:fldChar w:fldCharType="separate"/>
          </w:r>
          <w:r>
            <w:rPr>
              <w:rStyle w:val="49"/>
            </w:rPr>
            <w:t>9.2</w:t>
          </w:r>
          <w:r>
            <w:rPr>
              <w:rFonts w:asciiTheme="minorHAnsi" w:hAnsiTheme="minorHAnsi" w:eastAsiaTheme="minorEastAsia" w:cstheme="minorBidi"/>
              <w:color w:val="auto"/>
              <w:sz w:val="21"/>
              <w:szCs w:val="22"/>
              <w14:ligatures w14:val="standardContextual"/>
            </w:rPr>
            <w:tab/>
          </w:r>
          <w:r>
            <w:rPr>
              <w:rStyle w:val="49"/>
            </w:rPr>
            <w:t>Efficacy Evaluation</w:t>
          </w:r>
          <w:r>
            <w:tab/>
          </w:r>
          <w:r>
            <w:fldChar w:fldCharType="begin"/>
          </w:r>
          <w:r>
            <w:instrText xml:space="preserve"> PAGEREF _Toc159596280 \h </w:instrText>
          </w:r>
          <w:r>
            <w:fldChar w:fldCharType="separate"/>
          </w:r>
          <w:r>
            <w:t>57</w:t>
          </w:r>
          <w:r>
            <w:fldChar w:fldCharType="end"/>
          </w:r>
          <w:r>
            <w:fldChar w:fldCharType="end"/>
          </w:r>
        </w:p>
        <w:p w14:paraId="486C3736">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"_Toc159596281" </w:instrText>
          </w:r>
          <w:r>
            <w:fldChar w:fldCharType="separate"/>
          </w:r>
          <w:r>
            <w:rPr>
              <w:rStyle w:val="49"/>
            </w:rPr>
            <w:t>9.3</w:t>
          </w:r>
          <w:r>
            <w:rPr>
              <w:rFonts w:asciiTheme="minorHAnsi" w:hAnsiTheme="minorHAnsi" w:eastAsiaTheme="minorEastAsia" w:cstheme="minorBidi"/>
              <w:color w:val="auto"/>
              <w:sz w:val="21"/>
              <w:szCs w:val="22"/>
              <w14:ligatures w14:val="standardContextual"/>
            </w:rPr>
            <w:tab/>
          </w:r>
          <w:r>
            <w:rPr>
              <w:rStyle w:val="49"/>
            </w:rPr>
            <w:t>Pharmacokinetics</w:t>
          </w:r>
          <w:r>
            <w:tab/>
          </w:r>
          <w:r>
            <w:fldChar w:fldCharType="begin"/>
          </w:r>
          <w:r>
            <w:instrText xml:space="preserve"> PAGEREF _Toc159596281 \h </w:instrText>
          </w:r>
          <w:r>
            <w:fldChar w:fldCharType="separate"/>
          </w:r>
          <w:r>
            <w:t>57</w:t>
          </w:r>
          <w:r>
            <w:fldChar w:fldCharType="end"/>
          </w:r>
          <w:r>
            <w:fldChar w:fldCharType="end"/>
          </w:r>
        </w:p>
        <w:p w14:paraId="7A8EF119">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"_Toc159596282" </w:instrText>
          </w:r>
          <w:r>
            <w:fldChar w:fldCharType="separate"/>
          </w:r>
          <w:r>
            <w:rPr>
              <w:rStyle w:val="49"/>
            </w:rPr>
            <w:t>9.4</w:t>
          </w:r>
          <w:r>
            <w:rPr>
              <w:rFonts w:asciiTheme="minorHAnsi" w:hAnsiTheme="minorHAnsi" w:eastAsiaTheme="minorEastAsia" w:cstheme="minorBidi"/>
              <w:color w:val="auto"/>
              <w:sz w:val="21"/>
              <w:szCs w:val="22"/>
              <w14:ligatures w14:val="standardContextual"/>
            </w:rPr>
            <w:tab/>
          </w:r>
          <w:r>
            <w:rPr>
              <w:rStyle w:val="49"/>
            </w:rPr>
            <w:t>Immunogenicity</w:t>
          </w:r>
          <w:r>
            <w:tab/>
          </w:r>
          <w:r>
            <w:fldChar w:fldCharType="begin"/>
          </w:r>
          <w:r>
            <w:instrText xml:space="preserve"> PAGEREF _Toc159596282 \h </w:instrText>
          </w:r>
          <w:r>
            <w:fldChar w:fldCharType="separate"/>
          </w:r>
          <w:r>
            <w:t>58</w:t>
          </w:r>
          <w:r>
            <w:fldChar w:fldCharType="end"/>
          </w:r>
          <w:r>
            <w:fldChar w:fldCharType="end"/>
          </w:r>
        </w:p>
        <w:p w14:paraId="58C44E28">
          <w:pPr>
            <w:pStyle w:val="29"/>
            <w:tabs>
              <w:tab w:val="left" w:pos="500"/>
            </w:tabs>
            <w:ind w:left="482" w:hanging="482"/>
            <w:rPr>
              <w:rFonts w:asciiTheme="minorHAnsi" w:hAnsiTheme="minorHAnsi" w:eastAsiaTheme="minorEastAsia" w:cstheme="minorBidi"/>
              <w:b w:val="0"/>
              <w:color w:val="auto"/>
              <w:sz w:val="21"/>
              <w:szCs w:val="22"/>
              <w14:ligatures w14:val="standardContextual"/>
            </w:rPr>
          </w:pPr>
          <w:r>
            <w:fldChar w:fldCharType="begin"/>
          </w:r>
          <w:r>
            <w:instrText xml:space="preserve"> HYPERLINK \l "_Toc159596283" </w:instrText>
          </w:r>
          <w:r>
            <w:fldChar w:fldCharType="separate"/>
          </w:r>
          <w:r>
            <w:rPr>
              <w:rStyle w:val="49"/>
            </w:rPr>
            <w:t>10</w:t>
          </w:r>
          <w:r>
            <w:rPr>
              <w:rFonts w:asciiTheme="minorHAnsi" w:hAnsiTheme="minorHAnsi" w:eastAsiaTheme="minorEastAsia" w:cstheme="minorBidi"/>
              <w:b w:val="0"/>
              <w:color w:val="auto"/>
              <w:sz w:val="21"/>
              <w:szCs w:val="22"/>
              <w14:ligatures w14:val="standardContextual"/>
            </w:rPr>
            <w:tab/>
          </w:r>
          <w:r>
            <w:rPr>
              <w:rStyle w:val="49"/>
            </w:rPr>
            <w:t>EVALUATION OF ADVERSE EVENTS AND SERIOUS ADVERSE EVENTS</w:t>
          </w:r>
          <w:r>
            <w:tab/>
          </w:r>
          <w:r>
            <w:fldChar w:fldCharType="begin"/>
          </w:r>
          <w:r>
            <w:instrText xml:space="preserve"> PAGEREF _Toc159596283 \h </w:instrText>
          </w:r>
          <w:r>
            <w:fldChar w:fldCharType="separate"/>
          </w:r>
          <w:r>
            <w:t>58</w:t>
          </w:r>
          <w:r>
            <w:fldChar w:fldCharType="end"/>
          </w:r>
          <w:r>
            <w:fldChar w:fldCharType="end"/>
          </w:r>
        </w:p>
        <w:p w14:paraId="7DF73AF4">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"_Toc159596284" </w:instrText>
          </w:r>
          <w:r>
            <w:fldChar w:fldCharType="separate"/>
          </w:r>
          <w:r>
            <w:rPr>
              <w:rStyle w:val="49"/>
            </w:rPr>
            <w:t>10.1</w:t>
          </w:r>
          <w:r>
            <w:rPr>
              <w:rFonts w:asciiTheme="minorHAnsi" w:hAnsiTheme="minorHAnsi" w:eastAsiaTheme="minorEastAsia" w:cstheme="minorBidi"/>
              <w:color w:val="auto"/>
              <w:sz w:val="21"/>
              <w:szCs w:val="22"/>
              <w14:ligatures w14:val="standardContextual"/>
            </w:rPr>
            <w:tab/>
          </w:r>
          <w:r>
            <w:rPr>
              <w:rStyle w:val="49"/>
            </w:rPr>
            <w:t>Adverse Events</w:t>
          </w:r>
          <w:r>
            <w:tab/>
          </w:r>
          <w:r>
            <w:fldChar w:fldCharType="begin"/>
          </w:r>
          <w:r>
            <w:instrText xml:space="preserve"> PAGEREF _Toc159596284 \h </w:instrText>
          </w:r>
          <w:r>
            <w:fldChar w:fldCharType="separate"/>
          </w:r>
          <w:r>
            <w:t>58</w:t>
          </w:r>
          <w:r>
            <w:fldChar w:fldCharType="end"/>
          </w:r>
          <w:r>
            <w:fldChar w:fldCharType="end"/>
          </w:r>
        </w:p>
        <w:p w14:paraId="109DAE76">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"_Toc159596285" </w:instrText>
          </w:r>
          <w:r>
            <w:fldChar w:fldCharType="separate"/>
          </w:r>
          <w:r>
            <w:rPr>
              <w:rStyle w:val="49"/>
            </w:rPr>
            <w:t>10.1.1</w:t>
          </w:r>
          <w:r>
            <w:rPr>
              <w:rFonts w:asciiTheme="minorHAnsi" w:hAnsiTheme="minorHAnsi" w:eastAsiaTheme="minorEastAsia" w:cstheme="minorBidi"/>
              <w:color w:val="auto"/>
              <w:sz w:val="21"/>
              <w:szCs w:val="22"/>
              <w14:ligatures w14:val="standardContextual"/>
            </w:rPr>
            <w:tab/>
          </w:r>
          <w:r>
            <w:rPr>
              <w:rStyle w:val="49"/>
            </w:rPr>
            <w:t>Definition of adverse events</w:t>
          </w:r>
          <w:r>
            <w:tab/>
          </w:r>
          <w:r>
            <w:fldChar w:fldCharType="begin"/>
          </w:r>
          <w:r>
            <w:instrText xml:space="preserve"> PAGEREF _Toc159596285 \h </w:instrText>
          </w:r>
          <w:r>
            <w:fldChar w:fldCharType="separate"/>
          </w:r>
          <w:r>
            <w:t>58</w:t>
          </w:r>
          <w:r>
            <w:fldChar w:fldCharType="end"/>
          </w:r>
          <w:r>
            <w:fldChar w:fldCharType="end"/>
          </w:r>
        </w:p>
        <w:p w14:paraId="0C3A9640">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"_Toc159596286" </w:instrText>
          </w:r>
          <w:r>
            <w:fldChar w:fldCharType="separate"/>
          </w:r>
          <w:r>
            <w:rPr>
              <w:rStyle w:val="49"/>
            </w:rPr>
            <w:t>10.1.2</w:t>
          </w:r>
          <w:r>
            <w:rPr>
              <w:rFonts w:asciiTheme="minorHAnsi" w:hAnsiTheme="minorHAnsi" w:eastAsiaTheme="minorEastAsia" w:cstheme="minorBidi"/>
              <w:color w:val="auto"/>
              <w:sz w:val="21"/>
              <w:szCs w:val="22"/>
              <w14:ligatures w14:val="standardContextual"/>
            </w:rPr>
            <w:tab/>
          </w:r>
          <w:r>
            <w:rPr>
              <w:rStyle w:val="49"/>
            </w:rPr>
            <w:t>Evaluation cycle of adverse events</w:t>
          </w:r>
          <w:r>
            <w:tab/>
          </w:r>
          <w:r>
            <w:fldChar w:fldCharType="begin"/>
          </w:r>
          <w:r>
            <w:instrText xml:space="preserve"> PAGEREF _Toc159596286 \h </w:instrText>
          </w:r>
          <w:r>
            <w:fldChar w:fldCharType="separate"/>
          </w:r>
          <w:r>
            <w:t>59</w:t>
          </w:r>
          <w:r>
            <w:fldChar w:fldCharType="end"/>
          </w:r>
          <w:r>
            <w:fldChar w:fldCharType="end"/>
          </w:r>
        </w:p>
        <w:p w14:paraId="3EA2BD43">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"_Toc159596287" </w:instrText>
          </w:r>
          <w:r>
            <w:fldChar w:fldCharType="separate"/>
          </w:r>
          <w:r>
            <w:rPr>
              <w:rStyle w:val="49"/>
            </w:rPr>
            <w:t>10.1.3</w:t>
          </w:r>
          <w:r>
            <w:rPr>
              <w:rFonts w:asciiTheme="minorHAnsi" w:hAnsiTheme="minorHAnsi" w:eastAsiaTheme="minorEastAsia" w:cstheme="minorBidi"/>
              <w:color w:val="auto"/>
              <w:sz w:val="21"/>
              <w:szCs w:val="22"/>
              <w14:ligatures w14:val="standardContextual"/>
            </w:rPr>
            <w:tab/>
          </w:r>
          <w:r>
            <w:rPr>
              <w:rStyle w:val="49"/>
            </w:rPr>
            <w:t>Recording of adverse events</w:t>
          </w:r>
          <w:r>
            <w:tab/>
          </w:r>
          <w:r>
            <w:fldChar w:fldCharType="begin"/>
          </w:r>
          <w:r>
            <w:instrText xml:space="preserve"> PAGEREF _Toc159596287 \h </w:instrText>
          </w:r>
          <w:r>
            <w:fldChar w:fldCharType="separate"/>
          </w:r>
          <w:r>
            <w:t>59</w:t>
          </w:r>
          <w:r>
            <w:fldChar w:fldCharType="end"/>
          </w:r>
          <w:r>
            <w:fldChar w:fldCharType="end"/>
          </w:r>
        </w:p>
        <w:p w14:paraId="04438D08">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"_Toc159596288" </w:instrText>
          </w:r>
          <w:r>
            <w:fldChar w:fldCharType="separate"/>
          </w:r>
          <w:r>
            <w:rPr>
              <w:rStyle w:val="49"/>
            </w:rPr>
            <w:t>10.1.4</w:t>
          </w:r>
          <w:r>
            <w:rPr>
              <w:rFonts w:asciiTheme="minorHAnsi" w:hAnsiTheme="minorHAnsi" w:eastAsiaTheme="minorEastAsia" w:cstheme="minorBidi"/>
              <w:color w:val="auto"/>
              <w:sz w:val="21"/>
              <w:szCs w:val="22"/>
              <w14:ligatures w14:val="standardContextual"/>
            </w:rPr>
            <w:tab/>
          </w:r>
          <w:r>
            <w:rPr>
              <w:rStyle w:val="49"/>
            </w:rPr>
            <w:t>Judgment criteria for the severity of adverse events</w:t>
          </w:r>
          <w:r>
            <w:tab/>
          </w:r>
          <w:r>
            <w:fldChar w:fldCharType="begin"/>
          </w:r>
          <w:r>
            <w:instrText xml:space="preserve"> PAGEREF _Toc159596288 \h </w:instrText>
          </w:r>
          <w:r>
            <w:fldChar w:fldCharType="separate"/>
          </w:r>
          <w:r>
            <w:t>59</w:t>
          </w:r>
          <w:r>
            <w:fldChar w:fldCharType="end"/>
          </w:r>
          <w:r>
            <w:fldChar w:fldCharType="end"/>
          </w:r>
        </w:p>
        <w:p w14:paraId="2E862FA5">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"_Toc159596289" </w:instrText>
          </w:r>
          <w:r>
            <w:fldChar w:fldCharType="separate"/>
          </w:r>
          <w:r>
            <w:rPr>
              <w:rStyle w:val="49"/>
            </w:rPr>
            <w:t>10.1.5</w:t>
          </w:r>
          <w:r>
            <w:rPr>
              <w:rFonts w:asciiTheme="minorHAnsi" w:hAnsiTheme="minorHAnsi" w:eastAsiaTheme="minorEastAsia" w:cstheme="minorBidi"/>
              <w:color w:val="auto"/>
              <w:sz w:val="21"/>
              <w:szCs w:val="22"/>
              <w14:ligatures w14:val="standardContextual"/>
            </w:rPr>
            <w:tab/>
          </w:r>
          <w:r>
            <w:rPr>
              <w:rStyle w:val="49"/>
            </w:rPr>
            <w:t>Judgment criteria for the relationship between adverse events and the investigational drug</w:t>
          </w:r>
          <w:r>
            <w:tab/>
          </w:r>
          <w:r>
            <w:fldChar w:fldCharType="begin"/>
          </w:r>
          <w:r>
            <w:instrText xml:space="preserve"> PAGEREF _Toc159596289 \h </w:instrText>
          </w:r>
          <w:r>
            <w:fldChar w:fldCharType="separate"/>
          </w:r>
          <w:r>
            <w:t>59</w:t>
          </w:r>
          <w:r>
            <w:fldChar w:fldCharType="end"/>
          </w:r>
          <w:r>
            <w:fldChar w:fldCharType="end"/>
          </w:r>
        </w:p>
        <w:p w14:paraId="6CDE8835">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"_Toc159596290" </w:instrText>
          </w:r>
          <w:r>
            <w:fldChar w:fldCharType="separate"/>
          </w:r>
          <w:r>
            <w:rPr>
              <w:rStyle w:val="49"/>
            </w:rPr>
            <w:t>10.1.6</w:t>
          </w:r>
          <w:r>
            <w:rPr>
              <w:rFonts w:asciiTheme="minorHAnsi" w:hAnsiTheme="minorHAnsi" w:eastAsiaTheme="minorEastAsia" w:cstheme="minorBidi"/>
              <w:color w:val="auto"/>
              <w:sz w:val="21"/>
              <w:szCs w:val="22"/>
              <w14:ligatures w14:val="standardContextual"/>
            </w:rPr>
            <w:tab/>
          </w:r>
          <w:r>
            <w:rPr>
              <w:rStyle w:val="49"/>
            </w:rPr>
            <w:t>Evaluation of clinical laboratory test abnormalities and other abnormalities considered adverse events or serious adverse events</w:t>
          </w:r>
          <w:r>
            <w:tab/>
          </w:r>
          <w:r>
            <w:fldChar w:fldCharType="begin"/>
          </w:r>
          <w:r>
            <w:instrText xml:space="preserve"> PAGEREF _Toc159596290 \h </w:instrText>
          </w:r>
          <w:r>
            <w:fldChar w:fldCharType="separate"/>
          </w:r>
          <w:r>
            <w:t>60</w:t>
          </w:r>
          <w:r>
            <w:fldChar w:fldCharType="end"/>
          </w:r>
          <w:r>
            <w:fldChar w:fldCharType="end"/>
          </w:r>
        </w:p>
        <w:p w14:paraId="301C4D18">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"_Toc159596291" </w:instrText>
          </w:r>
          <w:r>
            <w:fldChar w:fldCharType="separate"/>
          </w:r>
          <w:r>
            <w:rPr>
              <w:rStyle w:val="49"/>
            </w:rPr>
            <w:t>10.2</w:t>
          </w:r>
          <w:r>
            <w:rPr>
              <w:rFonts w:asciiTheme="minorHAnsi" w:hAnsiTheme="minorHAnsi" w:eastAsiaTheme="minorEastAsia" w:cstheme="minorBidi"/>
              <w:color w:val="auto"/>
              <w:sz w:val="21"/>
              <w:szCs w:val="22"/>
              <w14:ligatures w14:val="standardContextual"/>
            </w:rPr>
            <w:tab/>
          </w:r>
          <w:r>
            <w:rPr>
              <w:rStyle w:val="49"/>
            </w:rPr>
            <w:t>Adverse Events of Special Interest</w:t>
          </w:r>
          <w:r>
            <w:tab/>
          </w:r>
          <w:r>
            <w:fldChar w:fldCharType="begin"/>
          </w:r>
          <w:r>
            <w:instrText xml:space="preserve"> PAGEREF _Toc159596291 \h </w:instrText>
          </w:r>
          <w:r>
            <w:fldChar w:fldCharType="separate"/>
          </w:r>
          <w:r>
            <w:t>60</w:t>
          </w:r>
          <w:r>
            <w:fldChar w:fldCharType="end"/>
          </w:r>
          <w:r>
            <w:fldChar w:fldCharType="end"/>
          </w:r>
        </w:p>
        <w:p w14:paraId="48C664AA">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"_Toc159596292" </w:instrText>
          </w:r>
          <w:r>
            <w:fldChar w:fldCharType="separate"/>
          </w:r>
          <w:r>
            <w:rPr>
              <w:rStyle w:val="49"/>
            </w:rPr>
            <w:t>10.3</w:t>
          </w:r>
          <w:r>
            <w:rPr>
              <w:rFonts w:asciiTheme="minorHAnsi" w:hAnsiTheme="minorHAnsi" w:eastAsiaTheme="minorEastAsia" w:cstheme="minorBidi"/>
              <w:color w:val="auto"/>
              <w:sz w:val="21"/>
              <w:szCs w:val="22"/>
              <w14:ligatures w14:val="standardContextual"/>
            </w:rPr>
            <w:tab/>
          </w:r>
          <w:r>
            <w:rPr>
              <w:rStyle w:val="49"/>
            </w:rPr>
            <w:t>Serious Adverse Events</w:t>
          </w:r>
          <w:r>
            <w:tab/>
          </w:r>
          <w:r>
            <w:fldChar w:fldCharType="begin"/>
          </w:r>
          <w:r>
            <w:instrText xml:space="preserve"> PAGEREF _Toc159596292 \h </w:instrText>
          </w:r>
          <w:r>
            <w:fldChar w:fldCharType="separate"/>
          </w:r>
          <w:r>
            <w:t>61</w:t>
          </w:r>
          <w:r>
            <w:fldChar w:fldCharType="end"/>
          </w:r>
          <w:r>
            <w:fldChar w:fldCharType="end"/>
          </w:r>
        </w:p>
        <w:p w14:paraId="7E10AA84">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"_Toc159596293" </w:instrText>
          </w:r>
          <w:r>
            <w:fldChar w:fldCharType="separate"/>
          </w:r>
          <w:r>
            <w:rPr>
              <w:rStyle w:val="49"/>
            </w:rPr>
            <w:t>10.3.1</w:t>
          </w:r>
          <w:r>
            <w:rPr>
              <w:rFonts w:asciiTheme="minorHAnsi" w:hAnsiTheme="minorHAnsi" w:eastAsiaTheme="minorEastAsia" w:cstheme="minorBidi"/>
              <w:color w:val="auto"/>
              <w:sz w:val="21"/>
              <w:szCs w:val="22"/>
              <w14:ligatures w14:val="standardContextual"/>
            </w:rPr>
            <w:tab/>
          </w:r>
          <w:r>
            <w:rPr>
              <w:rStyle w:val="49"/>
            </w:rPr>
            <w:t>Definition of serious adverse events</w:t>
          </w:r>
          <w:r>
            <w:tab/>
          </w:r>
          <w:r>
            <w:fldChar w:fldCharType="begin"/>
          </w:r>
          <w:r>
            <w:instrText xml:space="preserve"> PAGEREF _Toc159596293 \h </w:instrText>
          </w:r>
          <w:r>
            <w:fldChar w:fldCharType="separate"/>
          </w:r>
          <w:r>
            <w:t>61</w:t>
          </w:r>
          <w:r>
            <w:fldChar w:fldCharType="end"/>
          </w:r>
          <w:r>
            <w:fldChar w:fldCharType="end"/>
          </w:r>
        </w:p>
        <w:p w14:paraId="606A8535">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"_Toc159596294" </w:instrText>
          </w:r>
          <w:r>
            <w:fldChar w:fldCharType="separate"/>
          </w:r>
          <w:r>
            <w:rPr>
              <w:rStyle w:val="49"/>
            </w:rPr>
            <w:t>10.3.2</w:t>
          </w:r>
          <w:r>
            <w:rPr>
              <w:rFonts w:asciiTheme="minorHAnsi" w:hAnsiTheme="minorHAnsi" w:eastAsiaTheme="minorEastAsia" w:cstheme="minorBidi"/>
              <w:color w:val="auto"/>
              <w:sz w:val="21"/>
              <w:szCs w:val="22"/>
              <w14:ligatures w14:val="standardContextual"/>
            </w:rPr>
            <w:tab/>
          </w:r>
          <w:r>
            <w:rPr>
              <w:rStyle w:val="49"/>
            </w:rPr>
            <w:t>Suspected unexpected serious adverse reaction (SUSAR)</w:t>
          </w:r>
          <w:r>
            <w:tab/>
          </w:r>
          <w:r>
            <w:fldChar w:fldCharType="begin"/>
          </w:r>
          <w:r>
            <w:instrText xml:space="preserve"> PAGEREF _Toc159596294 \h </w:instrText>
          </w:r>
          <w:r>
            <w:fldChar w:fldCharType="separate"/>
          </w:r>
          <w:r>
            <w:t>61</w:t>
          </w:r>
          <w:r>
            <w:fldChar w:fldCharType="end"/>
          </w:r>
          <w:r>
            <w:fldChar w:fldCharType="end"/>
          </w:r>
        </w:p>
        <w:p w14:paraId="71853AD0">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"_Toc159596295" </w:instrText>
          </w:r>
          <w:r>
            <w:fldChar w:fldCharType="separate"/>
          </w:r>
          <w:r>
            <w:rPr>
              <w:rStyle w:val="49"/>
            </w:rPr>
            <w:t>10.3.3</w:t>
          </w:r>
          <w:r>
            <w:rPr>
              <w:rFonts w:asciiTheme="minorHAnsi" w:hAnsiTheme="minorHAnsi" w:eastAsiaTheme="minorEastAsia" w:cstheme="minorBidi"/>
              <w:color w:val="auto"/>
              <w:sz w:val="21"/>
              <w:szCs w:val="22"/>
              <w14:ligatures w14:val="standardContextual"/>
            </w:rPr>
            <w:tab/>
          </w:r>
          <w:r>
            <w:rPr>
              <w:rStyle w:val="49"/>
            </w:rPr>
            <w:t>Recording and reporting of SAEs</w:t>
          </w:r>
          <w:r>
            <w:tab/>
          </w:r>
          <w:r>
            <w:fldChar w:fldCharType="begin"/>
          </w:r>
          <w:r>
            <w:instrText xml:space="preserve"> PAGEREF _Toc159596295 \h </w:instrText>
          </w:r>
          <w:r>
            <w:fldChar w:fldCharType="separate"/>
          </w:r>
          <w:r>
            <w:t>61</w:t>
          </w:r>
          <w:r>
            <w:fldChar w:fldCharType="end"/>
          </w:r>
          <w:r>
            <w:fldChar w:fldCharType="end"/>
          </w:r>
        </w:p>
        <w:p w14:paraId="1F2E215F">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"_Toc159596296" </w:instrText>
          </w:r>
          <w:r>
            <w:fldChar w:fldCharType="separate"/>
          </w:r>
          <w:r>
            <w:rPr>
              <w:rStyle w:val="49"/>
            </w:rPr>
            <w:t>10.3.4</w:t>
          </w:r>
          <w:r>
            <w:rPr>
              <w:rFonts w:asciiTheme="minorHAnsi" w:hAnsiTheme="minorHAnsi" w:eastAsiaTheme="minorEastAsia" w:cstheme="minorBidi"/>
              <w:color w:val="auto"/>
              <w:sz w:val="21"/>
              <w:szCs w:val="22"/>
              <w14:ligatures w14:val="standardContextual"/>
            </w:rPr>
            <w:tab/>
          </w:r>
          <w:r>
            <w:rPr>
              <w:rStyle w:val="49"/>
            </w:rPr>
            <w:t>Pregnancy events</w:t>
          </w:r>
          <w:r>
            <w:tab/>
          </w:r>
          <w:r>
            <w:fldChar w:fldCharType="begin"/>
          </w:r>
          <w:r>
            <w:instrText xml:space="preserve"> PAGEREF _Toc159596296 \h </w:instrText>
          </w:r>
          <w:r>
            <w:fldChar w:fldCharType="separate"/>
          </w:r>
          <w:r>
            <w:t>62</w:t>
          </w:r>
          <w:r>
            <w:fldChar w:fldCharType="end"/>
          </w:r>
          <w:r>
            <w:fldChar w:fldCharType="end"/>
          </w:r>
        </w:p>
        <w:p w14:paraId="47C2EAE4">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"_Toc159596297" </w:instrText>
          </w:r>
          <w:r>
            <w:fldChar w:fldCharType="separate"/>
          </w:r>
          <w:r>
            <w:rPr>
              <w:rStyle w:val="49"/>
            </w:rPr>
            <w:t>10.3.5</w:t>
          </w:r>
          <w:r>
            <w:rPr>
              <w:rFonts w:asciiTheme="minorHAnsi" w:hAnsiTheme="minorHAnsi" w:eastAsiaTheme="minorEastAsia" w:cstheme="minorBidi"/>
              <w:color w:val="auto"/>
              <w:sz w:val="21"/>
              <w:szCs w:val="22"/>
              <w14:ligatures w14:val="standardContextual"/>
            </w:rPr>
            <w:tab/>
          </w:r>
          <w:r>
            <w:rPr>
              <w:rStyle w:val="49"/>
            </w:rPr>
            <w:t>Abnormal liver biochemical parameters</w:t>
          </w:r>
          <w:r>
            <w:tab/>
          </w:r>
          <w:r>
            <w:fldChar w:fldCharType="begin"/>
          </w:r>
          <w:r>
            <w:instrText xml:space="preserve"> PAGEREF _Toc159596297 \h </w:instrText>
          </w:r>
          <w:r>
            <w:fldChar w:fldCharType="separate"/>
          </w:r>
          <w:r>
            <w:t>62</w:t>
          </w:r>
          <w:r>
            <w:fldChar w:fldCharType="end"/>
          </w:r>
          <w:r>
            <w:fldChar w:fldCharType="end"/>
          </w:r>
        </w:p>
        <w:p w14:paraId="1BB9FB35">
          <w:pPr>
            <w:pStyle w:val="29"/>
            <w:tabs>
              <w:tab w:val="left" w:pos="500"/>
            </w:tabs>
            <w:ind w:left="482" w:hanging="482"/>
            <w:rPr>
              <w:rFonts w:asciiTheme="minorHAnsi" w:hAnsiTheme="minorHAnsi" w:eastAsiaTheme="minorEastAsia" w:cstheme="minorBidi"/>
              <w:b w:val="0"/>
              <w:color w:val="auto"/>
              <w:sz w:val="21"/>
              <w:szCs w:val="22"/>
              <w14:ligatures w14:val="standardContextual"/>
            </w:rPr>
          </w:pPr>
          <w:r>
            <w:fldChar w:fldCharType="begin"/>
          </w:r>
          <w:r>
            <w:instrText xml:space="preserve"> HYPERLINK \l "_Toc159596298" </w:instrText>
          </w:r>
          <w:r>
            <w:fldChar w:fldCharType="separate"/>
          </w:r>
          <w:r>
            <w:rPr>
              <w:rStyle w:val="49"/>
            </w:rPr>
            <w:t>11</w:t>
          </w:r>
          <w:r>
            <w:rPr>
              <w:rFonts w:asciiTheme="minorHAnsi" w:hAnsiTheme="minorHAnsi" w:eastAsiaTheme="minorEastAsia" w:cstheme="minorBidi"/>
              <w:b w:val="0"/>
              <w:color w:val="auto"/>
              <w:sz w:val="21"/>
              <w:szCs w:val="22"/>
              <w14:ligatures w14:val="standardContextual"/>
            </w:rPr>
            <w:tab/>
          </w:r>
          <w:r>
            <w:rPr>
              <w:rStyle w:val="49"/>
            </w:rPr>
            <w:t>STATISTICAL METHOD AND SAMPLE SIZE DETERMINATION</w:t>
          </w:r>
          <w:r>
            <w:tab/>
          </w:r>
          <w:r>
            <w:fldChar w:fldCharType="begin"/>
          </w:r>
          <w:r>
            <w:instrText xml:space="preserve"> PAGEREF _Toc159596298 \h </w:instrText>
          </w:r>
          <w:r>
            <w:fldChar w:fldCharType="separate"/>
          </w:r>
          <w:r>
            <w:t>63</w:t>
          </w:r>
          <w:r>
            <w:fldChar w:fldCharType="end"/>
          </w:r>
          <w:r>
            <w:fldChar w:fldCharType="end"/>
          </w:r>
        </w:p>
        <w:p w14:paraId="48E6D394">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"_Toc159596299" </w:instrText>
          </w:r>
          <w:r>
            <w:fldChar w:fldCharType="separate"/>
          </w:r>
          <w:r>
            <w:rPr>
              <w:rStyle w:val="49"/>
            </w:rPr>
            <w:t>11.1</w:t>
          </w:r>
          <w:r>
            <w:rPr>
              <w:rFonts w:asciiTheme="minorHAnsi" w:hAnsiTheme="minorHAnsi" w:eastAsiaTheme="minorEastAsia" w:cstheme="minorBidi"/>
              <w:color w:val="auto"/>
              <w:sz w:val="21"/>
              <w:szCs w:val="22"/>
              <w14:ligatures w14:val="standardContextual"/>
            </w:rPr>
            <w:tab/>
          </w:r>
          <w:r>
            <w:rPr>
              <w:rStyle w:val="49"/>
            </w:rPr>
            <w:t>Statistical Analysis</w:t>
          </w:r>
          <w:r>
            <w:tab/>
          </w:r>
          <w:r>
            <w:fldChar w:fldCharType="begin"/>
          </w:r>
          <w:r>
            <w:instrText xml:space="preserve"> PAGEREF _Toc159596299 \h </w:instrText>
          </w:r>
          <w:r>
            <w:fldChar w:fldCharType="separate"/>
          </w:r>
          <w:r>
            <w:t>63</w:t>
          </w:r>
          <w:r>
            <w:fldChar w:fldCharType="end"/>
          </w:r>
          <w:r>
            <w:fldChar w:fldCharType="end"/>
          </w:r>
        </w:p>
        <w:p w14:paraId="5A4FBEDD">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"_Toc159596300" </w:instrText>
          </w:r>
          <w:r>
            <w:fldChar w:fldCharType="separate"/>
          </w:r>
          <w:r>
            <w:rPr>
              <w:rStyle w:val="49"/>
            </w:rPr>
            <w:t>11.1.1</w:t>
          </w:r>
          <w:r>
            <w:rPr>
              <w:rFonts w:asciiTheme="minorHAnsi" w:hAnsiTheme="minorHAnsi" w:eastAsiaTheme="minorEastAsia" w:cstheme="minorBidi"/>
              <w:color w:val="auto"/>
              <w:sz w:val="21"/>
              <w:szCs w:val="22"/>
              <w14:ligatures w14:val="standardContextual"/>
            </w:rPr>
            <w:tab/>
          </w:r>
          <w:r>
            <w:rPr>
              <w:rStyle w:val="49"/>
            </w:rPr>
            <w:t>Analysis population</w:t>
          </w:r>
          <w:r>
            <w:tab/>
          </w:r>
          <w:r>
            <w:fldChar w:fldCharType="begin"/>
          </w:r>
          <w:r>
            <w:instrText xml:space="preserve"> PAGEREF _Toc159596300 \h </w:instrText>
          </w:r>
          <w:r>
            <w:fldChar w:fldCharType="separate"/>
          </w:r>
          <w:r>
            <w:t>63</w:t>
          </w:r>
          <w:r>
            <w:fldChar w:fldCharType="end"/>
          </w:r>
          <w:r>
            <w:fldChar w:fldCharType="end"/>
          </w:r>
        </w:p>
        <w:p w14:paraId="405A05EB">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"_Toc159596301" </w:instrText>
          </w:r>
          <w:r>
            <w:fldChar w:fldCharType="separate"/>
          </w:r>
          <w:r>
            <w:rPr>
              <w:rStyle w:val="49"/>
            </w:rPr>
            <w:t>11.1.2</w:t>
          </w:r>
          <w:r>
            <w:rPr>
              <w:rFonts w:asciiTheme="minorHAnsi" w:hAnsiTheme="minorHAnsi" w:eastAsiaTheme="minorEastAsia" w:cstheme="minorBidi"/>
              <w:color w:val="auto"/>
              <w:sz w:val="21"/>
              <w:szCs w:val="22"/>
              <w14:ligatures w14:val="standardContextual"/>
            </w:rPr>
            <w:tab/>
          </w:r>
          <w:r>
            <w:rPr>
              <w:rStyle w:val="49"/>
            </w:rPr>
            <w:t>Statistical analysis method</w:t>
          </w:r>
          <w:r>
            <w:tab/>
          </w:r>
          <w:r>
            <w:fldChar w:fldCharType="begin"/>
          </w:r>
          <w:r>
            <w:instrText xml:space="preserve"> PAGEREF _Toc159596301 \h </w:instrText>
          </w:r>
          <w:r>
            <w:fldChar w:fldCharType="separate"/>
          </w:r>
          <w:r>
            <w:t>63</w:t>
          </w:r>
          <w:r>
            <w:fldChar w:fldCharType="end"/>
          </w:r>
          <w:r>
            <w:fldChar w:fldCharType="end"/>
          </w:r>
        </w:p>
        <w:p w14:paraId="58A1D5D9">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"_Toc159596302" </w:instrText>
          </w:r>
          <w:r>
            <w:fldChar w:fldCharType="separate"/>
          </w:r>
          <w:r>
            <w:rPr>
              <w:rStyle w:val="49"/>
            </w:rPr>
            <w:t>11.1.3</w:t>
          </w:r>
          <w:r>
            <w:rPr>
              <w:rFonts w:asciiTheme="minorHAnsi" w:hAnsiTheme="minorHAnsi" w:eastAsiaTheme="minorEastAsia" w:cstheme="minorBidi"/>
              <w:color w:val="auto"/>
              <w:sz w:val="21"/>
              <w:szCs w:val="22"/>
              <w14:ligatures w14:val="standardContextual"/>
            </w:rPr>
            <w:tab/>
          </w:r>
          <w:r>
            <w:rPr>
              <w:rStyle w:val="49"/>
            </w:rPr>
            <w:t>Demographics and baseline characteristics</w:t>
          </w:r>
          <w:r>
            <w:tab/>
          </w:r>
          <w:r>
            <w:fldChar w:fldCharType="begin"/>
          </w:r>
          <w:r>
            <w:instrText xml:space="preserve"> PAGEREF _Toc159596302 \h </w:instrText>
          </w:r>
          <w:r>
            <w:fldChar w:fldCharType="separate"/>
          </w:r>
          <w:r>
            <w:t>64</w:t>
          </w:r>
          <w:r>
            <w:fldChar w:fldCharType="end"/>
          </w:r>
          <w:r>
            <w:fldChar w:fldCharType="end"/>
          </w:r>
        </w:p>
        <w:p w14:paraId="5395B8A0">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"_Toc159596303" </w:instrText>
          </w:r>
          <w:r>
            <w:fldChar w:fldCharType="separate"/>
          </w:r>
          <w:r>
            <w:rPr>
              <w:rStyle w:val="49"/>
            </w:rPr>
            <w:t>11.1.4</w:t>
          </w:r>
          <w:r>
            <w:rPr>
              <w:rFonts w:asciiTheme="minorHAnsi" w:hAnsiTheme="minorHAnsi" w:eastAsiaTheme="minorEastAsia" w:cstheme="minorBidi"/>
              <w:color w:val="auto"/>
              <w:sz w:val="21"/>
              <w:szCs w:val="22"/>
              <w14:ligatures w14:val="standardContextual"/>
            </w:rPr>
            <w:tab/>
          </w:r>
          <w:r>
            <w:rPr>
              <w:rStyle w:val="49"/>
            </w:rPr>
            <w:t>Pharmacokinetic statistical analysis</w:t>
          </w:r>
          <w:r>
            <w:tab/>
          </w:r>
          <w:r>
            <w:fldChar w:fldCharType="begin"/>
          </w:r>
          <w:r>
            <w:instrText xml:space="preserve"> PAGEREF _Toc159596303 \h </w:instrText>
          </w:r>
          <w:r>
            <w:fldChar w:fldCharType="separate"/>
          </w:r>
          <w:r>
            <w:t>64</w:t>
          </w:r>
          <w:r>
            <w:fldChar w:fldCharType="end"/>
          </w:r>
          <w:r>
            <w:fldChar w:fldCharType="end"/>
          </w:r>
        </w:p>
        <w:p w14:paraId="31D8C750">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"_Toc159596304" </w:instrText>
          </w:r>
          <w:r>
            <w:fldChar w:fldCharType="separate"/>
          </w:r>
          <w:r>
            <w:rPr>
              <w:rStyle w:val="49"/>
            </w:rPr>
            <w:t>11.1.5</w:t>
          </w:r>
          <w:r>
            <w:rPr>
              <w:rFonts w:asciiTheme="minorHAnsi" w:hAnsiTheme="minorHAnsi" w:eastAsiaTheme="minorEastAsia" w:cstheme="minorBidi"/>
              <w:color w:val="auto"/>
              <w:sz w:val="21"/>
              <w:szCs w:val="22"/>
              <w14:ligatures w14:val="standardContextual"/>
            </w:rPr>
            <w:tab/>
          </w:r>
          <w:r>
            <w:rPr>
              <w:rStyle w:val="49"/>
            </w:rPr>
            <w:t>Safety analysis</w:t>
          </w:r>
          <w:r>
            <w:tab/>
          </w:r>
          <w:r>
            <w:fldChar w:fldCharType="begin"/>
          </w:r>
          <w:r>
            <w:instrText xml:space="preserve"> PAGEREF _Toc159596304 \h </w:instrText>
          </w:r>
          <w:r>
            <w:fldChar w:fldCharType="separate"/>
          </w:r>
          <w:r>
            <w:t>65</w:t>
          </w:r>
          <w:r>
            <w:fldChar w:fldCharType="end"/>
          </w:r>
          <w:r>
            <w:fldChar w:fldCharType="end"/>
          </w:r>
        </w:p>
        <w:p w14:paraId="64632532">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"_Toc159596305" </w:instrText>
          </w:r>
          <w:r>
            <w:fldChar w:fldCharType="separate"/>
          </w:r>
          <w:r>
            <w:rPr>
              <w:rStyle w:val="49"/>
            </w:rPr>
            <w:t>11.1.6</w:t>
          </w:r>
          <w:r>
            <w:rPr>
              <w:rFonts w:asciiTheme="minorHAnsi" w:hAnsiTheme="minorHAnsi" w:eastAsiaTheme="minorEastAsia" w:cstheme="minorBidi"/>
              <w:color w:val="auto"/>
              <w:sz w:val="21"/>
              <w:szCs w:val="22"/>
              <w14:ligatures w14:val="standardContextual"/>
            </w:rPr>
            <w:tab/>
          </w:r>
          <w:r>
            <w:rPr>
              <w:rStyle w:val="49"/>
            </w:rPr>
            <w:t>Efficacy analysis</w:t>
          </w:r>
          <w:r>
            <w:tab/>
          </w:r>
          <w:r>
            <w:fldChar w:fldCharType="begin"/>
          </w:r>
          <w:r>
            <w:instrText xml:space="preserve"> PAGEREF _Toc159596305 \h </w:instrText>
          </w:r>
          <w:r>
            <w:fldChar w:fldCharType="separate"/>
          </w:r>
          <w:r>
            <w:t>66</w:t>
          </w:r>
          <w:r>
            <w:fldChar w:fldCharType="end"/>
          </w:r>
          <w:r>
            <w:fldChar w:fldCharType="end"/>
          </w:r>
        </w:p>
        <w:p w14:paraId="4A96E6E6">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"_Toc159596306" </w:instrText>
          </w:r>
          <w:r>
            <w:fldChar w:fldCharType="separate"/>
          </w:r>
          <w:r>
            <w:rPr>
              <w:rStyle w:val="49"/>
            </w:rPr>
            <w:t>11.1.7</w:t>
          </w:r>
          <w:r>
            <w:rPr>
              <w:rFonts w:asciiTheme="minorHAnsi" w:hAnsiTheme="minorHAnsi" w:eastAsiaTheme="minorEastAsia" w:cstheme="minorBidi"/>
              <w:color w:val="auto"/>
              <w:sz w:val="21"/>
              <w:szCs w:val="22"/>
              <w14:ligatures w14:val="standardContextual"/>
            </w:rPr>
            <w:tab/>
          </w:r>
          <w:r>
            <w:rPr>
              <w:rStyle w:val="49"/>
            </w:rPr>
            <w:t>Immunogenicity assessment</w:t>
          </w:r>
          <w:r>
            <w:tab/>
          </w:r>
          <w:r>
            <w:fldChar w:fldCharType="begin"/>
          </w:r>
          <w:r>
            <w:instrText xml:space="preserve"> PAGEREF _Toc159596306 \h </w:instrText>
          </w:r>
          <w:r>
            <w:fldChar w:fldCharType="separate"/>
          </w:r>
          <w:r>
            <w:t>66</w:t>
          </w:r>
          <w:r>
            <w:fldChar w:fldCharType="end"/>
          </w:r>
          <w:r>
            <w:fldChar w:fldCharType="end"/>
          </w:r>
        </w:p>
        <w:p w14:paraId="1A24E970">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"_Toc159596307" </w:instrText>
          </w:r>
          <w:r>
            <w:fldChar w:fldCharType="separate"/>
          </w:r>
          <w:r>
            <w:rPr>
              <w:rStyle w:val="49"/>
            </w:rPr>
            <w:t>11.2</w:t>
          </w:r>
          <w:r>
            <w:rPr>
              <w:rFonts w:asciiTheme="minorHAnsi" w:hAnsiTheme="minorHAnsi" w:eastAsiaTheme="minorEastAsia" w:cstheme="minorBidi"/>
              <w:color w:val="auto"/>
              <w:sz w:val="21"/>
              <w:szCs w:val="22"/>
              <w14:ligatures w14:val="standardContextual"/>
            </w:rPr>
            <w:tab/>
          </w:r>
          <w:r>
            <w:rPr>
              <w:rStyle w:val="49"/>
            </w:rPr>
            <w:t>Sample Size Determination</w:t>
          </w:r>
          <w:r>
            <w:tab/>
          </w:r>
          <w:r>
            <w:fldChar w:fldCharType="begin"/>
          </w:r>
          <w:r>
            <w:instrText xml:space="preserve"> PAGEREF _Toc159596307 \h </w:instrText>
          </w:r>
          <w:r>
            <w:fldChar w:fldCharType="separate"/>
          </w:r>
          <w:r>
            <w:t>66</w:t>
          </w:r>
          <w:r>
            <w:fldChar w:fldCharType="end"/>
          </w:r>
          <w:r>
            <w:fldChar w:fldCharType="end"/>
          </w:r>
        </w:p>
        <w:p w14:paraId="151C2609">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"_Toc159596308" </w:instrText>
          </w:r>
          <w:r>
            <w:fldChar w:fldCharType="separate"/>
          </w:r>
          <w:r>
            <w:rPr>
              <w:rStyle w:val="49"/>
            </w:rPr>
            <w:t>11.3</w:t>
          </w:r>
          <w:r>
            <w:rPr>
              <w:rFonts w:asciiTheme="minorHAnsi" w:hAnsiTheme="minorHAnsi" w:eastAsiaTheme="minorEastAsia" w:cstheme="minorBidi"/>
              <w:color w:val="auto"/>
              <w:sz w:val="21"/>
              <w:szCs w:val="22"/>
              <w14:ligatures w14:val="standardContextual"/>
            </w:rPr>
            <w:tab/>
          </w:r>
          <w:r>
            <w:rPr>
              <w:rStyle w:val="49"/>
            </w:rPr>
            <w:t>PK/PD analysis</w:t>
          </w:r>
          <w:r>
            <w:tab/>
          </w:r>
          <w:r>
            <w:fldChar w:fldCharType="begin"/>
          </w:r>
          <w:r>
            <w:instrText xml:space="preserve"> PAGEREF _Toc159596308 \h </w:instrText>
          </w:r>
          <w:r>
            <w:fldChar w:fldCharType="separate"/>
          </w:r>
          <w:r>
            <w:t>67</w:t>
          </w:r>
          <w:r>
            <w:fldChar w:fldCharType="end"/>
          </w:r>
          <w:r>
            <w:fldChar w:fldCharType="end"/>
          </w:r>
        </w:p>
        <w:p w14:paraId="73EBF185">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"_Toc159596309" </w:instrText>
          </w:r>
          <w:r>
            <w:fldChar w:fldCharType="separate"/>
          </w:r>
          <w:r>
            <w:rPr>
              <w:rStyle w:val="49"/>
            </w:rPr>
            <w:t>11.4</w:t>
          </w:r>
          <w:r>
            <w:rPr>
              <w:rFonts w:asciiTheme="minorHAnsi" w:hAnsiTheme="minorHAnsi" w:eastAsiaTheme="minorEastAsia" w:cstheme="minorBidi"/>
              <w:color w:val="auto"/>
              <w:sz w:val="21"/>
              <w:szCs w:val="22"/>
              <w14:ligatures w14:val="standardContextual"/>
            </w:rPr>
            <w:tab/>
          </w:r>
          <w:r>
            <w:rPr>
              <w:rStyle w:val="49"/>
            </w:rPr>
            <w:t>Interim Analysis</w:t>
          </w:r>
          <w:r>
            <w:tab/>
          </w:r>
          <w:r>
            <w:fldChar w:fldCharType="begin"/>
          </w:r>
          <w:r>
            <w:instrText xml:space="preserve"> PAGEREF _Toc159596309 \h </w:instrText>
          </w:r>
          <w:r>
            <w:fldChar w:fldCharType="separate"/>
          </w:r>
          <w:r>
            <w:t>67</w:t>
          </w:r>
          <w:r>
            <w:fldChar w:fldCharType="end"/>
          </w:r>
          <w:r>
            <w:fldChar w:fldCharType="end"/>
          </w:r>
        </w:p>
        <w:p w14:paraId="3D9D7BBE">
          <w:pPr>
            <w:pStyle w:val="29"/>
            <w:tabs>
              <w:tab w:val="left" w:pos="500"/>
            </w:tabs>
            <w:ind w:left="482" w:hanging="482"/>
            <w:rPr>
              <w:rFonts w:asciiTheme="minorHAnsi" w:hAnsiTheme="minorHAnsi" w:eastAsiaTheme="minorEastAsia" w:cstheme="minorBidi"/>
              <w:b w:val="0"/>
              <w:color w:val="auto"/>
              <w:sz w:val="21"/>
              <w:szCs w:val="22"/>
              <w14:ligatures w14:val="standardContextual"/>
            </w:rPr>
          </w:pPr>
          <w:r>
            <w:fldChar w:fldCharType="begin"/>
          </w:r>
          <w:r>
            <w:instrText xml:space="preserve"> HYPERLINK \l "_Toc159596310" </w:instrText>
          </w:r>
          <w:r>
            <w:fldChar w:fldCharType="separate"/>
          </w:r>
          <w:r>
            <w:rPr>
              <w:rStyle w:val="49"/>
            </w:rPr>
            <w:t>12</w:t>
          </w:r>
          <w:r>
            <w:rPr>
              <w:rFonts w:asciiTheme="minorHAnsi" w:hAnsiTheme="minorHAnsi" w:eastAsiaTheme="minorEastAsia" w:cstheme="minorBidi"/>
              <w:b w:val="0"/>
              <w:color w:val="auto"/>
              <w:sz w:val="21"/>
              <w:szCs w:val="22"/>
              <w14:ligatures w14:val="standardContextual"/>
            </w:rPr>
            <w:tab/>
          </w:r>
          <w:r>
            <w:rPr>
              <w:rStyle w:val="49"/>
            </w:rPr>
            <w:t>PROTOCOL DEVIATION OR VIOLATION</w:t>
          </w:r>
          <w:r>
            <w:tab/>
          </w:r>
          <w:r>
            <w:fldChar w:fldCharType="begin"/>
          </w:r>
          <w:r>
            <w:instrText xml:space="preserve"> PAGEREF _Toc159596310 \h </w:instrText>
          </w:r>
          <w:r>
            <w:fldChar w:fldCharType="separate"/>
          </w:r>
          <w:r>
            <w:t>67</w:t>
          </w:r>
          <w:r>
            <w:fldChar w:fldCharType="end"/>
          </w:r>
          <w:r>
            <w:fldChar w:fldCharType="end"/>
          </w:r>
        </w:p>
        <w:p w14:paraId="5DA10EC0">
          <w:pPr>
            <w:pStyle w:val="29"/>
            <w:tabs>
              <w:tab w:val="left" w:pos="500"/>
            </w:tabs>
            <w:ind w:left="482" w:hanging="482"/>
            <w:rPr>
              <w:rFonts w:asciiTheme="minorHAnsi" w:hAnsiTheme="minorHAnsi" w:eastAsiaTheme="minorEastAsia" w:cstheme="minorBidi"/>
              <w:b w:val="0"/>
              <w:color w:val="auto"/>
              <w:sz w:val="21"/>
              <w:szCs w:val="22"/>
              <w14:ligatures w14:val="standardContextual"/>
            </w:rPr>
          </w:pPr>
          <w:r>
            <w:fldChar w:fldCharType="begin"/>
          </w:r>
          <w:r>
            <w:instrText xml:space="preserve"> HYPERLINK \l "_Toc159596311" </w:instrText>
          </w:r>
          <w:r>
            <w:fldChar w:fldCharType="separate"/>
          </w:r>
          <w:r>
            <w:rPr>
              <w:rStyle w:val="49"/>
            </w:rPr>
            <w:t>13</w:t>
          </w:r>
          <w:r>
            <w:rPr>
              <w:rFonts w:asciiTheme="minorHAnsi" w:hAnsiTheme="minorHAnsi" w:eastAsiaTheme="minorEastAsia" w:cstheme="minorBidi"/>
              <w:b w:val="0"/>
              <w:color w:val="auto"/>
              <w:sz w:val="21"/>
              <w:szCs w:val="22"/>
              <w14:ligatures w14:val="standardContextual"/>
            </w:rPr>
            <w:tab/>
          </w:r>
          <w:r>
            <w:rPr>
              <w:rStyle w:val="49"/>
            </w:rPr>
            <w:t>PROTOCOL AMENDMENT</w:t>
          </w:r>
          <w:r>
            <w:tab/>
          </w:r>
          <w:r>
            <w:fldChar w:fldCharType="begin"/>
          </w:r>
          <w:r>
            <w:instrText xml:space="preserve"> PAGEREF _Toc159596311 \h </w:instrText>
          </w:r>
          <w:r>
            <w:fldChar w:fldCharType="separate"/>
          </w:r>
          <w:r>
            <w:t>68</w:t>
          </w:r>
          <w:r>
            <w:fldChar w:fldCharType="end"/>
          </w:r>
          <w:r>
            <w:fldChar w:fldCharType="end"/>
          </w:r>
        </w:p>
        <w:p w14:paraId="06BFB6B7">
          <w:pPr>
            <w:pStyle w:val="29"/>
            <w:tabs>
              <w:tab w:val="left" w:pos="500"/>
            </w:tabs>
            <w:ind w:left="482" w:hanging="482"/>
            <w:rPr>
              <w:rFonts w:asciiTheme="minorHAnsi" w:hAnsiTheme="minorHAnsi" w:eastAsiaTheme="minorEastAsia" w:cstheme="minorBidi"/>
              <w:b w:val="0"/>
              <w:color w:val="auto"/>
              <w:sz w:val="21"/>
              <w:szCs w:val="22"/>
              <w14:ligatures w14:val="standardContextual"/>
            </w:rPr>
          </w:pPr>
          <w:r>
            <w:fldChar w:fldCharType="begin"/>
          </w:r>
          <w:r>
            <w:instrText xml:space="preserve"> HYPERLINK \l "_Toc159596312" </w:instrText>
          </w:r>
          <w:r>
            <w:fldChar w:fldCharType="separate"/>
          </w:r>
          <w:r>
            <w:rPr>
              <w:rStyle w:val="49"/>
            </w:rPr>
            <w:t>14</w:t>
          </w:r>
          <w:r>
            <w:rPr>
              <w:rFonts w:asciiTheme="minorHAnsi" w:hAnsiTheme="minorHAnsi" w:eastAsiaTheme="minorEastAsia" w:cstheme="minorBidi"/>
              <w:b w:val="0"/>
              <w:color w:val="auto"/>
              <w:sz w:val="21"/>
              <w:szCs w:val="22"/>
              <w14:ligatures w14:val="standardContextual"/>
            </w:rPr>
            <w:tab/>
          </w:r>
          <w:r>
            <w:rPr>
              <w:rStyle w:val="49"/>
            </w:rPr>
            <w:t>DATA MANAGEMENT</w:t>
          </w:r>
          <w:r>
            <w:tab/>
          </w:r>
          <w:r>
            <w:fldChar w:fldCharType="begin"/>
          </w:r>
          <w:r>
            <w:instrText xml:space="preserve"> PAGEREF _Toc159596312 \h </w:instrText>
          </w:r>
          <w:r>
            <w:fldChar w:fldCharType="separate"/>
          </w:r>
          <w:r>
            <w:t>68</w:t>
          </w:r>
          <w:r>
            <w:fldChar w:fldCharType="end"/>
          </w:r>
          <w:r>
            <w:fldChar w:fldCharType="end"/>
          </w:r>
        </w:p>
        <w:p w14:paraId="03D15197">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"_Toc159596313" </w:instrText>
          </w:r>
          <w:r>
            <w:fldChar w:fldCharType="separate"/>
          </w:r>
          <w:r>
            <w:rPr>
              <w:rStyle w:val="49"/>
            </w:rPr>
            <w:t>14.1</w:t>
          </w:r>
          <w:r>
            <w:rPr>
              <w:rFonts w:asciiTheme="minorHAnsi" w:hAnsiTheme="minorHAnsi" w:eastAsiaTheme="minorEastAsia" w:cstheme="minorBidi"/>
              <w:color w:val="auto"/>
              <w:sz w:val="21"/>
              <w:szCs w:val="22"/>
              <w14:ligatures w14:val="standardContextual"/>
            </w:rPr>
            <w:tab/>
          </w:r>
          <w:r>
            <w:rPr>
              <w:rStyle w:val="49"/>
            </w:rPr>
            <w:t>Data Acquisition System</w:t>
          </w:r>
          <w:r>
            <w:tab/>
          </w:r>
          <w:r>
            <w:fldChar w:fldCharType="begin"/>
          </w:r>
          <w:r>
            <w:instrText xml:space="preserve"> PAGEREF _Toc159596313 \h </w:instrText>
          </w:r>
          <w:r>
            <w:fldChar w:fldCharType="separate"/>
          </w:r>
          <w:r>
            <w:t>68</w:t>
          </w:r>
          <w:r>
            <w:fldChar w:fldCharType="end"/>
          </w:r>
          <w:r>
            <w:fldChar w:fldCharType="end"/>
          </w:r>
        </w:p>
        <w:p w14:paraId="1033CFCC">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"_Toc159596314" </w:instrText>
          </w:r>
          <w:r>
            <w:fldChar w:fldCharType="separate"/>
          </w:r>
          <w:r>
            <w:rPr>
              <w:rStyle w:val="49"/>
            </w:rPr>
            <w:t>14.2</w:t>
          </w:r>
          <w:r>
            <w:rPr>
              <w:rFonts w:asciiTheme="minorHAnsi" w:hAnsiTheme="minorHAnsi" w:eastAsiaTheme="minorEastAsia" w:cstheme="minorBidi"/>
              <w:color w:val="auto"/>
              <w:sz w:val="21"/>
              <w:szCs w:val="22"/>
              <w14:ligatures w14:val="standardContextual"/>
            </w:rPr>
            <w:tab/>
          </w:r>
          <w:r>
            <w:rPr>
              <w:rStyle w:val="49"/>
            </w:rPr>
            <w:t>eCRF Design</w:t>
          </w:r>
          <w:r>
            <w:tab/>
          </w:r>
          <w:r>
            <w:fldChar w:fldCharType="begin"/>
          </w:r>
          <w:r>
            <w:instrText xml:space="preserve"> PAGEREF _Toc159596314 \h </w:instrText>
          </w:r>
          <w:r>
            <w:fldChar w:fldCharType="separate"/>
          </w:r>
          <w:r>
            <w:t>68</w:t>
          </w:r>
          <w:r>
            <w:fldChar w:fldCharType="end"/>
          </w:r>
          <w:r>
            <w:fldChar w:fldCharType="end"/>
          </w:r>
        </w:p>
        <w:p w14:paraId="2EB77298">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"_Toc159596315" </w:instrText>
          </w:r>
          <w:r>
            <w:fldChar w:fldCharType="separate"/>
          </w:r>
          <w:r>
            <w:rPr>
              <w:rStyle w:val="49"/>
            </w:rPr>
            <w:t>14.3</w:t>
          </w:r>
          <w:r>
            <w:rPr>
              <w:rFonts w:asciiTheme="minorHAnsi" w:hAnsiTheme="minorHAnsi" w:eastAsiaTheme="minorEastAsia" w:cstheme="minorBidi"/>
              <w:color w:val="auto"/>
              <w:sz w:val="21"/>
              <w:szCs w:val="22"/>
              <w14:ligatures w14:val="standardContextual"/>
            </w:rPr>
            <w:tab/>
          </w:r>
          <w:r>
            <w:rPr>
              <w:rStyle w:val="49"/>
            </w:rPr>
            <w:t>Database Establishment, Testing, and Go-Live</w:t>
          </w:r>
          <w:r>
            <w:tab/>
          </w:r>
          <w:r>
            <w:fldChar w:fldCharType="begin"/>
          </w:r>
          <w:r>
            <w:instrText xml:space="preserve"> PAGEREF _Toc159596315 \h </w:instrText>
          </w:r>
          <w:r>
            <w:fldChar w:fldCharType="separate"/>
          </w:r>
          <w:r>
            <w:t>68</w:t>
          </w:r>
          <w:r>
            <w:fldChar w:fldCharType="end"/>
          </w:r>
          <w:r>
            <w:fldChar w:fldCharType="end"/>
          </w:r>
        </w:p>
        <w:p w14:paraId="4EB3EE82">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"_Toc159596316" </w:instrText>
          </w:r>
          <w:r>
            <w:fldChar w:fldCharType="separate"/>
          </w:r>
          <w:r>
            <w:rPr>
              <w:rStyle w:val="49"/>
            </w:rPr>
            <w:t>14.3.1</w:t>
          </w:r>
          <w:r>
            <w:rPr>
              <w:rFonts w:asciiTheme="minorHAnsi" w:hAnsiTheme="minorHAnsi" w:eastAsiaTheme="minorEastAsia" w:cstheme="minorBidi"/>
              <w:color w:val="auto"/>
              <w:sz w:val="21"/>
              <w:szCs w:val="22"/>
              <w14:ligatures w14:val="standardContextual"/>
            </w:rPr>
            <w:tab/>
          </w:r>
          <w:r>
            <w:rPr>
              <w:rStyle w:val="49"/>
            </w:rPr>
            <w:t>Database establishment</w:t>
          </w:r>
          <w:r>
            <w:tab/>
          </w:r>
          <w:r>
            <w:fldChar w:fldCharType="begin"/>
          </w:r>
          <w:r>
            <w:instrText xml:space="preserve"> PAGEREF _Toc159596316 \h </w:instrText>
          </w:r>
          <w:r>
            <w:fldChar w:fldCharType="separate"/>
          </w:r>
          <w:r>
            <w:t>68</w:t>
          </w:r>
          <w:r>
            <w:fldChar w:fldCharType="end"/>
          </w:r>
          <w:r>
            <w:fldChar w:fldCharType="end"/>
          </w:r>
        </w:p>
        <w:p w14:paraId="67D1E164">
          <w:pPr>
            <w:pStyle w:val="20"/>
            <w:tabs>
              <w:tab w:val="left" w:pos="1680"/>
            </w:tabs>
            <w:rPr>
              <w:rFonts w:asciiTheme="minorHAnsi" w:hAnsiTheme="minorHAnsi" w:eastAsiaTheme="minorEastAsia" w:cstheme="minorBidi"/>
              <w:color w:val="auto"/>
              <w:sz w:val="21"/>
              <w:szCs w:val="22"/>
              <w14:ligatures w14:val="standardContextual"/>
            </w:rPr>
          </w:pPr>
          <w:r>
            <w:fldChar w:fldCharType="begin"/>
          </w:r>
          <w:r>
            <w:instrText xml:space="preserve"> HYPERLINK \l "_Toc159596317" </w:instrText>
          </w:r>
          <w:r>
            <w:fldChar w:fldCharType="separate"/>
          </w:r>
          <w:r>
            <w:rPr>
              <w:rStyle w:val="49"/>
            </w:rPr>
            <w:t>14.3.2</w:t>
          </w:r>
          <w:r>
            <w:rPr>
              <w:rFonts w:asciiTheme="minorHAnsi" w:hAnsiTheme="minorHAnsi" w:eastAsiaTheme="minorEastAsia" w:cstheme="minorBidi"/>
              <w:color w:val="auto"/>
              <w:sz w:val="21"/>
              <w:szCs w:val="22"/>
              <w14:ligatures w14:val="standardContextual"/>
            </w:rPr>
            <w:tab/>
          </w:r>
          <w:r>
            <w:rPr>
              <w:rStyle w:val="49"/>
            </w:rPr>
            <w:t>Database testing and go-live</w:t>
          </w:r>
          <w:r>
            <w:tab/>
          </w:r>
          <w:r>
            <w:fldChar w:fldCharType="begin"/>
          </w:r>
          <w:r>
            <w:instrText xml:space="preserve"> PAGEREF _Toc159596317 \h </w:instrText>
          </w:r>
          <w:r>
            <w:fldChar w:fldCharType="separate"/>
          </w:r>
          <w:r>
            <w:t>68</w:t>
          </w:r>
          <w:r>
            <w:fldChar w:fldCharType="end"/>
          </w:r>
          <w:r>
            <w:fldChar w:fldCharType="end"/>
          </w:r>
        </w:p>
        <w:p w14:paraId="79C0B64E">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"_Toc159596318" </w:instrText>
          </w:r>
          <w:r>
            <w:fldChar w:fldCharType="separate"/>
          </w:r>
          <w:r>
            <w:rPr>
              <w:rStyle w:val="49"/>
            </w:rPr>
            <w:t>14.4</w:t>
          </w:r>
          <w:r>
            <w:rPr>
              <w:rFonts w:asciiTheme="minorHAnsi" w:hAnsiTheme="minorHAnsi" w:eastAsiaTheme="minorEastAsia" w:cstheme="minorBidi"/>
              <w:color w:val="auto"/>
              <w:sz w:val="21"/>
              <w:szCs w:val="22"/>
              <w14:ligatures w14:val="standardContextual"/>
            </w:rPr>
            <w:tab/>
          </w:r>
          <w:r>
            <w:rPr>
              <w:rStyle w:val="49"/>
            </w:rPr>
            <w:t>Completion of Electronic Case Report Form (eCRF)</w:t>
          </w:r>
          <w:r>
            <w:tab/>
          </w:r>
          <w:r>
            <w:fldChar w:fldCharType="begin"/>
          </w:r>
          <w:r>
            <w:instrText xml:space="preserve"> PAGEREF _Toc159596318 \h </w:instrText>
          </w:r>
          <w:r>
            <w:fldChar w:fldCharType="separate"/>
          </w:r>
          <w:r>
            <w:t>69</w:t>
          </w:r>
          <w:r>
            <w:fldChar w:fldCharType="end"/>
          </w:r>
          <w:r>
            <w:fldChar w:fldCharType="end"/>
          </w:r>
        </w:p>
        <w:p w14:paraId="711ECDA3">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"_Toc159596319" </w:instrText>
          </w:r>
          <w:r>
            <w:fldChar w:fldCharType="separate"/>
          </w:r>
          <w:r>
            <w:rPr>
              <w:rStyle w:val="49"/>
            </w:rPr>
            <w:t>14.5</w:t>
          </w:r>
          <w:r>
            <w:rPr>
              <w:rFonts w:asciiTheme="minorHAnsi" w:hAnsiTheme="minorHAnsi" w:eastAsiaTheme="minorEastAsia" w:cstheme="minorBidi"/>
              <w:color w:val="auto"/>
              <w:sz w:val="21"/>
              <w:szCs w:val="22"/>
              <w14:ligatures w14:val="standardContextual"/>
            </w:rPr>
            <w:tab/>
          </w:r>
          <w:r>
            <w:rPr>
              <w:rStyle w:val="49"/>
            </w:rPr>
            <w:t>Data Verification and Query Management</w:t>
          </w:r>
          <w:r>
            <w:tab/>
          </w:r>
          <w:r>
            <w:fldChar w:fldCharType="begin"/>
          </w:r>
          <w:r>
            <w:instrText xml:space="preserve"> PAGEREF _Toc159596319 \h </w:instrText>
          </w:r>
          <w:r>
            <w:fldChar w:fldCharType="separate"/>
          </w:r>
          <w:r>
            <w:t>69</w:t>
          </w:r>
          <w:r>
            <w:fldChar w:fldCharType="end"/>
          </w:r>
          <w:r>
            <w:fldChar w:fldCharType="end"/>
          </w:r>
        </w:p>
        <w:p w14:paraId="45C3D76E">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"_Toc159596320" </w:instrText>
          </w:r>
          <w:r>
            <w:fldChar w:fldCharType="separate"/>
          </w:r>
          <w:r>
            <w:rPr>
              <w:rStyle w:val="49"/>
            </w:rPr>
            <w:t>14.6</w:t>
          </w:r>
          <w:r>
            <w:rPr>
              <w:rFonts w:asciiTheme="minorHAnsi" w:hAnsiTheme="minorHAnsi" w:eastAsiaTheme="minorEastAsia" w:cstheme="minorBidi"/>
              <w:color w:val="auto"/>
              <w:sz w:val="21"/>
              <w:szCs w:val="22"/>
              <w14:ligatures w14:val="standardContextual"/>
            </w:rPr>
            <w:tab/>
          </w:r>
          <w:r>
            <w:rPr>
              <w:rStyle w:val="49"/>
            </w:rPr>
            <w:t>External Data Management</w:t>
          </w:r>
          <w:r>
            <w:tab/>
          </w:r>
          <w:r>
            <w:fldChar w:fldCharType="begin"/>
          </w:r>
          <w:r>
            <w:instrText xml:space="preserve"> PAGEREF _Toc159596320 \h </w:instrText>
          </w:r>
          <w:r>
            <w:fldChar w:fldCharType="separate"/>
          </w:r>
          <w:r>
            <w:t>69</w:t>
          </w:r>
          <w:r>
            <w:fldChar w:fldCharType="end"/>
          </w:r>
          <w:r>
            <w:fldChar w:fldCharType="end"/>
          </w:r>
        </w:p>
        <w:p w14:paraId="052C827D">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"_Toc159596321" </w:instrText>
          </w:r>
          <w:r>
            <w:fldChar w:fldCharType="separate"/>
          </w:r>
          <w:r>
            <w:rPr>
              <w:rStyle w:val="49"/>
            </w:rPr>
            <w:t>14.7</w:t>
          </w:r>
          <w:r>
            <w:rPr>
              <w:rFonts w:asciiTheme="minorHAnsi" w:hAnsiTheme="minorHAnsi" w:eastAsiaTheme="minorEastAsia" w:cstheme="minorBidi"/>
              <w:color w:val="auto"/>
              <w:sz w:val="21"/>
              <w:szCs w:val="22"/>
              <w14:ligatures w14:val="standardContextual"/>
            </w:rPr>
            <w:tab/>
          </w:r>
          <w:r>
            <w:rPr>
              <w:rStyle w:val="49"/>
            </w:rPr>
            <w:t>Medical Coding</w:t>
          </w:r>
          <w:r>
            <w:tab/>
          </w:r>
          <w:r>
            <w:fldChar w:fldCharType="begin"/>
          </w:r>
          <w:r>
            <w:instrText xml:space="preserve"> PAGEREF _Toc159596321 \h </w:instrText>
          </w:r>
          <w:r>
            <w:fldChar w:fldCharType="separate"/>
          </w:r>
          <w:r>
            <w:t>69</w:t>
          </w:r>
          <w:r>
            <w:fldChar w:fldCharType="end"/>
          </w:r>
          <w:r>
            <w:fldChar w:fldCharType="end"/>
          </w:r>
        </w:p>
        <w:p w14:paraId="17969BA0">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"_Toc159596322" </w:instrText>
          </w:r>
          <w:r>
            <w:fldChar w:fldCharType="separate"/>
          </w:r>
          <w:r>
            <w:rPr>
              <w:rStyle w:val="49"/>
            </w:rPr>
            <w:t>14.8</w:t>
          </w:r>
          <w:r>
            <w:rPr>
              <w:rFonts w:asciiTheme="minorHAnsi" w:hAnsiTheme="minorHAnsi" w:eastAsiaTheme="minorEastAsia" w:cstheme="minorBidi"/>
              <w:color w:val="auto"/>
              <w:sz w:val="21"/>
              <w:szCs w:val="22"/>
              <w14:ligatures w14:val="standardContextual"/>
            </w:rPr>
            <w:tab/>
          </w:r>
          <w:r>
            <w:rPr>
              <w:rStyle w:val="49"/>
            </w:rPr>
            <w:t>Data Lock and Transfer</w:t>
          </w:r>
          <w:r>
            <w:tab/>
          </w:r>
          <w:r>
            <w:fldChar w:fldCharType="begin"/>
          </w:r>
          <w:r>
            <w:instrText xml:space="preserve"> PAGEREF _Toc159596322 \h </w:instrText>
          </w:r>
          <w:r>
            <w:fldChar w:fldCharType="separate"/>
          </w:r>
          <w:r>
            <w:t>70</w:t>
          </w:r>
          <w:r>
            <w:fldChar w:fldCharType="end"/>
          </w:r>
          <w:r>
            <w:fldChar w:fldCharType="end"/>
          </w:r>
        </w:p>
        <w:p w14:paraId="07DD1508">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"_Toc159596323" </w:instrText>
          </w:r>
          <w:r>
            <w:fldChar w:fldCharType="separate"/>
          </w:r>
          <w:r>
            <w:rPr>
              <w:rStyle w:val="49"/>
            </w:rPr>
            <w:t>14.9</w:t>
          </w:r>
          <w:r>
            <w:rPr>
              <w:rFonts w:asciiTheme="minorHAnsi" w:hAnsiTheme="minorHAnsi" w:eastAsiaTheme="minorEastAsia" w:cstheme="minorBidi"/>
              <w:color w:val="auto"/>
              <w:sz w:val="21"/>
              <w:szCs w:val="22"/>
              <w14:ligatures w14:val="standardContextual"/>
            </w:rPr>
            <w:tab/>
          </w:r>
          <w:r>
            <w:rPr>
              <w:rStyle w:val="49"/>
            </w:rPr>
            <w:t>Archiving of Data Management Documents</w:t>
          </w:r>
          <w:r>
            <w:tab/>
          </w:r>
          <w:r>
            <w:fldChar w:fldCharType="begin"/>
          </w:r>
          <w:r>
            <w:instrText xml:space="preserve"> PAGEREF _Toc159596323 \h </w:instrText>
          </w:r>
          <w:r>
            <w:fldChar w:fldCharType="separate"/>
          </w:r>
          <w:r>
            <w:t>70</w:t>
          </w:r>
          <w:r>
            <w:fldChar w:fldCharType="end"/>
          </w:r>
          <w:r>
            <w:fldChar w:fldCharType="end"/>
          </w:r>
        </w:p>
        <w:p w14:paraId="477C8775">
          <w:pPr>
            <w:pStyle w:val="29"/>
            <w:tabs>
              <w:tab w:val="left" w:pos="500"/>
            </w:tabs>
            <w:ind w:left="482" w:hanging="482"/>
            <w:rPr>
              <w:rFonts w:asciiTheme="minorHAnsi" w:hAnsiTheme="minorHAnsi" w:eastAsiaTheme="minorEastAsia" w:cstheme="minorBidi"/>
              <w:b w:val="0"/>
              <w:color w:val="auto"/>
              <w:sz w:val="21"/>
              <w:szCs w:val="22"/>
              <w14:ligatures w14:val="standardContextual"/>
            </w:rPr>
          </w:pPr>
          <w:r>
            <w:fldChar w:fldCharType="begin"/>
          </w:r>
          <w:r>
            <w:instrText xml:space="preserve"> HYPERLINK \l "_Toc159596324" </w:instrText>
          </w:r>
          <w:r>
            <w:fldChar w:fldCharType="separate"/>
          </w:r>
          <w:r>
            <w:rPr>
              <w:rStyle w:val="49"/>
            </w:rPr>
            <w:t>15</w:t>
          </w:r>
          <w:r>
            <w:rPr>
              <w:rFonts w:asciiTheme="minorHAnsi" w:hAnsiTheme="minorHAnsi" w:eastAsiaTheme="minorEastAsia" w:cstheme="minorBidi"/>
              <w:b w:val="0"/>
              <w:color w:val="auto"/>
              <w:sz w:val="21"/>
              <w:szCs w:val="22"/>
              <w14:ligatures w14:val="standardContextual"/>
            </w:rPr>
            <w:tab/>
          </w:r>
          <w:r>
            <w:rPr>
              <w:rStyle w:val="49"/>
            </w:rPr>
            <w:t>ETHICAL CONDUCT AND INFORMED CONSENT</w:t>
          </w:r>
          <w:r>
            <w:tab/>
          </w:r>
          <w:r>
            <w:fldChar w:fldCharType="begin"/>
          </w:r>
          <w:r>
            <w:instrText xml:space="preserve"> PAGEREF _Toc159596324 \h </w:instrText>
          </w:r>
          <w:r>
            <w:fldChar w:fldCharType="separate"/>
          </w:r>
          <w:r>
            <w:t>70</w:t>
          </w:r>
          <w:r>
            <w:fldChar w:fldCharType="end"/>
          </w:r>
          <w:r>
            <w:fldChar w:fldCharType="end"/>
          </w:r>
        </w:p>
        <w:p w14:paraId="0F656C26">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"_Toc159596325" </w:instrText>
          </w:r>
          <w:r>
            <w:fldChar w:fldCharType="separate"/>
          </w:r>
          <w:r>
            <w:rPr>
              <w:rStyle w:val="49"/>
            </w:rPr>
            <w:t>15.1</w:t>
          </w:r>
          <w:r>
            <w:rPr>
              <w:rFonts w:asciiTheme="minorHAnsi" w:hAnsiTheme="minorHAnsi" w:eastAsiaTheme="minorEastAsia" w:cstheme="minorBidi"/>
              <w:color w:val="auto"/>
              <w:sz w:val="21"/>
              <w:szCs w:val="22"/>
              <w14:ligatures w14:val="standardContextual"/>
            </w:rPr>
            <w:tab/>
          </w:r>
          <w:r>
            <w:rPr>
              <w:rStyle w:val="49"/>
            </w:rPr>
            <w:t>Ethical Conduct</w:t>
          </w:r>
          <w:r>
            <w:tab/>
          </w:r>
          <w:r>
            <w:fldChar w:fldCharType="begin"/>
          </w:r>
          <w:r>
            <w:instrText xml:space="preserve"> PAGEREF _Toc159596325 \h </w:instrText>
          </w:r>
          <w:r>
            <w:fldChar w:fldCharType="separate"/>
          </w:r>
          <w:r>
            <w:t>70</w:t>
          </w:r>
          <w:r>
            <w:fldChar w:fldCharType="end"/>
          </w:r>
          <w:r>
            <w:fldChar w:fldCharType="end"/>
          </w:r>
        </w:p>
        <w:p w14:paraId="40F29CB6">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"_Toc159596326" </w:instrText>
          </w:r>
          <w:r>
            <w:fldChar w:fldCharType="separate"/>
          </w:r>
          <w:r>
            <w:rPr>
              <w:rStyle w:val="49"/>
            </w:rPr>
            <w:t>15.2</w:t>
          </w:r>
          <w:r>
            <w:rPr>
              <w:rFonts w:asciiTheme="minorHAnsi" w:hAnsiTheme="minorHAnsi" w:eastAsiaTheme="minorEastAsia" w:cstheme="minorBidi"/>
              <w:color w:val="auto"/>
              <w:sz w:val="21"/>
              <w:szCs w:val="22"/>
              <w14:ligatures w14:val="standardContextual"/>
            </w:rPr>
            <w:tab/>
          </w:r>
          <w:r>
            <w:rPr>
              <w:rStyle w:val="49"/>
            </w:rPr>
            <w:t>Informed Consent</w:t>
          </w:r>
          <w:r>
            <w:tab/>
          </w:r>
          <w:r>
            <w:fldChar w:fldCharType="begin"/>
          </w:r>
          <w:r>
            <w:instrText xml:space="preserve"> PAGEREF _Toc159596326 \h </w:instrText>
          </w:r>
          <w:r>
            <w:fldChar w:fldCharType="separate"/>
          </w:r>
          <w:r>
            <w:t>70</w:t>
          </w:r>
          <w:r>
            <w:fldChar w:fldCharType="end"/>
          </w:r>
          <w:r>
            <w:fldChar w:fldCharType="end"/>
          </w:r>
        </w:p>
        <w:p w14:paraId="3672C0B8">
          <w:pPr>
            <w:pStyle w:val="29"/>
            <w:tabs>
              <w:tab w:val="left" w:pos="500"/>
            </w:tabs>
            <w:ind w:left="482" w:hanging="482"/>
            <w:rPr>
              <w:rFonts w:asciiTheme="minorHAnsi" w:hAnsiTheme="minorHAnsi" w:eastAsiaTheme="minorEastAsia" w:cstheme="minorBidi"/>
              <w:b w:val="0"/>
              <w:color w:val="auto"/>
              <w:sz w:val="21"/>
              <w:szCs w:val="22"/>
              <w14:ligatures w14:val="standardContextual"/>
            </w:rPr>
          </w:pPr>
          <w:r>
            <w:fldChar w:fldCharType="begin"/>
          </w:r>
          <w:r>
            <w:instrText xml:space="preserve"> HYPERLINK \l "_Toc159596327" </w:instrText>
          </w:r>
          <w:r>
            <w:fldChar w:fldCharType="separate"/>
          </w:r>
          <w:r>
            <w:rPr>
              <w:rStyle w:val="49"/>
            </w:rPr>
            <w:t>16</w:t>
          </w:r>
          <w:r>
            <w:rPr>
              <w:rFonts w:asciiTheme="minorHAnsi" w:hAnsiTheme="minorHAnsi" w:eastAsiaTheme="minorEastAsia" w:cstheme="minorBidi"/>
              <w:b w:val="0"/>
              <w:color w:val="auto"/>
              <w:sz w:val="21"/>
              <w:szCs w:val="22"/>
              <w14:ligatures w14:val="standardContextual"/>
            </w:rPr>
            <w:tab/>
          </w:r>
          <w:r>
            <w:rPr>
              <w:rStyle w:val="49"/>
            </w:rPr>
            <w:t>QUALITY ASSURANCE</w:t>
          </w:r>
          <w:r>
            <w:tab/>
          </w:r>
          <w:r>
            <w:fldChar w:fldCharType="begin"/>
          </w:r>
          <w:r>
            <w:instrText xml:space="preserve"> PAGEREF _Toc159596327 \h </w:instrText>
          </w:r>
          <w:r>
            <w:fldChar w:fldCharType="separate"/>
          </w:r>
          <w:r>
            <w:t>71</w:t>
          </w:r>
          <w:r>
            <w:fldChar w:fldCharType="end"/>
          </w:r>
          <w:r>
            <w:fldChar w:fldCharType="end"/>
          </w:r>
        </w:p>
        <w:p w14:paraId="6B581B13">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"_Toc159596328" </w:instrText>
          </w:r>
          <w:r>
            <w:fldChar w:fldCharType="separate"/>
          </w:r>
          <w:r>
            <w:rPr>
              <w:rStyle w:val="49"/>
            </w:rPr>
            <w:t>16.1</w:t>
          </w:r>
          <w:r>
            <w:rPr>
              <w:rFonts w:asciiTheme="minorHAnsi" w:hAnsiTheme="minorHAnsi" w:eastAsiaTheme="minorEastAsia" w:cstheme="minorBidi"/>
              <w:color w:val="auto"/>
              <w:sz w:val="21"/>
              <w:szCs w:val="22"/>
              <w14:ligatures w14:val="standardContextual"/>
            </w:rPr>
            <w:tab/>
          </w:r>
          <w:r>
            <w:rPr>
              <w:rStyle w:val="49"/>
            </w:rPr>
            <w:t>Quality Assurance During the Clinical Study</w:t>
          </w:r>
          <w:r>
            <w:tab/>
          </w:r>
          <w:r>
            <w:fldChar w:fldCharType="begin"/>
          </w:r>
          <w:r>
            <w:instrText xml:space="preserve"> PAGEREF _Toc159596328 \h </w:instrText>
          </w:r>
          <w:r>
            <w:fldChar w:fldCharType="separate"/>
          </w:r>
          <w:r>
            <w:t>71</w:t>
          </w:r>
          <w:r>
            <w:fldChar w:fldCharType="end"/>
          </w:r>
          <w:r>
            <w:fldChar w:fldCharType="end"/>
          </w:r>
        </w:p>
        <w:p w14:paraId="2E1385A4">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"_Toc159596329" </w:instrText>
          </w:r>
          <w:r>
            <w:fldChar w:fldCharType="separate"/>
          </w:r>
          <w:r>
            <w:rPr>
              <w:rStyle w:val="49"/>
            </w:rPr>
            <w:t>16.2</w:t>
          </w:r>
          <w:r>
            <w:rPr>
              <w:rFonts w:asciiTheme="minorHAnsi" w:hAnsiTheme="minorHAnsi" w:eastAsiaTheme="minorEastAsia" w:cstheme="minorBidi"/>
              <w:color w:val="auto"/>
              <w:sz w:val="21"/>
              <w:szCs w:val="22"/>
              <w14:ligatures w14:val="standardContextual"/>
            </w:rPr>
            <w:tab/>
          </w:r>
          <w:r>
            <w:rPr>
              <w:rStyle w:val="49"/>
            </w:rPr>
            <w:t>Quality Assurance During Sample Detection</w:t>
          </w:r>
          <w:r>
            <w:tab/>
          </w:r>
          <w:r>
            <w:fldChar w:fldCharType="begin"/>
          </w:r>
          <w:r>
            <w:instrText xml:space="preserve"> PAGEREF _Toc159596329 \h </w:instrText>
          </w:r>
          <w:r>
            <w:fldChar w:fldCharType="separate"/>
          </w:r>
          <w:r>
            <w:t>71</w:t>
          </w:r>
          <w:r>
            <w:fldChar w:fldCharType="end"/>
          </w:r>
          <w:r>
            <w:fldChar w:fldCharType="end"/>
          </w:r>
        </w:p>
        <w:p w14:paraId="3DFAA10C">
          <w:pPr>
            <w:pStyle w:val="34"/>
            <w:tabs>
              <w:tab w:val="left" w:pos="1680"/>
            </w:tabs>
            <w:ind w:left="1200" w:hanging="72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"_Toc159596330" </w:instrText>
          </w:r>
          <w:r>
            <w:fldChar w:fldCharType="separate"/>
          </w:r>
          <w:r>
            <w:rPr>
              <w:rStyle w:val="49"/>
            </w:rPr>
            <w:t>16.3</w:t>
          </w:r>
          <w:r>
            <w:rPr>
              <w:rFonts w:asciiTheme="minorHAnsi" w:hAnsiTheme="minorHAnsi" w:eastAsiaTheme="minorEastAsia" w:cstheme="minorBidi"/>
              <w:color w:val="auto"/>
              <w:sz w:val="21"/>
              <w:szCs w:val="22"/>
              <w14:ligatures w14:val="standardContextual"/>
            </w:rPr>
            <w:tab/>
          </w:r>
          <w:r>
            <w:rPr>
              <w:rStyle w:val="49"/>
            </w:rPr>
            <w:t>Quality Assurance During Data Transfer, Calculation, and Reporting</w:t>
          </w:r>
          <w:r>
            <w:tab/>
          </w:r>
          <w:r>
            <w:fldChar w:fldCharType="begin"/>
          </w:r>
          <w:r>
            <w:instrText xml:space="preserve"> PAGEREF _Toc159596330 \h </w:instrText>
          </w:r>
          <w:r>
            <w:fldChar w:fldCharType="separate"/>
          </w:r>
          <w:r>
            <w:t>72</w:t>
          </w:r>
          <w:r>
            <w:fldChar w:fldCharType="end"/>
          </w:r>
          <w:r>
            <w:fldChar w:fldCharType="end"/>
          </w:r>
        </w:p>
        <w:p w14:paraId="5301133D">
          <w:pPr>
            <w:pStyle w:val="29"/>
            <w:tabs>
              <w:tab w:val="left" w:pos="500"/>
            </w:tabs>
            <w:ind w:left="482" w:hanging="482"/>
            <w:rPr>
              <w:rFonts w:asciiTheme="minorHAnsi" w:hAnsiTheme="minorHAnsi" w:eastAsiaTheme="minorEastAsia" w:cstheme="minorBidi"/>
              <w:b w:val="0"/>
              <w:color w:val="auto"/>
              <w:sz w:val="21"/>
              <w:szCs w:val="22"/>
              <w14:ligatures w14:val="standardContextual"/>
            </w:rPr>
          </w:pPr>
          <w:r>
            <w:fldChar w:fldCharType="begin"/>
          </w:r>
          <w:r>
            <w:instrText xml:space="preserve"> HYPERLINK \l "_Toc159596331" </w:instrText>
          </w:r>
          <w:r>
            <w:fldChar w:fldCharType="separate"/>
          </w:r>
          <w:r>
            <w:rPr>
              <w:rStyle w:val="49"/>
            </w:rPr>
            <w:t>17</w:t>
          </w:r>
          <w:r>
            <w:rPr>
              <w:rFonts w:asciiTheme="minorHAnsi" w:hAnsiTheme="minorHAnsi" w:eastAsiaTheme="minorEastAsia" w:cstheme="minorBidi"/>
              <w:b w:val="0"/>
              <w:color w:val="auto"/>
              <w:sz w:val="21"/>
              <w:szCs w:val="22"/>
              <w14:ligatures w14:val="standardContextual"/>
            </w:rPr>
            <w:tab/>
          </w:r>
          <w:r>
            <w:rPr>
              <w:rStyle w:val="49"/>
            </w:rPr>
            <w:t>STUDY REPORT</w:t>
          </w:r>
          <w:r>
            <w:tab/>
          </w:r>
          <w:r>
            <w:fldChar w:fldCharType="begin"/>
          </w:r>
          <w:r>
            <w:instrText xml:space="preserve"> PAGEREF _Toc159596331 \h </w:instrText>
          </w:r>
          <w:r>
            <w:fldChar w:fldCharType="separate"/>
          </w:r>
          <w:r>
            <w:t>72</w:t>
          </w:r>
          <w:r>
            <w:fldChar w:fldCharType="end"/>
          </w:r>
          <w:r>
            <w:fldChar w:fldCharType="end"/>
          </w:r>
        </w:p>
        <w:p w14:paraId="6B4BE8BE">
          <w:pPr>
            <w:pStyle w:val="29"/>
            <w:tabs>
              <w:tab w:val="left" w:pos="500"/>
            </w:tabs>
            <w:ind w:left="482" w:hanging="482"/>
            <w:rPr>
              <w:rFonts w:asciiTheme="minorHAnsi" w:hAnsiTheme="minorHAnsi" w:eastAsiaTheme="minorEastAsia" w:cstheme="minorBidi"/>
              <w:b w:val="0"/>
              <w:color w:val="auto"/>
              <w:sz w:val="21"/>
              <w:szCs w:val="22"/>
              <w14:ligatures w14:val="standardContextual"/>
            </w:rPr>
          </w:pPr>
          <w:r>
            <w:fldChar w:fldCharType="begin"/>
          </w:r>
          <w:r>
            <w:instrText xml:space="preserve"> HYPERLINK \l "_Toc159596332" </w:instrText>
          </w:r>
          <w:r>
            <w:fldChar w:fldCharType="separate"/>
          </w:r>
          <w:r>
            <w:rPr>
              <w:rStyle w:val="49"/>
            </w:rPr>
            <w:t>18</w:t>
          </w:r>
          <w:r>
            <w:rPr>
              <w:rFonts w:asciiTheme="minorHAnsi" w:hAnsiTheme="minorHAnsi" w:eastAsiaTheme="minorEastAsia" w:cstheme="minorBidi"/>
              <w:b w:val="0"/>
              <w:color w:val="auto"/>
              <w:sz w:val="21"/>
              <w:szCs w:val="22"/>
              <w14:ligatures w14:val="standardContextual"/>
            </w:rPr>
            <w:tab/>
          </w:r>
          <w:r>
            <w:rPr>
              <w:rStyle w:val="49"/>
            </w:rPr>
            <w:t>DATA STORAGE</w:t>
          </w:r>
          <w:r>
            <w:tab/>
          </w:r>
          <w:r>
            <w:fldChar w:fldCharType="begin"/>
          </w:r>
          <w:r>
            <w:instrText xml:space="preserve"> PAGEREF _Toc159596332 \h </w:instrText>
          </w:r>
          <w:r>
            <w:fldChar w:fldCharType="separate"/>
          </w:r>
          <w:r>
            <w:t>72</w:t>
          </w:r>
          <w:r>
            <w:fldChar w:fldCharType="end"/>
          </w:r>
          <w:r>
            <w:fldChar w:fldCharType="end"/>
          </w:r>
        </w:p>
        <w:p w14:paraId="5A2CBC34">
          <w:pPr>
            <w:pStyle w:val="29"/>
            <w:tabs>
              <w:tab w:val="left" w:pos="500"/>
            </w:tabs>
            <w:ind w:left="482" w:hanging="482"/>
            <w:rPr>
              <w:rFonts w:asciiTheme="minorHAnsi" w:hAnsiTheme="minorHAnsi" w:eastAsiaTheme="minorEastAsia" w:cstheme="minorBidi"/>
              <w:b w:val="0"/>
              <w:color w:val="auto"/>
              <w:sz w:val="21"/>
              <w:szCs w:val="22"/>
              <w14:ligatures w14:val="standardContextual"/>
            </w:rPr>
          </w:pPr>
          <w:r>
            <w:fldChar w:fldCharType="begin"/>
          </w:r>
          <w:r>
            <w:instrText xml:space="preserve"> HYPERLINK \l "_Toc159596333" </w:instrText>
          </w:r>
          <w:r>
            <w:fldChar w:fldCharType="separate"/>
          </w:r>
          <w:r>
            <w:rPr>
              <w:rStyle w:val="49"/>
            </w:rPr>
            <w:t>19</w:t>
          </w:r>
          <w:r>
            <w:rPr>
              <w:rFonts w:asciiTheme="minorHAnsi" w:hAnsiTheme="minorHAnsi" w:eastAsiaTheme="minorEastAsia" w:cstheme="minorBidi"/>
              <w:b w:val="0"/>
              <w:color w:val="auto"/>
              <w:sz w:val="21"/>
              <w:szCs w:val="22"/>
              <w14:ligatures w14:val="standardContextual"/>
            </w:rPr>
            <w:tab/>
          </w:r>
          <w:r>
            <w:rPr>
              <w:rStyle w:val="49"/>
            </w:rPr>
            <w:t>INTELLECTUAL PROPERTY AND PUBLICATION</w:t>
          </w:r>
          <w:r>
            <w:tab/>
          </w:r>
          <w:r>
            <w:fldChar w:fldCharType="begin"/>
          </w:r>
          <w:r>
            <w:instrText xml:space="preserve"> PAGEREF _Toc159596333 \h </w:instrText>
          </w:r>
          <w:r>
            <w:fldChar w:fldCharType="separate"/>
          </w:r>
          <w:r>
            <w:t>73</w:t>
          </w:r>
          <w:r>
            <w:fldChar w:fldCharType="end"/>
          </w:r>
          <w:r>
            <w:fldChar w:fldCharType="end"/>
          </w:r>
        </w:p>
        <w:p w14:paraId="013D0869">
          <w:pPr>
            <w:pStyle w:val="29"/>
            <w:tabs>
              <w:tab w:val="left" w:pos="500"/>
            </w:tabs>
            <w:ind w:left="482" w:hanging="482"/>
            <w:rPr>
              <w:rFonts w:asciiTheme="minorHAnsi" w:hAnsiTheme="minorHAnsi" w:eastAsiaTheme="minorEastAsia" w:cstheme="minorBidi"/>
              <w:b w:val="0"/>
              <w:color w:val="auto"/>
              <w:sz w:val="21"/>
              <w:szCs w:val="22"/>
              <w14:ligatures w14:val="standardContextual"/>
            </w:rPr>
          </w:pPr>
          <w:r>
            <w:fldChar w:fldCharType="begin"/>
          </w:r>
          <w:r>
            <w:instrText xml:space="preserve"> HYPERLINK \l "_Toc159596334" </w:instrText>
          </w:r>
          <w:r>
            <w:fldChar w:fldCharType="separate"/>
          </w:r>
          <w:r>
            <w:rPr>
              <w:rStyle w:val="49"/>
            </w:rPr>
            <w:t>20</w:t>
          </w:r>
          <w:r>
            <w:rPr>
              <w:rFonts w:asciiTheme="minorHAnsi" w:hAnsiTheme="minorHAnsi" w:eastAsiaTheme="minorEastAsia" w:cstheme="minorBidi"/>
              <w:b w:val="0"/>
              <w:color w:val="auto"/>
              <w:sz w:val="21"/>
              <w:szCs w:val="22"/>
              <w14:ligatures w14:val="standardContextual"/>
            </w:rPr>
            <w:tab/>
          </w:r>
          <w:r>
            <w:rPr>
              <w:rStyle w:val="49"/>
            </w:rPr>
            <w:t>REFERENCES</w:t>
          </w:r>
          <w:r>
            <w:tab/>
          </w:r>
          <w:r>
            <w:fldChar w:fldCharType="begin"/>
          </w:r>
          <w:r>
            <w:instrText xml:space="preserve"> PAGEREF _Toc159596334 \h </w:instrText>
          </w:r>
          <w:r>
            <w:fldChar w:fldCharType="separate"/>
          </w:r>
          <w:r>
            <w:t>74</w:t>
          </w:r>
          <w:r>
            <w:fldChar w:fldCharType="end"/>
          </w:r>
          <w:r>
            <w:fldChar w:fldCharType="end"/>
          </w:r>
        </w:p>
        <w:p w14:paraId="1D785EBE">
          <w:pPr>
            <w:pStyle w:val="3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"_Toc159596335" </w:instrText>
          </w:r>
          <w:r>
            <w:fldChar w:fldCharType="separate"/>
          </w:r>
          <w:r>
            <w:rPr>
              <w:rStyle w:val="49"/>
            </w:rPr>
            <w:t>Appendix 1: Diagnostic Criteria for Type 2 Diabetes Mellitus</w:t>
          </w:r>
          <w:r>
            <w:tab/>
          </w:r>
          <w:r>
            <w:fldChar w:fldCharType="begin"/>
          </w:r>
          <w:r>
            <w:instrText xml:space="preserve"> PAGEREF _Toc159596335 \h </w:instrText>
          </w:r>
          <w:r>
            <w:fldChar w:fldCharType="separate"/>
          </w:r>
          <w:r>
            <w:t>75</w:t>
          </w:r>
          <w:r>
            <w:fldChar w:fldCharType="end"/>
          </w:r>
          <w:r>
            <w:fldChar w:fldCharType="end"/>
          </w:r>
        </w:p>
        <w:p w14:paraId="2DD75426">
          <w:pPr>
            <w:pStyle w:val="3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"_Toc159596336" </w:instrText>
          </w:r>
          <w:r>
            <w:fldChar w:fldCharType="separate"/>
          </w:r>
          <w:r>
            <w:rPr>
              <w:rStyle w:val="49"/>
            </w:rPr>
            <w:t>Appendix 2: Hypoglycemia Grading</w:t>
          </w:r>
          <w:r>
            <w:tab/>
          </w:r>
          <w:r>
            <w:fldChar w:fldCharType="begin"/>
          </w:r>
          <w:r>
            <w:instrText xml:space="preserve"> PAGEREF _Toc159596336 \h </w:instrText>
          </w:r>
          <w:r>
            <w:fldChar w:fldCharType="separate"/>
          </w:r>
          <w:r>
            <w:t>76</w:t>
          </w:r>
          <w:r>
            <w:fldChar w:fldCharType="end"/>
          </w:r>
          <w:r>
            <w:fldChar w:fldCharType="end"/>
          </w:r>
        </w:p>
        <w:p w14:paraId="38C412D4">
          <w:pPr>
            <w:pStyle w:val="3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"_Toc159596337" </w:instrText>
          </w:r>
          <w:r>
            <w:fldChar w:fldCharType="separate"/>
          </w:r>
          <w:r>
            <w:rPr>
              <w:rStyle w:val="49"/>
            </w:rPr>
            <w:t>Appendix 3: Columbia-Suicide Severity Rating Scale (C-SSRS)</w:t>
          </w:r>
          <w:r>
            <w:tab/>
          </w:r>
          <w:r>
            <w:fldChar w:fldCharType="begin"/>
          </w:r>
          <w:r>
            <w:instrText xml:space="preserve"> PAGEREF _Toc159596337 \h </w:instrText>
          </w:r>
          <w:r>
            <w:fldChar w:fldCharType="separate"/>
          </w:r>
          <w:r>
            <w:t>77</w:t>
          </w:r>
          <w:r>
            <w:fldChar w:fldCharType="end"/>
          </w:r>
          <w:r>
            <w:fldChar w:fldCharType="end"/>
          </w:r>
        </w:p>
        <w:p w14:paraId="5513291E">
          <w:pPr>
            <w:pStyle w:val="3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"_Toc159596338" </w:instrText>
          </w:r>
          <w:r>
            <w:fldChar w:fldCharType="separate"/>
          </w:r>
          <w:r>
            <w:rPr>
              <w:rStyle w:val="49"/>
            </w:rPr>
            <w:t>Appendix 4: Patient Health Questionnaire-9 [PHQ-9]</w:t>
          </w:r>
          <w:r>
            <w:tab/>
          </w:r>
          <w:r>
            <w:fldChar w:fldCharType="begin"/>
          </w:r>
          <w:r>
            <w:instrText xml:space="preserve"> PAGEREF _Toc159596338 \h </w:instrText>
          </w:r>
          <w:r>
            <w:fldChar w:fldCharType="separate"/>
          </w:r>
          <w:r>
            <w:t>78</w:t>
          </w:r>
          <w:r>
            <w:fldChar w:fldCharType="end"/>
          </w:r>
          <w:r>
            <w:fldChar w:fldCharType="end"/>
          </w:r>
        </w:p>
        <w:p w14:paraId="5B1D3AD0">
          <w:pPr>
            <w:pStyle w:val="3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"_Toc159596339" </w:instrText>
          </w:r>
          <w:r>
            <w:fldChar w:fldCharType="separate"/>
          </w:r>
          <w:r>
            <w:rPr>
              <w:rStyle w:val="49"/>
            </w:rPr>
            <w:t>Appendix 5: Calculation Formula for Estimated Glomerular Filtration Rate (eGFR)</w:t>
          </w:r>
          <w:r>
            <w:tab/>
          </w:r>
          <w:r>
            <w:fldChar w:fldCharType="begin"/>
          </w:r>
          <w:r>
            <w:instrText xml:space="preserve"> PAGEREF _Toc159596339 \h </w:instrText>
          </w:r>
          <w:r>
            <w:fldChar w:fldCharType="separate"/>
          </w:r>
          <w:r>
            <w:t>79</w:t>
          </w:r>
          <w:r>
            <w:fldChar w:fldCharType="end"/>
          </w:r>
          <w:r>
            <w:fldChar w:fldCharType="end"/>
          </w:r>
        </w:p>
        <w:p w14:paraId="0B663261">
          <w:pPr>
            <w:pStyle w:val="3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"_Toc159596340" </w:instrText>
          </w:r>
          <w:r>
            <w:fldChar w:fldCharType="separate"/>
          </w:r>
          <w:r>
            <w:rPr>
              <w:rStyle w:val="49"/>
            </w:rPr>
            <w:t>Appendix 6: Diet and Exercise Guidance</w:t>
          </w:r>
          <w:r>
            <w:tab/>
          </w:r>
          <w:r>
            <w:fldChar w:fldCharType="begin"/>
          </w:r>
          <w:r>
            <w:instrText xml:space="preserve"> PAGEREF _Toc159596340 \h </w:instrText>
          </w:r>
          <w:r>
            <w:fldChar w:fldCharType="separate"/>
          </w:r>
          <w:r>
            <w:t>80</w:t>
          </w:r>
          <w:r>
            <w:fldChar w:fldCharType="end"/>
          </w:r>
          <w:r>
            <w:fldChar w:fldCharType="end"/>
          </w:r>
        </w:p>
        <w:p w14:paraId="6AA76D88">
          <w:pPr>
            <w:pStyle w:val="3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"_Toc159596341" </w:instrText>
          </w:r>
          <w:r>
            <w:fldChar w:fldCharType="separate"/>
          </w:r>
          <w:r>
            <w:rPr>
              <w:rStyle w:val="49"/>
            </w:rPr>
            <w:t>Appendix 7: Methods of Contraception and Requirements</w:t>
          </w:r>
          <w:r>
            <w:tab/>
          </w:r>
          <w:r>
            <w:fldChar w:fldCharType="begin"/>
          </w:r>
          <w:r>
            <w:instrText xml:space="preserve"> PAGEREF _Toc159596341 \h </w:instrText>
          </w:r>
          <w:r>
            <w:fldChar w:fldCharType="separate"/>
          </w:r>
          <w:r>
            <w:t>84</w:t>
          </w:r>
          <w:r>
            <w:fldChar w:fldCharType="end"/>
          </w:r>
          <w:r>
            <w:fldChar w:fldCharType="end"/>
          </w:r>
        </w:p>
        <w:p w14:paraId="3421E062">
          <w:pPr>
            <w:pStyle w:val="3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"_Toc159596342" </w:instrText>
          </w:r>
          <w:r>
            <w:fldChar w:fldCharType="separate"/>
          </w:r>
          <w:r>
            <w:rPr>
              <w:rStyle w:val="49"/>
            </w:rPr>
            <w:t>Appendix 8: Blood Sampling Time Deviations</w:t>
          </w:r>
          <w:r>
            <w:tab/>
          </w:r>
          <w:r>
            <w:fldChar w:fldCharType="begin"/>
          </w:r>
          <w:r>
            <w:instrText xml:space="preserve"> PAGEREF _Toc159596342 \h </w:instrText>
          </w:r>
          <w:r>
            <w:fldChar w:fldCharType="separate"/>
          </w:r>
          <w:r>
            <w:t>86</w:t>
          </w:r>
          <w:r>
            <w:fldChar w:fldCharType="end"/>
          </w:r>
          <w:r>
            <w:fldChar w:fldCharType="end"/>
          </w:r>
        </w:p>
        <w:p w14:paraId="12A9F19C">
          <w:pPr>
            <w:pStyle w:val="30"/>
            <w:rPr>
              <w:rFonts w:asciiTheme="minorHAnsi" w:hAnsiTheme="minorHAnsi" w:eastAsiaTheme="minorEastAsia" w:cstheme="minorBidi"/>
              <w:color w:val="auto"/>
              <w:sz w:val="21"/>
              <w:szCs w:val="22"/>
              <w14:ligatures w14:val="standardContextual"/>
            </w:rPr>
          </w:pPr>
          <w:r>
            <w:fldChar w:fldCharType="begin"/>
          </w:r>
          <w:r>
            <w:instrText xml:space="preserve"> HYPERLINK \l "_Toc159596343" </w:instrText>
          </w:r>
          <w:r>
            <w:fldChar w:fldCharType="separate"/>
          </w:r>
          <w:r>
            <w:rPr>
              <w:rStyle w:val="49"/>
              <w:spacing w:val="-6"/>
            </w:rPr>
            <w:t>Appendix 9: Specific Indicators for Each Test (including but not limited to the items listed below)</w:t>
          </w:r>
          <w:r>
            <w:tab/>
          </w:r>
          <w:r>
            <w:fldChar w:fldCharType="begin"/>
          </w:r>
          <w:r>
            <w:instrText xml:space="preserve"> PAGEREF _Toc159596343 \h </w:instrText>
          </w:r>
          <w:r>
            <w:fldChar w:fldCharType="separate"/>
          </w:r>
          <w:r>
            <w:t>87</w:t>
          </w:r>
          <w:r>
            <w:fldChar w:fldCharType="end"/>
          </w:r>
          <w:r>
            <w:fldChar w:fldCharType="end"/>
          </w:r>
        </w:p>
        <w:p w14:paraId="72C0FA90">
          <w:pPr>
            <w:overflowPunct w:val="0"/>
            <w:autoSpaceDE w:val="0"/>
            <w:autoSpaceDN w:val="0"/>
            <w:adjustRightInd w:val="0"/>
            <w:snapToGrid w:val="0"/>
            <w:spacing w:before="120" w:beforeLines="50" w:after="120" w:afterLines="50" w:line="300" w:lineRule="auto"/>
            <w:rPr>
              <w:rFonts w:eastAsia="宋体"/>
            </w:rPr>
          </w:pPr>
          <w:r>
            <w:rPr>
              <w:rFonts w:eastAsia="宋体"/>
              <w:b/>
              <w:kern w:val="2"/>
              <w:u w:color="000000"/>
              <w:lang w:eastAsia="zh-CN"/>
            </w:rPr>
            <w:fldChar w:fldCharType="end"/>
          </w:r>
        </w:p>
      </w:sdtContent>
    </w:sdt>
    <w:p w14:paraId="16945EC4">
      <w:pPr>
        <w:overflowPunct w:val="0"/>
        <w:autoSpaceDE w:val="0"/>
        <w:autoSpaceDN w:val="0"/>
        <w:adjustRightInd w:val="0"/>
        <w:snapToGrid w:val="0"/>
        <w:spacing w:before="120" w:beforeLines="50" w:after="120" w:afterLines="50" w:line="300" w:lineRule="auto"/>
      </w:pPr>
    </w:p>
    <w:p w14:paraId="1EE81269">
      <w:pPr>
        <w:pageBreakBefore/>
        <w:overflowPunct w:val="0"/>
        <w:autoSpaceDE w:val="0"/>
        <w:autoSpaceDN w:val="0"/>
        <w:adjustRightInd w:val="0"/>
        <w:snapToGrid w:val="0"/>
        <w:spacing w:before="120" w:beforeLines="50" w:after="120" w:afterLines="50" w:line="300" w:lineRule="auto"/>
        <w:jc w:val="center"/>
        <w:rPr>
          <w:b/>
          <w:bCs/>
          <w:sz w:val="28"/>
          <w:szCs w:val="28"/>
          <w:lang w:eastAsia="zh-CN"/>
        </w:rPr>
      </w:pPr>
      <w:r>
        <w:rPr>
          <w:rFonts w:hint="eastAsia"/>
          <w:b/>
          <w:bCs/>
          <w:sz w:val="28"/>
          <w:szCs w:val="28"/>
          <w:lang w:eastAsia="zh-CN"/>
        </w:rPr>
        <w:t>L</w:t>
      </w:r>
      <w:r>
        <w:rPr>
          <w:b/>
          <w:bCs/>
          <w:sz w:val="28"/>
          <w:szCs w:val="28"/>
          <w:lang w:eastAsia="zh-CN"/>
        </w:rPr>
        <w:t>IST OF TABLES</w:t>
      </w:r>
    </w:p>
    <w:p w14:paraId="63D5C5DE">
      <w:pPr>
        <w:pStyle w:val="33"/>
        <w:ind w:left="480" w:hanging="480"/>
        <w:rPr>
          <w:rFonts w:asciiTheme="minorHAnsi" w:hAnsiTheme="minorHAnsi" w:cstheme="minorBidi"/>
          <w:color w:val="auto"/>
          <w:kern w:val="2"/>
          <w:sz w:val="21"/>
          <w:szCs w:val="22"/>
          <w:lang w:eastAsia="zh-CN"/>
          <w14:ligatures w14:val="standardContextual"/>
        </w:rPr>
      </w:pPr>
      <w:r>
        <w:fldChar w:fldCharType="begin"/>
      </w:r>
      <w:r>
        <w:instrText xml:space="preserve"> TOC \h \z \t "题注" \c </w:instrText>
      </w:r>
      <w:r>
        <w:fldChar w:fldCharType="separate"/>
      </w:r>
      <w:r>
        <w:fldChar w:fldCharType="begin"/>
      </w:r>
      <w:r>
        <w:instrText xml:space="preserve"> HYPERLINK \l "_Toc159511675" </w:instrText>
      </w:r>
      <w:r>
        <w:fldChar w:fldCharType="separate"/>
      </w:r>
      <w:r>
        <w:rPr>
          <w:rStyle w:val="49"/>
        </w:rPr>
        <w:t>Table 1. Schedule of Part A and Part B expansion study procedures</w:t>
      </w:r>
      <w:r>
        <w:tab/>
      </w:r>
      <w:r>
        <w:fldChar w:fldCharType="begin"/>
      </w:r>
      <w:r>
        <w:instrText xml:space="preserve"> PAGEREF _Toc159511675 \h </w:instrText>
      </w:r>
      <w:r>
        <w:fldChar w:fldCharType="separate"/>
      </w:r>
      <w:r>
        <w:t>15</w:t>
      </w:r>
      <w:r>
        <w:fldChar w:fldCharType="end"/>
      </w:r>
      <w:r>
        <w:fldChar w:fldCharType="end"/>
      </w:r>
    </w:p>
    <w:p w14:paraId="1B14B1E3">
      <w:pPr>
        <w:pStyle w:val="33"/>
        <w:ind w:left="480" w:hanging="480"/>
        <w:rPr>
          <w:rFonts w:asciiTheme="minorHAnsi" w:hAnsiTheme="minorHAnsi" w:cstheme="minorBidi"/>
          <w:color w:val="auto"/>
          <w:kern w:val="2"/>
          <w:sz w:val="21"/>
          <w:szCs w:val="22"/>
          <w:lang w:eastAsia="zh-CN"/>
          <w14:ligatures w14:val="standardContextual"/>
        </w:rPr>
      </w:pPr>
      <w:r>
        <w:fldChar w:fldCharType="begin"/>
      </w:r>
      <w:r>
        <w:instrText xml:space="preserve"> HYPERLINK \l "_Toc159511676" </w:instrText>
      </w:r>
      <w:r>
        <w:fldChar w:fldCharType="separate"/>
      </w:r>
      <w:r>
        <w:rPr>
          <w:rStyle w:val="49"/>
        </w:rPr>
        <w:t xml:space="preserve">Table </w:t>
      </w:r>
      <w:r>
        <w:rPr>
          <w:rStyle w:val="49"/>
          <w:rFonts w:eastAsia="宋体"/>
        </w:rPr>
        <w:t>2</w:t>
      </w:r>
      <w:r>
        <w:rPr>
          <w:rStyle w:val="49"/>
        </w:rPr>
        <w:t>. Schedule of Part B dose escalation study procedures</w:t>
      </w:r>
      <w:r>
        <w:tab/>
      </w:r>
      <w:r>
        <w:fldChar w:fldCharType="begin"/>
      </w:r>
      <w:r>
        <w:instrText xml:space="preserve"> PAGEREF _Toc159511676 \h </w:instrText>
      </w:r>
      <w:r>
        <w:fldChar w:fldCharType="separate"/>
      </w:r>
      <w:r>
        <w:t>18</w:t>
      </w:r>
      <w:r>
        <w:fldChar w:fldCharType="end"/>
      </w:r>
      <w:r>
        <w:fldChar w:fldCharType="end"/>
      </w:r>
    </w:p>
    <w:p w14:paraId="03F91BF3">
      <w:pPr>
        <w:pStyle w:val="33"/>
        <w:ind w:left="480" w:hanging="480"/>
        <w:rPr>
          <w:rFonts w:asciiTheme="minorHAnsi" w:hAnsiTheme="minorHAnsi" w:cstheme="minorBidi"/>
          <w:color w:val="auto"/>
          <w:kern w:val="2"/>
          <w:sz w:val="21"/>
          <w:szCs w:val="22"/>
          <w:lang w:eastAsia="zh-CN"/>
          <w14:ligatures w14:val="standardContextual"/>
        </w:rPr>
      </w:pPr>
      <w:r>
        <w:fldChar w:fldCharType="begin"/>
      </w:r>
      <w:r>
        <w:instrText xml:space="preserve"> HYPERLINK \l "_Toc159511677" </w:instrText>
      </w:r>
      <w:r>
        <w:fldChar w:fldCharType="separate"/>
      </w:r>
      <w:r>
        <w:rPr>
          <w:rStyle w:val="49"/>
        </w:rPr>
        <w:t xml:space="preserve">Table </w:t>
      </w:r>
      <w:r>
        <w:rPr>
          <w:rStyle w:val="49"/>
          <w:rFonts w:eastAsia="宋体"/>
        </w:rPr>
        <w:t>3</w:t>
      </w:r>
      <w:r>
        <w:rPr>
          <w:rStyle w:val="49"/>
        </w:rPr>
        <w:t>. Reporting route of SAEs</w:t>
      </w:r>
      <w:r>
        <w:tab/>
      </w:r>
      <w:r>
        <w:fldChar w:fldCharType="begin"/>
      </w:r>
      <w:r>
        <w:instrText xml:space="preserve"> PAGEREF _Toc159511677 \h </w:instrText>
      </w:r>
      <w:r>
        <w:fldChar w:fldCharType="separate"/>
      </w:r>
      <w:r>
        <w:t>61</w:t>
      </w:r>
      <w:r>
        <w:fldChar w:fldCharType="end"/>
      </w:r>
      <w:r>
        <w:fldChar w:fldCharType="end"/>
      </w:r>
    </w:p>
    <w:p w14:paraId="06B1DB86">
      <w:pPr>
        <w:pStyle w:val="33"/>
        <w:ind w:left="480" w:hanging="480"/>
        <w:rPr>
          <w:rFonts w:asciiTheme="minorHAnsi" w:hAnsiTheme="minorHAnsi" w:cstheme="minorBidi"/>
          <w:color w:val="auto"/>
          <w:kern w:val="2"/>
          <w:sz w:val="21"/>
          <w:szCs w:val="22"/>
          <w:lang w:eastAsia="zh-CN"/>
          <w14:ligatures w14:val="standardContextual"/>
        </w:rPr>
      </w:pPr>
      <w:r>
        <w:fldChar w:fldCharType="begin"/>
      </w:r>
      <w:r>
        <w:instrText xml:space="preserve"> HYPERLINK \l "_Toc159511678" </w:instrText>
      </w:r>
      <w:r>
        <w:fldChar w:fldCharType="separate"/>
      </w:r>
      <w:r>
        <w:rPr>
          <w:rStyle w:val="49"/>
        </w:rPr>
        <w:t xml:space="preserve">Table </w:t>
      </w:r>
      <w:r>
        <w:rPr>
          <w:rStyle w:val="49"/>
          <w:rFonts w:eastAsia="宋体"/>
        </w:rPr>
        <w:t>4</w:t>
      </w:r>
      <w:r>
        <w:rPr>
          <w:rStyle w:val="49"/>
        </w:rPr>
        <w:t>. Blood sampling time deviations for the dose escalation group in Part B</w:t>
      </w:r>
      <w:r>
        <w:tab/>
      </w:r>
      <w:r>
        <w:fldChar w:fldCharType="begin"/>
      </w:r>
      <w:r>
        <w:instrText xml:space="preserve"> PAGEREF _Toc159511678 \h </w:instrText>
      </w:r>
      <w:r>
        <w:fldChar w:fldCharType="separate"/>
      </w:r>
      <w:r>
        <w:t>86</w:t>
      </w:r>
      <w:r>
        <w:fldChar w:fldCharType="end"/>
      </w:r>
      <w:r>
        <w:fldChar w:fldCharType="end"/>
      </w:r>
    </w:p>
    <w:p w14:paraId="703F5787">
      <w:pPr>
        <w:pStyle w:val="33"/>
        <w:ind w:left="480" w:hanging="480"/>
        <w:rPr>
          <w:rFonts w:asciiTheme="minorHAnsi" w:hAnsiTheme="minorHAnsi" w:cstheme="minorBidi"/>
          <w:color w:val="auto"/>
          <w:kern w:val="2"/>
          <w:sz w:val="21"/>
          <w:szCs w:val="22"/>
          <w:lang w:eastAsia="zh-CN"/>
          <w14:ligatures w14:val="standardContextual"/>
        </w:rPr>
      </w:pPr>
      <w:r>
        <w:fldChar w:fldCharType="begin"/>
      </w:r>
      <w:r>
        <w:instrText xml:space="preserve"> HYPERLINK \l "_Toc159511679" </w:instrText>
      </w:r>
      <w:r>
        <w:fldChar w:fldCharType="separate"/>
      </w:r>
      <w:r>
        <w:rPr>
          <w:rStyle w:val="49"/>
        </w:rPr>
        <w:t xml:space="preserve">Table </w:t>
      </w:r>
      <w:r>
        <w:rPr>
          <w:rStyle w:val="49"/>
          <w:rFonts w:eastAsia="宋体"/>
        </w:rPr>
        <w:t>5</w:t>
      </w:r>
      <w:r>
        <w:rPr>
          <w:rStyle w:val="49"/>
        </w:rPr>
        <w:t>. Blood sampling time deviations for acetaminophen PK</w:t>
      </w:r>
      <w:r>
        <w:tab/>
      </w:r>
      <w:r>
        <w:fldChar w:fldCharType="begin"/>
      </w:r>
      <w:r>
        <w:instrText xml:space="preserve"> PAGEREF _Toc159511679 \h </w:instrText>
      </w:r>
      <w:r>
        <w:fldChar w:fldCharType="separate"/>
      </w:r>
      <w:r>
        <w:t>86</w:t>
      </w:r>
      <w:r>
        <w:fldChar w:fldCharType="end"/>
      </w:r>
      <w:r>
        <w:fldChar w:fldCharType="end"/>
      </w:r>
    </w:p>
    <w:p w14:paraId="265CD0F6">
      <w:pPr>
        <w:overflowPunct w:val="0"/>
        <w:autoSpaceDE w:val="0"/>
        <w:autoSpaceDN w:val="0"/>
        <w:adjustRightInd w:val="0"/>
        <w:snapToGrid w:val="0"/>
        <w:spacing w:before="120" w:beforeLines="50" w:after="120" w:afterLines="50" w:line="300" w:lineRule="auto"/>
      </w:pPr>
      <w:r>
        <w:fldChar w:fldCharType="end"/>
      </w:r>
    </w:p>
    <w:p w14:paraId="70595428">
      <w:pPr>
        <w:overflowPunct w:val="0"/>
        <w:autoSpaceDE w:val="0"/>
        <w:autoSpaceDN w:val="0"/>
        <w:adjustRightInd w:val="0"/>
        <w:snapToGrid w:val="0"/>
        <w:spacing w:before="120" w:beforeLines="50" w:after="120" w:afterLines="50" w:line="300" w:lineRule="auto"/>
        <w:rPr>
          <w:rFonts w:eastAsia="宋体"/>
        </w:rPr>
      </w:pPr>
      <w:r>
        <w:br w:type="page"/>
      </w:r>
    </w:p>
    <w:p w14:paraId="2DFE6776">
      <w:pPr>
        <w:pStyle w:val="194"/>
      </w:pPr>
      <w:bookmarkStart w:id="9" w:name="_Toc159596216"/>
      <w:r>
        <w:t>SYNOPSIS</w:t>
      </w:r>
      <w:bookmarkEnd w:id="9"/>
    </w:p>
    <w:tbl>
      <w:tblPr>
        <w:tblStyle w:val="51"/>
        <w:tblW w:w="5000" w:type="pct"/>
        <w:tblInd w:w="0" w:type="dxa"/>
        <w:tblBorders>
          <w:top w:val="single" w:color="000000" w:sz="2" w:space="0"/>
          <w:left w:val="single" w:color="000000" w:sz="2" w:space="0"/>
          <w:bottom w:val="single" w:color="000000" w:sz="2" w:space="0"/>
          <w:right w:val="single" w:color="000000" w:sz="2" w:space="0"/>
          <w:insideH w:val="single" w:color="FF2600" w:sz="2" w:space="0"/>
          <w:insideV w:val="single" w:color="FF2600" w:sz="2" w:space="0"/>
        </w:tblBorders>
        <w:tblLayout w:type="autofit"/>
        <w:tblCellMar>
          <w:top w:w="28" w:type="dxa"/>
          <w:left w:w="57" w:type="dxa"/>
          <w:bottom w:w="28" w:type="dxa"/>
          <w:right w:w="57" w:type="dxa"/>
        </w:tblCellMar>
      </w:tblPr>
      <w:tblGrid>
        <w:gridCol w:w="1570"/>
        <w:gridCol w:w="7904"/>
      </w:tblGrid>
      <w:tr w14:paraId="6F26374B">
        <w:tblPrEx>
          <w:tblBorders>
            <w:top w:val="single" w:color="000000" w:sz="2" w:space="0"/>
            <w:left w:val="single" w:color="000000" w:sz="2" w:space="0"/>
            <w:bottom w:val="single" w:color="000000" w:sz="2" w:space="0"/>
            <w:right w:val="single" w:color="000000" w:sz="2" w:space="0"/>
            <w:insideH w:val="single" w:color="FF2600" w:sz="2" w:space="0"/>
            <w:insideV w:val="single" w:color="FF2600" w:sz="2" w:space="0"/>
          </w:tblBorders>
          <w:tblCellMar>
            <w:top w:w="28" w:type="dxa"/>
            <w:left w:w="57" w:type="dxa"/>
            <w:bottom w:w="28" w:type="dxa"/>
            <w:right w:w="57" w:type="dxa"/>
          </w:tblCellMar>
        </w:tblPrEx>
        <w:tc>
          <w:tcPr>
            <w:tcW w:w="78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271A4370">
            <w:pPr>
              <w:overflowPunct w:val="0"/>
              <w:autoSpaceDE w:val="0"/>
              <w:autoSpaceDN w:val="0"/>
              <w:adjustRightInd w:val="0"/>
              <w:snapToGrid w:val="0"/>
              <w:spacing w:before="72" w:beforeLines="30" w:after="72" w:afterLines="30"/>
              <w:rPr>
                <w:rFonts w:eastAsia="宋体"/>
                <w:b/>
                <w:bCs/>
                <w:sz w:val="20"/>
                <w:szCs w:val="20"/>
              </w:rPr>
            </w:pPr>
            <w:r>
              <w:rPr>
                <w:b/>
                <w:bCs/>
                <w:sz w:val="20"/>
                <w:szCs w:val="20"/>
              </w:rPr>
              <w:t>Study Title</w:t>
            </w:r>
          </w:p>
        </w:tc>
        <w:tc>
          <w:tcPr>
            <w:tcW w:w="422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3599FA5B">
            <w:pPr>
              <w:overflowPunct w:val="0"/>
              <w:autoSpaceDE w:val="0"/>
              <w:autoSpaceDN w:val="0"/>
              <w:adjustRightInd w:val="0"/>
              <w:snapToGrid w:val="0"/>
              <w:spacing w:before="72" w:beforeLines="30" w:after="72" w:afterLines="30"/>
              <w:rPr>
                <w:rFonts w:eastAsia="宋体"/>
                <w:sz w:val="20"/>
                <w:szCs w:val="20"/>
              </w:rPr>
            </w:pPr>
            <w:r>
              <w:rPr>
                <w:sz w:val="20"/>
                <w:szCs w:val="20"/>
              </w:rPr>
              <w:t>A Multicenter, Randomized, Double-blind, Placebo-controlled Phase II Clinical Study Evaluating the Safety, Tolerability, and Efficacy of RAY1225 Injection in Patients with T2DM</w:t>
            </w:r>
          </w:p>
        </w:tc>
      </w:tr>
      <w:tr w14:paraId="303EA618">
        <w:tblPrEx>
          <w:tblBorders>
            <w:top w:val="single" w:color="000000" w:sz="2" w:space="0"/>
            <w:left w:val="single" w:color="000000" w:sz="2" w:space="0"/>
            <w:bottom w:val="single" w:color="000000" w:sz="2" w:space="0"/>
            <w:right w:val="single" w:color="000000" w:sz="2" w:space="0"/>
            <w:insideH w:val="single" w:color="FF2600" w:sz="2" w:space="0"/>
            <w:insideV w:val="single" w:color="FF2600" w:sz="2" w:space="0"/>
          </w:tblBorders>
          <w:tblCellMar>
            <w:top w:w="28" w:type="dxa"/>
            <w:left w:w="57" w:type="dxa"/>
            <w:bottom w:w="28" w:type="dxa"/>
            <w:right w:w="57" w:type="dxa"/>
          </w:tblCellMar>
        </w:tblPrEx>
        <w:tc>
          <w:tcPr>
            <w:tcW w:w="78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282427F7">
            <w:pPr>
              <w:overflowPunct w:val="0"/>
              <w:autoSpaceDE w:val="0"/>
              <w:autoSpaceDN w:val="0"/>
              <w:adjustRightInd w:val="0"/>
              <w:snapToGrid w:val="0"/>
              <w:spacing w:before="72" w:beforeLines="30" w:after="72" w:afterLines="30"/>
              <w:rPr>
                <w:rFonts w:eastAsia="宋体"/>
                <w:b/>
                <w:bCs/>
                <w:sz w:val="20"/>
                <w:szCs w:val="20"/>
              </w:rPr>
            </w:pPr>
            <w:r>
              <w:rPr>
                <w:b/>
                <w:bCs/>
                <w:sz w:val="20"/>
                <w:szCs w:val="20"/>
              </w:rPr>
              <w:t>Investigational Drug</w:t>
            </w:r>
          </w:p>
        </w:tc>
        <w:tc>
          <w:tcPr>
            <w:tcW w:w="422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0E1E01FB">
            <w:pPr>
              <w:overflowPunct w:val="0"/>
              <w:autoSpaceDE w:val="0"/>
              <w:autoSpaceDN w:val="0"/>
              <w:adjustRightInd w:val="0"/>
              <w:snapToGrid w:val="0"/>
              <w:spacing w:before="72" w:beforeLines="30" w:after="72" w:afterLines="30"/>
              <w:rPr>
                <w:rFonts w:eastAsia="宋体"/>
                <w:sz w:val="20"/>
                <w:szCs w:val="20"/>
              </w:rPr>
            </w:pPr>
            <w:r>
              <w:rPr>
                <w:sz w:val="20"/>
                <w:szCs w:val="20"/>
              </w:rPr>
              <w:t>RAY1225 injection</w:t>
            </w:r>
          </w:p>
        </w:tc>
      </w:tr>
      <w:tr w14:paraId="0042036D">
        <w:tblPrEx>
          <w:tblBorders>
            <w:top w:val="single" w:color="000000" w:sz="2" w:space="0"/>
            <w:left w:val="single" w:color="000000" w:sz="2" w:space="0"/>
            <w:bottom w:val="single" w:color="000000" w:sz="2" w:space="0"/>
            <w:right w:val="single" w:color="000000" w:sz="2" w:space="0"/>
            <w:insideH w:val="single" w:color="FF2600" w:sz="2" w:space="0"/>
            <w:insideV w:val="single" w:color="FF2600" w:sz="2" w:space="0"/>
          </w:tblBorders>
          <w:tblCellMar>
            <w:top w:w="28" w:type="dxa"/>
            <w:left w:w="57" w:type="dxa"/>
            <w:bottom w:w="28" w:type="dxa"/>
            <w:right w:w="57" w:type="dxa"/>
          </w:tblCellMar>
        </w:tblPrEx>
        <w:tc>
          <w:tcPr>
            <w:tcW w:w="78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6E76AB20">
            <w:pPr>
              <w:overflowPunct w:val="0"/>
              <w:autoSpaceDE w:val="0"/>
              <w:autoSpaceDN w:val="0"/>
              <w:adjustRightInd w:val="0"/>
              <w:snapToGrid w:val="0"/>
              <w:spacing w:before="72" w:beforeLines="30" w:after="72" w:afterLines="30"/>
              <w:rPr>
                <w:rFonts w:eastAsia="宋体"/>
                <w:b/>
                <w:bCs/>
                <w:sz w:val="20"/>
                <w:szCs w:val="20"/>
              </w:rPr>
            </w:pPr>
            <w:r>
              <w:rPr>
                <w:b/>
                <w:bCs/>
                <w:sz w:val="20"/>
                <w:szCs w:val="20"/>
              </w:rPr>
              <w:t>Protocol No.</w:t>
            </w:r>
          </w:p>
        </w:tc>
        <w:tc>
          <w:tcPr>
            <w:tcW w:w="422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598FE49B">
            <w:pPr>
              <w:overflowPunct w:val="0"/>
              <w:autoSpaceDE w:val="0"/>
              <w:autoSpaceDN w:val="0"/>
              <w:adjustRightInd w:val="0"/>
              <w:snapToGrid w:val="0"/>
              <w:spacing w:before="72" w:beforeLines="30" w:after="72" w:afterLines="30"/>
              <w:rPr>
                <w:rFonts w:eastAsia="宋体"/>
                <w:sz w:val="20"/>
                <w:szCs w:val="20"/>
              </w:rPr>
            </w:pPr>
            <w:r>
              <w:rPr>
                <w:sz w:val="20"/>
                <w:szCs w:val="20"/>
              </w:rPr>
              <w:t>RAY1225-23-03</w:t>
            </w:r>
          </w:p>
        </w:tc>
      </w:tr>
      <w:tr w14:paraId="2E9082FA">
        <w:tblPrEx>
          <w:tblBorders>
            <w:top w:val="single" w:color="000000" w:sz="2" w:space="0"/>
            <w:left w:val="single" w:color="000000" w:sz="2" w:space="0"/>
            <w:bottom w:val="single" w:color="000000" w:sz="2" w:space="0"/>
            <w:right w:val="single" w:color="000000" w:sz="2" w:space="0"/>
            <w:insideH w:val="single" w:color="FF2600" w:sz="2" w:space="0"/>
            <w:insideV w:val="single" w:color="FF2600" w:sz="2" w:space="0"/>
          </w:tblBorders>
          <w:tblCellMar>
            <w:top w:w="28" w:type="dxa"/>
            <w:left w:w="57" w:type="dxa"/>
            <w:bottom w:w="28" w:type="dxa"/>
            <w:right w:w="57" w:type="dxa"/>
          </w:tblCellMar>
        </w:tblPrEx>
        <w:tc>
          <w:tcPr>
            <w:tcW w:w="78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5FBF00CF">
            <w:pPr>
              <w:overflowPunct w:val="0"/>
              <w:autoSpaceDE w:val="0"/>
              <w:autoSpaceDN w:val="0"/>
              <w:adjustRightInd w:val="0"/>
              <w:snapToGrid w:val="0"/>
              <w:spacing w:before="72" w:beforeLines="30" w:after="72" w:afterLines="30"/>
              <w:rPr>
                <w:rFonts w:eastAsia="宋体"/>
                <w:b/>
                <w:bCs/>
                <w:sz w:val="20"/>
                <w:szCs w:val="20"/>
              </w:rPr>
            </w:pPr>
            <w:r>
              <w:rPr>
                <w:b/>
                <w:bCs/>
                <w:sz w:val="20"/>
                <w:szCs w:val="20"/>
              </w:rPr>
              <w:t>Study Name</w:t>
            </w:r>
          </w:p>
        </w:tc>
        <w:tc>
          <w:tcPr>
            <w:tcW w:w="422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3D8EE914">
            <w:pPr>
              <w:overflowPunct w:val="0"/>
              <w:autoSpaceDE w:val="0"/>
              <w:autoSpaceDN w:val="0"/>
              <w:adjustRightInd w:val="0"/>
              <w:snapToGrid w:val="0"/>
              <w:spacing w:before="72" w:beforeLines="30" w:after="72" w:afterLines="30"/>
              <w:rPr>
                <w:rFonts w:eastAsia="宋体"/>
                <w:sz w:val="20"/>
                <w:szCs w:val="20"/>
              </w:rPr>
            </w:pPr>
            <w:r>
              <w:rPr>
                <w:sz w:val="20"/>
                <w:szCs w:val="20"/>
              </w:rPr>
              <w:t>SHINING-1</w:t>
            </w:r>
          </w:p>
        </w:tc>
      </w:tr>
      <w:tr w14:paraId="24A88C9D">
        <w:tblPrEx>
          <w:tblBorders>
            <w:top w:val="single" w:color="000000" w:sz="2" w:space="0"/>
            <w:left w:val="single" w:color="000000" w:sz="2" w:space="0"/>
            <w:bottom w:val="single" w:color="000000" w:sz="2" w:space="0"/>
            <w:right w:val="single" w:color="000000" w:sz="2" w:space="0"/>
            <w:insideH w:val="single" w:color="FF2600" w:sz="2" w:space="0"/>
            <w:insideV w:val="single" w:color="FF2600" w:sz="2" w:space="0"/>
          </w:tblBorders>
          <w:tblCellMar>
            <w:top w:w="28" w:type="dxa"/>
            <w:left w:w="57" w:type="dxa"/>
            <w:bottom w:w="28" w:type="dxa"/>
            <w:right w:w="57" w:type="dxa"/>
          </w:tblCellMar>
        </w:tblPrEx>
        <w:tc>
          <w:tcPr>
            <w:tcW w:w="78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7F8A1C66">
            <w:pPr>
              <w:overflowPunct w:val="0"/>
              <w:autoSpaceDE w:val="0"/>
              <w:autoSpaceDN w:val="0"/>
              <w:adjustRightInd w:val="0"/>
              <w:snapToGrid w:val="0"/>
              <w:spacing w:before="72" w:beforeLines="30" w:after="72" w:afterLines="30"/>
              <w:rPr>
                <w:rFonts w:eastAsia="宋体"/>
                <w:b/>
                <w:bCs/>
                <w:sz w:val="20"/>
                <w:szCs w:val="20"/>
              </w:rPr>
            </w:pPr>
            <w:r>
              <w:rPr>
                <w:b/>
                <w:bCs/>
                <w:sz w:val="20"/>
                <w:szCs w:val="20"/>
              </w:rPr>
              <w:t>Sponsor</w:t>
            </w:r>
          </w:p>
        </w:tc>
        <w:tc>
          <w:tcPr>
            <w:tcW w:w="422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707070E9">
            <w:pPr>
              <w:overflowPunct w:val="0"/>
              <w:autoSpaceDE w:val="0"/>
              <w:autoSpaceDN w:val="0"/>
              <w:adjustRightInd w:val="0"/>
              <w:snapToGrid w:val="0"/>
              <w:spacing w:before="72" w:beforeLines="30" w:after="72" w:afterLines="30"/>
              <w:rPr>
                <w:rFonts w:eastAsia="宋体"/>
                <w:sz w:val="20"/>
                <w:szCs w:val="20"/>
              </w:rPr>
            </w:pPr>
            <w:r>
              <w:rPr>
                <w:sz w:val="20"/>
                <w:szCs w:val="20"/>
              </w:rPr>
              <w:t>Guangdong Raynovent Biotech Co., Ltd.</w:t>
            </w:r>
          </w:p>
        </w:tc>
      </w:tr>
      <w:tr w14:paraId="0EEFAD35">
        <w:tblPrEx>
          <w:tblBorders>
            <w:top w:val="single" w:color="000000" w:sz="2" w:space="0"/>
            <w:left w:val="single" w:color="000000" w:sz="2" w:space="0"/>
            <w:bottom w:val="single" w:color="000000" w:sz="2" w:space="0"/>
            <w:right w:val="single" w:color="000000" w:sz="2" w:space="0"/>
            <w:insideH w:val="single" w:color="FF2600" w:sz="2" w:space="0"/>
            <w:insideV w:val="single" w:color="FF2600" w:sz="2" w:space="0"/>
          </w:tblBorders>
          <w:tblCellMar>
            <w:top w:w="28" w:type="dxa"/>
            <w:left w:w="57" w:type="dxa"/>
            <w:bottom w:w="28" w:type="dxa"/>
            <w:right w:w="57" w:type="dxa"/>
          </w:tblCellMar>
        </w:tblPrEx>
        <w:tc>
          <w:tcPr>
            <w:tcW w:w="78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71272126">
            <w:pPr>
              <w:overflowPunct w:val="0"/>
              <w:autoSpaceDE w:val="0"/>
              <w:autoSpaceDN w:val="0"/>
              <w:adjustRightInd w:val="0"/>
              <w:snapToGrid w:val="0"/>
              <w:spacing w:before="72" w:beforeLines="30" w:after="72" w:afterLines="30"/>
              <w:rPr>
                <w:rFonts w:eastAsia="宋体"/>
                <w:b/>
                <w:bCs/>
                <w:sz w:val="20"/>
                <w:szCs w:val="20"/>
              </w:rPr>
            </w:pPr>
            <w:r>
              <w:rPr>
                <w:b/>
                <w:bCs/>
                <w:sz w:val="20"/>
                <w:szCs w:val="20"/>
              </w:rPr>
              <w:t>Registration Classification</w:t>
            </w:r>
          </w:p>
        </w:tc>
        <w:tc>
          <w:tcPr>
            <w:tcW w:w="422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052F9EE7">
            <w:pPr>
              <w:overflowPunct w:val="0"/>
              <w:autoSpaceDE w:val="0"/>
              <w:autoSpaceDN w:val="0"/>
              <w:adjustRightInd w:val="0"/>
              <w:snapToGrid w:val="0"/>
              <w:spacing w:before="72" w:beforeLines="30" w:after="72" w:afterLines="30"/>
              <w:rPr>
                <w:rFonts w:eastAsia="宋体"/>
                <w:sz w:val="20"/>
                <w:szCs w:val="20"/>
              </w:rPr>
            </w:pPr>
            <w:r>
              <w:rPr>
                <w:sz w:val="20"/>
                <w:szCs w:val="20"/>
              </w:rPr>
              <w:t>Class 1 chemical drug</w:t>
            </w:r>
          </w:p>
        </w:tc>
      </w:tr>
      <w:tr w14:paraId="568040F8">
        <w:tblPrEx>
          <w:tblBorders>
            <w:top w:val="single" w:color="000000" w:sz="2" w:space="0"/>
            <w:left w:val="single" w:color="000000" w:sz="2" w:space="0"/>
            <w:bottom w:val="single" w:color="000000" w:sz="2" w:space="0"/>
            <w:right w:val="single" w:color="000000" w:sz="2" w:space="0"/>
            <w:insideH w:val="single" w:color="FF2600" w:sz="2" w:space="0"/>
            <w:insideV w:val="single" w:color="FF2600" w:sz="2" w:space="0"/>
          </w:tblBorders>
          <w:tblCellMar>
            <w:top w:w="28" w:type="dxa"/>
            <w:left w:w="57" w:type="dxa"/>
            <w:bottom w:w="28" w:type="dxa"/>
            <w:right w:w="57" w:type="dxa"/>
          </w:tblCellMar>
        </w:tblPrEx>
        <w:tc>
          <w:tcPr>
            <w:tcW w:w="78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1BD480F4">
            <w:pPr>
              <w:overflowPunct w:val="0"/>
              <w:autoSpaceDE w:val="0"/>
              <w:autoSpaceDN w:val="0"/>
              <w:adjustRightInd w:val="0"/>
              <w:snapToGrid w:val="0"/>
              <w:spacing w:before="72" w:beforeLines="30" w:after="72" w:afterLines="30"/>
              <w:rPr>
                <w:rFonts w:eastAsia="宋体"/>
                <w:b/>
                <w:sz w:val="20"/>
                <w:szCs w:val="20"/>
              </w:rPr>
            </w:pPr>
            <w:r>
              <w:rPr>
                <w:b/>
                <w:bCs/>
                <w:sz w:val="20"/>
                <w:szCs w:val="20"/>
              </w:rPr>
              <w:t>Principal Investigator</w:t>
            </w:r>
          </w:p>
        </w:tc>
        <w:tc>
          <w:tcPr>
            <w:tcW w:w="422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0BD71D00">
            <w:pPr>
              <w:overflowPunct w:val="0"/>
              <w:autoSpaceDE w:val="0"/>
              <w:autoSpaceDN w:val="0"/>
              <w:adjustRightInd w:val="0"/>
              <w:snapToGrid w:val="0"/>
              <w:spacing w:before="72" w:beforeLines="30" w:after="72" w:afterLines="30"/>
              <w:rPr>
                <w:rFonts w:eastAsia="宋体"/>
                <w:sz w:val="20"/>
                <w:szCs w:val="20"/>
              </w:rPr>
            </w:pPr>
            <w:r>
              <w:rPr>
                <w:sz w:val="20"/>
                <w:szCs w:val="20"/>
              </w:rPr>
              <w:t xml:space="preserve">Professor Ji Linong </w:t>
            </w:r>
          </w:p>
        </w:tc>
      </w:tr>
      <w:tr w14:paraId="0C5E8627">
        <w:tblPrEx>
          <w:tblBorders>
            <w:top w:val="single" w:color="000000" w:sz="2" w:space="0"/>
            <w:left w:val="single" w:color="000000" w:sz="2" w:space="0"/>
            <w:bottom w:val="single" w:color="000000" w:sz="2" w:space="0"/>
            <w:right w:val="single" w:color="000000" w:sz="2" w:space="0"/>
            <w:insideH w:val="single" w:color="FF2600" w:sz="2" w:space="0"/>
            <w:insideV w:val="single" w:color="FF2600" w:sz="2" w:space="0"/>
          </w:tblBorders>
          <w:tblCellMar>
            <w:top w:w="28" w:type="dxa"/>
            <w:left w:w="57" w:type="dxa"/>
            <w:bottom w:w="28" w:type="dxa"/>
            <w:right w:w="57" w:type="dxa"/>
          </w:tblCellMar>
        </w:tblPrEx>
        <w:tc>
          <w:tcPr>
            <w:tcW w:w="78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11495E3C">
            <w:pPr>
              <w:overflowPunct w:val="0"/>
              <w:autoSpaceDE w:val="0"/>
              <w:autoSpaceDN w:val="0"/>
              <w:adjustRightInd w:val="0"/>
              <w:snapToGrid w:val="0"/>
              <w:spacing w:before="72" w:beforeLines="30" w:after="72" w:afterLines="30"/>
              <w:rPr>
                <w:rFonts w:eastAsia="宋体"/>
                <w:b/>
                <w:bCs/>
                <w:sz w:val="20"/>
                <w:szCs w:val="20"/>
              </w:rPr>
            </w:pPr>
            <w:r>
              <w:rPr>
                <w:b/>
                <w:bCs/>
                <w:sz w:val="20"/>
                <w:szCs w:val="20"/>
              </w:rPr>
              <w:t>Trial Phase</w:t>
            </w:r>
          </w:p>
        </w:tc>
        <w:tc>
          <w:tcPr>
            <w:tcW w:w="422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46B0EC1A">
            <w:pPr>
              <w:overflowPunct w:val="0"/>
              <w:autoSpaceDE w:val="0"/>
              <w:autoSpaceDN w:val="0"/>
              <w:adjustRightInd w:val="0"/>
              <w:snapToGrid w:val="0"/>
              <w:spacing w:before="72" w:beforeLines="30" w:after="72" w:afterLines="30"/>
              <w:rPr>
                <w:rFonts w:eastAsia="宋体"/>
                <w:sz w:val="20"/>
                <w:szCs w:val="20"/>
              </w:rPr>
            </w:pPr>
            <w:r>
              <w:rPr>
                <w:sz w:val="20"/>
                <w:szCs w:val="20"/>
              </w:rPr>
              <w:t>Phase II</w:t>
            </w:r>
          </w:p>
        </w:tc>
      </w:tr>
      <w:tr w14:paraId="09E79906">
        <w:tblPrEx>
          <w:tblBorders>
            <w:top w:val="single" w:color="000000" w:sz="2" w:space="0"/>
            <w:left w:val="single" w:color="000000" w:sz="2" w:space="0"/>
            <w:bottom w:val="single" w:color="000000" w:sz="2" w:space="0"/>
            <w:right w:val="single" w:color="000000" w:sz="2" w:space="0"/>
            <w:insideH w:val="single" w:color="FF2600" w:sz="2" w:space="0"/>
            <w:insideV w:val="single" w:color="FF2600" w:sz="2" w:space="0"/>
          </w:tblBorders>
          <w:tblCellMar>
            <w:top w:w="28" w:type="dxa"/>
            <w:left w:w="57" w:type="dxa"/>
            <w:bottom w:w="28" w:type="dxa"/>
            <w:right w:w="57" w:type="dxa"/>
          </w:tblCellMar>
        </w:tblPrEx>
        <w:tc>
          <w:tcPr>
            <w:tcW w:w="78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214D3E71">
            <w:pPr>
              <w:overflowPunct w:val="0"/>
              <w:autoSpaceDE w:val="0"/>
              <w:autoSpaceDN w:val="0"/>
              <w:adjustRightInd w:val="0"/>
              <w:snapToGrid w:val="0"/>
              <w:spacing w:before="72" w:beforeLines="30" w:after="72" w:afterLines="30"/>
              <w:rPr>
                <w:rFonts w:eastAsia="宋体"/>
                <w:b/>
                <w:bCs/>
                <w:sz w:val="20"/>
                <w:szCs w:val="20"/>
              </w:rPr>
            </w:pPr>
            <w:r>
              <w:rPr>
                <w:b/>
                <w:bCs/>
                <w:sz w:val="20"/>
                <w:szCs w:val="20"/>
              </w:rPr>
              <w:t>Study Objectives</w:t>
            </w:r>
          </w:p>
        </w:tc>
        <w:tc>
          <w:tcPr>
            <w:tcW w:w="422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6E61F99B">
            <w:pPr>
              <w:overflowPunct w:val="0"/>
              <w:autoSpaceDE w:val="0"/>
              <w:autoSpaceDN w:val="0"/>
              <w:adjustRightInd w:val="0"/>
              <w:snapToGrid w:val="0"/>
              <w:spacing w:before="72" w:beforeLines="30" w:after="72" w:afterLines="30"/>
              <w:rPr>
                <w:rFonts w:eastAsia="宋体"/>
                <w:b/>
                <w:bCs/>
                <w:sz w:val="20"/>
                <w:szCs w:val="20"/>
              </w:rPr>
            </w:pPr>
            <w:bookmarkStart w:id="10" w:name="_Toc5685"/>
            <w:bookmarkStart w:id="11" w:name="_Toc21018"/>
            <w:bookmarkStart w:id="12" w:name="_Toc22200"/>
            <w:bookmarkStart w:id="13" w:name="_Toc24242"/>
            <w:r>
              <w:rPr>
                <w:b/>
                <w:bCs/>
                <w:sz w:val="20"/>
                <w:szCs w:val="20"/>
              </w:rPr>
              <w:t>Primary objectives</w:t>
            </w:r>
          </w:p>
          <w:p w14:paraId="48EC7325">
            <w:pPr>
              <w:pStyle w:val="78"/>
              <w:numPr>
                <w:ilvl w:val="0"/>
                <w:numId w:val="3"/>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To evaluate the tolerability of RAY1225 injection in patients with type 2 diabetes mellitus (T2DM);</w:t>
            </w:r>
          </w:p>
          <w:p w14:paraId="620ABC3A">
            <w:pPr>
              <w:pStyle w:val="78"/>
              <w:numPr>
                <w:ilvl w:val="0"/>
                <w:numId w:val="3"/>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To evaluate the efficacy of RAY1225 injection in patients with T2DM by analyzing changes in glycosylated hemoglobin (HbA1c).</w:t>
            </w:r>
          </w:p>
          <w:p w14:paraId="719B031D">
            <w:pPr>
              <w:pStyle w:val="78"/>
              <w:overflowPunct w:val="0"/>
              <w:autoSpaceDE w:val="0"/>
              <w:autoSpaceDN w:val="0"/>
              <w:adjustRightInd w:val="0"/>
              <w:snapToGrid w:val="0"/>
              <w:spacing w:before="72" w:beforeLines="30" w:after="72" w:afterLines="30"/>
              <w:ind w:left="420" w:firstLine="0"/>
              <w:jc w:val="left"/>
              <w:rPr>
                <w:rFonts w:hAnsi="Times New Roman" w:eastAsia="宋体" w:cs="Times New Roman"/>
                <w:b/>
                <w:bCs/>
                <w:color w:val="auto"/>
                <w:sz w:val="20"/>
                <w:szCs w:val="20"/>
              </w:rPr>
            </w:pPr>
            <w:r>
              <w:rPr>
                <w:rFonts w:hAnsi="Times New Roman" w:cs="Times New Roman"/>
                <w:b/>
                <w:bCs/>
                <w:color w:val="auto"/>
                <w:sz w:val="20"/>
                <w:szCs w:val="20"/>
              </w:rPr>
              <w:t>Secondary objectives</w:t>
            </w:r>
          </w:p>
          <w:bookmarkEnd w:id="10"/>
          <w:bookmarkEnd w:id="11"/>
          <w:bookmarkEnd w:id="12"/>
          <w:bookmarkEnd w:id="13"/>
          <w:p w14:paraId="5BB2296F">
            <w:pPr>
              <w:pStyle w:val="78"/>
              <w:numPr>
                <w:ilvl w:val="0"/>
                <w:numId w:val="3"/>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To evaluate the efficacy of RAY1225 injection in patients with T2DM by analyzing changes in other efficacy endpoints;</w:t>
            </w:r>
          </w:p>
          <w:p w14:paraId="5CEC73E5">
            <w:pPr>
              <w:pStyle w:val="78"/>
              <w:numPr>
                <w:ilvl w:val="0"/>
                <w:numId w:val="3"/>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To evaluate the safety of RAY1225 injection in patients with T2DM;</w:t>
            </w:r>
          </w:p>
          <w:p w14:paraId="63CB50CC">
            <w:pPr>
              <w:pStyle w:val="78"/>
              <w:numPr>
                <w:ilvl w:val="0"/>
                <w:numId w:val="3"/>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To evaluate the pharmacokinetics of RAY1225 injection in patients with T2DM.</w:t>
            </w:r>
          </w:p>
        </w:tc>
      </w:tr>
      <w:tr w14:paraId="6DC85A02">
        <w:tblPrEx>
          <w:tblBorders>
            <w:top w:val="single" w:color="000000" w:sz="2" w:space="0"/>
            <w:left w:val="single" w:color="000000" w:sz="2" w:space="0"/>
            <w:bottom w:val="single" w:color="000000" w:sz="2" w:space="0"/>
            <w:right w:val="single" w:color="000000" w:sz="2" w:space="0"/>
            <w:insideH w:val="single" w:color="FF2600" w:sz="2" w:space="0"/>
            <w:insideV w:val="single" w:color="FF2600" w:sz="2" w:space="0"/>
          </w:tblBorders>
          <w:tblCellMar>
            <w:top w:w="28" w:type="dxa"/>
            <w:left w:w="57" w:type="dxa"/>
            <w:bottom w:w="28" w:type="dxa"/>
            <w:right w:w="57" w:type="dxa"/>
          </w:tblCellMar>
        </w:tblPrEx>
        <w:tc>
          <w:tcPr>
            <w:tcW w:w="78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14E638C6">
            <w:pPr>
              <w:overflowPunct w:val="0"/>
              <w:autoSpaceDE w:val="0"/>
              <w:autoSpaceDN w:val="0"/>
              <w:adjustRightInd w:val="0"/>
              <w:snapToGrid w:val="0"/>
              <w:spacing w:before="72" w:beforeLines="30" w:after="72" w:afterLines="30"/>
              <w:rPr>
                <w:rFonts w:eastAsia="宋体"/>
                <w:b/>
                <w:bCs/>
                <w:sz w:val="20"/>
                <w:szCs w:val="20"/>
              </w:rPr>
            </w:pPr>
            <w:r>
              <w:rPr>
                <w:b/>
                <w:bCs/>
                <w:sz w:val="20"/>
                <w:szCs w:val="20"/>
              </w:rPr>
              <w:t>Study Drugs and Storage Conditions</w:t>
            </w:r>
          </w:p>
        </w:tc>
        <w:tc>
          <w:tcPr>
            <w:tcW w:w="422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5F1CC33E">
            <w:pPr>
              <w:pStyle w:val="78"/>
              <w:numPr>
                <w:ilvl w:val="0"/>
                <w:numId w:val="3"/>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Investigational drug: RAY1225 injection</w:t>
            </w:r>
          </w:p>
          <w:p w14:paraId="6D7B0E04">
            <w:pPr>
              <w:overflowPunct w:val="0"/>
              <w:autoSpaceDE w:val="0"/>
              <w:autoSpaceDN w:val="0"/>
              <w:adjustRightInd w:val="0"/>
              <w:snapToGrid w:val="0"/>
              <w:spacing w:before="72" w:beforeLines="30" w:after="72" w:afterLines="30"/>
              <w:ind w:left="710" w:leftChars="177" w:hanging="285"/>
              <w:rPr>
                <w:rFonts w:eastAsia="宋体"/>
                <w:sz w:val="20"/>
                <w:szCs w:val="20"/>
              </w:rPr>
            </w:pPr>
            <w:r>
              <w:rPr>
                <w:sz w:val="20"/>
                <w:szCs w:val="20"/>
              </w:rPr>
              <w:t>Strength: 1 mL:30 mg/vial</w:t>
            </w:r>
          </w:p>
          <w:p w14:paraId="24D5B042">
            <w:pPr>
              <w:overflowPunct w:val="0"/>
              <w:autoSpaceDE w:val="0"/>
              <w:autoSpaceDN w:val="0"/>
              <w:adjustRightInd w:val="0"/>
              <w:snapToGrid w:val="0"/>
              <w:spacing w:before="48" w:beforeLines="20" w:after="48" w:afterLines="20"/>
              <w:ind w:left="425" w:leftChars="177"/>
              <w:rPr>
                <w:rFonts w:eastAsia="宋体"/>
                <w:sz w:val="20"/>
                <w:szCs w:val="20"/>
              </w:rPr>
            </w:pPr>
            <w:r>
              <w:rPr>
                <w:sz w:val="20"/>
                <w:szCs w:val="20"/>
              </w:rPr>
              <w:t>Manufactured by Chengdu Shengnuo Biopharm Co., Ltd., seal and store at 2–8 ℃, protected from light</w:t>
            </w:r>
          </w:p>
          <w:p w14:paraId="34D790BF">
            <w:pPr>
              <w:pStyle w:val="78"/>
              <w:numPr>
                <w:ilvl w:val="0"/>
                <w:numId w:val="3"/>
              </w:numPr>
              <w:overflowPunct w:val="0"/>
              <w:autoSpaceDE w:val="0"/>
              <w:autoSpaceDN w:val="0"/>
              <w:adjustRightInd w:val="0"/>
              <w:snapToGrid w:val="0"/>
              <w:spacing w:before="48" w:beforeLines="20" w:after="48" w:afterLines="20"/>
              <w:jc w:val="left"/>
              <w:rPr>
                <w:rFonts w:hAnsi="Times New Roman" w:eastAsia="宋体" w:cs="Times New Roman"/>
                <w:color w:val="auto"/>
                <w:sz w:val="20"/>
                <w:szCs w:val="20"/>
              </w:rPr>
            </w:pPr>
            <w:r>
              <w:rPr>
                <w:rFonts w:hAnsi="Times New Roman" w:cs="Times New Roman"/>
                <w:color w:val="auto"/>
                <w:sz w:val="20"/>
                <w:szCs w:val="20"/>
              </w:rPr>
              <w:t>Comparator: RAY1225 injection simulant of corresponding strength</w:t>
            </w:r>
          </w:p>
          <w:p w14:paraId="4CD8AEC7">
            <w:pPr>
              <w:overflowPunct w:val="0"/>
              <w:autoSpaceDE w:val="0"/>
              <w:autoSpaceDN w:val="0"/>
              <w:adjustRightInd w:val="0"/>
              <w:snapToGrid w:val="0"/>
              <w:spacing w:before="48" w:beforeLines="20" w:after="48" w:afterLines="20"/>
              <w:ind w:left="425" w:leftChars="177"/>
              <w:rPr>
                <w:rFonts w:eastAsia="宋体"/>
                <w:sz w:val="20"/>
                <w:szCs w:val="20"/>
              </w:rPr>
            </w:pPr>
            <w:r>
              <w:rPr>
                <w:sz w:val="20"/>
                <w:szCs w:val="20"/>
              </w:rPr>
              <w:t>Manufactured by Chengdu Shengnuo Biopharm Co., Ltd., seal and store at 2–8 ℃, protected from light</w:t>
            </w:r>
          </w:p>
          <w:p w14:paraId="2FB5D565">
            <w:pPr>
              <w:overflowPunct w:val="0"/>
              <w:autoSpaceDE w:val="0"/>
              <w:autoSpaceDN w:val="0"/>
              <w:adjustRightInd w:val="0"/>
              <w:snapToGrid w:val="0"/>
              <w:spacing w:before="48" w:beforeLines="20" w:after="48" w:afterLines="20"/>
              <w:rPr>
                <w:rFonts w:eastAsia="宋体"/>
                <w:sz w:val="20"/>
                <w:szCs w:val="20"/>
              </w:rPr>
            </w:pPr>
            <w:r>
              <w:rPr>
                <w:sz w:val="20"/>
                <w:szCs w:val="20"/>
              </w:rPr>
              <w:t>Note: The batch number and expiry date of the above investigational drug and comparator are based on their packaging.</w:t>
            </w:r>
          </w:p>
        </w:tc>
      </w:tr>
      <w:tr w14:paraId="552DAD8D">
        <w:tblPrEx>
          <w:tblBorders>
            <w:top w:val="single" w:color="000000" w:sz="2" w:space="0"/>
            <w:left w:val="single" w:color="000000" w:sz="2" w:space="0"/>
            <w:bottom w:val="single" w:color="000000" w:sz="2" w:space="0"/>
            <w:right w:val="single" w:color="000000" w:sz="2" w:space="0"/>
            <w:insideH w:val="single" w:color="FF2600" w:sz="2" w:space="0"/>
            <w:insideV w:val="single" w:color="FF2600" w:sz="2" w:space="0"/>
          </w:tblBorders>
          <w:tblCellMar>
            <w:top w:w="28" w:type="dxa"/>
            <w:left w:w="57" w:type="dxa"/>
            <w:bottom w:w="28" w:type="dxa"/>
            <w:right w:w="57" w:type="dxa"/>
          </w:tblCellMar>
        </w:tblPrEx>
        <w:tc>
          <w:tcPr>
            <w:tcW w:w="78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3A31E228">
            <w:pPr>
              <w:overflowPunct w:val="0"/>
              <w:autoSpaceDE w:val="0"/>
              <w:autoSpaceDN w:val="0"/>
              <w:adjustRightInd w:val="0"/>
              <w:snapToGrid w:val="0"/>
              <w:spacing w:before="72" w:beforeLines="30" w:after="72" w:afterLines="30"/>
              <w:rPr>
                <w:rFonts w:eastAsia="宋体"/>
                <w:b/>
                <w:sz w:val="20"/>
                <w:szCs w:val="20"/>
              </w:rPr>
            </w:pPr>
            <w:r>
              <w:rPr>
                <w:b/>
                <w:bCs/>
                <w:sz w:val="20"/>
                <w:szCs w:val="20"/>
              </w:rPr>
              <w:t>Study Design</w:t>
            </w:r>
          </w:p>
        </w:tc>
        <w:tc>
          <w:tcPr>
            <w:tcW w:w="422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26BDF3DF">
            <w:pPr>
              <w:overflowPunct w:val="0"/>
              <w:autoSpaceDE w:val="0"/>
              <w:autoSpaceDN w:val="0"/>
              <w:adjustRightInd w:val="0"/>
              <w:snapToGrid w:val="0"/>
              <w:spacing w:before="72" w:beforeLines="30" w:after="72" w:afterLines="30"/>
              <w:rPr>
                <w:rFonts w:eastAsia="宋体"/>
                <w:sz w:val="20"/>
                <w:szCs w:val="20"/>
              </w:rPr>
            </w:pPr>
            <w:r>
              <w:rPr>
                <w:sz w:val="20"/>
                <w:szCs w:val="20"/>
              </w:rPr>
              <w:t>This is a multicenter, randomized, double-blind, placebo-controlled phase II clinical study, consisting of Part A (parallel study) and Part B (dose escalation study and expansion study). To evaluate the tolerability, safety, efficacy, and pharmacokinetics of RAY1225 injection in patients with T2DM after subcutaneous administration. Each subject is to participate in only one part of the study.</w:t>
            </w:r>
          </w:p>
          <w:p w14:paraId="60417598">
            <w:pPr>
              <w:overflowPunct w:val="0"/>
              <w:autoSpaceDE w:val="0"/>
              <w:autoSpaceDN w:val="0"/>
              <w:adjustRightInd w:val="0"/>
              <w:snapToGrid w:val="0"/>
              <w:spacing w:before="72" w:beforeLines="30"/>
              <w:rPr>
                <w:rFonts w:eastAsia="宋体"/>
                <w:sz w:val="20"/>
                <w:szCs w:val="20"/>
              </w:rPr>
            </w:pPr>
            <w:r>
              <w:rPr>
                <w:sz w:val="20"/>
                <w:szCs w:val="20"/>
              </w:rPr>
              <w:t>The study consists of a 2-week screening period, a 24-week treatment period, and a 4-week or 6-week follow-up period after the last dose. From screening, subjects will receive healthy lifestyle guidance until the end of the study. All subjects will receive treatment by titration for 24 weeks, with subcutaneous injections administered once every two weeks for 12 consecutive doses, each with a volume of 0.5 mL.</w:t>
            </w:r>
          </w:p>
          <w:p w14:paraId="4A494247">
            <w:pPr>
              <w:pStyle w:val="78"/>
              <w:numPr>
                <w:ilvl w:val="0"/>
                <w:numId w:val="3"/>
              </w:numPr>
              <w:overflowPunct w:val="0"/>
              <w:autoSpaceDE w:val="0"/>
              <w:autoSpaceDN w:val="0"/>
              <w:adjustRightInd w:val="0"/>
              <w:snapToGrid w:val="0"/>
              <w:spacing w:before="72" w:beforeLines="30" w:after="72" w:afterLines="30"/>
              <w:jc w:val="left"/>
              <w:rPr>
                <w:rFonts w:hAnsi="Times New Roman" w:eastAsia="宋体" w:cs="Times New Roman"/>
                <w:b/>
                <w:bCs/>
                <w:color w:val="auto"/>
                <w:sz w:val="20"/>
                <w:szCs w:val="20"/>
              </w:rPr>
            </w:pPr>
            <w:r>
              <w:rPr>
                <w:rFonts w:hAnsi="Times New Roman" w:cs="Times New Roman"/>
                <w:b/>
                <w:bCs/>
                <w:color w:val="auto"/>
                <w:sz w:val="20"/>
                <w:szCs w:val="20"/>
              </w:rPr>
              <w:t>Part A: parallel study</w:t>
            </w:r>
          </w:p>
          <w:p w14:paraId="6622929B">
            <w:pPr>
              <w:overflowPunct w:val="0"/>
              <w:autoSpaceDE w:val="0"/>
              <w:autoSpaceDN w:val="0"/>
              <w:adjustRightInd w:val="0"/>
              <w:snapToGrid w:val="0"/>
              <w:spacing w:before="72" w:beforeLines="30" w:after="72" w:afterLines="30"/>
              <w:rPr>
                <w:rFonts w:eastAsia="宋体"/>
                <w:sz w:val="20"/>
                <w:szCs w:val="20"/>
              </w:rPr>
            </w:pPr>
            <w:r>
              <w:rPr>
                <w:sz w:val="20"/>
                <w:szCs w:val="20"/>
              </w:rPr>
              <w:t>After screening, eligible subjects will undergo stratified randomization by diabetes treatment status (treatment-naive or treated) and be assigned to two RAY1225 target dose groups (3 mg and 6 mg) or the placebo group at a ratio of 1:1:1, with 40 subjects per group.</w:t>
            </w:r>
          </w:p>
          <w:p w14:paraId="15DC3AA4">
            <w:pPr>
              <w:pStyle w:val="78"/>
              <w:numPr>
                <w:ilvl w:val="0"/>
                <w:numId w:val="3"/>
              </w:numPr>
              <w:overflowPunct w:val="0"/>
              <w:autoSpaceDE w:val="0"/>
              <w:autoSpaceDN w:val="0"/>
              <w:adjustRightInd w:val="0"/>
              <w:snapToGrid w:val="0"/>
              <w:spacing w:before="72" w:beforeLines="30" w:after="72" w:afterLines="30"/>
              <w:jc w:val="left"/>
              <w:rPr>
                <w:rFonts w:hAnsi="Times New Roman" w:eastAsia="宋体" w:cs="Times New Roman"/>
                <w:b/>
                <w:bCs/>
                <w:color w:val="auto"/>
                <w:sz w:val="20"/>
                <w:szCs w:val="20"/>
              </w:rPr>
            </w:pPr>
            <w:bookmarkStart w:id="14" w:name="OLE_LINK8"/>
            <w:bookmarkStart w:id="15" w:name="OLE_LINK6"/>
            <w:r>
              <w:rPr>
                <w:rFonts w:hAnsi="Times New Roman" w:cs="Times New Roman"/>
                <w:b/>
                <w:bCs/>
                <w:color w:val="auto"/>
                <w:sz w:val="20"/>
                <w:szCs w:val="20"/>
              </w:rPr>
              <w:t>Part B:</w:t>
            </w:r>
          </w:p>
          <w:p w14:paraId="3CC25528">
            <w:pPr>
              <w:pStyle w:val="78"/>
              <w:numPr>
                <w:ilvl w:val="0"/>
                <w:numId w:val="4"/>
              </w:numPr>
              <w:overflowPunct w:val="0"/>
              <w:autoSpaceDE w:val="0"/>
              <w:autoSpaceDN w:val="0"/>
              <w:adjustRightInd w:val="0"/>
              <w:snapToGrid w:val="0"/>
              <w:spacing w:before="72" w:beforeLines="30" w:after="72" w:afterLines="30"/>
              <w:ind w:left="284" w:hanging="284"/>
              <w:jc w:val="left"/>
              <w:rPr>
                <w:rFonts w:hAnsi="Times New Roman" w:eastAsia="宋体" w:cs="Times New Roman"/>
                <w:b/>
                <w:bCs/>
                <w:color w:val="auto"/>
                <w:sz w:val="20"/>
                <w:szCs w:val="20"/>
              </w:rPr>
            </w:pPr>
            <w:r>
              <w:rPr>
                <w:rFonts w:hAnsi="Times New Roman" w:cs="Times New Roman"/>
                <w:b/>
                <w:bCs/>
                <w:color w:val="auto"/>
                <w:sz w:val="20"/>
                <w:szCs w:val="20"/>
              </w:rPr>
              <w:t>Dose escalation study part</w:t>
            </w:r>
            <w:bookmarkEnd w:id="14"/>
            <w:bookmarkEnd w:id="15"/>
          </w:p>
          <w:p w14:paraId="0649C67D">
            <w:pPr>
              <w:overflowPunct w:val="0"/>
              <w:autoSpaceDE w:val="0"/>
              <w:autoSpaceDN w:val="0"/>
              <w:adjustRightInd w:val="0"/>
              <w:snapToGrid w:val="0"/>
              <w:spacing w:before="72" w:beforeLines="30" w:after="72" w:afterLines="30"/>
              <w:rPr>
                <w:rFonts w:eastAsia="宋体"/>
                <w:sz w:val="20"/>
                <w:szCs w:val="20"/>
              </w:rPr>
            </w:pPr>
            <w:r>
              <w:rPr>
                <w:sz w:val="20"/>
                <w:szCs w:val="20"/>
              </w:rPr>
              <w:t>In this part, no more than 3 groups will be set and the highest target dose will be not more than 20 mg. Eligible subjects will be assigned in a 4:1 ratio to RAY1225 injection group or placebo group. Each dose group will include 10 subjects, with 8 receiving the investigational drug and 2 receiving the placebo. The target dose of dose escalation group 1 is tentatively set as 9 mg, and the study of this group can be carried out simultaneously with Part A. Subjects in each group will be evaluated for tolerability 14 days after the first dose of the target dose. If tolerated, the dose may be escalated to a higher target dose. Based on the pharmacokinetic and tolerability results to be received, the investigator and sponsor will determine the target dose and titration dosage regimen for subsequent dose groups. In addition, the gastric emptying effect study will be conducted simultaneously in the dose escalation group 1. Subjects will take 2 doses of acetaminophen (0.5 g each) and receive intensive blood sampling accordingly. The administration of the first dose of acetaminophen and the PK blood sampling (until 24 h after administration) are to be completed before the first dose of RAY1225. The second dose of acetaminophen is to be given 24 ± 2 h after the second dose of RAY1225 injection at 5 mg, and the PK blood sampling will be performed until 24 h after administration. The concentration of acetaminophen in plasma will be determined to evaluate the effect of RAY1225 on gastric emptying.</w:t>
            </w:r>
          </w:p>
          <w:p w14:paraId="57504C8D">
            <w:pPr>
              <w:pStyle w:val="78"/>
              <w:numPr>
                <w:ilvl w:val="0"/>
                <w:numId w:val="4"/>
              </w:numPr>
              <w:overflowPunct w:val="0"/>
              <w:autoSpaceDE w:val="0"/>
              <w:autoSpaceDN w:val="0"/>
              <w:adjustRightInd w:val="0"/>
              <w:snapToGrid w:val="0"/>
              <w:spacing w:before="72" w:beforeLines="30" w:after="72" w:afterLines="30"/>
              <w:ind w:left="284" w:hanging="284"/>
              <w:jc w:val="left"/>
              <w:rPr>
                <w:rFonts w:hAnsi="Times New Roman" w:eastAsia="宋体" w:cs="Times New Roman"/>
                <w:b/>
                <w:bCs/>
                <w:color w:val="auto"/>
                <w:sz w:val="20"/>
                <w:szCs w:val="20"/>
              </w:rPr>
            </w:pPr>
            <w:r>
              <w:rPr>
                <w:rFonts w:hAnsi="Times New Roman" w:cs="Times New Roman"/>
                <w:b/>
                <w:bCs/>
                <w:color w:val="auto"/>
                <w:sz w:val="20"/>
                <w:szCs w:val="20"/>
              </w:rPr>
              <w:t>Expansion study part</w:t>
            </w:r>
          </w:p>
          <w:p w14:paraId="3E959E55">
            <w:pPr>
              <w:overflowPunct w:val="0"/>
              <w:autoSpaceDE w:val="0"/>
              <w:autoSpaceDN w:val="0"/>
              <w:adjustRightInd w:val="0"/>
              <w:snapToGrid w:val="0"/>
              <w:spacing w:before="72" w:beforeLines="30" w:after="72" w:afterLines="30"/>
              <w:rPr>
                <w:rFonts w:eastAsia="宋体"/>
                <w:sz w:val="20"/>
                <w:szCs w:val="20"/>
              </w:rPr>
            </w:pPr>
            <w:r>
              <w:rPr>
                <w:sz w:val="20"/>
                <w:szCs w:val="20"/>
              </w:rPr>
              <w:t xml:space="preserve">If the target dose in the dose escalation study part is assessed as tolerable, the expansion study will be conducted with the corresponding target dose. </w:t>
            </w:r>
            <w:bookmarkStart w:id="16" w:name="OLE_LINK51"/>
            <w:r>
              <w:rPr>
                <w:sz w:val="20"/>
                <w:szCs w:val="20"/>
              </w:rPr>
              <w:t>The target dose and titration regimen are allowed to be adjusted and the target dose should not exceed the tolerated dose in the dose escalation study.</w:t>
            </w:r>
            <w:bookmarkEnd w:id="16"/>
            <w:r>
              <w:rPr>
                <w:sz w:val="20"/>
                <w:szCs w:val="20"/>
              </w:rPr>
              <w:t xml:space="preserve"> With 40 subjects per dose group, subjects will be stratified by diabetes treatment status (treatment-naive or treated) and randomized at a ratio of 4:1, with 32 receiving the investigational drug and 8 receiving the placebo.</w:t>
            </w:r>
          </w:p>
          <w:p w14:paraId="0CE7E5F1">
            <w:pPr>
              <w:overflowPunct w:val="0"/>
              <w:autoSpaceDE w:val="0"/>
              <w:autoSpaceDN w:val="0"/>
              <w:adjustRightInd w:val="0"/>
              <w:snapToGrid w:val="0"/>
              <w:spacing w:before="72" w:beforeLines="30" w:after="72" w:afterLines="30"/>
              <w:rPr>
                <w:rFonts w:eastAsia="宋体"/>
                <w:sz w:val="20"/>
                <w:szCs w:val="20"/>
              </w:rPr>
            </w:pPr>
            <w:r>
              <w:rPr>
                <w:sz w:val="20"/>
                <w:szCs w:val="20"/>
              </w:rPr>
              <w:t>The changes of endpoints during the study, including HbA1c, fasting plasma glucose, lipid panel, weight, waist circumference, waist-to-hip ratio, BMI, and blood pressure, will be assessed for efficacy evaluation in all subjects.</w:t>
            </w:r>
          </w:p>
          <w:p w14:paraId="376D17D5">
            <w:pPr>
              <w:overflowPunct w:val="0"/>
              <w:autoSpaceDE w:val="0"/>
              <w:autoSpaceDN w:val="0"/>
              <w:adjustRightInd w:val="0"/>
              <w:snapToGrid w:val="0"/>
              <w:spacing w:before="72" w:beforeLines="30" w:after="72" w:afterLines="30"/>
              <w:rPr>
                <w:rFonts w:eastAsia="宋体"/>
                <w:sz w:val="20"/>
                <w:szCs w:val="20"/>
              </w:rPr>
            </w:pPr>
            <w:r>
              <w:rPr>
                <w:sz w:val="20"/>
                <w:szCs w:val="20"/>
              </w:rPr>
              <w:t>All subjects will receive PK blood sampling during the study to determine the concentration of RAY1225 in plasma and evaluate the PK of RAY1225. Dose escalation group 1 will additionally receive PK blood sampling for acetaminophen to measure the concentration of acetaminophen in plasma and assess the effect of RAY1225 on gastric emptying.</w:t>
            </w:r>
          </w:p>
          <w:p w14:paraId="6F381294">
            <w:pPr>
              <w:overflowPunct w:val="0"/>
              <w:autoSpaceDE w:val="0"/>
              <w:autoSpaceDN w:val="0"/>
              <w:adjustRightInd w:val="0"/>
              <w:snapToGrid w:val="0"/>
              <w:spacing w:before="72" w:beforeLines="30" w:after="72" w:afterLines="30"/>
              <w:rPr>
                <w:rFonts w:eastAsia="宋体"/>
                <w:sz w:val="20"/>
                <w:szCs w:val="20"/>
              </w:rPr>
            </w:pPr>
            <w:r>
              <w:rPr>
                <w:sz w:val="20"/>
                <w:szCs w:val="20"/>
              </w:rPr>
              <w:t>During this trial, safety and tolerability will be evaluated based on physical examination, vital signs, laboratory tests, 12-lead ECG, and adverse events (AEs).</w:t>
            </w:r>
          </w:p>
        </w:tc>
      </w:tr>
      <w:tr w14:paraId="7ED3119A">
        <w:tblPrEx>
          <w:tblBorders>
            <w:top w:val="single" w:color="000000" w:sz="2" w:space="0"/>
            <w:left w:val="single" w:color="000000" w:sz="2" w:space="0"/>
            <w:bottom w:val="single" w:color="000000" w:sz="2" w:space="0"/>
            <w:right w:val="single" w:color="000000" w:sz="2" w:space="0"/>
            <w:insideH w:val="single" w:color="FF2600" w:sz="2" w:space="0"/>
            <w:insideV w:val="single" w:color="FF2600" w:sz="2" w:space="0"/>
          </w:tblBorders>
          <w:tblCellMar>
            <w:top w:w="28" w:type="dxa"/>
            <w:left w:w="57" w:type="dxa"/>
            <w:bottom w:w="28" w:type="dxa"/>
            <w:right w:w="57" w:type="dxa"/>
          </w:tblCellMar>
        </w:tblPrEx>
        <w:tc>
          <w:tcPr>
            <w:tcW w:w="78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5467E8BE">
            <w:pPr>
              <w:overflowPunct w:val="0"/>
              <w:autoSpaceDE w:val="0"/>
              <w:autoSpaceDN w:val="0"/>
              <w:adjustRightInd w:val="0"/>
              <w:snapToGrid w:val="0"/>
              <w:spacing w:before="72" w:beforeLines="30" w:after="72" w:afterLines="30"/>
              <w:rPr>
                <w:rFonts w:eastAsia="宋体"/>
                <w:b/>
                <w:bCs/>
                <w:sz w:val="20"/>
                <w:szCs w:val="20"/>
              </w:rPr>
            </w:pPr>
            <w:r>
              <w:rPr>
                <w:b/>
                <w:bCs/>
                <w:sz w:val="20"/>
                <w:szCs w:val="20"/>
              </w:rPr>
              <w:t>Number of Subjects</w:t>
            </w:r>
          </w:p>
        </w:tc>
        <w:tc>
          <w:tcPr>
            <w:tcW w:w="422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315897CB">
            <w:pPr>
              <w:overflowPunct w:val="0"/>
              <w:autoSpaceDE w:val="0"/>
              <w:autoSpaceDN w:val="0"/>
              <w:adjustRightInd w:val="0"/>
              <w:snapToGrid w:val="0"/>
              <w:spacing w:before="72" w:beforeLines="30" w:after="72" w:afterLines="30"/>
              <w:rPr>
                <w:rFonts w:eastAsia="宋体"/>
                <w:sz w:val="20"/>
                <w:szCs w:val="20"/>
              </w:rPr>
            </w:pPr>
            <w:r>
              <w:rPr>
                <w:sz w:val="20"/>
                <w:szCs w:val="20"/>
              </w:rPr>
              <w:t>Approximately 270 subjects are planned to be enrolled</w:t>
            </w:r>
          </w:p>
          <w:p w14:paraId="2EC40743">
            <w:pPr>
              <w:pStyle w:val="78"/>
              <w:numPr>
                <w:ilvl w:val="0"/>
                <w:numId w:val="3"/>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Part A: approximately 120 subjects</w:t>
            </w:r>
          </w:p>
          <w:p w14:paraId="315757E1">
            <w:pPr>
              <w:pStyle w:val="78"/>
              <w:numPr>
                <w:ilvl w:val="0"/>
                <w:numId w:val="3"/>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Part B: approximately 150 subjects</w:t>
            </w:r>
          </w:p>
        </w:tc>
      </w:tr>
      <w:tr w14:paraId="08F15D8E">
        <w:tblPrEx>
          <w:tblBorders>
            <w:top w:val="single" w:color="000000" w:sz="2" w:space="0"/>
            <w:left w:val="single" w:color="000000" w:sz="2" w:space="0"/>
            <w:bottom w:val="single" w:color="000000" w:sz="2" w:space="0"/>
            <w:right w:val="single" w:color="000000" w:sz="2" w:space="0"/>
            <w:insideH w:val="single" w:color="FF2600" w:sz="2" w:space="0"/>
            <w:insideV w:val="single" w:color="FF2600" w:sz="2" w:space="0"/>
          </w:tblBorders>
          <w:tblCellMar>
            <w:top w:w="28" w:type="dxa"/>
            <w:left w:w="57" w:type="dxa"/>
            <w:bottom w:w="28" w:type="dxa"/>
            <w:right w:w="57" w:type="dxa"/>
          </w:tblCellMar>
        </w:tblPrEx>
        <w:tc>
          <w:tcPr>
            <w:tcW w:w="78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02572A00">
            <w:pPr>
              <w:overflowPunct w:val="0"/>
              <w:autoSpaceDE w:val="0"/>
              <w:autoSpaceDN w:val="0"/>
              <w:adjustRightInd w:val="0"/>
              <w:snapToGrid w:val="0"/>
              <w:spacing w:before="72" w:beforeLines="30" w:after="72" w:afterLines="30"/>
              <w:rPr>
                <w:rFonts w:eastAsia="宋体"/>
                <w:b/>
                <w:bCs/>
                <w:sz w:val="20"/>
                <w:szCs w:val="20"/>
              </w:rPr>
            </w:pPr>
            <w:r>
              <w:rPr>
                <w:b/>
                <w:bCs/>
                <w:sz w:val="20"/>
                <w:szCs w:val="20"/>
              </w:rPr>
              <w:t>Dosage Regimen</w:t>
            </w:r>
          </w:p>
        </w:tc>
        <w:tc>
          <w:tcPr>
            <w:tcW w:w="422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64F2E896">
            <w:pPr>
              <w:overflowPunct w:val="0"/>
              <w:autoSpaceDE w:val="0"/>
              <w:autoSpaceDN w:val="0"/>
              <w:adjustRightInd w:val="0"/>
              <w:snapToGrid w:val="0"/>
              <w:spacing w:before="72" w:beforeLines="30" w:after="72" w:afterLines="30"/>
              <w:rPr>
                <w:rFonts w:eastAsia="宋体"/>
                <w:sz w:val="20"/>
                <w:szCs w:val="20"/>
              </w:rPr>
            </w:pPr>
            <w:r>
              <w:rPr>
                <w:sz w:val="20"/>
                <w:szCs w:val="20"/>
              </w:rPr>
              <w:t>Subjects in all groups will be administered by titration at a frequency of once every two weeks for 12 consecutive doses. The investigational drug RAY1225 injection or its simulant will be subcutaneously injected into the abdomen using a 1-mL syringe on the injection day, and the volume administered each time is 0.5 mL.</w:t>
            </w:r>
          </w:p>
          <w:p w14:paraId="55D1B13D">
            <w:pPr>
              <w:pStyle w:val="78"/>
              <w:numPr>
                <w:ilvl w:val="0"/>
                <w:numId w:val="3"/>
              </w:numPr>
              <w:overflowPunct w:val="0"/>
              <w:autoSpaceDE w:val="0"/>
              <w:autoSpaceDN w:val="0"/>
              <w:adjustRightInd w:val="0"/>
              <w:snapToGrid w:val="0"/>
              <w:spacing w:before="72" w:beforeLines="30" w:after="72" w:afterLines="30"/>
              <w:jc w:val="left"/>
              <w:rPr>
                <w:rFonts w:hAnsi="Times New Roman" w:eastAsia="宋体" w:cs="Times New Roman"/>
                <w:b/>
                <w:bCs/>
                <w:color w:val="auto"/>
                <w:sz w:val="20"/>
                <w:szCs w:val="20"/>
              </w:rPr>
            </w:pPr>
            <w:r>
              <w:rPr>
                <w:rFonts w:hAnsi="Times New Roman" w:cs="Times New Roman"/>
                <w:b/>
                <w:bCs/>
                <w:color w:val="auto"/>
                <w:sz w:val="20"/>
                <w:szCs w:val="20"/>
              </w:rPr>
              <w:t>Part A: parallel study</w:t>
            </w:r>
          </w:p>
          <w:p w14:paraId="68894D78">
            <w:pPr>
              <w:overflowPunct w:val="0"/>
              <w:autoSpaceDE w:val="0"/>
              <w:autoSpaceDN w:val="0"/>
              <w:adjustRightInd w:val="0"/>
              <w:snapToGrid w:val="0"/>
              <w:spacing w:before="72" w:beforeLines="30" w:after="72" w:afterLines="30"/>
              <w:rPr>
                <w:rFonts w:eastAsia="宋体"/>
                <w:sz w:val="20"/>
                <w:szCs w:val="20"/>
              </w:rPr>
            </w:pPr>
            <w:r>
              <w:rPr>
                <w:sz w:val="20"/>
                <w:szCs w:val="20"/>
              </w:rPr>
              <w:t>This part includes the RAY1225 target dose groups (3 mg and 6 mg) and the placebo group.</w:t>
            </w:r>
          </w:p>
          <w:p w14:paraId="766DEC67">
            <w:pPr>
              <w:pStyle w:val="78"/>
              <w:numPr>
                <w:ilvl w:val="0"/>
                <w:numId w:val="3"/>
              </w:numPr>
              <w:overflowPunct w:val="0"/>
              <w:autoSpaceDE w:val="0"/>
              <w:autoSpaceDN w:val="0"/>
              <w:adjustRightInd w:val="0"/>
              <w:snapToGrid w:val="0"/>
              <w:spacing w:before="72" w:beforeLines="30" w:after="72" w:afterLines="30"/>
              <w:jc w:val="left"/>
              <w:rPr>
                <w:rFonts w:hAnsi="Times New Roman" w:eastAsia="宋体" w:cs="Times New Roman"/>
                <w:b/>
                <w:bCs/>
                <w:color w:val="auto"/>
                <w:sz w:val="20"/>
                <w:szCs w:val="20"/>
              </w:rPr>
            </w:pPr>
            <w:r>
              <w:rPr>
                <w:rFonts w:hAnsi="Times New Roman" w:cs="Times New Roman"/>
                <w:b/>
                <w:bCs/>
                <w:color w:val="auto"/>
                <w:sz w:val="20"/>
                <w:szCs w:val="20"/>
              </w:rPr>
              <w:t>Part B:</w:t>
            </w:r>
          </w:p>
          <w:p w14:paraId="72131643">
            <w:pPr>
              <w:pStyle w:val="78"/>
              <w:numPr>
                <w:ilvl w:val="0"/>
                <w:numId w:val="5"/>
              </w:numPr>
              <w:overflowPunct w:val="0"/>
              <w:autoSpaceDE w:val="0"/>
              <w:autoSpaceDN w:val="0"/>
              <w:adjustRightInd w:val="0"/>
              <w:snapToGrid w:val="0"/>
              <w:spacing w:before="72" w:beforeLines="30" w:after="72" w:afterLines="30"/>
              <w:ind w:left="0" w:firstLine="0"/>
              <w:jc w:val="left"/>
              <w:rPr>
                <w:rFonts w:hAnsi="Times New Roman" w:eastAsia="宋体" w:cs="Times New Roman"/>
                <w:b/>
                <w:bCs/>
                <w:color w:val="auto"/>
                <w:sz w:val="20"/>
                <w:szCs w:val="20"/>
              </w:rPr>
            </w:pPr>
            <w:r>
              <w:rPr>
                <w:rFonts w:hAnsi="Times New Roman" w:cs="Times New Roman"/>
                <w:b/>
                <w:bCs/>
                <w:color w:val="auto"/>
                <w:sz w:val="20"/>
                <w:szCs w:val="20"/>
              </w:rPr>
              <w:t>Dose escalation study</w:t>
            </w:r>
          </w:p>
          <w:p w14:paraId="614A0971">
            <w:pPr>
              <w:overflowPunct w:val="0"/>
              <w:autoSpaceDE w:val="0"/>
              <w:autoSpaceDN w:val="0"/>
              <w:adjustRightInd w:val="0"/>
              <w:snapToGrid w:val="0"/>
              <w:spacing w:before="72" w:beforeLines="30" w:after="72" w:afterLines="30"/>
              <w:rPr>
                <w:rFonts w:eastAsia="宋体"/>
                <w:sz w:val="20"/>
                <w:szCs w:val="20"/>
              </w:rPr>
            </w:pPr>
            <w:r>
              <w:rPr>
                <w:sz w:val="20"/>
                <w:szCs w:val="20"/>
              </w:rPr>
              <w:t xml:space="preserve">In this part, no more than 3 groups will be set and the highest target dose will be not more than </w:t>
            </w:r>
            <w:r>
              <w:rPr>
                <w:spacing w:val="-4"/>
                <w:sz w:val="20"/>
                <w:szCs w:val="20"/>
              </w:rPr>
              <w:t>20 mg. Based on the pharmacokinetic and tolerability results to be received, the investigator and</w:t>
            </w:r>
            <w:r>
              <w:rPr>
                <w:sz w:val="20"/>
                <w:szCs w:val="20"/>
              </w:rPr>
              <w:t xml:space="preserve"> sponsor will determine the target dose and titration dosage regimen for subsequent dose groups.</w:t>
            </w:r>
          </w:p>
          <w:p w14:paraId="70590CB0">
            <w:pPr>
              <w:overflowPunct w:val="0"/>
              <w:autoSpaceDE w:val="0"/>
              <w:autoSpaceDN w:val="0"/>
              <w:adjustRightInd w:val="0"/>
              <w:snapToGrid w:val="0"/>
              <w:spacing w:before="72" w:beforeLines="30" w:after="72" w:afterLines="30"/>
              <w:rPr>
                <w:rFonts w:eastAsia="宋体"/>
                <w:sz w:val="20"/>
                <w:szCs w:val="20"/>
              </w:rPr>
            </w:pPr>
            <w:r>
              <w:rPr>
                <w:b/>
                <w:bCs/>
                <w:sz w:val="20"/>
                <w:szCs w:val="20"/>
              </w:rPr>
              <w:t>Study of effect on gastric emptying</w:t>
            </w:r>
            <w:r>
              <w:rPr>
                <w:sz w:val="20"/>
                <w:szCs w:val="20"/>
              </w:rPr>
              <w:t>: Subjects in dose escalation group 1 will take 2 doses of acetaminophen (0.5 g each) in order to investigate the effect on gastric emptying. The first one will be given at least 24 h prior to the first dose of RAY1225 and the second one will be given 24 ± 2 h after the second dose of RAY1225 injection at 5 mg.</w:t>
            </w:r>
          </w:p>
          <w:p w14:paraId="2348B792">
            <w:pPr>
              <w:pStyle w:val="78"/>
              <w:numPr>
                <w:ilvl w:val="0"/>
                <w:numId w:val="5"/>
              </w:numPr>
              <w:overflowPunct w:val="0"/>
              <w:autoSpaceDE w:val="0"/>
              <w:autoSpaceDN w:val="0"/>
              <w:adjustRightInd w:val="0"/>
              <w:snapToGrid w:val="0"/>
              <w:spacing w:before="72" w:beforeLines="30" w:after="72" w:afterLines="30"/>
              <w:ind w:left="0" w:firstLine="0"/>
              <w:jc w:val="left"/>
              <w:rPr>
                <w:rFonts w:hAnsi="Times New Roman" w:eastAsia="宋体" w:cs="Times New Roman"/>
                <w:b/>
                <w:bCs/>
                <w:color w:val="auto"/>
                <w:sz w:val="20"/>
                <w:szCs w:val="20"/>
              </w:rPr>
            </w:pPr>
            <w:r>
              <w:rPr>
                <w:rFonts w:hAnsi="Times New Roman" w:cs="Times New Roman"/>
                <w:b/>
                <w:bCs/>
                <w:color w:val="auto"/>
                <w:sz w:val="20"/>
                <w:szCs w:val="20"/>
              </w:rPr>
              <w:t>Expansion study</w:t>
            </w:r>
          </w:p>
          <w:p w14:paraId="37B72ACA">
            <w:pPr>
              <w:overflowPunct w:val="0"/>
              <w:autoSpaceDE w:val="0"/>
              <w:autoSpaceDN w:val="0"/>
              <w:adjustRightInd w:val="0"/>
              <w:snapToGrid w:val="0"/>
              <w:spacing w:before="72" w:beforeLines="30" w:after="72" w:afterLines="30"/>
              <w:rPr>
                <w:rFonts w:eastAsia="宋体"/>
                <w:sz w:val="20"/>
                <w:szCs w:val="20"/>
              </w:rPr>
            </w:pPr>
            <w:bookmarkStart w:id="17" w:name="_Hlk120805733"/>
            <w:r>
              <w:rPr>
                <w:sz w:val="20"/>
                <w:szCs w:val="20"/>
              </w:rPr>
              <w:t>If the target dose in the dose escalation study part is assessed as tolerable, the expansion study will be conducted with the corresponding target dose. The target dose and titration regimen are allowed to be adjusted and the target dose should not exceed the tolerated dose in the dose escalation study.</w:t>
            </w:r>
            <w:bookmarkEnd w:id="17"/>
          </w:p>
        </w:tc>
      </w:tr>
      <w:tr w14:paraId="5C2394B4">
        <w:tblPrEx>
          <w:tblBorders>
            <w:top w:val="single" w:color="000000" w:sz="2" w:space="0"/>
            <w:left w:val="single" w:color="000000" w:sz="2" w:space="0"/>
            <w:bottom w:val="single" w:color="000000" w:sz="2" w:space="0"/>
            <w:right w:val="single" w:color="000000" w:sz="2" w:space="0"/>
            <w:insideH w:val="single" w:color="FF2600" w:sz="2" w:space="0"/>
            <w:insideV w:val="single" w:color="FF2600" w:sz="2" w:space="0"/>
          </w:tblBorders>
          <w:tblCellMar>
            <w:top w:w="28" w:type="dxa"/>
            <w:left w:w="57" w:type="dxa"/>
            <w:bottom w:w="28" w:type="dxa"/>
            <w:right w:w="57" w:type="dxa"/>
          </w:tblCellMar>
        </w:tblPrEx>
        <w:tc>
          <w:tcPr>
            <w:tcW w:w="78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2E9EBFB8">
            <w:pPr>
              <w:overflowPunct w:val="0"/>
              <w:autoSpaceDE w:val="0"/>
              <w:autoSpaceDN w:val="0"/>
              <w:adjustRightInd w:val="0"/>
              <w:snapToGrid w:val="0"/>
              <w:spacing w:before="72" w:beforeLines="30" w:after="72" w:afterLines="30"/>
              <w:rPr>
                <w:rFonts w:eastAsia="宋体"/>
                <w:b/>
                <w:sz w:val="20"/>
                <w:szCs w:val="20"/>
              </w:rPr>
            </w:pPr>
            <w:r>
              <w:rPr>
                <w:b/>
                <w:bCs/>
                <w:sz w:val="20"/>
                <w:szCs w:val="20"/>
              </w:rPr>
              <w:t>Eligibility Criteria</w:t>
            </w:r>
          </w:p>
        </w:tc>
        <w:tc>
          <w:tcPr>
            <w:tcW w:w="422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1B2DB2FD">
            <w:pPr>
              <w:pStyle w:val="78"/>
              <w:numPr>
                <w:ilvl w:val="0"/>
                <w:numId w:val="3"/>
              </w:numPr>
              <w:overflowPunct w:val="0"/>
              <w:autoSpaceDE w:val="0"/>
              <w:autoSpaceDN w:val="0"/>
              <w:adjustRightInd w:val="0"/>
              <w:snapToGrid w:val="0"/>
              <w:spacing w:before="72" w:beforeLines="30" w:after="72" w:afterLines="30"/>
              <w:jc w:val="left"/>
              <w:rPr>
                <w:rFonts w:hAnsi="Times New Roman" w:eastAsia="宋体" w:cs="Times New Roman"/>
                <w:b/>
                <w:bCs/>
                <w:color w:val="auto"/>
                <w:sz w:val="20"/>
                <w:szCs w:val="20"/>
              </w:rPr>
            </w:pPr>
            <w:r>
              <w:rPr>
                <w:rFonts w:hAnsi="Times New Roman" w:cs="Times New Roman"/>
                <w:b/>
                <w:bCs/>
                <w:color w:val="auto"/>
                <w:sz w:val="20"/>
                <w:szCs w:val="20"/>
              </w:rPr>
              <w:t>Inclusion criteria:</w:t>
            </w:r>
          </w:p>
          <w:p w14:paraId="43384FC7">
            <w:pPr>
              <w:overflowPunct w:val="0"/>
              <w:autoSpaceDE w:val="0"/>
              <w:autoSpaceDN w:val="0"/>
              <w:adjustRightInd w:val="0"/>
              <w:snapToGrid w:val="0"/>
              <w:spacing w:before="72" w:beforeLines="30" w:after="72" w:afterLines="30"/>
              <w:ind w:firstLine="400" w:firstLineChars="200"/>
              <w:rPr>
                <w:rFonts w:eastAsia="宋体"/>
                <w:sz w:val="20"/>
                <w:szCs w:val="20"/>
              </w:rPr>
            </w:pPr>
            <w:r>
              <w:rPr>
                <w:sz w:val="20"/>
                <w:szCs w:val="20"/>
              </w:rPr>
              <w:t>Subjects who meet all of the inclusion criteria are eligible for inclusion:</w:t>
            </w:r>
          </w:p>
          <w:p w14:paraId="62596427">
            <w:pPr>
              <w:pStyle w:val="78"/>
              <w:numPr>
                <w:ilvl w:val="0"/>
                <w:numId w:val="6"/>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Subjects who have signed the informed consent form and fully understood the content, process, and possible adverse reactions of the study;</w:t>
            </w:r>
          </w:p>
          <w:p w14:paraId="1A64045C">
            <w:pPr>
              <w:pStyle w:val="78"/>
              <w:numPr>
                <w:ilvl w:val="0"/>
                <w:numId w:val="6"/>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Subjects who are able to complete the study as required by the study protocol;</w:t>
            </w:r>
          </w:p>
          <w:p w14:paraId="0A080F3F">
            <w:pPr>
              <w:pStyle w:val="78"/>
              <w:numPr>
                <w:ilvl w:val="0"/>
                <w:numId w:val="6"/>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Subjects (including their partners) who agree to use an effective method of contraception during the course of the study and until 6 months after the last dose;</w:t>
            </w:r>
          </w:p>
          <w:p w14:paraId="723DA4D9">
            <w:pPr>
              <w:pStyle w:val="78"/>
              <w:numPr>
                <w:ilvl w:val="0"/>
                <w:numId w:val="6"/>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Male and female subjects aged 18–70 years (both inclusive);</w:t>
            </w:r>
          </w:p>
          <w:p w14:paraId="41EA052E">
            <w:pPr>
              <w:pStyle w:val="78"/>
              <w:numPr>
                <w:ilvl w:val="0"/>
                <w:numId w:val="6"/>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 xml:space="preserve">Patients who have been diagnosed with T2DM for at least 12 weeks before screening according to the diagnostic criteria for T2DM in the "Guideline for the Prevention and Treatment of Type 2 Diabetes Mellitus in China (2020 Edition)" (see </w:t>
            </w:r>
            <w:r>
              <w:rPr>
                <w:rFonts w:hAnsi="Times New Roman" w:cs="Times New Roman"/>
                <w:color w:val="0000FF"/>
                <w:sz w:val="20"/>
                <w:szCs w:val="20"/>
              </w:rPr>
              <w:fldChar w:fldCharType="begin"/>
            </w:r>
            <w:r>
              <w:rPr>
                <w:rFonts w:hAnsi="Times New Roman" w:cs="Times New Roman"/>
                <w:color w:val="0000FF"/>
                <w:sz w:val="20"/>
                <w:szCs w:val="20"/>
              </w:rPr>
              <w:instrText xml:space="preserve"> REF F1 \h  \* MERGEFORMAT </w:instrText>
            </w:r>
            <w:r>
              <w:rPr>
                <w:rFonts w:hAnsi="Times New Roman" w:cs="Times New Roman"/>
                <w:color w:val="0000FF"/>
                <w:sz w:val="20"/>
                <w:szCs w:val="20"/>
              </w:rPr>
              <w:fldChar w:fldCharType="separate"/>
            </w:r>
            <w:r>
              <w:rPr>
                <w:rFonts w:hAnsi="Times New Roman"/>
                <w:color w:val="0000FF"/>
                <w:sz w:val="20"/>
              </w:rPr>
              <w:t>Appendix 1</w:t>
            </w:r>
            <w:r>
              <w:rPr>
                <w:rFonts w:hAnsi="Times New Roman" w:cs="Times New Roman"/>
                <w:color w:val="0000FF"/>
                <w:sz w:val="20"/>
                <w:szCs w:val="20"/>
              </w:rPr>
              <w:fldChar w:fldCharType="end"/>
            </w:r>
            <w:r>
              <w:rPr>
                <w:rFonts w:hAnsi="Times New Roman" w:cs="Times New Roman"/>
                <w:color w:val="auto"/>
                <w:sz w:val="20"/>
                <w:szCs w:val="20"/>
              </w:rPr>
              <w:t xml:space="preserve"> for the detailed diagnostic criteria). Subjects must meet one of the following conditions:</w:t>
            </w:r>
          </w:p>
          <w:p w14:paraId="49D5825D">
            <w:pPr>
              <w:pStyle w:val="78"/>
              <w:numPr>
                <w:ilvl w:val="0"/>
                <w:numId w:val="7"/>
              </w:numPr>
              <w:overflowPunct w:val="0"/>
              <w:autoSpaceDE w:val="0"/>
              <w:autoSpaceDN w:val="0"/>
              <w:adjustRightInd w:val="0"/>
              <w:snapToGrid w:val="0"/>
              <w:spacing w:before="72" w:beforeLines="30" w:after="72" w:afterLines="30"/>
              <w:ind w:left="632" w:hanging="426"/>
              <w:jc w:val="left"/>
              <w:rPr>
                <w:rFonts w:hAnsi="Times New Roman" w:eastAsia="宋体" w:cs="Times New Roman"/>
                <w:color w:val="auto"/>
                <w:sz w:val="20"/>
                <w:szCs w:val="20"/>
              </w:rPr>
            </w:pPr>
            <w:r>
              <w:rPr>
                <w:rFonts w:hAnsi="Times New Roman" w:cs="Times New Roman"/>
                <w:color w:val="auto"/>
                <w:sz w:val="20"/>
                <w:szCs w:val="20"/>
              </w:rPr>
              <w:t>Treatment with only diet and exercise, without hypoglycemic agents. No treatment with hypoglycemic agents is defined as no treatment with any hypoglycemic agent before screening, or continuous use of hypoglycemic agents for no more than 1 week within 12 weeks before screening, and no treatment with any hypoglycemic agent within 4 weeks before screening; or treatment with only one oral hypoglycemic agent within 12 weeks before screening and no use within 4 weeks before screening;</w:t>
            </w:r>
          </w:p>
          <w:p w14:paraId="1EF6FCA8">
            <w:pPr>
              <w:pStyle w:val="78"/>
              <w:numPr>
                <w:ilvl w:val="0"/>
                <w:numId w:val="7"/>
              </w:numPr>
              <w:overflowPunct w:val="0"/>
              <w:autoSpaceDE w:val="0"/>
              <w:autoSpaceDN w:val="0"/>
              <w:adjustRightInd w:val="0"/>
              <w:snapToGrid w:val="0"/>
              <w:spacing w:before="72" w:beforeLines="30" w:after="72" w:afterLines="30"/>
              <w:ind w:left="632" w:hanging="426"/>
              <w:jc w:val="left"/>
              <w:rPr>
                <w:rFonts w:hAnsi="Times New Roman" w:eastAsia="宋体" w:cs="Times New Roman"/>
                <w:color w:val="auto"/>
                <w:sz w:val="20"/>
                <w:szCs w:val="20"/>
              </w:rPr>
            </w:pPr>
            <w:r>
              <w:rPr>
                <w:rFonts w:hAnsi="Times New Roman" w:cs="Times New Roman"/>
                <w:color w:val="auto"/>
                <w:sz w:val="20"/>
                <w:szCs w:val="20"/>
              </w:rPr>
              <w:t>Patients who have only received hypoglycemic agents of metformin, α-glucosidase inhibitors, or SGLT-2 inhibitors within 12 weeks before screening, and combination therapies with ≤ 2 kinds of drugs at stable drug types and doses;</w:t>
            </w:r>
          </w:p>
          <w:p w14:paraId="04478ED4">
            <w:pPr>
              <w:pStyle w:val="78"/>
              <w:numPr>
                <w:ilvl w:val="0"/>
                <w:numId w:val="6"/>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The study site-assayed HbA1c ≥ 7.0% and ≤ 11.0% at screening;</w:t>
            </w:r>
          </w:p>
          <w:p w14:paraId="483F0DAB">
            <w:pPr>
              <w:pStyle w:val="78"/>
              <w:numPr>
                <w:ilvl w:val="0"/>
                <w:numId w:val="6"/>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Fasting plasma glucose (FPG) &lt; 15 mmol/L at screening;</w:t>
            </w:r>
          </w:p>
          <w:p w14:paraId="35FC2ADE">
            <w:pPr>
              <w:pStyle w:val="78"/>
              <w:numPr>
                <w:ilvl w:val="0"/>
                <w:numId w:val="6"/>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BMI ≥ 20 kg/m²;</w:t>
            </w:r>
          </w:p>
          <w:p w14:paraId="26056702">
            <w:pPr>
              <w:pStyle w:val="78"/>
              <w:numPr>
                <w:ilvl w:val="0"/>
                <w:numId w:val="6"/>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Weight change &lt; 5% [calculation formula: (maximum – minimum)/maximum × 100%] for at least 12 weeks before screening.</w:t>
            </w:r>
          </w:p>
          <w:p w14:paraId="107A9482">
            <w:pPr>
              <w:pStyle w:val="78"/>
              <w:numPr>
                <w:ilvl w:val="0"/>
                <w:numId w:val="3"/>
              </w:numPr>
              <w:overflowPunct w:val="0"/>
              <w:autoSpaceDE w:val="0"/>
              <w:autoSpaceDN w:val="0"/>
              <w:adjustRightInd w:val="0"/>
              <w:snapToGrid w:val="0"/>
              <w:spacing w:before="72" w:beforeLines="30" w:after="72" w:afterLines="30"/>
              <w:jc w:val="left"/>
              <w:rPr>
                <w:rFonts w:hAnsi="Times New Roman" w:eastAsia="宋体" w:cs="Times New Roman"/>
                <w:b/>
                <w:bCs/>
                <w:color w:val="auto"/>
                <w:sz w:val="20"/>
                <w:szCs w:val="20"/>
              </w:rPr>
            </w:pPr>
            <w:r>
              <w:rPr>
                <w:rFonts w:hAnsi="Times New Roman" w:cs="Times New Roman"/>
                <w:b/>
                <w:bCs/>
                <w:color w:val="auto"/>
                <w:sz w:val="20"/>
                <w:szCs w:val="20"/>
              </w:rPr>
              <w:t>Exclusion criteria:</w:t>
            </w:r>
          </w:p>
          <w:p w14:paraId="49A007AF">
            <w:pPr>
              <w:overflowPunct w:val="0"/>
              <w:autoSpaceDE w:val="0"/>
              <w:autoSpaceDN w:val="0"/>
              <w:adjustRightInd w:val="0"/>
              <w:snapToGrid w:val="0"/>
              <w:spacing w:before="72" w:beforeLines="30" w:after="72" w:afterLines="30"/>
              <w:ind w:firstLine="400" w:firstLineChars="200"/>
              <w:rPr>
                <w:rFonts w:eastAsia="宋体"/>
                <w:sz w:val="20"/>
                <w:szCs w:val="20"/>
              </w:rPr>
            </w:pPr>
            <w:r>
              <w:rPr>
                <w:sz w:val="20"/>
                <w:szCs w:val="20"/>
              </w:rPr>
              <w:t>Subjects who meet any of the following exclusion criteria are not eligible for inclusion:</w:t>
            </w:r>
          </w:p>
          <w:p w14:paraId="1B5390DB">
            <w:pPr>
              <w:pStyle w:val="78"/>
              <w:numPr>
                <w:ilvl w:val="0"/>
                <w:numId w:val="8"/>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Other non-T2DM conditions, such as type 1 diabetes mellitus;</w:t>
            </w:r>
          </w:p>
          <w:p w14:paraId="6FE8D196">
            <w:pPr>
              <w:pStyle w:val="78"/>
              <w:numPr>
                <w:ilvl w:val="0"/>
                <w:numId w:val="8"/>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Known severe diabetic complications, including but not limited to proliferative diabetic retinopathy or maculopathy, severe diabetic neuropathy (such as urinary retention, urinary incontinence, and painful peripheral neuropathy), resting tachycardia, orthostatic hypotension, intermittent claudication, or diabetic foot; more than 2 episodes of ketoacidosis, lactic acidosis, or hyperosmolar state requiring hospitalization within 24 weeks before screening;</w:t>
            </w:r>
          </w:p>
          <w:p w14:paraId="51BD51E4">
            <w:pPr>
              <w:pStyle w:val="78"/>
              <w:numPr>
                <w:ilvl w:val="0"/>
                <w:numId w:val="8"/>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 xml:space="preserve">History of grade 3 hypoglycemia within 12 months before screening, ≥ 3 episodes of grade 2 hypoglycemia (venous or peripheral glucose &lt; 3 mmol/L) or hypoglycemia-related symptoms within 3 months before screening (see </w:t>
            </w:r>
            <w:r>
              <w:rPr>
                <w:rFonts w:hAnsi="Times New Roman" w:cs="Times New Roman"/>
                <w:color w:val="0000FF"/>
                <w:sz w:val="20"/>
                <w:szCs w:val="20"/>
              </w:rPr>
              <w:fldChar w:fldCharType="begin"/>
            </w:r>
            <w:r>
              <w:rPr>
                <w:rFonts w:hAnsi="Times New Roman" w:cs="Times New Roman"/>
                <w:color w:val="0000FF"/>
                <w:sz w:val="20"/>
                <w:szCs w:val="20"/>
              </w:rPr>
              <w:instrText xml:space="preserve"> REF F2 \h  \* MERGEFORMAT </w:instrText>
            </w:r>
            <w:r>
              <w:rPr>
                <w:rFonts w:hAnsi="Times New Roman" w:cs="Times New Roman"/>
                <w:color w:val="0000FF"/>
                <w:sz w:val="20"/>
                <w:szCs w:val="20"/>
              </w:rPr>
              <w:fldChar w:fldCharType="separate"/>
            </w:r>
            <w:r>
              <w:rPr>
                <w:rFonts w:hAnsi="Times New Roman"/>
                <w:color w:val="0000FF"/>
                <w:sz w:val="20"/>
              </w:rPr>
              <w:t>Appendix 2</w:t>
            </w:r>
            <w:r>
              <w:rPr>
                <w:rFonts w:hAnsi="Times New Roman" w:cs="Times New Roman"/>
                <w:color w:val="0000FF"/>
                <w:sz w:val="20"/>
                <w:szCs w:val="20"/>
              </w:rPr>
              <w:fldChar w:fldCharType="end"/>
            </w:r>
            <w:r>
              <w:rPr>
                <w:rFonts w:hAnsi="Times New Roman" w:cs="Times New Roman"/>
                <w:color w:val="auto"/>
                <w:sz w:val="20"/>
                <w:szCs w:val="20"/>
              </w:rPr>
              <w:t xml:space="preserve"> for details);</w:t>
            </w:r>
          </w:p>
          <w:p w14:paraId="66FB6EF8">
            <w:pPr>
              <w:pStyle w:val="78"/>
              <w:numPr>
                <w:ilvl w:val="0"/>
                <w:numId w:val="8"/>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History of serious trauma, serious infection, or surgery that may affect glycemic control within 6 weeks before screening;</w:t>
            </w:r>
          </w:p>
          <w:p w14:paraId="77DA2712">
            <w:pPr>
              <w:pStyle w:val="78"/>
              <w:numPr>
                <w:ilvl w:val="0"/>
                <w:numId w:val="8"/>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History of blood transfusion or blood donation/blood loss ≥ 400 mL within 12 weeks before screening, blood donation/blood loss ≥ 200 mL within 4 weeks before screening, or known hemoglobinopathy (thalassemia, hemolytic anemia, sickle cell anemia);</w:t>
            </w:r>
          </w:p>
          <w:p w14:paraId="0719C4A5">
            <w:pPr>
              <w:pStyle w:val="78"/>
              <w:numPr>
                <w:ilvl w:val="0"/>
                <w:numId w:val="8"/>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Known history of any digestive disorders or surgeries that may affect safety evaluation, including but not limited to:</w:t>
            </w:r>
          </w:p>
          <w:p w14:paraId="02999F06">
            <w:pPr>
              <w:pStyle w:val="78"/>
              <w:numPr>
                <w:ilvl w:val="0"/>
                <w:numId w:val="9"/>
              </w:numPr>
              <w:overflowPunct w:val="0"/>
              <w:autoSpaceDE w:val="0"/>
              <w:autoSpaceDN w:val="0"/>
              <w:adjustRightInd w:val="0"/>
              <w:snapToGrid w:val="0"/>
              <w:spacing w:before="72" w:beforeLines="30" w:after="72" w:afterLines="30"/>
              <w:ind w:left="907"/>
              <w:jc w:val="left"/>
              <w:rPr>
                <w:rFonts w:hAnsi="Times New Roman" w:eastAsia="宋体" w:cs="Times New Roman"/>
                <w:color w:val="auto"/>
                <w:sz w:val="20"/>
                <w:szCs w:val="20"/>
              </w:rPr>
            </w:pPr>
            <w:r>
              <w:rPr>
                <w:rFonts w:hAnsi="Times New Roman" w:cs="Times New Roman"/>
                <w:color w:val="auto"/>
                <w:sz w:val="20"/>
                <w:szCs w:val="20"/>
              </w:rPr>
              <w:t>History of acute pancreatitis and chronic pancreatitis, presence of high risk factors leading to pancreatitis at screening (e.g., cholelithiasis or choledocholithiasis &lt; 10 mm in diameter), and history of symptomatic gallbladder and biliary tract disorders; patients who have their biliary calculi absent after treatment or have received cholecystectomy without sequelae may be enrolled;</w:t>
            </w:r>
          </w:p>
          <w:p w14:paraId="5A765BAE">
            <w:pPr>
              <w:pStyle w:val="78"/>
              <w:numPr>
                <w:ilvl w:val="0"/>
                <w:numId w:val="9"/>
              </w:numPr>
              <w:overflowPunct w:val="0"/>
              <w:autoSpaceDE w:val="0"/>
              <w:autoSpaceDN w:val="0"/>
              <w:adjustRightInd w:val="0"/>
              <w:snapToGrid w:val="0"/>
              <w:spacing w:before="72" w:beforeLines="30" w:after="72" w:afterLines="30"/>
              <w:ind w:left="907"/>
              <w:jc w:val="left"/>
              <w:rPr>
                <w:rFonts w:hAnsi="Times New Roman" w:eastAsia="宋体" w:cs="Times New Roman"/>
                <w:color w:val="auto"/>
                <w:sz w:val="20"/>
                <w:szCs w:val="20"/>
              </w:rPr>
            </w:pPr>
            <w:r>
              <w:rPr>
                <w:rFonts w:hAnsi="Times New Roman" w:cs="Times New Roman"/>
                <w:color w:val="auto"/>
                <w:sz w:val="20"/>
                <w:szCs w:val="20"/>
              </w:rPr>
              <w:t>Any history of gastrointestinal diseases that may affect gastric emptying (e.g., gastroparesis, postoperative gastroparesis, idiopathic gastroparesis, gastrooesophageal reflux disease, pyloric stenosis or obstruction, and intestinal obstruction), severe chronic gastrointestinal diseases (e.g., active ulcer and intestinal tuberculosis within 6 months prior to screening), or long-term use of drugs that have a direct effect on gastrointestinal motility (including but not limited to domperidone, mosapride, and cisapride);</w:t>
            </w:r>
          </w:p>
          <w:p w14:paraId="09A80C64">
            <w:pPr>
              <w:pStyle w:val="78"/>
              <w:numPr>
                <w:ilvl w:val="0"/>
                <w:numId w:val="9"/>
              </w:numPr>
              <w:overflowPunct w:val="0"/>
              <w:autoSpaceDE w:val="0"/>
              <w:autoSpaceDN w:val="0"/>
              <w:adjustRightInd w:val="0"/>
              <w:snapToGrid w:val="0"/>
              <w:spacing w:before="72" w:beforeLines="30" w:after="72" w:afterLines="30"/>
              <w:ind w:left="907"/>
              <w:jc w:val="left"/>
              <w:rPr>
                <w:rFonts w:hAnsi="Times New Roman" w:eastAsia="宋体" w:cs="Times New Roman"/>
                <w:color w:val="auto"/>
                <w:sz w:val="20"/>
                <w:szCs w:val="20"/>
              </w:rPr>
            </w:pPr>
            <w:r>
              <w:rPr>
                <w:rFonts w:hAnsi="Times New Roman" w:cs="Times New Roman"/>
                <w:color w:val="auto"/>
                <w:sz w:val="20"/>
                <w:szCs w:val="20"/>
              </w:rPr>
              <w:t>Previous metabolic surgery involving resection and/or reconstruction of any part of the gastrointestinal tract (gastrectomy, gastric bypass, bowel resection, gastroenterostomy, gastrointestinal bypass, gastric stapling or gastric banding, etc.) or use of minimally invasive/endoscopic bariatric devices (intragastric balloons, gastrostomy devices, vagal blockers, thermal ablation techniques of the duodenal mucosa, left gastric artery embolization, etc.). Subjects who have had appendectomy or simple herniorrhaphy, or who have had a reversible bariatric device (such as a gastric band or intragastric balloon) removed for more than 12 months at screening may be enrolled;</w:t>
            </w:r>
          </w:p>
          <w:p w14:paraId="0EF00B35">
            <w:pPr>
              <w:pStyle w:val="78"/>
              <w:numPr>
                <w:ilvl w:val="0"/>
                <w:numId w:val="9"/>
              </w:numPr>
              <w:overflowPunct w:val="0"/>
              <w:autoSpaceDE w:val="0"/>
              <w:autoSpaceDN w:val="0"/>
              <w:adjustRightInd w:val="0"/>
              <w:snapToGrid w:val="0"/>
              <w:spacing w:before="72" w:beforeLines="30" w:after="72" w:afterLines="30"/>
              <w:ind w:left="907"/>
              <w:jc w:val="left"/>
              <w:rPr>
                <w:rFonts w:hAnsi="Times New Roman" w:eastAsia="宋体" w:cs="Times New Roman"/>
                <w:color w:val="auto"/>
                <w:sz w:val="20"/>
                <w:szCs w:val="20"/>
              </w:rPr>
            </w:pPr>
            <w:r>
              <w:rPr>
                <w:rFonts w:hAnsi="Times New Roman" w:cs="Times New Roman"/>
                <w:color w:val="auto"/>
                <w:sz w:val="20"/>
                <w:szCs w:val="20"/>
              </w:rPr>
              <w:t>History of frequent nausea, vomiting, or irregular gastrointestinal motility due to any cause, such as habitual diarrhea, constipation, inflammatory bowel disease, or irritable bowel syndrome;</w:t>
            </w:r>
          </w:p>
          <w:p w14:paraId="29EAB08B">
            <w:pPr>
              <w:pStyle w:val="78"/>
              <w:numPr>
                <w:ilvl w:val="0"/>
                <w:numId w:val="8"/>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Known history or family history of thyroid C-cell tumor/carcinoma or multiple endocrine neoplasia type 2 (MEN2);</w:t>
            </w:r>
          </w:p>
          <w:p w14:paraId="62473FC7">
            <w:pPr>
              <w:pStyle w:val="78"/>
              <w:numPr>
                <w:ilvl w:val="0"/>
                <w:numId w:val="8"/>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Any suicidal behavior within the past 2 years, or any suicidal ideation of C-SSRS category 4 or 5 within 3 months prior to screening or during the screening period</w:t>
            </w:r>
            <w:bookmarkStart w:id="18" w:name="_Hlk155300504"/>
            <w:r>
              <w:rPr>
                <w:rFonts w:hAnsi="Times New Roman" w:cs="Times New Roman"/>
                <w:color w:val="auto"/>
                <w:sz w:val="20"/>
                <w:szCs w:val="20"/>
              </w:rPr>
              <w:t xml:space="preserve"> (see </w:t>
            </w:r>
            <w:r>
              <w:rPr>
                <w:rFonts w:hAnsi="Times New Roman" w:cs="Times New Roman"/>
                <w:color w:val="0000FF"/>
                <w:sz w:val="20"/>
                <w:szCs w:val="20"/>
              </w:rPr>
              <w:fldChar w:fldCharType="begin"/>
            </w:r>
            <w:r>
              <w:rPr>
                <w:rFonts w:hAnsi="Times New Roman" w:cs="Times New Roman"/>
                <w:color w:val="0000FF"/>
                <w:sz w:val="20"/>
                <w:szCs w:val="20"/>
              </w:rPr>
              <w:instrText xml:space="preserve"> REF F3 \h  \* MERGEFORMAT </w:instrText>
            </w:r>
            <w:r>
              <w:rPr>
                <w:rFonts w:hAnsi="Times New Roman" w:cs="Times New Roman"/>
                <w:color w:val="0000FF"/>
                <w:sz w:val="20"/>
                <w:szCs w:val="20"/>
              </w:rPr>
              <w:fldChar w:fldCharType="separate"/>
            </w:r>
            <w:r>
              <w:rPr>
                <w:rFonts w:hAnsi="Times New Roman"/>
                <w:color w:val="0000FF"/>
                <w:sz w:val="20"/>
              </w:rPr>
              <w:t>Appendix 3</w:t>
            </w:r>
            <w:r>
              <w:rPr>
                <w:rFonts w:hAnsi="Times New Roman" w:cs="Times New Roman"/>
                <w:color w:val="0000FF"/>
                <w:sz w:val="20"/>
                <w:szCs w:val="20"/>
              </w:rPr>
              <w:fldChar w:fldCharType="end"/>
            </w:r>
            <w:r>
              <w:rPr>
                <w:rFonts w:hAnsi="Times New Roman" w:cs="Times New Roman"/>
                <w:color w:val="auto"/>
                <w:sz w:val="20"/>
                <w:szCs w:val="20"/>
              </w:rPr>
              <w:t xml:space="preserve"> for details)</w:t>
            </w:r>
            <w:bookmarkEnd w:id="18"/>
            <w:r>
              <w:rPr>
                <w:rFonts w:hAnsi="Times New Roman" w:cs="Times New Roman"/>
                <w:color w:val="auto"/>
                <w:sz w:val="20"/>
                <w:szCs w:val="20"/>
              </w:rPr>
              <w:t xml:space="preserve">; </w:t>
            </w:r>
          </w:p>
          <w:p w14:paraId="6266A323">
            <w:pPr>
              <w:pStyle w:val="78"/>
              <w:numPr>
                <w:ilvl w:val="0"/>
                <w:numId w:val="8"/>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 xml:space="preserve">History of moderate to severe depression or a Patient Health Questionnaire-9 [PHQ-9] score ≥ 15 at screening (see </w:t>
            </w:r>
            <w:r>
              <w:rPr>
                <w:rFonts w:hAnsi="Times New Roman" w:cs="Times New Roman"/>
                <w:color w:val="0000FF"/>
                <w:sz w:val="20"/>
                <w:szCs w:val="20"/>
              </w:rPr>
              <w:fldChar w:fldCharType="begin"/>
            </w:r>
            <w:r>
              <w:rPr>
                <w:rFonts w:hAnsi="Times New Roman" w:cs="Times New Roman"/>
                <w:color w:val="0000FF"/>
                <w:sz w:val="20"/>
                <w:szCs w:val="20"/>
              </w:rPr>
              <w:instrText xml:space="preserve"> REF F4 \h  \* MERGEFORMAT </w:instrText>
            </w:r>
            <w:r>
              <w:rPr>
                <w:rFonts w:hAnsi="Times New Roman" w:cs="Times New Roman"/>
                <w:color w:val="0000FF"/>
                <w:sz w:val="20"/>
                <w:szCs w:val="20"/>
              </w:rPr>
              <w:fldChar w:fldCharType="separate"/>
            </w:r>
            <w:r>
              <w:rPr>
                <w:rFonts w:hAnsi="Times New Roman"/>
                <w:color w:val="0000FF"/>
                <w:sz w:val="20"/>
              </w:rPr>
              <w:t>Appendix 4</w:t>
            </w:r>
            <w:r>
              <w:rPr>
                <w:rFonts w:hAnsi="Times New Roman" w:cs="Times New Roman"/>
                <w:color w:val="0000FF"/>
                <w:sz w:val="20"/>
                <w:szCs w:val="20"/>
              </w:rPr>
              <w:fldChar w:fldCharType="end"/>
            </w:r>
            <w:r>
              <w:rPr>
                <w:rFonts w:hAnsi="Times New Roman" w:cs="Times New Roman"/>
                <w:color w:val="auto"/>
                <w:sz w:val="20"/>
                <w:szCs w:val="20"/>
              </w:rPr>
              <w:t xml:space="preserve"> for details);</w:t>
            </w:r>
          </w:p>
          <w:p w14:paraId="2B83987E">
            <w:pPr>
              <w:pStyle w:val="78"/>
              <w:numPr>
                <w:ilvl w:val="0"/>
                <w:numId w:val="8"/>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 xml:space="preserve">History of malignancy within 5 years prior to screening (except for clinically cured basal cell carcinoma or carcinoma </w:t>
            </w:r>
            <w:r>
              <w:rPr>
                <w:rFonts w:hAnsi="Times New Roman" w:cs="Times New Roman"/>
                <w:i/>
                <w:iCs/>
                <w:color w:val="auto"/>
                <w:sz w:val="20"/>
                <w:szCs w:val="20"/>
              </w:rPr>
              <w:t>in situ</w:t>
            </w:r>
            <w:r>
              <w:rPr>
                <w:rFonts w:hAnsi="Times New Roman" w:cs="Times New Roman"/>
                <w:color w:val="auto"/>
                <w:sz w:val="20"/>
                <w:szCs w:val="20"/>
              </w:rPr>
              <w:t>);</w:t>
            </w:r>
          </w:p>
          <w:p w14:paraId="0B14138B">
            <w:pPr>
              <w:pStyle w:val="78"/>
              <w:numPr>
                <w:ilvl w:val="0"/>
                <w:numId w:val="8"/>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History of major cardio-cerebrovascular disease, defined as a history of myocardial infarction, coronary angioplasty or bypass graft, valvular heart disease or valvular heart repair, clinically significant unstable arrhythmia, unstable angina, New York Heart Association (NYHA) class III or IV congestive heart failure, transient ischemic attack, or cerebrovascular accident within 24 weeks prior to screening;</w:t>
            </w:r>
          </w:p>
          <w:p w14:paraId="220EB9D0">
            <w:pPr>
              <w:pStyle w:val="78"/>
              <w:numPr>
                <w:ilvl w:val="0"/>
                <w:numId w:val="8"/>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Known ECG abnormalities or abnormal findings at screening that pose a significant safety risk or require further diagnosis and treatment, including but not limited to: arrhythmias that are not controllable or require medication (such as sustained ventricular tachycardia, second or third degree atrioventricular block), QTcF &gt; 450 ms, family history of long QT syndrome or Brugada syndrome; or heart rate &lt; 50 beats/min or &gt; 100 beats/min at screening;</w:t>
            </w:r>
          </w:p>
          <w:p w14:paraId="29FB22CD">
            <w:pPr>
              <w:pStyle w:val="78"/>
              <w:numPr>
                <w:ilvl w:val="0"/>
                <w:numId w:val="8"/>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Systolic blood pressure ≥ 160 mmHg and/or diastolic blood pressure ≥ 100 mmHg during the screening period (measure repeatedly at a 10 min interval; exclude the subject only if the second measurement confirms blood pressure ≥ 160/100 mmHg); or initiation/change of antihypertensive drugs or dose adjustment of antihypertensive drugs within 4 weeks prior to screening;</w:t>
            </w:r>
          </w:p>
          <w:p w14:paraId="2272DBD4">
            <w:pPr>
              <w:pStyle w:val="78"/>
              <w:numPr>
                <w:ilvl w:val="0"/>
                <w:numId w:val="8"/>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Presence of the following significant laboratory abnormalities during the screening period, including but not limited to:</w:t>
            </w:r>
          </w:p>
          <w:p w14:paraId="2B682730">
            <w:pPr>
              <w:pStyle w:val="78"/>
              <w:numPr>
                <w:ilvl w:val="0"/>
                <w:numId w:val="10"/>
              </w:numPr>
              <w:overflowPunct w:val="0"/>
              <w:autoSpaceDE w:val="0"/>
              <w:autoSpaceDN w:val="0"/>
              <w:adjustRightInd w:val="0"/>
              <w:snapToGrid w:val="0"/>
              <w:spacing w:before="72" w:beforeLines="30" w:after="72" w:afterLines="30"/>
              <w:ind w:left="907" w:hanging="425"/>
              <w:jc w:val="left"/>
              <w:rPr>
                <w:rFonts w:hAnsi="Times New Roman" w:eastAsia="宋体" w:cs="Times New Roman"/>
                <w:color w:val="auto"/>
                <w:sz w:val="20"/>
                <w:szCs w:val="20"/>
              </w:rPr>
            </w:pPr>
            <w:r>
              <w:rPr>
                <w:rFonts w:hAnsi="Times New Roman" w:cs="Times New Roman"/>
                <w:color w:val="auto"/>
                <w:sz w:val="20"/>
                <w:szCs w:val="20"/>
              </w:rPr>
              <w:t>Any positive results for hepatitis B surface antigen (HBsAg), hepatitis C virus antibody, human immunodeficiency virus (HIV) antibody, or treponema pallidum antibody;</w:t>
            </w:r>
          </w:p>
          <w:p w14:paraId="55B427BD">
            <w:pPr>
              <w:pStyle w:val="78"/>
              <w:numPr>
                <w:ilvl w:val="0"/>
                <w:numId w:val="10"/>
              </w:numPr>
              <w:overflowPunct w:val="0"/>
              <w:autoSpaceDE w:val="0"/>
              <w:autoSpaceDN w:val="0"/>
              <w:adjustRightInd w:val="0"/>
              <w:snapToGrid w:val="0"/>
              <w:spacing w:before="72" w:beforeLines="30" w:after="72" w:afterLines="30"/>
              <w:ind w:left="907" w:hanging="425"/>
              <w:jc w:val="left"/>
              <w:rPr>
                <w:rFonts w:hAnsi="Times New Roman" w:eastAsia="宋体" w:cs="Times New Roman"/>
                <w:color w:val="auto"/>
                <w:sz w:val="20"/>
                <w:szCs w:val="20"/>
              </w:rPr>
            </w:pPr>
            <w:r>
              <w:rPr>
                <w:rFonts w:hAnsi="Times New Roman" w:cs="Times New Roman"/>
                <w:color w:val="auto"/>
                <w:sz w:val="20"/>
                <w:szCs w:val="20"/>
              </w:rPr>
              <w:t>Hemoglobin &lt; 100 g/L;</w:t>
            </w:r>
          </w:p>
          <w:p w14:paraId="7B656C8D">
            <w:pPr>
              <w:pStyle w:val="78"/>
              <w:numPr>
                <w:ilvl w:val="0"/>
                <w:numId w:val="10"/>
              </w:numPr>
              <w:overflowPunct w:val="0"/>
              <w:autoSpaceDE w:val="0"/>
              <w:autoSpaceDN w:val="0"/>
              <w:adjustRightInd w:val="0"/>
              <w:snapToGrid w:val="0"/>
              <w:spacing w:before="72" w:beforeLines="30" w:after="72" w:afterLines="30"/>
              <w:ind w:left="907" w:hanging="425"/>
              <w:jc w:val="left"/>
              <w:rPr>
                <w:rFonts w:hAnsi="Times New Roman" w:eastAsia="宋体" w:cs="Times New Roman"/>
                <w:color w:val="auto"/>
                <w:sz w:val="20"/>
                <w:szCs w:val="20"/>
              </w:rPr>
            </w:pPr>
            <w:r>
              <w:rPr>
                <w:rFonts w:hAnsi="Times New Roman" w:cs="Times New Roman"/>
                <w:color w:val="auto"/>
                <w:sz w:val="20"/>
                <w:szCs w:val="20"/>
              </w:rPr>
              <w:t>Abnormal thyroid-stimulating hormone (TSH) with any abnormality in triiodothyronine (T3; total and free) and thyroxine (T4; total and free);</w:t>
            </w:r>
          </w:p>
          <w:p w14:paraId="7D0256D4">
            <w:pPr>
              <w:pStyle w:val="78"/>
              <w:numPr>
                <w:ilvl w:val="0"/>
                <w:numId w:val="10"/>
              </w:numPr>
              <w:overflowPunct w:val="0"/>
              <w:autoSpaceDE w:val="0"/>
              <w:autoSpaceDN w:val="0"/>
              <w:adjustRightInd w:val="0"/>
              <w:snapToGrid w:val="0"/>
              <w:spacing w:before="72" w:beforeLines="30" w:after="72" w:afterLines="30"/>
              <w:ind w:left="907" w:hanging="425"/>
              <w:jc w:val="left"/>
              <w:rPr>
                <w:rFonts w:hAnsi="Times New Roman" w:eastAsia="宋体" w:cs="Times New Roman"/>
                <w:color w:val="auto"/>
                <w:sz w:val="20"/>
                <w:szCs w:val="20"/>
              </w:rPr>
            </w:pPr>
            <w:r>
              <w:rPr>
                <w:rFonts w:hAnsi="Times New Roman" w:cs="Times New Roman"/>
                <w:color w:val="auto"/>
                <w:sz w:val="20"/>
                <w:szCs w:val="20"/>
              </w:rPr>
              <w:t>Serum calcitonin &gt; 50 ng/L;</w:t>
            </w:r>
          </w:p>
          <w:p w14:paraId="5DC9FBB9">
            <w:pPr>
              <w:pStyle w:val="78"/>
              <w:numPr>
                <w:ilvl w:val="0"/>
                <w:numId w:val="10"/>
              </w:numPr>
              <w:overflowPunct w:val="0"/>
              <w:autoSpaceDE w:val="0"/>
              <w:autoSpaceDN w:val="0"/>
              <w:adjustRightInd w:val="0"/>
              <w:snapToGrid w:val="0"/>
              <w:spacing w:before="72" w:beforeLines="30" w:after="72" w:afterLines="30"/>
              <w:ind w:left="907" w:hanging="425"/>
              <w:jc w:val="left"/>
              <w:rPr>
                <w:rFonts w:hAnsi="Times New Roman" w:eastAsia="宋体" w:cs="Times New Roman"/>
                <w:color w:val="auto"/>
                <w:sz w:val="20"/>
                <w:szCs w:val="20"/>
              </w:rPr>
            </w:pPr>
            <w:r>
              <w:rPr>
                <w:rFonts w:hAnsi="Times New Roman" w:cs="Times New Roman"/>
                <w:color w:val="auto"/>
                <w:sz w:val="20"/>
                <w:szCs w:val="20"/>
              </w:rPr>
              <w:t>Serum amylase or lipase &gt; 1.5 × upper limit of normal (ULN) (when the lipase assay is not available at some study sites, amylase-based determination only is acceptable);</w:t>
            </w:r>
          </w:p>
          <w:p w14:paraId="28CADA06">
            <w:pPr>
              <w:pStyle w:val="78"/>
              <w:numPr>
                <w:ilvl w:val="0"/>
                <w:numId w:val="10"/>
              </w:numPr>
              <w:overflowPunct w:val="0"/>
              <w:autoSpaceDE w:val="0"/>
              <w:autoSpaceDN w:val="0"/>
              <w:adjustRightInd w:val="0"/>
              <w:snapToGrid w:val="0"/>
              <w:spacing w:before="72" w:beforeLines="30" w:after="72" w:afterLines="30"/>
              <w:ind w:left="907" w:hanging="425"/>
              <w:jc w:val="left"/>
              <w:rPr>
                <w:rFonts w:hAnsi="Times New Roman" w:eastAsia="宋体" w:cs="Times New Roman"/>
                <w:color w:val="auto"/>
                <w:sz w:val="20"/>
                <w:szCs w:val="20"/>
              </w:rPr>
            </w:pPr>
            <w:r>
              <w:rPr>
                <w:rFonts w:hAnsi="Times New Roman" w:cs="Times New Roman"/>
                <w:color w:val="auto"/>
                <w:sz w:val="20"/>
                <w:szCs w:val="20"/>
              </w:rPr>
              <w:t>TG &gt; 5.7 mmol/L;</w:t>
            </w:r>
          </w:p>
          <w:p w14:paraId="091AEEA7">
            <w:pPr>
              <w:pStyle w:val="78"/>
              <w:numPr>
                <w:ilvl w:val="0"/>
                <w:numId w:val="10"/>
              </w:numPr>
              <w:overflowPunct w:val="0"/>
              <w:autoSpaceDE w:val="0"/>
              <w:autoSpaceDN w:val="0"/>
              <w:adjustRightInd w:val="0"/>
              <w:snapToGrid w:val="0"/>
              <w:spacing w:before="72" w:beforeLines="30" w:after="72" w:afterLines="30"/>
              <w:ind w:left="907" w:hanging="425"/>
              <w:jc w:val="left"/>
              <w:rPr>
                <w:rFonts w:hAnsi="Times New Roman" w:eastAsia="宋体" w:cs="Times New Roman"/>
                <w:color w:val="auto"/>
                <w:sz w:val="20"/>
                <w:szCs w:val="20"/>
              </w:rPr>
            </w:pPr>
            <w:r>
              <w:rPr>
                <w:rFonts w:hAnsi="Times New Roman" w:cs="Times New Roman"/>
                <w:color w:val="auto"/>
                <w:sz w:val="20"/>
                <w:szCs w:val="20"/>
              </w:rPr>
              <w:t>ALT ≥ 2.5 × ULN, AST ≥ 2.5 × ULN, or total bilirubin ≥ 1.5 × ULN;</w:t>
            </w:r>
          </w:p>
          <w:p w14:paraId="6942214E">
            <w:pPr>
              <w:pStyle w:val="78"/>
              <w:numPr>
                <w:ilvl w:val="0"/>
                <w:numId w:val="10"/>
              </w:numPr>
              <w:overflowPunct w:val="0"/>
              <w:autoSpaceDE w:val="0"/>
              <w:autoSpaceDN w:val="0"/>
              <w:adjustRightInd w:val="0"/>
              <w:snapToGrid w:val="0"/>
              <w:spacing w:before="72" w:beforeLines="30" w:after="72" w:afterLines="30"/>
              <w:ind w:left="907" w:hanging="425"/>
              <w:jc w:val="left"/>
              <w:rPr>
                <w:rFonts w:hAnsi="Times New Roman" w:eastAsia="宋体" w:cs="Times New Roman"/>
                <w:color w:val="auto"/>
                <w:sz w:val="20"/>
                <w:szCs w:val="20"/>
              </w:rPr>
            </w:pPr>
            <w:r>
              <w:rPr>
                <w:rFonts w:hAnsi="Times New Roman" w:cs="Times New Roman"/>
                <w:color w:val="auto"/>
                <w:sz w:val="20"/>
                <w:szCs w:val="20"/>
              </w:rPr>
              <w:t>Estimated glomerular filtration rate (eGFR) &lt; 60 mL/min/1.73 m</w:t>
            </w:r>
            <w:r>
              <w:rPr>
                <w:rFonts w:hAnsi="Times New Roman" w:cs="Times New Roman"/>
                <w:color w:val="auto"/>
                <w:sz w:val="20"/>
                <w:szCs w:val="20"/>
                <w:vertAlign w:val="superscript"/>
              </w:rPr>
              <w:t>2</w:t>
            </w:r>
            <w:r>
              <w:rPr>
                <w:rFonts w:hAnsi="Times New Roman" w:cs="Times New Roman"/>
                <w:color w:val="auto"/>
                <w:sz w:val="20"/>
                <w:szCs w:val="20"/>
              </w:rPr>
              <w:t xml:space="preserve"> (calculated using the CKD-EPI equation based on serum creatinine, see </w:t>
            </w:r>
            <w:r>
              <w:rPr>
                <w:rFonts w:hAnsi="Times New Roman" w:cs="Times New Roman"/>
                <w:color w:val="0000FF"/>
                <w:sz w:val="20"/>
                <w:szCs w:val="20"/>
              </w:rPr>
              <w:fldChar w:fldCharType="begin"/>
            </w:r>
            <w:r>
              <w:rPr>
                <w:rFonts w:hAnsi="Times New Roman" w:cs="Times New Roman"/>
                <w:color w:val="0000FF"/>
                <w:sz w:val="20"/>
                <w:szCs w:val="20"/>
              </w:rPr>
              <w:instrText xml:space="preserve"> REF F5 \h  \* MERGEFORMAT </w:instrText>
            </w:r>
            <w:r>
              <w:rPr>
                <w:rFonts w:hAnsi="Times New Roman" w:cs="Times New Roman"/>
                <w:color w:val="0000FF"/>
                <w:sz w:val="20"/>
                <w:szCs w:val="20"/>
              </w:rPr>
              <w:fldChar w:fldCharType="separate"/>
            </w:r>
            <w:r>
              <w:rPr>
                <w:rFonts w:hAnsi="Times New Roman"/>
                <w:color w:val="0000FF"/>
                <w:sz w:val="20"/>
              </w:rPr>
              <w:t>Appendix 5</w:t>
            </w:r>
            <w:r>
              <w:rPr>
                <w:rFonts w:hAnsi="Times New Roman" w:cs="Times New Roman"/>
                <w:color w:val="0000FF"/>
                <w:sz w:val="20"/>
                <w:szCs w:val="20"/>
              </w:rPr>
              <w:fldChar w:fldCharType="end"/>
            </w:r>
            <w:r>
              <w:rPr>
                <w:rFonts w:hAnsi="Times New Roman" w:cs="Times New Roman"/>
                <w:color w:val="auto"/>
                <w:sz w:val="20"/>
                <w:szCs w:val="20"/>
              </w:rPr>
              <w:t xml:space="preserve"> for details), or UACR ≥ 300 mg/g;</w:t>
            </w:r>
          </w:p>
          <w:p w14:paraId="6299298B">
            <w:pPr>
              <w:pStyle w:val="78"/>
              <w:numPr>
                <w:ilvl w:val="0"/>
                <w:numId w:val="8"/>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Treatment with immunosuppressants (cyclosporine A, tacrolimus, mycophenolate, etc.), systemic glucocorticoids (intravenous, oral, intra-articular) within 12 weeks before screening;</w:t>
            </w:r>
          </w:p>
          <w:p w14:paraId="28DB95F6">
            <w:pPr>
              <w:pStyle w:val="78"/>
              <w:numPr>
                <w:ilvl w:val="0"/>
                <w:numId w:val="8"/>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Use of any medications or products within 12 weeks prior to screening that may cause weight instability, including but not limited to:</w:t>
            </w:r>
          </w:p>
          <w:p w14:paraId="0B14B764">
            <w:pPr>
              <w:pStyle w:val="78"/>
              <w:numPr>
                <w:ilvl w:val="0"/>
                <w:numId w:val="11"/>
              </w:numPr>
              <w:overflowPunct w:val="0"/>
              <w:autoSpaceDE w:val="0"/>
              <w:autoSpaceDN w:val="0"/>
              <w:adjustRightInd w:val="0"/>
              <w:snapToGrid w:val="0"/>
              <w:spacing w:before="72" w:beforeLines="30" w:after="72" w:afterLines="30"/>
              <w:ind w:left="628" w:hanging="284"/>
              <w:jc w:val="left"/>
              <w:rPr>
                <w:rFonts w:hAnsi="Times New Roman" w:eastAsia="宋体" w:cs="Times New Roman"/>
                <w:color w:val="auto"/>
                <w:sz w:val="20"/>
                <w:szCs w:val="20"/>
              </w:rPr>
            </w:pPr>
            <w:r>
              <w:rPr>
                <w:rFonts w:hAnsi="Times New Roman" w:cs="Times New Roman"/>
                <w:color w:val="auto"/>
                <w:sz w:val="20"/>
                <w:szCs w:val="20"/>
              </w:rPr>
              <w:t>Any approved or unapproved weight-loss drugs or Chinese herbal medicines, health care products, and meal replacements that affect body weight;</w:t>
            </w:r>
          </w:p>
          <w:p w14:paraId="18E34361">
            <w:pPr>
              <w:pStyle w:val="78"/>
              <w:numPr>
                <w:ilvl w:val="0"/>
                <w:numId w:val="11"/>
              </w:numPr>
              <w:overflowPunct w:val="0"/>
              <w:autoSpaceDE w:val="0"/>
              <w:autoSpaceDN w:val="0"/>
              <w:adjustRightInd w:val="0"/>
              <w:snapToGrid w:val="0"/>
              <w:spacing w:before="72" w:beforeLines="30" w:after="72" w:afterLines="30"/>
              <w:ind w:left="628" w:hanging="284"/>
              <w:jc w:val="left"/>
              <w:rPr>
                <w:rFonts w:hAnsi="Times New Roman" w:eastAsia="宋体" w:cs="Times New Roman"/>
                <w:color w:val="auto"/>
                <w:sz w:val="20"/>
                <w:szCs w:val="20"/>
              </w:rPr>
            </w:pPr>
            <w:r>
              <w:rPr>
                <w:rFonts w:hAnsi="Times New Roman" w:cs="Times New Roman"/>
                <w:color w:val="auto"/>
                <w:sz w:val="20"/>
                <w:szCs w:val="20"/>
              </w:rPr>
              <w:t>Any GLP-1 receptor agonist (GLP-1RA), GLP-1 related multi-target agonists (e.g., dual GLP-1/glucose-dependent insulinotropic polypeptide [GIP] receptor agonist, GLP-1 receptor/glucagon receptor [GCGR] dual agonist, and triple GLP-1/GIP/GCG receptor agonist), or combination products containing GLP-1RA;</w:t>
            </w:r>
          </w:p>
          <w:p w14:paraId="619CA3D2">
            <w:pPr>
              <w:pStyle w:val="78"/>
              <w:numPr>
                <w:ilvl w:val="0"/>
                <w:numId w:val="11"/>
              </w:numPr>
              <w:overflowPunct w:val="0"/>
              <w:autoSpaceDE w:val="0"/>
              <w:autoSpaceDN w:val="0"/>
              <w:adjustRightInd w:val="0"/>
              <w:snapToGrid w:val="0"/>
              <w:spacing w:before="72" w:beforeLines="30" w:after="72" w:afterLines="30"/>
              <w:ind w:left="628" w:hanging="284"/>
              <w:jc w:val="left"/>
              <w:rPr>
                <w:rFonts w:hAnsi="Times New Roman" w:eastAsia="宋体" w:cs="Times New Roman"/>
                <w:color w:val="auto"/>
                <w:sz w:val="20"/>
                <w:szCs w:val="20"/>
              </w:rPr>
            </w:pPr>
            <w:r>
              <w:rPr>
                <w:rFonts w:hAnsi="Times New Roman" w:cs="Times New Roman"/>
                <w:color w:val="auto"/>
                <w:sz w:val="20"/>
                <w:szCs w:val="20"/>
              </w:rPr>
              <w:t>growth hormone, antipsychotic or antiepileptic drugs (e.g., amitriptyline, maprotiline, clomipramine, imipramine, doxepin, fluoxetine, paroxetine, duloxetine, citalopram, escitalopram, mirtazapine, sertraline, chlorpromazine, clozapine, olanzapine, valproic acid, valproic acid derivatives, lithium, and bupropion), etc.;</w:t>
            </w:r>
          </w:p>
          <w:p w14:paraId="327CC493">
            <w:pPr>
              <w:pStyle w:val="78"/>
              <w:numPr>
                <w:ilvl w:val="0"/>
                <w:numId w:val="8"/>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Previous surgery or treatment for the purpose of weight loss or plan to have such surgery or treatment during the study (except for acupuncture for weight loss, liposuction, and abdominal liposuction more than 1 year from the time of screening);</w:t>
            </w:r>
          </w:p>
          <w:p w14:paraId="778E0C2C">
            <w:pPr>
              <w:pStyle w:val="78"/>
              <w:numPr>
                <w:ilvl w:val="0"/>
                <w:numId w:val="8"/>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 xml:space="preserve">Allergic constitution (allergy to multiple drugs or foods), or known allergy to acetaminophen (group B-1 only, if applicable), RAY1225, GLP-1 receptor agonists, and GLP-1 related drugs, or history of severe drug hypersensitivity (including but not limited </w:t>
            </w:r>
            <w:r>
              <w:rPr>
                <w:rFonts w:hAnsi="Times New Roman" w:cs="Times New Roman"/>
                <w:color w:val="auto"/>
                <w:spacing w:val="-4"/>
                <w:sz w:val="20"/>
                <w:szCs w:val="20"/>
              </w:rPr>
              <w:t>to erythema multiforme, linear immunoglobulin A skin disease, toxic epidermal necrolysis, i</w:t>
            </w:r>
            <w:r>
              <w:rPr>
                <w:rFonts w:hAnsi="Times New Roman" w:cs="Times New Roman"/>
                <w:color w:val="auto"/>
                <w:sz w:val="20"/>
                <w:szCs w:val="20"/>
              </w:rPr>
              <w:t>mmediate hypersensitivity, angioedema, or exfoliative dermatitis), or previous severe atopic disease [e.g., asthma, severe pollen allergy requiring regular treatment or severe eczema (i.e., use of antihistamines and/or glucocorticoids more than 3 times weekly)];</w:t>
            </w:r>
          </w:p>
          <w:p w14:paraId="1F75ECD9">
            <w:pPr>
              <w:pStyle w:val="78"/>
              <w:numPr>
                <w:ilvl w:val="0"/>
                <w:numId w:val="8"/>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Subjects who are not suitable for subcutaneous injection (trauma, surgery, allergy, or skin lesions), or are unable to tolerate venepuncture, or have a history of fear of needles or blood;</w:t>
            </w:r>
          </w:p>
          <w:p w14:paraId="0A0BF3DD">
            <w:pPr>
              <w:pStyle w:val="78"/>
              <w:numPr>
                <w:ilvl w:val="0"/>
                <w:numId w:val="8"/>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History of drug abuse or addiction;</w:t>
            </w:r>
          </w:p>
          <w:p w14:paraId="07970D27">
            <w:pPr>
              <w:pStyle w:val="78"/>
              <w:numPr>
                <w:ilvl w:val="0"/>
                <w:numId w:val="8"/>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bookmarkStart w:id="19" w:name="_Hlk152253795"/>
            <w:r>
              <w:rPr>
                <w:rFonts w:hAnsi="Times New Roman" w:cs="Times New Roman"/>
                <w:color w:val="auto"/>
                <w:sz w:val="20"/>
                <w:szCs w:val="20"/>
              </w:rPr>
              <w:t>Average daily alcohol consumption &gt; 25 g (equivalent to 580 mL of beer, 250 mL of wine, or 75 mL of distilled spirits) for men and &gt; 15 g (equivalent to 350 mL of beer, 150 mL of wine, or 45 mL of distilled spirits) for women within 12 weeks prior to screening</w:t>
            </w:r>
            <w:bookmarkEnd w:id="19"/>
            <w:r>
              <w:rPr>
                <w:rFonts w:hAnsi="Times New Roman" w:cs="Times New Roman"/>
                <w:color w:val="auto"/>
                <w:sz w:val="20"/>
                <w:szCs w:val="20"/>
              </w:rPr>
              <w:t>;</w:t>
            </w:r>
          </w:p>
          <w:p w14:paraId="48E0368F">
            <w:pPr>
              <w:pStyle w:val="78"/>
              <w:numPr>
                <w:ilvl w:val="0"/>
                <w:numId w:val="8"/>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Female subjects who are breastfeeding or have a positive pregnancy test result;</w:t>
            </w:r>
          </w:p>
          <w:p w14:paraId="5C99D7ED">
            <w:pPr>
              <w:pStyle w:val="78"/>
              <w:numPr>
                <w:ilvl w:val="0"/>
                <w:numId w:val="8"/>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Subjects who have participated in clinical studies of other drugs within 12 weeks or 5 drug half-lives (whichever is longer) prior to screening;</w:t>
            </w:r>
          </w:p>
          <w:p w14:paraId="14FD7FFC">
            <w:pPr>
              <w:pStyle w:val="78"/>
              <w:numPr>
                <w:ilvl w:val="0"/>
                <w:numId w:val="8"/>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Have any other condition that, in the judgment of the investigator, may affect the completion of the trial or the assessment of study data, or is otherwise inappropriate for participation in this study.</w:t>
            </w:r>
          </w:p>
        </w:tc>
      </w:tr>
      <w:tr w14:paraId="43FBAF52">
        <w:tblPrEx>
          <w:tblBorders>
            <w:top w:val="single" w:color="000000" w:sz="2" w:space="0"/>
            <w:left w:val="single" w:color="000000" w:sz="2" w:space="0"/>
            <w:bottom w:val="single" w:color="000000" w:sz="2" w:space="0"/>
            <w:right w:val="single" w:color="000000" w:sz="2" w:space="0"/>
            <w:insideH w:val="single" w:color="FF2600" w:sz="2" w:space="0"/>
            <w:insideV w:val="single" w:color="FF2600" w:sz="2" w:space="0"/>
          </w:tblBorders>
          <w:tblCellMar>
            <w:top w:w="28" w:type="dxa"/>
            <w:left w:w="57" w:type="dxa"/>
            <w:bottom w:w="28" w:type="dxa"/>
            <w:right w:w="57" w:type="dxa"/>
          </w:tblCellMar>
        </w:tblPrEx>
        <w:tc>
          <w:tcPr>
            <w:tcW w:w="78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5C0C9308">
            <w:pPr>
              <w:overflowPunct w:val="0"/>
              <w:autoSpaceDE w:val="0"/>
              <w:autoSpaceDN w:val="0"/>
              <w:adjustRightInd w:val="0"/>
              <w:snapToGrid w:val="0"/>
              <w:spacing w:before="72" w:beforeLines="30" w:after="72" w:afterLines="30"/>
              <w:rPr>
                <w:rFonts w:eastAsia="宋体"/>
                <w:b/>
                <w:sz w:val="20"/>
                <w:szCs w:val="20"/>
              </w:rPr>
            </w:pPr>
            <w:r>
              <w:rPr>
                <w:b/>
                <w:bCs/>
                <w:sz w:val="20"/>
                <w:szCs w:val="20"/>
              </w:rPr>
              <w:t>Criteria for Dose Escalation Termination</w:t>
            </w:r>
          </w:p>
        </w:tc>
        <w:tc>
          <w:tcPr>
            <w:tcW w:w="422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69718B58">
            <w:pPr>
              <w:pStyle w:val="78"/>
              <w:numPr>
                <w:ilvl w:val="0"/>
                <w:numId w:val="3"/>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In any part of the study, dose escalation will be stopped if more than 1/4 subjects experience grade 3 to 4 drug-related adverse events within the same system organ class (SOC) or a RAY1225-related SAE indicating significant intolerance in a subject occurs.</w:t>
            </w:r>
          </w:p>
        </w:tc>
      </w:tr>
      <w:tr w14:paraId="763A9348">
        <w:tblPrEx>
          <w:tblBorders>
            <w:top w:val="single" w:color="000000" w:sz="2" w:space="0"/>
            <w:left w:val="single" w:color="000000" w:sz="2" w:space="0"/>
            <w:bottom w:val="single" w:color="000000" w:sz="2" w:space="0"/>
            <w:right w:val="single" w:color="000000" w:sz="2" w:space="0"/>
            <w:insideH w:val="single" w:color="FF2600" w:sz="2" w:space="0"/>
            <w:insideV w:val="single" w:color="FF2600" w:sz="2" w:space="0"/>
          </w:tblBorders>
          <w:tblCellMar>
            <w:top w:w="28" w:type="dxa"/>
            <w:left w:w="57" w:type="dxa"/>
            <w:bottom w:w="28" w:type="dxa"/>
            <w:right w:w="57" w:type="dxa"/>
          </w:tblCellMar>
        </w:tblPrEx>
        <w:tc>
          <w:tcPr>
            <w:tcW w:w="78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443FA825">
            <w:pPr>
              <w:overflowPunct w:val="0"/>
              <w:autoSpaceDE w:val="0"/>
              <w:autoSpaceDN w:val="0"/>
              <w:adjustRightInd w:val="0"/>
              <w:snapToGrid w:val="0"/>
              <w:spacing w:before="72" w:beforeLines="30" w:after="72" w:afterLines="30"/>
              <w:rPr>
                <w:rFonts w:eastAsia="宋体"/>
                <w:b/>
                <w:bCs/>
                <w:sz w:val="20"/>
                <w:szCs w:val="20"/>
              </w:rPr>
            </w:pPr>
            <w:r>
              <w:rPr>
                <w:b/>
                <w:bCs/>
                <w:sz w:val="20"/>
                <w:szCs w:val="20"/>
              </w:rPr>
              <w:t>Pharmacokinetic Assessment Endpoints and Time Points for Blood Collection</w:t>
            </w:r>
          </w:p>
        </w:tc>
        <w:tc>
          <w:tcPr>
            <w:tcW w:w="422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592269C2">
            <w:pPr>
              <w:overflowPunct w:val="0"/>
              <w:autoSpaceDE w:val="0"/>
              <w:autoSpaceDN w:val="0"/>
              <w:adjustRightInd w:val="0"/>
              <w:snapToGrid w:val="0"/>
              <w:spacing w:before="72" w:beforeLines="30" w:after="72" w:afterLines="30"/>
              <w:rPr>
                <w:rFonts w:eastAsia="宋体"/>
                <w:b/>
                <w:bCs/>
                <w:sz w:val="20"/>
                <w:szCs w:val="20"/>
              </w:rPr>
            </w:pPr>
            <w:r>
              <w:rPr>
                <w:b/>
                <w:bCs/>
                <w:sz w:val="20"/>
                <w:szCs w:val="20"/>
              </w:rPr>
              <w:t>(1) Pharmacokinetic assessment endpoints</w:t>
            </w:r>
          </w:p>
          <w:p w14:paraId="18401AE9">
            <w:pPr>
              <w:overflowPunct w:val="0"/>
              <w:autoSpaceDE w:val="0"/>
              <w:autoSpaceDN w:val="0"/>
              <w:adjustRightInd w:val="0"/>
              <w:snapToGrid w:val="0"/>
              <w:spacing w:before="72" w:beforeLines="30" w:after="72" w:afterLines="30"/>
              <w:rPr>
                <w:rFonts w:eastAsia="宋体"/>
                <w:sz w:val="20"/>
                <w:szCs w:val="20"/>
              </w:rPr>
            </w:pPr>
            <w:r>
              <w:rPr>
                <w:sz w:val="20"/>
                <w:szCs w:val="20"/>
              </w:rPr>
              <w:t>PK parameters will be calculated by the non-compartmental analysis using Phoenix WinNonlin (version 8.3 or later) to reflect the PK of RAY1225 and acetaminophen in subjects.</w:t>
            </w:r>
          </w:p>
          <w:p w14:paraId="6E55118B">
            <w:pPr>
              <w:overflowPunct w:val="0"/>
              <w:autoSpaceDE w:val="0"/>
              <w:autoSpaceDN w:val="0"/>
              <w:adjustRightInd w:val="0"/>
              <w:snapToGrid w:val="0"/>
              <w:spacing w:before="72" w:beforeLines="30" w:after="72" w:afterLines="30"/>
              <w:rPr>
                <w:rFonts w:eastAsia="宋体"/>
                <w:sz w:val="20"/>
                <w:szCs w:val="20"/>
              </w:rPr>
            </w:pPr>
            <w:r>
              <w:rPr>
                <w:sz w:val="20"/>
                <w:szCs w:val="20"/>
              </w:rPr>
              <w:t>The PK parameters of RAY1225 mainly include T</w:t>
            </w:r>
            <w:r>
              <w:rPr>
                <w:sz w:val="20"/>
                <w:szCs w:val="20"/>
                <w:vertAlign w:val="subscript"/>
              </w:rPr>
              <w:t>max</w:t>
            </w:r>
            <w:r>
              <w:rPr>
                <w:sz w:val="20"/>
                <w:szCs w:val="20"/>
              </w:rPr>
              <w:t>, C</w:t>
            </w:r>
            <w:r>
              <w:rPr>
                <w:sz w:val="20"/>
                <w:szCs w:val="20"/>
                <w:vertAlign w:val="subscript"/>
              </w:rPr>
              <w:t>max,ss</w:t>
            </w:r>
            <w:r>
              <w:rPr>
                <w:sz w:val="20"/>
                <w:szCs w:val="20"/>
              </w:rPr>
              <w:t>, C</w:t>
            </w:r>
            <w:r>
              <w:rPr>
                <w:sz w:val="20"/>
                <w:szCs w:val="20"/>
                <w:vertAlign w:val="subscript"/>
              </w:rPr>
              <w:t>min,ss</w:t>
            </w:r>
            <w:r>
              <w:rPr>
                <w:sz w:val="20"/>
                <w:szCs w:val="20"/>
              </w:rPr>
              <w:t>, C</w:t>
            </w:r>
            <w:r>
              <w:rPr>
                <w:sz w:val="20"/>
                <w:szCs w:val="20"/>
                <w:vertAlign w:val="subscript"/>
              </w:rPr>
              <w:t>av,ss</w:t>
            </w:r>
            <w:r>
              <w:rPr>
                <w:sz w:val="20"/>
                <w:szCs w:val="20"/>
              </w:rPr>
              <w:t>, t</w:t>
            </w:r>
            <w:r>
              <w:rPr>
                <w:sz w:val="20"/>
                <w:szCs w:val="20"/>
                <w:vertAlign w:val="subscript"/>
              </w:rPr>
              <w:t>1/2</w:t>
            </w:r>
            <w:r>
              <w:rPr>
                <w:sz w:val="20"/>
                <w:szCs w:val="20"/>
              </w:rPr>
              <w:t>, AUC</w:t>
            </w:r>
            <w:r>
              <w:rPr>
                <w:sz w:val="20"/>
                <w:szCs w:val="20"/>
                <w:vertAlign w:val="subscript"/>
              </w:rPr>
              <w:t>0-τ,ss</w:t>
            </w:r>
            <w:r>
              <w:rPr>
                <w:sz w:val="20"/>
                <w:szCs w:val="20"/>
              </w:rPr>
              <w:t>, AUC</w:t>
            </w:r>
            <w:r>
              <w:rPr>
                <w:sz w:val="20"/>
                <w:szCs w:val="20"/>
                <w:vertAlign w:val="subscript"/>
              </w:rPr>
              <w:t>0</w:t>
            </w:r>
            <w:r>
              <w:rPr>
                <w:sz w:val="20"/>
                <w:szCs w:val="20"/>
                <w:vertAlign w:val="subscript"/>
              </w:rPr>
              <w:noBreakHyphen/>
            </w:r>
            <w:r>
              <w:rPr>
                <w:sz w:val="20"/>
                <w:szCs w:val="20"/>
                <w:vertAlign w:val="subscript"/>
              </w:rPr>
              <w:t>∞</w:t>
            </w:r>
            <w:r>
              <w:rPr>
                <w:sz w:val="20"/>
                <w:szCs w:val="20"/>
              </w:rPr>
              <w:t>, AUC</w:t>
            </w:r>
            <w:r>
              <w:rPr>
                <w:sz w:val="20"/>
                <w:szCs w:val="20"/>
                <w:vertAlign w:val="subscript"/>
              </w:rPr>
              <w:t>0-t</w:t>
            </w:r>
            <w:r>
              <w:rPr>
                <w:sz w:val="20"/>
                <w:szCs w:val="20"/>
              </w:rPr>
              <w:t>, CL/F, V</w:t>
            </w:r>
            <w:r>
              <w:rPr>
                <w:sz w:val="20"/>
                <w:szCs w:val="20"/>
                <w:vertAlign w:val="subscript"/>
              </w:rPr>
              <w:t>d</w:t>
            </w:r>
            <w:r>
              <w:rPr>
                <w:sz w:val="20"/>
                <w:szCs w:val="20"/>
              </w:rPr>
              <w:t>/F, and DF;</w:t>
            </w:r>
          </w:p>
          <w:p w14:paraId="14DFF437">
            <w:pPr>
              <w:overflowPunct w:val="0"/>
              <w:autoSpaceDE w:val="0"/>
              <w:autoSpaceDN w:val="0"/>
              <w:adjustRightInd w:val="0"/>
              <w:snapToGrid w:val="0"/>
              <w:spacing w:before="72" w:beforeLines="30" w:after="72" w:afterLines="30"/>
              <w:rPr>
                <w:rFonts w:eastAsia="宋体"/>
                <w:sz w:val="20"/>
                <w:szCs w:val="20"/>
              </w:rPr>
            </w:pPr>
            <w:r>
              <w:rPr>
                <w:sz w:val="20"/>
                <w:szCs w:val="20"/>
              </w:rPr>
              <w:t>The PK parameters of acetaminophen mainly include T</w:t>
            </w:r>
            <w:r>
              <w:rPr>
                <w:sz w:val="20"/>
                <w:szCs w:val="20"/>
                <w:vertAlign w:val="subscript"/>
              </w:rPr>
              <w:t>max</w:t>
            </w:r>
            <w:r>
              <w:rPr>
                <w:sz w:val="20"/>
                <w:szCs w:val="20"/>
              </w:rPr>
              <w:t>, T</w:t>
            </w:r>
            <w:r>
              <w:rPr>
                <w:sz w:val="20"/>
                <w:szCs w:val="20"/>
                <w:vertAlign w:val="subscript"/>
              </w:rPr>
              <w:t>lag</w:t>
            </w:r>
            <w:r>
              <w:rPr>
                <w:sz w:val="20"/>
                <w:szCs w:val="20"/>
              </w:rPr>
              <w:t>, C</w:t>
            </w:r>
            <w:r>
              <w:rPr>
                <w:sz w:val="20"/>
                <w:szCs w:val="20"/>
                <w:vertAlign w:val="subscript"/>
              </w:rPr>
              <w:t>max</w:t>
            </w:r>
            <w:r>
              <w:rPr>
                <w:sz w:val="20"/>
                <w:szCs w:val="20"/>
              </w:rPr>
              <w:t>, t</w:t>
            </w:r>
            <w:r>
              <w:rPr>
                <w:sz w:val="20"/>
                <w:szCs w:val="20"/>
                <w:vertAlign w:val="subscript"/>
              </w:rPr>
              <w:t>1/2</w:t>
            </w:r>
            <w:r>
              <w:rPr>
                <w:sz w:val="20"/>
                <w:szCs w:val="20"/>
              </w:rPr>
              <w:t>, AUC</w:t>
            </w:r>
            <w:r>
              <w:rPr>
                <w:sz w:val="20"/>
                <w:szCs w:val="20"/>
                <w:vertAlign w:val="subscript"/>
              </w:rPr>
              <w:t>0-∞</w:t>
            </w:r>
            <w:r>
              <w:rPr>
                <w:sz w:val="20"/>
                <w:szCs w:val="20"/>
              </w:rPr>
              <w:t>, AUC</w:t>
            </w:r>
            <w:r>
              <w:rPr>
                <w:sz w:val="20"/>
                <w:szCs w:val="20"/>
                <w:vertAlign w:val="subscript"/>
              </w:rPr>
              <w:t>0-t</w:t>
            </w:r>
            <w:r>
              <w:rPr>
                <w:sz w:val="20"/>
                <w:szCs w:val="20"/>
              </w:rPr>
              <w:t>, CL/F, MRT, and V</w:t>
            </w:r>
            <w:r>
              <w:rPr>
                <w:sz w:val="20"/>
                <w:szCs w:val="20"/>
                <w:vertAlign w:val="subscript"/>
              </w:rPr>
              <w:t>d</w:t>
            </w:r>
            <w:r>
              <w:rPr>
                <w:sz w:val="20"/>
                <w:szCs w:val="20"/>
              </w:rPr>
              <w:t>/F.</w:t>
            </w:r>
          </w:p>
          <w:p w14:paraId="6EA897ED">
            <w:pPr>
              <w:overflowPunct w:val="0"/>
              <w:autoSpaceDE w:val="0"/>
              <w:autoSpaceDN w:val="0"/>
              <w:adjustRightInd w:val="0"/>
              <w:snapToGrid w:val="0"/>
              <w:spacing w:before="72" w:beforeLines="30" w:after="72" w:afterLines="30"/>
              <w:rPr>
                <w:rFonts w:eastAsia="宋体"/>
                <w:b/>
                <w:bCs/>
                <w:sz w:val="20"/>
                <w:szCs w:val="20"/>
              </w:rPr>
            </w:pPr>
            <w:r>
              <w:rPr>
                <w:b/>
                <w:bCs/>
                <w:sz w:val="20"/>
                <w:szCs w:val="20"/>
              </w:rPr>
              <w:t>(2) Time points for PK blood sample collection</w:t>
            </w:r>
          </w:p>
          <w:p w14:paraId="54D956E8">
            <w:pPr>
              <w:overflowPunct w:val="0"/>
              <w:autoSpaceDE w:val="0"/>
              <w:autoSpaceDN w:val="0"/>
              <w:adjustRightInd w:val="0"/>
              <w:snapToGrid w:val="0"/>
              <w:spacing w:before="72" w:beforeLines="30" w:after="72" w:afterLines="30"/>
              <w:rPr>
                <w:rFonts w:eastAsia="宋体"/>
                <w:sz w:val="20"/>
                <w:szCs w:val="20"/>
              </w:rPr>
            </w:pPr>
            <w:r>
              <w:rPr>
                <w:b/>
                <w:bCs/>
                <w:sz w:val="20"/>
                <w:szCs w:val="20"/>
              </w:rPr>
              <w:t>Part A and Part B expansion study:</w:t>
            </w:r>
            <w:r>
              <w:rPr>
                <w:sz w:val="20"/>
                <w:szCs w:val="20"/>
              </w:rPr>
              <w:t xml:space="preserve"> PK blood samples of RAY1225 will be collected once before the first dose, pre-dose at weeks 4, 8, 12, and 16, pre-dose and at 4–72 h and 96–240 h post-dose at week 22, at week 24 or 26, and at early withdrawal. Each subject will have up to 10 blood sampling points, with approximately 4 mL of blood to be drawn each time.</w:t>
            </w:r>
          </w:p>
          <w:p w14:paraId="30E7ED35">
            <w:pPr>
              <w:overflowPunct w:val="0"/>
              <w:autoSpaceDE w:val="0"/>
              <w:autoSpaceDN w:val="0"/>
              <w:adjustRightInd w:val="0"/>
              <w:snapToGrid w:val="0"/>
              <w:spacing w:before="72" w:beforeLines="30" w:after="72" w:afterLines="30"/>
              <w:rPr>
                <w:rFonts w:eastAsia="宋体"/>
                <w:sz w:val="20"/>
                <w:szCs w:val="20"/>
              </w:rPr>
            </w:pPr>
            <w:r>
              <w:rPr>
                <w:b/>
                <w:bCs/>
                <w:sz w:val="20"/>
                <w:szCs w:val="20"/>
              </w:rPr>
              <w:t>Part B dose escalation study:</w:t>
            </w:r>
            <w:bookmarkStart w:id="20" w:name="_Hlk156075448"/>
            <w:r>
              <w:rPr>
                <w:sz w:val="20"/>
                <w:szCs w:val="20"/>
              </w:rPr>
              <w:t xml:space="preserve"> PK blood samples of RAY1225 will be collected once before the first dose, pre-dose at weeks 4, 8, 12, and 16, pre-dose and at 4, 8, 24, 48, 72, 168, 240, 336, 504, 672, 840, and 1008 h post-dose at week 22, and at early withdrawal, respectively. Each subject will have up to 18 </w:t>
            </w:r>
            <w:bookmarkEnd w:id="20"/>
            <w:r>
              <w:rPr>
                <w:sz w:val="20"/>
                <w:szCs w:val="20"/>
              </w:rPr>
              <w:t xml:space="preserve">blood sampling points, </w:t>
            </w:r>
            <w:bookmarkStart w:id="21" w:name="OLE_LINK28"/>
            <w:r>
              <w:rPr>
                <w:sz w:val="20"/>
                <w:szCs w:val="20"/>
              </w:rPr>
              <w:t>with approximately 4 mL of blood to be drawn each time.</w:t>
            </w:r>
          </w:p>
          <w:p w14:paraId="4C83C572">
            <w:pPr>
              <w:overflowPunct w:val="0"/>
              <w:autoSpaceDE w:val="0"/>
              <w:autoSpaceDN w:val="0"/>
              <w:adjustRightInd w:val="0"/>
              <w:snapToGrid w:val="0"/>
              <w:spacing w:before="72" w:beforeLines="30" w:after="72" w:afterLines="30"/>
              <w:rPr>
                <w:rFonts w:eastAsia="宋体"/>
                <w:sz w:val="20"/>
                <w:szCs w:val="20"/>
              </w:rPr>
            </w:pPr>
            <w:r>
              <w:rPr>
                <w:b/>
                <w:bCs/>
                <w:sz w:val="20"/>
                <w:szCs w:val="20"/>
              </w:rPr>
              <w:t>PK sampling for acetaminophen for gastric emptying study in dose escalation group 1:</w:t>
            </w:r>
            <w:r>
              <w:rPr>
                <w:sz w:val="20"/>
                <w:szCs w:val="20"/>
              </w:rPr>
              <w:t xml:space="preserve"> For the 2 acetaminophen doses in dose escalation group 1, subjects will receive intensive blood sampling twice within 2 h pre-dose and at 0.25 h, 0.5 h, 0.75 h, 1 h, 2 h, 3 h, 4 h, 6 h, 9 h, 12 h, and 24 h post-dose, respectively, to determine the concentration of acetaminophen in plasma, with a total of 24 blood sampling points and approximately 3 mL of blood to be drawn each time.</w:t>
            </w:r>
            <w:bookmarkEnd w:id="21"/>
          </w:p>
        </w:tc>
      </w:tr>
      <w:tr w14:paraId="4A58CF6B">
        <w:tblPrEx>
          <w:tblBorders>
            <w:top w:val="single" w:color="000000" w:sz="2" w:space="0"/>
            <w:left w:val="single" w:color="000000" w:sz="2" w:space="0"/>
            <w:bottom w:val="single" w:color="000000" w:sz="2" w:space="0"/>
            <w:right w:val="single" w:color="000000" w:sz="2" w:space="0"/>
            <w:insideH w:val="single" w:color="FF2600" w:sz="2" w:space="0"/>
            <w:insideV w:val="single" w:color="FF2600" w:sz="2" w:space="0"/>
          </w:tblBorders>
          <w:tblCellMar>
            <w:top w:w="28" w:type="dxa"/>
            <w:left w:w="57" w:type="dxa"/>
            <w:bottom w:w="28" w:type="dxa"/>
            <w:right w:w="57" w:type="dxa"/>
          </w:tblCellMar>
        </w:tblPrEx>
        <w:tc>
          <w:tcPr>
            <w:tcW w:w="78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40312E70">
            <w:pPr>
              <w:overflowPunct w:val="0"/>
              <w:autoSpaceDE w:val="0"/>
              <w:autoSpaceDN w:val="0"/>
              <w:adjustRightInd w:val="0"/>
              <w:snapToGrid w:val="0"/>
              <w:spacing w:before="72" w:beforeLines="30" w:after="72" w:afterLines="30"/>
              <w:rPr>
                <w:rFonts w:eastAsia="宋体"/>
                <w:b/>
                <w:bCs/>
                <w:sz w:val="20"/>
                <w:szCs w:val="20"/>
              </w:rPr>
            </w:pPr>
            <w:r>
              <w:rPr>
                <w:b/>
                <w:bCs/>
                <w:sz w:val="20"/>
                <w:szCs w:val="20"/>
              </w:rPr>
              <w:t>Safety and Tolerability Evaluation Endpoints</w:t>
            </w:r>
          </w:p>
        </w:tc>
        <w:tc>
          <w:tcPr>
            <w:tcW w:w="422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39CF4D23">
            <w:pPr>
              <w:overflowPunct w:val="0"/>
              <w:autoSpaceDE w:val="0"/>
              <w:autoSpaceDN w:val="0"/>
              <w:adjustRightInd w:val="0"/>
              <w:snapToGrid w:val="0"/>
              <w:spacing w:before="72" w:beforeLines="30" w:after="72" w:afterLines="30"/>
              <w:rPr>
                <w:rFonts w:eastAsia="宋体"/>
                <w:sz w:val="20"/>
                <w:szCs w:val="20"/>
              </w:rPr>
            </w:pPr>
            <w:bookmarkStart w:id="22" w:name="OLE_LINK17"/>
            <w:r>
              <w:rPr>
                <w:sz w:val="20"/>
                <w:szCs w:val="20"/>
              </w:rPr>
              <w:t>The safety and tolerability in subjects will be evaluated using CTCAE 5.0.</w:t>
            </w:r>
          </w:p>
          <w:p w14:paraId="60CF185F">
            <w:pPr>
              <w:overflowPunct w:val="0"/>
              <w:autoSpaceDE w:val="0"/>
              <w:autoSpaceDN w:val="0"/>
              <w:adjustRightInd w:val="0"/>
              <w:snapToGrid w:val="0"/>
              <w:spacing w:before="72" w:beforeLines="30" w:after="72" w:afterLines="30"/>
              <w:rPr>
                <w:rFonts w:eastAsia="宋体"/>
                <w:sz w:val="20"/>
                <w:szCs w:val="20"/>
              </w:rPr>
            </w:pPr>
            <w:r>
              <w:rPr>
                <w:sz w:val="20"/>
                <w:szCs w:val="20"/>
              </w:rPr>
              <w:t>The parameters mainly include: physical examination, vital signs, laboratory tests (routine hematology + Ret, blood chemistry, coagulation test, urinalysis, five tests of thyroid function, calcitonin, T-lymphocyte subsets, and UACR), 12-lead ECG, fundoscopy, and adverse events.</w:t>
            </w:r>
          </w:p>
          <w:p w14:paraId="03E6DA7E">
            <w:pPr>
              <w:overflowPunct w:val="0"/>
              <w:autoSpaceDE w:val="0"/>
              <w:autoSpaceDN w:val="0"/>
              <w:adjustRightInd w:val="0"/>
              <w:snapToGrid w:val="0"/>
              <w:spacing w:before="72" w:beforeLines="30" w:after="72" w:afterLines="30"/>
              <w:rPr>
                <w:rFonts w:eastAsia="宋体"/>
                <w:sz w:val="20"/>
                <w:szCs w:val="20"/>
              </w:rPr>
            </w:pPr>
            <w:r>
              <w:rPr>
                <w:sz w:val="20"/>
                <w:szCs w:val="20"/>
              </w:rPr>
              <w:t>Adverse events of special interest (AESIs) include: hypoglycemia, hypersensitivity reaction, injection site reaction, pancreatitis, acute gallbladder disease, and malignant neoplasm of thyroid gland.</w:t>
            </w:r>
            <w:bookmarkEnd w:id="22"/>
          </w:p>
        </w:tc>
      </w:tr>
      <w:tr w14:paraId="64E9E80E">
        <w:tblPrEx>
          <w:tblBorders>
            <w:top w:val="single" w:color="000000" w:sz="2" w:space="0"/>
            <w:left w:val="single" w:color="000000" w:sz="2" w:space="0"/>
            <w:bottom w:val="single" w:color="000000" w:sz="2" w:space="0"/>
            <w:right w:val="single" w:color="000000" w:sz="2" w:space="0"/>
            <w:insideH w:val="single" w:color="FF2600" w:sz="2" w:space="0"/>
            <w:insideV w:val="single" w:color="FF2600" w:sz="2" w:space="0"/>
          </w:tblBorders>
          <w:tblCellMar>
            <w:top w:w="28" w:type="dxa"/>
            <w:left w:w="57" w:type="dxa"/>
            <w:bottom w:w="28" w:type="dxa"/>
            <w:right w:w="57" w:type="dxa"/>
          </w:tblCellMar>
        </w:tblPrEx>
        <w:tc>
          <w:tcPr>
            <w:tcW w:w="78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4C1A05D3">
            <w:pPr>
              <w:overflowPunct w:val="0"/>
              <w:autoSpaceDE w:val="0"/>
              <w:autoSpaceDN w:val="0"/>
              <w:adjustRightInd w:val="0"/>
              <w:snapToGrid w:val="0"/>
              <w:spacing w:before="72" w:beforeLines="30" w:after="72" w:afterLines="30"/>
              <w:rPr>
                <w:rFonts w:eastAsia="宋体"/>
                <w:sz w:val="20"/>
                <w:szCs w:val="20"/>
              </w:rPr>
            </w:pPr>
            <w:r>
              <w:rPr>
                <w:b/>
                <w:bCs/>
                <w:sz w:val="20"/>
                <w:szCs w:val="20"/>
              </w:rPr>
              <w:t>Immunogenicity Study</w:t>
            </w:r>
          </w:p>
        </w:tc>
        <w:tc>
          <w:tcPr>
            <w:tcW w:w="422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1D5E5435">
            <w:pPr>
              <w:pStyle w:val="78"/>
              <w:numPr>
                <w:ilvl w:val="0"/>
                <w:numId w:val="12"/>
              </w:numPr>
              <w:overflowPunct w:val="0"/>
              <w:autoSpaceDE w:val="0"/>
              <w:autoSpaceDN w:val="0"/>
              <w:adjustRightInd w:val="0"/>
              <w:snapToGrid w:val="0"/>
              <w:spacing w:before="72" w:beforeLines="30" w:after="72" w:afterLines="30"/>
              <w:ind w:left="343" w:hanging="343"/>
              <w:jc w:val="left"/>
              <w:rPr>
                <w:rFonts w:hAnsi="Times New Roman" w:eastAsia="宋体" w:cs="Times New Roman"/>
                <w:color w:val="auto"/>
                <w:kern w:val="0"/>
                <w:sz w:val="20"/>
                <w:szCs w:val="20"/>
              </w:rPr>
            </w:pPr>
            <w:r>
              <w:rPr>
                <w:rFonts w:hAnsi="Times New Roman" w:cs="Times New Roman"/>
                <w:b/>
                <w:bCs/>
                <w:color w:val="auto"/>
                <w:sz w:val="20"/>
                <w:szCs w:val="20"/>
              </w:rPr>
              <w:t>Part A and Part B expansion study:</w:t>
            </w:r>
            <w:r>
              <w:rPr>
                <w:rFonts w:hAnsi="Times New Roman" w:cs="Times New Roman"/>
                <w:color w:val="auto"/>
                <w:sz w:val="20"/>
                <w:szCs w:val="20"/>
              </w:rPr>
              <w:t xml:space="preserve"> Blood samples will be collected before the first dose and at weeks 2, 4, 12, 22, and 26 after the first dose, respectively;</w:t>
            </w:r>
          </w:p>
          <w:p w14:paraId="46D145F4">
            <w:pPr>
              <w:pStyle w:val="2"/>
              <w:numPr>
                <w:ilvl w:val="0"/>
                <w:numId w:val="12"/>
              </w:numPr>
              <w:overflowPunct w:val="0"/>
              <w:autoSpaceDE w:val="0"/>
              <w:autoSpaceDN w:val="0"/>
              <w:adjustRightInd w:val="0"/>
              <w:snapToGrid w:val="0"/>
              <w:spacing w:before="72" w:beforeLines="30" w:after="72" w:afterLines="30"/>
              <w:ind w:left="343" w:hanging="343"/>
              <w:rPr>
                <w:rFonts w:eastAsia="宋体"/>
                <w:sz w:val="20"/>
                <w:szCs w:val="20"/>
              </w:rPr>
            </w:pPr>
            <w:r>
              <w:rPr>
                <w:b/>
                <w:bCs/>
                <w:sz w:val="20"/>
                <w:szCs w:val="20"/>
              </w:rPr>
              <w:t>Part B dose escalation study</w:t>
            </w:r>
            <w:r>
              <w:rPr>
                <w:sz w:val="20"/>
                <w:szCs w:val="20"/>
              </w:rPr>
              <w:t>: Samples will be collected before the first dose and at weeks 2, 4, 12, 22, 26, and 28 after the first dose, respectively.</w:t>
            </w:r>
          </w:p>
          <w:p w14:paraId="65756D2B">
            <w:pPr>
              <w:pStyle w:val="2"/>
              <w:overflowPunct w:val="0"/>
              <w:autoSpaceDE w:val="0"/>
              <w:autoSpaceDN w:val="0"/>
              <w:adjustRightInd w:val="0"/>
              <w:snapToGrid w:val="0"/>
              <w:spacing w:before="72" w:beforeLines="30" w:after="72" w:afterLines="30"/>
              <w:rPr>
                <w:rFonts w:eastAsia="宋体"/>
                <w:sz w:val="20"/>
                <w:szCs w:val="20"/>
              </w:rPr>
            </w:pPr>
            <w:r>
              <w:rPr>
                <w:sz w:val="20"/>
                <w:szCs w:val="20"/>
              </w:rPr>
              <w:t>About 5 mL of blood will be collected each time for immunogenicity to detect anti-drug antibody (ADA) against RAY1225. Samples with positive ADA will be further tested for neutralizing antibody (Nab). If blood sample collection for immunogenicity test and subcutaneous administration of RAY1225 are on the same day, blood sampling should be completed before administration.</w:t>
            </w:r>
          </w:p>
        </w:tc>
      </w:tr>
      <w:tr w14:paraId="32EA5F95">
        <w:tblPrEx>
          <w:tblBorders>
            <w:top w:val="single" w:color="000000" w:sz="2" w:space="0"/>
            <w:left w:val="single" w:color="000000" w:sz="2" w:space="0"/>
            <w:bottom w:val="single" w:color="000000" w:sz="2" w:space="0"/>
            <w:right w:val="single" w:color="000000" w:sz="2" w:space="0"/>
            <w:insideH w:val="single" w:color="FF2600" w:sz="2" w:space="0"/>
            <w:insideV w:val="single" w:color="FF2600" w:sz="2" w:space="0"/>
          </w:tblBorders>
          <w:tblCellMar>
            <w:top w:w="28" w:type="dxa"/>
            <w:left w:w="57" w:type="dxa"/>
            <w:bottom w:w="28" w:type="dxa"/>
            <w:right w:w="57" w:type="dxa"/>
          </w:tblCellMar>
        </w:tblPrEx>
        <w:tc>
          <w:tcPr>
            <w:tcW w:w="78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7C784E54">
            <w:pPr>
              <w:overflowPunct w:val="0"/>
              <w:autoSpaceDE w:val="0"/>
              <w:autoSpaceDN w:val="0"/>
              <w:adjustRightInd w:val="0"/>
              <w:snapToGrid w:val="0"/>
              <w:spacing w:before="72" w:beforeLines="30" w:after="72" w:afterLines="30"/>
              <w:rPr>
                <w:rFonts w:eastAsia="宋体"/>
                <w:b/>
                <w:bCs/>
                <w:sz w:val="20"/>
                <w:szCs w:val="20"/>
              </w:rPr>
            </w:pPr>
            <w:r>
              <w:rPr>
                <w:b/>
                <w:bCs/>
                <w:sz w:val="20"/>
                <w:szCs w:val="20"/>
              </w:rPr>
              <w:t>Efficacy Evaluation</w:t>
            </w:r>
          </w:p>
        </w:tc>
        <w:tc>
          <w:tcPr>
            <w:tcW w:w="422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2E61E647">
            <w:pPr>
              <w:overflowPunct w:val="0"/>
              <w:autoSpaceDE w:val="0"/>
              <w:autoSpaceDN w:val="0"/>
              <w:adjustRightInd w:val="0"/>
              <w:snapToGrid w:val="0"/>
              <w:spacing w:before="72" w:beforeLines="30" w:after="72" w:afterLines="30"/>
              <w:rPr>
                <w:rFonts w:eastAsia="宋体"/>
                <w:b/>
                <w:bCs/>
                <w:sz w:val="20"/>
                <w:szCs w:val="20"/>
              </w:rPr>
            </w:pPr>
            <w:r>
              <w:rPr>
                <w:b/>
                <w:bCs/>
                <w:sz w:val="20"/>
                <w:szCs w:val="20"/>
              </w:rPr>
              <w:t>Primary efficacy endpoint:</w:t>
            </w:r>
          </w:p>
          <w:p w14:paraId="7CCBEBB6">
            <w:pPr>
              <w:pStyle w:val="78"/>
              <w:numPr>
                <w:ilvl w:val="0"/>
                <w:numId w:val="13"/>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Change from baseline in glycosylated hemoglobin (HbA1c);</w:t>
            </w:r>
          </w:p>
          <w:p w14:paraId="361E8E9E">
            <w:pPr>
              <w:overflowPunct w:val="0"/>
              <w:autoSpaceDE w:val="0"/>
              <w:autoSpaceDN w:val="0"/>
              <w:adjustRightInd w:val="0"/>
              <w:snapToGrid w:val="0"/>
              <w:spacing w:before="72" w:beforeLines="30" w:after="72" w:afterLines="30"/>
              <w:rPr>
                <w:rFonts w:eastAsia="宋体"/>
                <w:sz w:val="20"/>
                <w:szCs w:val="20"/>
              </w:rPr>
            </w:pPr>
            <w:r>
              <w:rPr>
                <w:b/>
                <w:bCs/>
                <w:sz w:val="20"/>
                <w:szCs w:val="20"/>
              </w:rPr>
              <w:t>Secondary efficacy endpoints:</w:t>
            </w:r>
          </w:p>
          <w:p w14:paraId="31704F31">
            <w:pPr>
              <w:pStyle w:val="78"/>
              <w:numPr>
                <w:ilvl w:val="0"/>
                <w:numId w:val="13"/>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Percentage of subjects with HbA1c &lt; 7%, HbA1c ≤ 6.5%, and HbA1c ≤ 5.7%;</w:t>
            </w:r>
          </w:p>
          <w:p w14:paraId="3C9AE8C3">
            <w:pPr>
              <w:pStyle w:val="78"/>
              <w:numPr>
                <w:ilvl w:val="0"/>
                <w:numId w:val="13"/>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Change from baseline in fasting plasma glucose;</w:t>
            </w:r>
          </w:p>
          <w:p w14:paraId="41BBE5A0">
            <w:pPr>
              <w:pStyle w:val="78"/>
              <w:numPr>
                <w:ilvl w:val="0"/>
                <w:numId w:val="13"/>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Change from baseline in lipid level;</w:t>
            </w:r>
          </w:p>
          <w:p w14:paraId="60650DF4">
            <w:pPr>
              <w:pStyle w:val="78"/>
              <w:numPr>
                <w:ilvl w:val="0"/>
                <w:numId w:val="13"/>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Change from baseline in weight, waist circumference, waist-to-hip ratio, and BMI;</w:t>
            </w:r>
          </w:p>
          <w:p w14:paraId="692E5E73">
            <w:pPr>
              <w:pStyle w:val="78"/>
              <w:numPr>
                <w:ilvl w:val="0"/>
                <w:numId w:val="13"/>
              </w:numPr>
              <w:overflowPunct w:val="0"/>
              <w:autoSpaceDE w:val="0"/>
              <w:autoSpaceDN w:val="0"/>
              <w:adjustRightInd w:val="0"/>
              <w:snapToGrid w:val="0"/>
              <w:spacing w:before="72" w:beforeLines="30" w:after="72" w:afterLines="30"/>
              <w:jc w:val="left"/>
              <w:rPr>
                <w:rFonts w:hAnsi="Times New Roman" w:eastAsia="宋体" w:cs="Times New Roman"/>
                <w:color w:val="auto"/>
                <w:sz w:val="20"/>
                <w:szCs w:val="20"/>
              </w:rPr>
            </w:pPr>
            <w:r>
              <w:rPr>
                <w:rFonts w:hAnsi="Times New Roman" w:cs="Times New Roman"/>
                <w:color w:val="auto"/>
                <w:sz w:val="20"/>
                <w:szCs w:val="20"/>
              </w:rPr>
              <w:t>Change from baseline in blood pressure (diastolic and systolic)</w:t>
            </w:r>
          </w:p>
        </w:tc>
      </w:tr>
      <w:tr w14:paraId="583183A1">
        <w:tblPrEx>
          <w:tblBorders>
            <w:top w:val="single" w:color="000000" w:sz="2" w:space="0"/>
            <w:left w:val="single" w:color="000000" w:sz="2" w:space="0"/>
            <w:bottom w:val="single" w:color="000000" w:sz="2" w:space="0"/>
            <w:right w:val="single" w:color="000000" w:sz="2" w:space="0"/>
            <w:insideH w:val="single" w:color="FF2600" w:sz="2" w:space="0"/>
            <w:insideV w:val="single" w:color="FF2600" w:sz="2" w:space="0"/>
          </w:tblBorders>
          <w:tblCellMar>
            <w:top w:w="28" w:type="dxa"/>
            <w:left w:w="57" w:type="dxa"/>
            <w:bottom w:w="28" w:type="dxa"/>
            <w:right w:w="57" w:type="dxa"/>
          </w:tblCellMar>
        </w:tblPrEx>
        <w:tc>
          <w:tcPr>
            <w:tcW w:w="78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6461AFFE">
            <w:pPr>
              <w:overflowPunct w:val="0"/>
              <w:autoSpaceDE w:val="0"/>
              <w:autoSpaceDN w:val="0"/>
              <w:adjustRightInd w:val="0"/>
              <w:snapToGrid w:val="0"/>
              <w:spacing w:before="72" w:beforeLines="30" w:after="72" w:afterLines="30"/>
              <w:rPr>
                <w:rFonts w:eastAsia="宋体"/>
                <w:b/>
                <w:sz w:val="20"/>
                <w:szCs w:val="20"/>
              </w:rPr>
            </w:pPr>
            <w:r>
              <w:rPr>
                <w:b/>
                <w:bCs/>
                <w:sz w:val="20"/>
                <w:szCs w:val="20"/>
              </w:rPr>
              <w:t>Statistical Analysis</w:t>
            </w:r>
          </w:p>
        </w:tc>
        <w:tc>
          <w:tcPr>
            <w:tcW w:w="4220"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12A98D73">
            <w:pPr>
              <w:overflowPunct w:val="0"/>
              <w:autoSpaceDE w:val="0"/>
              <w:autoSpaceDN w:val="0"/>
              <w:adjustRightInd w:val="0"/>
              <w:snapToGrid w:val="0"/>
              <w:spacing w:before="72" w:beforeLines="30" w:after="72" w:afterLines="30"/>
              <w:rPr>
                <w:rFonts w:eastAsia="宋体"/>
                <w:b/>
                <w:bCs/>
                <w:sz w:val="20"/>
                <w:szCs w:val="20"/>
              </w:rPr>
            </w:pPr>
            <w:r>
              <w:rPr>
                <w:b/>
                <w:bCs/>
                <w:sz w:val="20"/>
                <w:szCs w:val="20"/>
              </w:rPr>
              <w:t>General principles:</w:t>
            </w:r>
          </w:p>
          <w:p w14:paraId="0DA43704">
            <w:pPr>
              <w:overflowPunct w:val="0"/>
              <w:autoSpaceDE w:val="0"/>
              <w:autoSpaceDN w:val="0"/>
              <w:adjustRightInd w:val="0"/>
              <w:snapToGrid w:val="0"/>
              <w:spacing w:before="72" w:beforeLines="30" w:after="72" w:afterLines="30"/>
              <w:rPr>
                <w:rFonts w:eastAsia="宋体"/>
                <w:sz w:val="20"/>
                <w:szCs w:val="20"/>
              </w:rPr>
            </w:pPr>
            <w:r>
              <w:rPr>
                <w:sz w:val="20"/>
                <w:szCs w:val="20"/>
              </w:rPr>
              <w:t>Pooled analysis will be conducted separately for each study part. Placebo groups in each part of the study will be combined and summarized as one group.</w:t>
            </w:r>
          </w:p>
          <w:p w14:paraId="6FDF5DCE">
            <w:pPr>
              <w:overflowPunct w:val="0"/>
              <w:autoSpaceDE w:val="0"/>
              <w:autoSpaceDN w:val="0"/>
              <w:adjustRightInd w:val="0"/>
              <w:snapToGrid w:val="0"/>
              <w:spacing w:before="72" w:beforeLines="30" w:after="72" w:afterLines="30"/>
              <w:rPr>
                <w:rFonts w:eastAsia="宋体"/>
                <w:sz w:val="20"/>
                <w:szCs w:val="20"/>
              </w:rPr>
            </w:pPr>
            <w:r>
              <w:rPr>
                <w:sz w:val="20"/>
                <w:szCs w:val="20"/>
              </w:rPr>
              <w:t>Phoenix WinNonlin (version 8.3 or later) will be used for PK analysis and SAS (version 9.4 or later) for other statistical analysis.</w:t>
            </w:r>
            <w:bookmarkStart w:id="23" w:name="OLE_LINK40"/>
            <w:bookmarkEnd w:id="23"/>
          </w:p>
          <w:p w14:paraId="671EA15E">
            <w:pPr>
              <w:overflowPunct w:val="0"/>
              <w:autoSpaceDE w:val="0"/>
              <w:autoSpaceDN w:val="0"/>
              <w:adjustRightInd w:val="0"/>
              <w:snapToGrid w:val="0"/>
              <w:spacing w:before="72" w:beforeLines="30" w:after="72" w:afterLines="30"/>
              <w:rPr>
                <w:rFonts w:eastAsia="宋体"/>
                <w:sz w:val="20"/>
                <w:szCs w:val="20"/>
              </w:rPr>
            </w:pPr>
            <w:r>
              <w:rPr>
                <w:sz w:val="20"/>
                <w:szCs w:val="20"/>
              </w:rPr>
              <w:t>The baseline data, PK data, and safety data will be analyzed by statistical description, unless otherwise specified. Quantitative parameters will be statistically described using mean, standard deviation (SD), median, quartile, minimum (Min), and maximum (Max). Qualitative data will be statistically described using frequency or number and percentage of subjects.</w:t>
            </w:r>
          </w:p>
          <w:p w14:paraId="1D2184F8">
            <w:pPr>
              <w:overflowPunct w:val="0"/>
              <w:autoSpaceDE w:val="0"/>
              <w:autoSpaceDN w:val="0"/>
              <w:adjustRightInd w:val="0"/>
              <w:snapToGrid w:val="0"/>
              <w:spacing w:before="72" w:beforeLines="30" w:after="72" w:afterLines="30"/>
              <w:rPr>
                <w:rFonts w:eastAsia="宋体"/>
                <w:b/>
                <w:bCs/>
                <w:sz w:val="20"/>
                <w:szCs w:val="20"/>
              </w:rPr>
            </w:pPr>
            <w:r>
              <w:rPr>
                <w:b/>
                <w:bCs/>
                <w:sz w:val="20"/>
                <w:szCs w:val="20"/>
              </w:rPr>
              <w:t>Statistical analysis data sets:</w:t>
            </w:r>
          </w:p>
          <w:p w14:paraId="29F6CE33">
            <w:pPr>
              <w:pStyle w:val="78"/>
              <w:numPr>
                <w:ilvl w:val="0"/>
                <w:numId w:val="14"/>
              </w:numPr>
              <w:overflowPunct w:val="0"/>
              <w:autoSpaceDE w:val="0"/>
              <w:autoSpaceDN w:val="0"/>
              <w:adjustRightInd w:val="0"/>
              <w:snapToGrid w:val="0"/>
              <w:spacing w:before="72" w:beforeLines="30" w:after="72" w:afterLines="30"/>
              <w:ind w:left="340" w:hanging="283"/>
              <w:jc w:val="left"/>
              <w:rPr>
                <w:rFonts w:hAnsi="Times New Roman" w:eastAsia="宋体" w:cs="Times New Roman"/>
                <w:color w:val="auto"/>
                <w:sz w:val="20"/>
                <w:szCs w:val="20"/>
              </w:rPr>
            </w:pPr>
            <w:r>
              <w:rPr>
                <w:rFonts w:hAnsi="Times New Roman" w:cs="Times New Roman"/>
                <w:color w:val="auto"/>
                <w:sz w:val="20"/>
                <w:szCs w:val="20"/>
              </w:rPr>
              <w:t>Full analysis set (FAS): Including all randomized subjects who have received at least one dose of study drugs;</w:t>
            </w:r>
          </w:p>
          <w:p w14:paraId="7C514587">
            <w:pPr>
              <w:pStyle w:val="78"/>
              <w:numPr>
                <w:ilvl w:val="0"/>
                <w:numId w:val="14"/>
              </w:numPr>
              <w:overflowPunct w:val="0"/>
              <w:autoSpaceDE w:val="0"/>
              <w:autoSpaceDN w:val="0"/>
              <w:adjustRightInd w:val="0"/>
              <w:snapToGrid w:val="0"/>
              <w:spacing w:before="72" w:beforeLines="30" w:after="72" w:afterLines="30"/>
              <w:ind w:left="340" w:hanging="283"/>
              <w:jc w:val="left"/>
              <w:rPr>
                <w:rFonts w:hAnsi="Times New Roman" w:eastAsia="宋体" w:cs="Times New Roman"/>
                <w:color w:val="auto"/>
                <w:sz w:val="20"/>
                <w:szCs w:val="20"/>
              </w:rPr>
            </w:pPr>
            <w:r>
              <w:rPr>
                <w:rFonts w:hAnsi="Times New Roman" w:cs="Times New Roman"/>
                <w:color w:val="auto"/>
                <w:sz w:val="20"/>
                <w:szCs w:val="20"/>
              </w:rPr>
              <w:t>Safety set (SS): Including all randomized subjects who have received at least one dose of study drugs with records of safety endpoints;</w:t>
            </w:r>
          </w:p>
          <w:p w14:paraId="7AA54A53">
            <w:pPr>
              <w:pStyle w:val="78"/>
              <w:numPr>
                <w:ilvl w:val="0"/>
                <w:numId w:val="14"/>
              </w:numPr>
              <w:overflowPunct w:val="0"/>
              <w:autoSpaceDE w:val="0"/>
              <w:autoSpaceDN w:val="0"/>
              <w:adjustRightInd w:val="0"/>
              <w:snapToGrid w:val="0"/>
              <w:spacing w:before="72" w:beforeLines="30" w:after="72" w:afterLines="30"/>
              <w:ind w:left="340" w:hanging="283"/>
              <w:jc w:val="left"/>
              <w:rPr>
                <w:rFonts w:hAnsi="Times New Roman" w:eastAsia="宋体" w:cs="Times New Roman"/>
                <w:color w:val="auto"/>
                <w:sz w:val="20"/>
                <w:szCs w:val="20"/>
              </w:rPr>
            </w:pPr>
            <w:r>
              <w:rPr>
                <w:rFonts w:hAnsi="Times New Roman" w:cs="Times New Roman"/>
                <w:color w:val="auto"/>
                <w:sz w:val="20"/>
                <w:szCs w:val="20"/>
              </w:rPr>
              <w:t>Pharmacokinetics set (PKS): Including all randomized subjects who have received study drugs, have at least one evaluable post-dose plasma drug concentration data, and have no protocol deviations or concomitant medications that significantly affect the PK assessment;</w:t>
            </w:r>
          </w:p>
          <w:p w14:paraId="6C86DF86">
            <w:pPr>
              <w:pStyle w:val="78"/>
              <w:numPr>
                <w:ilvl w:val="0"/>
                <w:numId w:val="14"/>
              </w:numPr>
              <w:overflowPunct w:val="0"/>
              <w:autoSpaceDE w:val="0"/>
              <w:autoSpaceDN w:val="0"/>
              <w:adjustRightInd w:val="0"/>
              <w:snapToGrid w:val="0"/>
              <w:spacing w:before="72" w:beforeLines="30" w:after="72" w:afterLines="30"/>
              <w:ind w:left="340" w:hanging="283"/>
              <w:jc w:val="left"/>
              <w:rPr>
                <w:rFonts w:hAnsi="Times New Roman" w:eastAsia="宋体" w:cs="Times New Roman"/>
                <w:color w:val="auto"/>
                <w:sz w:val="20"/>
                <w:szCs w:val="20"/>
              </w:rPr>
            </w:pPr>
            <w:r>
              <w:rPr>
                <w:rFonts w:hAnsi="Times New Roman" w:cs="Times New Roman"/>
                <w:color w:val="auto"/>
                <w:sz w:val="20"/>
                <w:szCs w:val="20"/>
              </w:rPr>
              <w:t>Immunogenicity analysis set (ADAS): Including all randomized subjects who have received study drugs and have at least one immunogenicity result.</w:t>
            </w:r>
          </w:p>
          <w:p w14:paraId="42056E87">
            <w:pPr>
              <w:overflowPunct w:val="0"/>
              <w:autoSpaceDE w:val="0"/>
              <w:autoSpaceDN w:val="0"/>
              <w:adjustRightInd w:val="0"/>
              <w:snapToGrid w:val="0"/>
              <w:spacing w:before="72" w:beforeLines="30" w:after="72" w:afterLines="30"/>
              <w:rPr>
                <w:rFonts w:eastAsia="宋体"/>
                <w:b/>
                <w:bCs/>
                <w:sz w:val="20"/>
                <w:szCs w:val="20"/>
              </w:rPr>
            </w:pPr>
            <w:r>
              <w:rPr>
                <w:b/>
                <w:bCs/>
                <w:sz w:val="20"/>
                <w:szCs w:val="20"/>
              </w:rPr>
              <w:t>Pharmacokinetics-related analysis:</w:t>
            </w:r>
          </w:p>
          <w:p w14:paraId="656E184B">
            <w:pPr>
              <w:overflowPunct w:val="0"/>
              <w:autoSpaceDE w:val="0"/>
              <w:autoSpaceDN w:val="0"/>
              <w:adjustRightInd w:val="0"/>
              <w:snapToGrid w:val="0"/>
              <w:spacing w:before="72" w:beforeLines="30" w:after="72" w:afterLines="30"/>
              <w:rPr>
                <w:rFonts w:eastAsia="宋体"/>
                <w:sz w:val="20"/>
                <w:szCs w:val="20"/>
              </w:rPr>
            </w:pPr>
            <w:r>
              <w:rPr>
                <w:sz w:val="20"/>
                <w:szCs w:val="20"/>
              </w:rPr>
              <w:t>The plasma concentrations of RAY1225 and acetaminophen at each actual blood sampling point will be determined using HPLC-MS/MS method, and PK parameters for each individual subject and dose group will be calculated by the non-compartmental analysis using WinNonlin (version 8.3 or later).</w:t>
            </w:r>
          </w:p>
          <w:p w14:paraId="4974569F">
            <w:pPr>
              <w:overflowPunct w:val="0"/>
              <w:autoSpaceDE w:val="0"/>
              <w:autoSpaceDN w:val="0"/>
              <w:adjustRightInd w:val="0"/>
              <w:snapToGrid w:val="0"/>
              <w:spacing w:before="72" w:beforeLines="30" w:after="72" w:afterLines="30"/>
              <w:rPr>
                <w:rFonts w:eastAsia="宋体"/>
                <w:sz w:val="20"/>
                <w:szCs w:val="20"/>
              </w:rPr>
            </w:pPr>
            <w:r>
              <w:rPr>
                <w:sz w:val="20"/>
                <w:szCs w:val="20"/>
              </w:rPr>
              <w:t>The plasma concentrations of RAY1225 and acetaminophen and the PK parameters will be listed and analyzed descriptively by dose group, subject, and visit/sampling point.</w:t>
            </w:r>
          </w:p>
          <w:p w14:paraId="715E71BA">
            <w:pPr>
              <w:overflowPunct w:val="0"/>
              <w:autoSpaceDE w:val="0"/>
              <w:autoSpaceDN w:val="0"/>
              <w:adjustRightInd w:val="0"/>
              <w:snapToGrid w:val="0"/>
              <w:spacing w:before="72" w:beforeLines="30" w:after="72" w:afterLines="30"/>
              <w:rPr>
                <w:rFonts w:eastAsia="宋体"/>
                <w:sz w:val="20"/>
                <w:szCs w:val="20"/>
              </w:rPr>
            </w:pPr>
            <w:r>
              <w:rPr>
                <w:sz w:val="20"/>
                <w:szCs w:val="20"/>
              </w:rPr>
              <w:t>If data permit, the C</w:t>
            </w:r>
            <w:r>
              <w:rPr>
                <w:sz w:val="20"/>
                <w:szCs w:val="20"/>
                <w:vertAlign w:val="subscript"/>
              </w:rPr>
              <w:t>max,ss</w:t>
            </w:r>
            <w:r>
              <w:rPr>
                <w:sz w:val="20"/>
                <w:szCs w:val="20"/>
              </w:rPr>
              <w:t xml:space="preserve"> and AUC</w:t>
            </w:r>
            <w:r>
              <w:rPr>
                <w:sz w:val="20"/>
                <w:szCs w:val="20"/>
                <w:vertAlign w:val="subscript"/>
              </w:rPr>
              <w:t>0-τ,ss</w:t>
            </w:r>
            <w:r>
              <w:rPr>
                <w:sz w:val="20"/>
                <w:szCs w:val="20"/>
              </w:rPr>
              <w:t xml:space="preserve"> of RAY1225 after multiple doses will be analyzed using a power function model (lnPK = α + β × lnDose + Error) to calculate β value and its 95% CI. If the 95% CI contains the value 1, a linear pharmacokinetic property can be considered.</w:t>
            </w:r>
          </w:p>
          <w:p w14:paraId="4BA6DAA0">
            <w:pPr>
              <w:overflowPunct w:val="0"/>
              <w:autoSpaceDE w:val="0"/>
              <w:autoSpaceDN w:val="0"/>
              <w:adjustRightInd w:val="0"/>
              <w:snapToGrid w:val="0"/>
              <w:spacing w:before="72" w:beforeLines="30" w:after="72" w:afterLines="30"/>
              <w:rPr>
                <w:rFonts w:eastAsia="宋体"/>
                <w:sz w:val="20"/>
                <w:szCs w:val="20"/>
              </w:rPr>
            </w:pPr>
            <w:r>
              <w:rPr>
                <w:sz w:val="20"/>
                <w:szCs w:val="20"/>
              </w:rPr>
              <w:t>The C</w:t>
            </w:r>
            <w:r>
              <w:rPr>
                <w:sz w:val="20"/>
                <w:szCs w:val="20"/>
                <w:vertAlign w:val="subscript"/>
              </w:rPr>
              <w:t>max</w:t>
            </w:r>
            <w:r>
              <w:rPr>
                <w:sz w:val="20"/>
                <w:szCs w:val="20"/>
              </w:rPr>
              <w:t>, AUC</w:t>
            </w:r>
            <w:r>
              <w:rPr>
                <w:sz w:val="20"/>
                <w:szCs w:val="20"/>
                <w:vertAlign w:val="subscript"/>
              </w:rPr>
              <w:t>0-∞</w:t>
            </w:r>
            <w:r>
              <w:rPr>
                <w:sz w:val="20"/>
                <w:szCs w:val="20"/>
              </w:rPr>
              <w:t>, and AUC</w:t>
            </w:r>
            <w:r>
              <w:rPr>
                <w:sz w:val="20"/>
                <w:szCs w:val="20"/>
                <w:vertAlign w:val="subscript"/>
              </w:rPr>
              <w:t>0-t</w:t>
            </w:r>
            <w:r>
              <w:rPr>
                <w:sz w:val="20"/>
                <w:szCs w:val="20"/>
              </w:rPr>
              <w:t xml:space="preserve"> following two doses of acetaminophen will be analyzed using a linear mixed-effect model after natural logarithmic transformation, with the use of the investigational drug (RAY1225) as fixed effect and subject as random effect, and geometric mean ratio (GMR) (used/not used) and its 90% CI will be calculated. A non-parametric test will be performed for T</w:t>
            </w:r>
            <w:r>
              <w:rPr>
                <w:sz w:val="20"/>
                <w:szCs w:val="20"/>
                <w:vertAlign w:val="subscript"/>
              </w:rPr>
              <w:t>max</w:t>
            </w:r>
            <w:r>
              <w:rPr>
                <w:sz w:val="20"/>
                <w:szCs w:val="20"/>
              </w:rPr>
              <w:t xml:space="preserve"> and T</w:t>
            </w:r>
            <w:r>
              <w:rPr>
                <w:sz w:val="20"/>
                <w:szCs w:val="20"/>
                <w:vertAlign w:val="subscript"/>
              </w:rPr>
              <w:t>lag</w:t>
            </w:r>
            <w:r>
              <w:rPr>
                <w:sz w:val="20"/>
                <w:szCs w:val="20"/>
              </w:rPr>
              <w:t>.</w:t>
            </w:r>
          </w:p>
          <w:p w14:paraId="5B1DFCBF">
            <w:pPr>
              <w:overflowPunct w:val="0"/>
              <w:autoSpaceDE w:val="0"/>
              <w:autoSpaceDN w:val="0"/>
              <w:adjustRightInd w:val="0"/>
              <w:snapToGrid w:val="0"/>
              <w:spacing w:before="72" w:beforeLines="30" w:after="72" w:afterLines="30"/>
              <w:rPr>
                <w:rFonts w:eastAsia="宋体"/>
                <w:b/>
                <w:bCs/>
                <w:sz w:val="20"/>
                <w:szCs w:val="20"/>
              </w:rPr>
            </w:pPr>
            <w:r>
              <w:rPr>
                <w:b/>
                <w:bCs/>
                <w:sz w:val="20"/>
                <w:szCs w:val="20"/>
              </w:rPr>
              <w:t>Safety analysis:</w:t>
            </w:r>
          </w:p>
          <w:p w14:paraId="28761650">
            <w:pPr>
              <w:overflowPunct w:val="0"/>
              <w:autoSpaceDE w:val="0"/>
              <w:autoSpaceDN w:val="0"/>
              <w:adjustRightInd w:val="0"/>
              <w:snapToGrid w:val="0"/>
              <w:spacing w:before="72" w:beforeLines="30" w:after="72" w:afterLines="30"/>
              <w:rPr>
                <w:rFonts w:eastAsia="宋体"/>
                <w:sz w:val="20"/>
                <w:szCs w:val="20"/>
              </w:rPr>
            </w:pPr>
            <w:r>
              <w:rPr>
                <w:sz w:val="20"/>
                <w:szCs w:val="20"/>
              </w:rPr>
              <w:t>Safety evaluation endpoints include physical examination, vital signs, ECG, laboratory tests, and adverse events.</w:t>
            </w:r>
          </w:p>
          <w:p w14:paraId="5542B641">
            <w:pPr>
              <w:overflowPunct w:val="0"/>
              <w:autoSpaceDE w:val="0"/>
              <w:autoSpaceDN w:val="0"/>
              <w:adjustRightInd w:val="0"/>
              <w:snapToGrid w:val="0"/>
              <w:spacing w:before="72" w:beforeLines="30" w:after="72" w:afterLines="30"/>
              <w:rPr>
                <w:rFonts w:eastAsia="宋体"/>
                <w:sz w:val="20"/>
                <w:szCs w:val="20"/>
              </w:rPr>
            </w:pPr>
            <w:r>
              <w:rPr>
                <w:sz w:val="20"/>
                <w:szCs w:val="20"/>
              </w:rPr>
              <w:t>Adverse events and adverse reactions occurring in each dose group in this study will be tabulated. Results of laboratory tests, physical examination, and ECG that are normal or abnormal without clinical significance before treatment but abnormal with clinical significance after treatment should be described. The measured values of vital signs over time will be described.</w:t>
            </w:r>
          </w:p>
          <w:p w14:paraId="7B56C87B">
            <w:pPr>
              <w:overflowPunct w:val="0"/>
              <w:autoSpaceDE w:val="0"/>
              <w:autoSpaceDN w:val="0"/>
              <w:adjustRightInd w:val="0"/>
              <w:snapToGrid w:val="0"/>
              <w:spacing w:before="72" w:beforeLines="30" w:after="72" w:afterLines="30"/>
              <w:rPr>
                <w:rFonts w:eastAsia="宋体"/>
                <w:sz w:val="20"/>
                <w:szCs w:val="20"/>
              </w:rPr>
            </w:pPr>
            <w:r>
              <w:rPr>
                <w:sz w:val="20"/>
                <w:szCs w:val="20"/>
              </w:rPr>
              <w:t>Vital signs, laboratory tests, physical examination, and ECG findings will be tabulated by dose group. Abnormal values will be flagged, and descriptive statistical analysis will be performed by visit.</w:t>
            </w:r>
          </w:p>
          <w:p w14:paraId="4B5613F7">
            <w:pPr>
              <w:overflowPunct w:val="0"/>
              <w:autoSpaceDE w:val="0"/>
              <w:autoSpaceDN w:val="0"/>
              <w:adjustRightInd w:val="0"/>
              <w:snapToGrid w:val="0"/>
              <w:spacing w:before="72" w:beforeLines="30" w:after="72" w:afterLines="30"/>
              <w:rPr>
                <w:rFonts w:eastAsia="宋体"/>
                <w:sz w:val="20"/>
                <w:szCs w:val="20"/>
              </w:rPr>
            </w:pPr>
            <w:r>
              <w:rPr>
                <w:sz w:val="20"/>
                <w:szCs w:val="20"/>
              </w:rPr>
              <w:t>All adverse events, adverse reactions, and serious adverse events will be tabulated.</w:t>
            </w:r>
          </w:p>
          <w:p w14:paraId="40F4FA5E">
            <w:pPr>
              <w:overflowPunct w:val="0"/>
              <w:autoSpaceDE w:val="0"/>
              <w:autoSpaceDN w:val="0"/>
              <w:adjustRightInd w:val="0"/>
              <w:snapToGrid w:val="0"/>
              <w:spacing w:before="72" w:beforeLines="30" w:after="72" w:afterLines="30"/>
              <w:rPr>
                <w:rFonts w:eastAsia="宋体"/>
                <w:b/>
                <w:bCs/>
                <w:sz w:val="20"/>
                <w:szCs w:val="20"/>
              </w:rPr>
            </w:pPr>
            <w:r>
              <w:rPr>
                <w:b/>
                <w:bCs/>
                <w:sz w:val="20"/>
                <w:szCs w:val="20"/>
              </w:rPr>
              <w:t>Efficacy analysis:</w:t>
            </w:r>
          </w:p>
          <w:p w14:paraId="36EB5D53">
            <w:pPr>
              <w:overflowPunct w:val="0"/>
              <w:autoSpaceDE w:val="0"/>
              <w:autoSpaceDN w:val="0"/>
              <w:adjustRightInd w:val="0"/>
              <w:snapToGrid w:val="0"/>
              <w:spacing w:before="72" w:beforeLines="30" w:after="72" w:afterLines="30"/>
              <w:rPr>
                <w:rFonts w:eastAsia="宋体"/>
                <w:sz w:val="20"/>
                <w:szCs w:val="20"/>
              </w:rPr>
            </w:pPr>
            <w:r>
              <w:rPr>
                <w:sz w:val="20"/>
                <w:szCs w:val="20"/>
              </w:rPr>
              <w:t>The FAS will be used to analyze efficacy endpoints. The change from baseline in HbA1c after treatment (24 weeks) will be analyzed using MMRM. For secondary qualitative parameters, the number and percentage of subjects in each category will be described; for secondary quantitative parameters, the analysis method similar to that for the primary efficacy endpoint will be used, and the detailed analysis method description will be presented in the statistical analysis plan (SAP).</w:t>
            </w:r>
          </w:p>
          <w:p w14:paraId="5AE76E77">
            <w:pPr>
              <w:overflowPunct w:val="0"/>
              <w:autoSpaceDE w:val="0"/>
              <w:autoSpaceDN w:val="0"/>
              <w:adjustRightInd w:val="0"/>
              <w:snapToGrid w:val="0"/>
              <w:spacing w:before="72" w:beforeLines="30" w:after="72" w:afterLines="30"/>
              <w:rPr>
                <w:rFonts w:eastAsia="宋体"/>
                <w:b/>
                <w:sz w:val="20"/>
                <w:szCs w:val="20"/>
              </w:rPr>
            </w:pPr>
            <w:r>
              <w:rPr>
                <w:b/>
                <w:sz w:val="20"/>
                <w:szCs w:val="20"/>
              </w:rPr>
              <w:t>PK/PD analysis</w:t>
            </w:r>
          </w:p>
          <w:p w14:paraId="1135CE21">
            <w:pPr>
              <w:pStyle w:val="2"/>
              <w:overflowPunct w:val="0"/>
              <w:autoSpaceDE w:val="0"/>
              <w:autoSpaceDN w:val="0"/>
              <w:adjustRightInd w:val="0"/>
              <w:snapToGrid w:val="0"/>
              <w:spacing w:before="72" w:beforeLines="30" w:after="72" w:afterLines="30"/>
              <w:rPr>
                <w:sz w:val="20"/>
                <w:szCs w:val="20"/>
              </w:rPr>
            </w:pPr>
            <w:r>
              <w:rPr>
                <w:sz w:val="20"/>
                <w:szCs w:val="20"/>
              </w:rPr>
              <w:t>Data in this study will be combined with those from other RAY1225 clinical studies, with HbA1c as the efficacy endpoint and adverse event (e.g., nausea, vomiting, and diarrhea) as the safety endpoint. A population pharmacokinetic/pharmacodynamic (PopPK/PD) model for RAY1225 will be established using NONMEM 7.5.0 or later and R 4.0.2 or later. This includes efforts to establish the structure of the PK/PD model, develop models for inter-individual variability (IIV) in PK and PD parameters and residual variability (RV), and explore covariates affecting PK and PD. The model estimation method will employ the first order-conditional estimation with η-ε interaction (FOCEI). Model evaluation methods include goodness of fit (GOF), bootstrap, and visual predictive check (VPC).</w:t>
            </w:r>
          </w:p>
        </w:tc>
      </w:tr>
    </w:tbl>
    <w:p w14:paraId="1140AE5C">
      <w:pPr>
        <w:pStyle w:val="21"/>
        <w:overflowPunct w:val="0"/>
        <w:autoSpaceDE w:val="0"/>
        <w:autoSpaceDN w:val="0"/>
        <w:adjustRightInd w:val="0"/>
        <w:snapToGrid w:val="0"/>
        <w:spacing w:before="120" w:beforeLines="50" w:after="120" w:afterLines="50" w:line="300" w:lineRule="auto"/>
        <w:ind w:firstLine="0" w:firstLineChars="0"/>
        <w:jc w:val="left"/>
        <w:rPr>
          <w:rFonts w:ascii="Times New Roman" w:hAnsi="Times New Roman" w:eastAsia="宋体"/>
          <w:color w:val="auto"/>
          <w:szCs w:val="24"/>
        </w:rPr>
      </w:pPr>
    </w:p>
    <w:p w14:paraId="00F94787">
      <w:pPr>
        <w:pStyle w:val="21"/>
        <w:overflowPunct w:val="0"/>
        <w:autoSpaceDE w:val="0"/>
        <w:autoSpaceDN w:val="0"/>
        <w:adjustRightInd w:val="0"/>
        <w:snapToGrid w:val="0"/>
        <w:spacing w:before="120" w:beforeLines="50" w:after="120" w:afterLines="50" w:line="300" w:lineRule="auto"/>
        <w:ind w:firstLine="0" w:firstLineChars="0"/>
        <w:jc w:val="left"/>
        <w:rPr>
          <w:rFonts w:ascii="Times New Roman" w:hAnsi="Times New Roman" w:eastAsia="宋体"/>
          <w:color w:val="auto"/>
          <w:szCs w:val="24"/>
        </w:rPr>
        <w:sectPr>
          <w:footerReference r:id="rId14" w:type="first"/>
          <w:headerReference r:id="rId12" w:type="default"/>
          <w:footerReference r:id="rId13" w:type="default"/>
          <w:endnotePr>
            <w:numFmt w:val="decimal"/>
          </w:endnotePr>
          <w:pgSz w:w="12240" w:h="15840"/>
          <w:pgMar w:top="1440" w:right="1440" w:bottom="1440" w:left="1440" w:header="720" w:footer="720" w:gutter="0"/>
          <w:pgNumType w:start="1"/>
          <w:cols w:space="0" w:num="1"/>
          <w:titlePg/>
          <w:docGrid w:linePitch="326" w:charSpace="0"/>
        </w:sectPr>
      </w:pPr>
    </w:p>
    <w:p w14:paraId="2B4CE408">
      <w:pPr>
        <w:pStyle w:val="15"/>
      </w:pPr>
      <w:bookmarkStart w:id="24" w:name="_Toc159511675"/>
      <w:r>
        <w:t xml:space="preserve">Table </w:t>
      </w:r>
      <w:r>
        <w:fldChar w:fldCharType="begin"/>
      </w:r>
      <w:r>
        <w:instrText xml:space="preserve"> SEQ 表 \* ARABIC </w:instrText>
      </w:r>
      <w:r>
        <w:fldChar w:fldCharType="separate"/>
      </w:r>
      <w:r>
        <w:t>1</w:t>
      </w:r>
      <w:r>
        <w:fldChar w:fldCharType="end"/>
      </w:r>
      <w:r>
        <w:t>. Schedule of Part A and Part B expansion study procedures</w:t>
      </w:r>
      <w:bookmarkEnd w:id="24"/>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57" w:type="dxa"/>
          <w:bottom w:w="28" w:type="dxa"/>
          <w:right w:w="57" w:type="dxa"/>
        </w:tblCellMar>
      </w:tblPr>
      <w:tblGrid>
        <w:gridCol w:w="2652"/>
        <w:gridCol w:w="959"/>
        <w:gridCol w:w="526"/>
        <w:gridCol w:w="518"/>
        <w:gridCol w:w="519"/>
        <w:gridCol w:w="518"/>
        <w:gridCol w:w="519"/>
        <w:gridCol w:w="518"/>
        <w:gridCol w:w="519"/>
        <w:gridCol w:w="518"/>
        <w:gridCol w:w="544"/>
        <w:gridCol w:w="543"/>
        <w:gridCol w:w="544"/>
        <w:gridCol w:w="543"/>
        <w:gridCol w:w="544"/>
        <w:gridCol w:w="544"/>
        <w:gridCol w:w="545"/>
        <w:gridCol w:w="1501"/>
      </w:tblGrid>
      <w:tr w14:paraId="18BC1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blHeader/>
        </w:trPr>
        <w:tc>
          <w:tcPr>
            <w:tcW w:w="2935" w:type="dxa"/>
            <w:tcMar>
              <w:top w:w="28" w:type="dxa"/>
              <w:left w:w="57" w:type="dxa"/>
              <w:bottom w:w="28" w:type="dxa"/>
              <w:right w:w="57" w:type="dxa"/>
            </w:tcMar>
            <w:vAlign w:val="center"/>
          </w:tcPr>
          <w:p w14:paraId="4E58A070">
            <w:pPr>
              <w:overflowPunct w:val="0"/>
              <w:autoSpaceDE w:val="0"/>
              <w:autoSpaceDN w:val="0"/>
              <w:adjustRightInd w:val="0"/>
              <w:snapToGrid w:val="0"/>
              <w:jc w:val="center"/>
              <w:rPr>
                <w:rFonts w:eastAsia="宋体"/>
                <w:b/>
                <w:bCs/>
                <w:sz w:val="20"/>
                <w:szCs w:val="20"/>
              </w:rPr>
            </w:pPr>
            <w:bookmarkStart w:id="25" w:name="_Hlk154584481"/>
            <w:r>
              <w:rPr>
                <w:b/>
                <w:bCs/>
                <w:sz w:val="20"/>
                <w:szCs w:val="20"/>
              </w:rPr>
              <w:t>Study procedure</w:t>
            </w:r>
          </w:p>
        </w:tc>
        <w:tc>
          <w:tcPr>
            <w:tcW w:w="858" w:type="dxa"/>
            <w:tcMar>
              <w:top w:w="28" w:type="dxa"/>
              <w:left w:w="57" w:type="dxa"/>
              <w:bottom w:w="28" w:type="dxa"/>
              <w:right w:w="57" w:type="dxa"/>
            </w:tcMar>
            <w:vAlign w:val="center"/>
          </w:tcPr>
          <w:p w14:paraId="390FDA48">
            <w:pPr>
              <w:overflowPunct w:val="0"/>
              <w:autoSpaceDE w:val="0"/>
              <w:autoSpaceDN w:val="0"/>
              <w:adjustRightInd w:val="0"/>
              <w:snapToGrid w:val="0"/>
              <w:jc w:val="center"/>
              <w:rPr>
                <w:rFonts w:eastAsia="宋体"/>
                <w:b/>
                <w:bCs/>
                <w:sz w:val="20"/>
                <w:szCs w:val="20"/>
              </w:rPr>
            </w:pPr>
            <w:r>
              <w:rPr>
                <w:b/>
                <w:bCs/>
                <w:sz w:val="20"/>
                <w:szCs w:val="20"/>
              </w:rPr>
              <w:t>Screening period</w:t>
            </w:r>
            <w:r>
              <w:rPr>
                <w:b/>
                <w:bCs/>
                <w:sz w:val="20"/>
                <w:szCs w:val="20"/>
                <w:vertAlign w:val="superscript"/>
              </w:rPr>
              <w:t>1</w:t>
            </w:r>
          </w:p>
        </w:tc>
        <w:tc>
          <w:tcPr>
            <w:tcW w:w="10203" w:type="dxa"/>
            <w:gridSpan w:val="16"/>
            <w:tcMar>
              <w:top w:w="28" w:type="dxa"/>
              <w:left w:w="57" w:type="dxa"/>
              <w:bottom w:w="28" w:type="dxa"/>
              <w:right w:w="57" w:type="dxa"/>
            </w:tcMar>
            <w:vAlign w:val="center"/>
          </w:tcPr>
          <w:p w14:paraId="3035BDB8">
            <w:pPr>
              <w:overflowPunct w:val="0"/>
              <w:autoSpaceDE w:val="0"/>
              <w:autoSpaceDN w:val="0"/>
              <w:adjustRightInd w:val="0"/>
              <w:snapToGrid w:val="0"/>
              <w:jc w:val="center"/>
              <w:rPr>
                <w:rFonts w:eastAsia="宋体"/>
                <w:b/>
                <w:bCs/>
                <w:sz w:val="20"/>
                <w:szCs w:val="20"/>
              </w:rPr>
            </w:pPr>
            <w:r>
              <w:rPr>
                <w:b/>
                <w:bCs/>
                <w:sz w:val="20"/>
                <w:szCs w:val="20"/>
              </w:rPr>
              <w:t>Treatment and observation periods</w:t>
            </w:r>
          </w:p>
        </w:tc>
      </w:tr>
      <w:tr w14:paraId="6F42C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blHeader/>
        </w:trPr>
        <w:tc>
          <w:tcPr>
            <w:tcW w:w="2935" w:type="dxa"/>
            <w:tcMar>
              <w:top w:w="28" w:type="dxa"/>
              <w:left w:w="57" w:type="dxa"/>
              <w:bottom w:w="28" w:type="dxa"/>
              <w:right w:w="57" w:type="dxa"/>
            </w:tcMar>
            <w:vAlign w:val="center"/>
          </w:tcPr>
          <w:p w14:paraId="0239D085">
            <w:pPr>
              <w:overflowPunct w:val="0"/>
              <w:autoSpaceDE w:val="0"/>
              <w:autoSpaceDN w:val="0"/>
              <w:adjustRightInd w:val="0"/>
              <w:snapToGrid w:val="0"/>
              <w:jc w:val="center"/>
              <w:rPr>
                <w:rFonts w:eastAsia="宋体"/>
                <w:b/>
                <w:bCs/>
                <w:sz w:val="20"/>
                <w:szCs w:val="20"/>
              </w:rPr>
            </w:pPr>
            <w:r>
              <w:rPr>
                <w:b/>
                <w:bCs/>
                <w:sz w:val="20"/>
                <w:szCs w:val="20"/>
              </w:rPr>
              <w:t>Visit</w:t>
            </w:r>
          </w:p>
        </w:tc>
        <w:tc>
          <w:tcPr>
            <w:tcW w:w="858" w:type="dxa"/>
            <w:shd w:val="clear" w:color="auto" w:fill="F1F1F1" w:themeFill="background1" w:themeFillShade="F2"/>
            <w:tcMar>
              <w:top w:w="28" w:type="dxa"/>
              <w:left w:w="57" w:type="dxa"/>
              <w:bottom w:w="28" w:type="dxa"/>
              <w:right w:w="57" w:type="dxa"/>
            </w:tcMar>
            <w:vAlign w:val="center"/>
          </w:tcPr>
          <w:p w14:paraId="7F011FE1">
            <w:pPr>
              <w:overflowPunct w:val="0"/>
              <w:autoSpaceDE w:val="0"/>
              <w:autoSpaceDN w:val="0"/>
              <w:adjustRightInd w:val="0"/>
              <w:snapToGrid w:val="0"/>
              <w:jc w:val="center"/>
              <w:rPr>
                <w:rFonts w:eastAsia="宋体"/>
                <w:b/>
                <w:bCs/>
                <w:sz w:val="20"/>
                <w:szCs w:val="20"/>
              </w:rPr>
            </w:pPr>
            <w:r>
              <w:rPr>
                <w:b/>
                <w:bCs/>
                <w:sz w:val="20"/>
                <w:szCs w:val="20"/>
              </w:rPr>
              <w:t>V1</w:t>
            </w:r>
          </w:p>
        </w:tc>
        <w:tc>
          <w:tcPr>
            <w:tcW w:w="572" w:type="dxa"/>
            <w:shd w:val="clear" w:color="auto" w:fill="F1F1F1" w:themeFill="background1" w:themeFillShade="F2"/>
            <w:tcMar>
              <w:top w:w="28" w:type="dxa"/>
              <w:left w:w="57" w:type="dxa"/>
              <w:bottom w:w="28" w:type="dxa"/>
              <w:right w:w="57" w:type="dxa"/>
            </w:tcMar>
            <w:vAlign w:val="center"/>
          </w:tcPr>
          <w:p w14:paraId="69310954">
            <w:pPr>
              <w:overflowPunct w:val="0"/>
              <w:autoSpaceDE w:val="0"/>
              <w:autoSpaceDN w:val="0"/>
              <w:adjustRightInd w:val="0"/>
              <w:snapToGrid w:val="0"/>
              <w:jc w:val="center"/>
              <w:rPr>
                <w:rFonts w:eastAsia="宋体"/>
                <w:b/>
                <w:bCs/>
                <w:sz w:val="20"/>
                <w:szCs w:val="20"/>
              </w:rPr>
            </w:pPr>
            <w:r>
              <w:rPr>
                <w:b/>
                <w:bCs/>
                <w:sz w:val="20"/>
                <w:szCs w:val="20"/>
              </w:rPr>
              <w:t>V2</w:t>
            </w:r>
          </w:p>
        </w:tc>
        <w:tc>
          <w:tcPr>
            <w:tcW w:w="572" w:type="dxa"/>
            <w:shd w:val="clear" w:color="auto" w:fill="F1F1F1" w:themeFill="background1" w:themeFillShade="F2"/>
            <w:tcMar>
              <w:top w:w="28" w:type="dxa"/>
              <w:left w:w="57" w:type="dxa"/>
              <w:bottom w:w="28" w:type="dxa"/>
              <w:right w:w="57" w:type="dxa"/>
            </w:tcMar>
            <w:vAlign w:val="center"/>
          </w:tcPr>
          <w:p w14:paraId="193FBF66">
            <w:pPr>
              <w:overflowPunct w:val="0"/>
              <w:autoSpaceDE w:val="0"/>
              <w:autoSpaceDN w:val="0"/>
              <w:adjustRightInd w:val="0"/>
              <w:snapToGrid w:val="0"/>
              <w:jc w:val="center"/>
              <w:rPr>
                <w:rFonts w:eastAsia="宋体"/>
                <w:b/>
                <w:bCs/>
                <w:sz w:val="20"/>
                <w:szCs w:val="20"/>
              </w:rPr>
            </w:pPr>
            <w:r>
              <w:rPr>
                <w:b/>
                <w:bCs/>
                <w:sz w:val="20"/>
                <w:szCs w:val="20"/>
              </w:rPr>
              <w:t>V3</w:t>
            </w:r>
          </w:p>
        </w:tc>
        <w:tc>
          <w:tcPr>
            <w:tcW w:w="573" w:type="dxa"/>
            <w:shd w:val="clear" w:color="auto" w:fill="F1F1F1" w:themeFill="background1" w:themeFillShade="F2"/>
            <w:tcMar>
              <w:top w:w="28" w:type="dxa"/>
              <w:left w:w="57" w:type="dxa"/>
              <w:bottom w:w="28" w:type="dxa"/>
              <w:right w:w="57" w:type="dxa"/>
            </w:tcMar>
            <w:vAlign w:val="center"/>
          </w:tcPr>
          <w:p w14:paraId="3D9E6467">
            <w:pPr>
              <w:overflowPunct w:val="0"/>
              <w:autoSpaceDE w:val="0"/>
              <w:autoSpaceDN w:val="0"/>
              <w:adjustRightInd w:val="0"/>
              <w:snapToGrid w:val="0"/>
              <w:jc w:val="center"/>
              <w:rPr>
                <w:rFonts w:eastAsia="宋体"/>
                <w:b/>
                <w:bCs/>
                <w:sz w:val="20"/>
                <w:szCs w:val="20"/>
              </w:rPr>
            </w:pPr>
            <w:r>
              <w:rPr>
                <w:b/>
                <w:bCs/>
                <w:sz w:val="20"/>
                <w:szCs w:val="20"/>
              </w:rPr>
              <w:t>V4</w:t>
            </w:r>
          </w:p>
        </w:tc>
        <w:tc>
          <w:tcPr>
            <w:tcW w:w="572" w:type="dxa"/>
            <w:shd w:val="clear" w:color="auto" w:fill="F1F1F1" w:themeFill="background1" w:themeFillShade="F2"/>
            <w:tcMar>
              <w:top w:w="28" w:type="dxa"/>
              <w:left w:w="57" w:type="dxa"/>
              <w:bottom w:w="28" w:type="dxa"/>
              <w:right w:w="57" w:type="dxa"/>
            </w:tcMar>
            <w:vAlign w:val="center"/>
          </w:tcPr>
          <w:p w14:paraId="007E8DAD">
            <w:pPr>
              <w:overflowPunct w:val="0"/>
              <w:autoSpaceDE w:val="0"/>
              <w:autoSpaceDN w:val="0"/>
              <w:adjustRightInd w:val="0"/>
              <w:snapToGrid w:val="0"/>
              <w:jc w:val="center"/>
              <w:rPr>
                <w:rFonts w:eastAsia="宋体"/>
                <w:b/>
                <w:bCs/>
                <w:sz w:val="20"/>
                <w:szCs w:val="20"/>
              </w:rPr>
            </w:pPr>
            <w:r>
              <w:rPr>
                <w:b/>
                <w:bCs/>
                <w:sz w:val="20"/>
                <w:szCs w:val="20"/>
              </w:rPr>
              <w:t>V5</w:t>
            </w:r>
          </w:p>
        </w:tc>
        <w:tc>
          <w:tcPr>
            <w:tcW w:w="573" w:type="dxa"/>
            <w:shd w:val="clear" w:color="auto" w:fill="F1F1F1" w:themeFill="background1" w:themeFillShade="F2"/>
            <w:tcMar>
              <w:top w:w="28" w:type="dxa"/>
              <w:left w:w="57" w:type="dxa"/>
              <w:bottom w:w="28" w:type="dxa"/>
              <w:right w:w="57" w:type="dxa"/>
            </w:tcMar>
            <w:vAlign w:val="center"/>
          </w:tcPr>
          <w:p w14:paraId="120DD98D">
            <w:pPr>
              <w:overflowPunct w:val="0"/>
              <w:autoSpaceDE w:val="0"/>
              <w:autoSpaceDN w:val="0"/>
              <w:adjustRightInd w:val="0"/>
              <w:snapToGrid w:val="0"/>
              <w:jc w:val="center"/>
              <w:rPr>
                <w:rFonts w:eastAsia="宋体"/>
                <w:b/>
                <w:bCs/>
                <w:sz w:val="20"/>
                <w:szCs w:val="20"/>
              </w:rPr>
            </w:pPr>
            <w:r>
              <w:rPr>
                <w:b/>
                <w:bCs/>
                <w:sz w:val="20"/>
                <w:szCs w:val="20"/>
              </w:rPr>
              <w:t>V6</w:t>
            </w:r>
          </w:p>
        </w:tc>
        <w:tc>
          <w:tcPr>
            <w:tcW w:w="572" w:type="dxa"/>
            <w:shd w:val="clear" w:color="auto" w:fill="F1F1F1" w:themeFill="background1" w:themeFillShade="F2"/>
            <w:tcMar>
              <w:top w:w="28" w:type="dxa"/>
              <w:left w:w="57" w:type="dxa"/>
              <w:bottom w:w="28" w:type="dxa"/>
              <w:right w:w="57" w:type="dxa"/>
            </w:tcMar>
            <w:vAlign w:val="center"/>
          </w:tcPr>
          <w:p w14:paraId="385FB670">
            <w:pPr>
              <w:overflowPunct w:val="0"/>
              <w:autoSpaceDE w:val="0"/>
              <w:autoSpaceDN w:val="0"/>
              <w:adjustRightInd w:val="0"/>
              <w:snapToGrid w:val="0"/>
              <w:jc w:val="center"/>
              <w:rPr>
                <w:rFonts w:eastAsia="宋体"/>
                <w:b/>
                <w:bCs/>
                <w:sz w:val="20"/>
                <w:szCs w:val="20"/>
              </w:rPr>
            </w:pPr>
            <w:r>
              <w:rPr>
                <w:b/>
                <w:bCs/>
                <w:sz w:val="20"/>
                <w:szCs w:val="20"/>
              </w:rPr>
              <w:t>V7</w:t>
            </w:r>
          </w:p>
        </w:tc>
        <w:tc>
          <w:tcPr>
            <w:tcW w:w="573" w:type="dxa"/>
            <w:shd w:val="clear" w:color="auto" w:fill="F2F2F2" w:themeFill="background2" w:themeFillTint="33"/>
            <w:tcMar>
              <w:top w:w="28" w:type="dxa"/>
              <w:left w:w="57" w:type="dxa"/>
              <w:bottom w:w="28" w:type="dxa"/>
              <w:right w:w="57" w:type="dxa"/>
            </w:tcMar>
            <w:vAlign w:val="center"/>
          </w:tcPr>
          <w:p w14:paraId="4AE6BF37">
            <w:pPr>
              <w:overflowPunct w:val="0"/>
              <w:autoSpaceDE w:val="0"/>
              <w:autoSpaceDN w:val="0"/>
              <w:adjustRightInd w:val="0"/>
              <w:snapToGrid w:val="0"/>
              <w:jc w:val="center"/>
              <w:rPr>
                <w:rFonts w:eastAsia="宋体"/>
                <w:b/>
                <w:bCs/>
                <w:sz w:val="20"/>
                <w:szCs w:val="20"/>
              </w:rPr>
            </w:pPr>
            <w:r>
              <w:rPr>
                <w:b/>
                <w:bCs/>
                <w:sz w:val="20"/>
                <w:szCs w:val="20"/>
              </w:rPr>
              <w:t>V8</w:t>
            </w:r>
          </w:p>
        </w:tc>
        <w:tc>
          <w:tcPr>
            <w:tcW w:w="572" w:type="dxa"/>
            <w:shd w:val="clear" w:color="auto" w:fill="F2F2F2" w:themeFill="background2" w:themeFillTint="33"/>
            <w:tcMar>
              <w:top w:w="28" w:type="dxa"/>
              <w:left w:w="57" w:type="dxa"/>
              <w:bottom w:w="28" w:type="dxa"/>
              <w:right w:w="57" w:type="dxa"/>
            </w:tcMar>
            <w:vAlign w:val="center"/>
          </w:tcPr>
          <w:p w14:paraId="11427EF2">
            <w:pPr>
              <w:overflowPunct w:val="0"/>
              <w:autoSpaceDE w:val="0"/>
              <w:autoSpaceDN w:val="0"/>
              <w:adjustRightInd w:val="0"/>
              <w:snapToGrid w:val="0"/>
              <w:jc w:val="center"/>
              <w:rPr>
                <w:rFonts w:eastAsia="宋体"/>
                <w:b/>
                <w:bCs/>
                <w:sz w:val="20"/>
                <w:szCs w:val="20"/>
              </w:rPr>
            </w:pPr>
            <w:r>
              <w:rPr>
                <w:b/>
                <w:bCs/>
                <w:sz w:val="20"/>
                <w:szCs w:val="20"/>
              </w:rPr>
              <w:t>V9</w:t>
            </w:r>
          </w:p>
        </w:tc>
        <w:tc>
          <w:tcPr>
            <w:tcW w:w="573" w:type="dxa"/>
            <w:shd w:val="clear" w:color="auto" w:fill="F2F2F2" w:themeFill="background2" w:themeFillTint="33"/>
            <w:tcMar>
              <w:top w:w="28" w:type="dxa"/>
              <w:left w:w="57" w:type="dxa"/>
              <w:bottom w:w="28" w:type="dxa"/>
              <w:right w:w="57" w:type="dxa"/>
            </w:tcMar>
            <w:vAlign w:val="center"/>
          </w:tcPr>
          <w:p w14:paraId="3F0CB4D9">
            <w:pPr>
              <w:overflowPunct w:val="0"/>
              <w:autoSpaceDE w:val="0"/>
              <w:autoSpaceDN w:val="0"/>
              <w:adjustRightInd w:val="0"/>
              <w:snapToGrid w:val="0"/>
              <w:jc w:val="center"/>
              <w:rPr>
                <w:rFonts w:eastAsia="宋体"/>
                <w:b/>
                <w:bCs/>
                <w:sz w:val="20"/>
                <w:szCs w:val="20"/>
              </w:rPr>
            </w:pPr>
            <w:r>
              <w:rPr>
                <w:b/>
                <w:bCs/>
                <w:sz w:val="20"/>
                <w:szCs w:val="20"/>
              </w:rPr>
              <w:t>V10</w:t>
            </w:r>
          </w:p>
        </w:tc>
        <w:tc>
          <w:tcPr>
            <w:tcW w:w="572" w:type="dxa"/>
            <w:shd w:val="clear" w:color="auto" w:fill="F2F2F2" w:themeFill="background2" w:themeFillTint="33"/>
            <w:tcMar>
              <w:top w:w="28" w:type="dxa"/>
              <w:left w:w="57" w:type="dxa"/>
              <w:bottom w:w="28" w:type="dxa"/>
              <w:right w:w="57" w:type="dxa"/>
            </w:tcMar>
            <w:vAlign w:val="center"/>
          </w:tcPr>
          <w:p w14:paraId="6582C5BE">
            <w:pPr>
              <w:overflowPunct w:val="0"/>
              <w:autoSpaceDE w:val="0"/>
              <w:autoSpaceDN w:val="0"/>
              <w:adjustRightInd w:val="0"/>
              <w:snapToGrid w:val="0"/>
              <w:jc w:val="center"/>
              <w:rPr>
                <w:rFonts w:eastAsia="宋体"/>
                <w:b/>
                <w:bCs/>
                <w:sz w:val="20"/>
                <w:szCs w:val="20"/>
              </w:rPr>
            </w:pPr>
            <w:r>
              <w:rPr>
                <w:b/>
                <w:bCs/>
                <w:sz w:val="20"/>
                <w:szCs w:val="20"/>
              </w:rPr>
              <w:t>V11</w:t>
            </w:r>
          </w:p>
        </w:tc>
        <w:tc>
          <w:tcPr>
            <w:tcW w:w="573" w:type="dxa"/>
            <w:shd w:val="clear" w:color="auto" w:fill="F2F2F2" w:themeFill="background2" w:themeFillTint="33"/>
            <w:tcMar>
              <w:top w:w="28" w:type="dxa"/>
              <w:left w:w="57" w:type="dxa"/>
              <w:bottom w:w="28" w:type="dxa"/>
              <w:right w:w="57" w:type="dxa"/>
            </w:tcMar>
            <w:vAlign w:val="center"/>
          </w:tcPr>
          <w:p w14:paraId="64E8ECDA">
            <w:pPr>
              <w:overflowPunct w:val="0"/>
              <w:autoSpaceDE w:val="0"/>
              <w:autoSpaceDN w:val="0"/>
              <w:adjustRightInd w:val="0"/>
              <w:snapToGrid w:val="0"/>
              <w:jc w:val="center"/>
              <w:rPr>
                <w:rFonts w:eastAsia="宋体"/>
                <w:b/>
                <w:bCs/>
                <w:sz w:val="20"/>
                <w:szCs w:val="20"/>
              </w:rPr>
            </w:pPr>
            <w:r>
              <w:rPr>
                <w:b/>
                <w:bCs/>
                <w:sz w:val="20"/>
                <w:szCs w:val="20"/>
              </w:rPr>
              <w:t>V12</w:t>
            </w:r>
          </w:p>
        </w:tc>
        <w:tc>
          <w:tcPr>
            <w:tcW w:w="572" w:type="dxa"/>
            <w:shd w:val="clear" w:color="auto" w:fill="F2F2F2" w:themeFill="background2" w:themeFillTint="33"/>
            <w:tcMar>
              <w:top w:w="28" w:type="dxa"/>
              <w:left w:w="57" w:type="dxa"/>
              <w:bottom w:w="28" w:type="dxa"/>
              <w:right w:w="57" w:type="dxa"/>
            </w:tcMar>
            <w:vAlign w:val="center"/>
          </w:tcPr>
          <w:p w14:paraId="56D35770">
            <w:pPr>
              <w:overflowPunct w:val="0"/>
              <w:autoSpaceDE w:val="0"/>
              <w:autoSpaceDN w:val="0"/>
              <w:adjustRightInd w:val="0"/>
              <w:snapToGrid w:val="0"/>
              <w:jc w:val="center"/>
              <w:rPr>
                <w:rFonts w:eastAsia="宋体"/>
                <w:b/>
                <w:bCs/>
                <w:sz w:val="20"/>
                <w:szCs w:val="20"/>
              </w:rPr>
            </w:pPr>
            <w:r>
              <w:rPr>
                <w:b/>
                <w:bCs/>
                <w:sz w:val="20"/>
                <w:szCs w:val="20"/>
              </w:rPr>
              <w:t>V13</w:t>
            </w:r>
          </w:p>
        </w:tc>
        <w:tc>
          <w:tcPr>
            <w:tcW w:w="573" w:type="dxa"/>
            <w:tcMar>
              <w:top w:w="28" w:type="dxa"/>
              <w:left w:w="57" w:type="dxa"/>
              <w:bottom w:w="28" w:type="dxa"/>
              <w:right w:w="57" w:type="dxa"/>
            </w:tcMar>
            <w:vAlign w:val="center"/>
          </w:tcPr>
          <w:p w14:paraId="04CE4147">
            <w:pPr>
              <w:overflowPunct w:val="0"/>
              <w:autoSpaceDE w:val="0"/>
              <w:autoSpaceDN w:val="0"/>
              <w:adjustRightInd w:val="0"/>
              <w:snapToGrid w:val="0"/>
              <w:jc w:val="center"/>
              <w:rPr>
                <w:rFonts w:eastAsia="宋体"/>
                <w:b/>
                <w:bCs/>
                <w:sz w:val="20"/>
                <w:szCs w:val="20"/>
              </w:rPr>
            </w:pPr>
            <w:r>
              <w:rPr>
                <w:b/>
                <w:bCs/>
                <w:sz w:val="20"/>
                <w:szCs w:val="20"/>
              </w:rPr>
              <w:t>V14</w:t>
            </w:r>
          </w:p>
        </w:tc>
        <w:tc>
          <w:tcPr>
            <w:tcW w:w="572" w:type="dxa"/>
            <w:tcMar>
              <w:top w:w="28" w:type="dxa"/>
              <w:left w:w="57" w:type="dxa"/>
              <w:bottom w:w="28" w:type="dxa"/>
              <w:right w:w="57" w:type="dxa"/>
            </w:tcMar>
            <w:vAlign w:val="center"/>
          </w:tcPr>
          <w:p w14:paraId="77AAEF3F">
            <w:pPr>
              <w:overflowPunct w:val="0"/>
              <w:autoSpaceDE w:val="0"/>
              <w:autoSpaceDN w:val="0"/>
              <w:adjustRightInd w:val="0"/>
              <w:snapToGrid w:val="0"/>
              <w:jc w:val="center"/>
              <w:rPr>
                <w:rFonts w:eastAsia="宋体"/>
                <w:b/>
                <w:bCs/>
                <w:sz w:val="20"/>
                <w:szCs w:val="20"/>
              </w:rPr>
            </w:pPr>
            <w:r>
              <w:rPr>
                <w:b/>
                <w:bCs/>
                <w:sz w:val="20"/>
                <w:szCs w:val="20"/>
              </w:rPr>
              <w:t>V15</w:t>
            </w:r>
          </w:p>
        </w:tc>
        <w:tc>
          <w:tcPr>
            <w:tcW w:w="573" w:type="dxa"/>
            <w:tcMar>
              <w:top w:w="28" w:type="dxa"/>
              <w:left w:w="57" w:type="dxa"/>
              <w:bottom w:w="28" w:type="dxa"/>
              <w:right w:w="57" w:type="dxa"/>
            </w:tcMar>
            <w:vAlign w:val="center"/>
          </w:tcPr>
          <w:p w14:paraId="73A93566">
            <w:pPr>
              <w:overflowPunct w:val="0"/>
              <w:autoSpaceDE w:val="0"/>
              <w:autoSpaceDN w:val="0"/>
              <w:adjustRightInd w:val="0"/>
              <w:snapToGrid w:val="0"/>
              <w:jc w:val="center"/>
              <w:rPr>
                <w:rFonts w:eastAsia="宋体"/>
                <w:b/>
                <w:bCs/>
                <w:sz w:val="20"/>
                <w:szCs w:val="20"/>
              </w:rPr>
            </w:pPr>
            <w:r>
              <w:rPr>
                <w:b/>
                <w:bCs/>
                <w:sz w:val="20"/>
                <w:szCs w:val="20"/>
              </w:rPr>
              <w:t>V16</w:t>
            </w:r>
          </w:p>
        </w:tc>
        <w:tc>
          <w:tcPr>
            <w:tcW w:w="1616" w:type="dxa"/>
            <w:tcMar>
              <w:top w:w="28" w:type="dxa"/>
              <w:left w:w="57" w:type="dxa"/>
              <w:bottom w:w="28" w:type="dxa"/>
              <w:right w:w="57" w:type="dxa"/>
            </w:tcMar>
            <w:vAlign w:val="center"/>
          </w:tcPr>
          <w:p w14:paraId="3D729173">
            <w:pPr>
              <w:overflowPunct w:val="0"/>
              <w:autoSpaceDE w:val="0"/>
              <w:autoSpaceDN w:val="0"/>
              <w:adjustRightInd w:val="0"/>
              <w:snapToGrid w:val="0"/>
              <w:jc w:val="center"/>
              <w:rPr>
                <w:rFonts w:eastAsia="宋体"/>
                <w:b/>
                <w:bCs/>
                <w:sz w:val="20"/>
                <w:szCs w:val="20"/>
              </w:rPr>
            </w:pPr>
            <w:r>
              <w:rPr>
                <w:b/>
                <w:bCs/>
                <w:sz w:val="20"/>
                <w:szCs w:val="20"/>
              </w:rPr>
              <w:t>V17</w:t>
            </w:r>
          </w:p>
        </w:tc>
      </w:tr>
      <w:tr w14:paraId="32CB7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blHeader/>
        </w:trPr>
        <w:tc>
          <w:tcPr>
            <w:tcW w:w="2935" w:type="dxa"/>
            <w:tcMar>
              <w:top w:w="28" w:type="dxa"/>
              <w:left w:w="57" w:type="dxa"/>
              <w:bottom w:w="28" w:type="dxa"/>
              <w:right w:w="57" w:type="dxa"/>
            </w:tcMar>
            <w:vAlign w:val="center"/>
          </w:tcPr>
          <w:p w14:paraId="707E6A11">
            <w:pPr>
              <w:overflowPunct w:val="0"/>
              <w:autoSpaceDE w:val="0"/>
              <w:autoSpaceDN w:val="0"/>
              <w:adjustRightInd w:val="0"/>
              <w:snapToGrid w:val="0"/>
              <w:jc w:val="center"/>
              <w:rPr>
                <w:rFonts w:eastAsia="宋体"/>
                <w:b/>
                <w:bCs/>
                <w:sz w:val="20"/>
                <w:szCs w:val="20"/>
              </w:rPr>
            </w:pPr>
            <w:r>
              <w:rPr>
                <w:b/>
                <w:bCs/>
                <w:sz w:val="20"/>
                <w:szCs w:val="20"/>
              </w:rPr>
              <w:t>Visit (week)</w:t>
            </w:r>
          </w:p>
        </w:tc>
        <w:tc>
          <w:tcPr>
            <w:tcW w:w="858" w:type="dxa"/>
            <w:shd w:val="clear" w:color="auto" w:fill="F1F1F1" w:themeFill="background1" w:themeFillShade="F2"/>
            <w:tcMar>
              <w:top w:w="28" w:type="dxa"/>
              <w:left w:w="57" w:type="dxa"/>
              <w:bottom w:w="28" w:type="dxa"/>
              <w:right w:w="57" w:type="dxa"/>
            </w:tcMar>
            <w:vAlign w:val="center"/>
          </w:tcPr>
          <w:p w14:paraId="3CB7FC65">
            <w:pPr>
              <w:overflowPunct w:val="0"/>
              <w:autoSpaceDE w:val="0"/>
              <w:autoSpaceDN w:val="0"/>
              <w:adjustRightInd w:val="0"/>
              <w:snapToGrid w:val="0"/>
              <w:jc w:val="center"/>
              <w:rPr>
                <w:rFonts w:eastAsia="宋体"/>
                <w:b/>
                <w:bCs/>
                <w:sz w:val="20"/>
                <w:szCs w:val="20"/>
              </w:rPr>
            </w:pPr>
            <w:r>
              <w:rPr>
                <w:b/>
                <w:bCs/>
                <w:sz w:val="20"/>
                <w:szCs w:val="20"/>
              </w:rPr>
              <w:t>−2</w:t>
            </w:r>
          </w:p>
        </w:tc>
        <w:tc>
          <w:tcPr>
            <w:tcW w:w="572" w:type="dxa"/>
            <w:shd w:val="clear" w:color="auto" w:fill="F1F1F1" w:themeFill="background1" w:themeFillShade="F2"/>
            <w:tcMar>
              <w:top w:w="28" w:type="dxa"/>
              <w:left w:w="57" w:type="dxa"/>
              <w:bottom w:w="28" w:type="dxa"/>
              <w:right w:w="57" w:type="dxa"/>
            </w:tcMar>
            <w:vAlign w:val="center"/>
          </w:tcPr>
          <w:p w14:paraId="795A9005">
            <w:pPr>
              <w:overflowPunct w:val="0"/>
              <w:autoSpaceDE w:val="0"/>
              <w:autoSpaceDN w:val="0"/>
              <w:adjustRightInd w:val="0"/>
              <w:snapToGrid w:val="0"/>
              <w:jc w:val="center"/>
              <w:rPr>
                <w:rFonts w:eastAsia="宋体"/>
                <w:b/>
                <w:bCs/>
                <w:sz w:val="20"/>
                <w:szCs w:val="20"/>
              </w:rPr>
            </w:pPr>
            <w:r>
              <w:rPr>
                <w:b/>
                <w:bCs/>
                <w:sz w:val="20"/>
                <w:szCs w:val="20"/>
              </w:rPr>
              <w:t>0</w:t>
            </w:r>
          </w:p>
        </w:tc>
        <w:tc>
          <w:tcPr>
            <w:tcW w:w="572" w:type="dxa"/>
            <w:shd w:val="clear" w:color="auto" w:fill="F1F1F1" w:themeFill="background1" w:themeFillShade="F2"/>
            <w:tcMar>
              <w:top w:w="28" w:type="dxa"/>
              <w:left w:w="57" w:type="dxa"/>
              <w:bottom w:w="28" w:type="dxa"/>
              <w:right w:w="57" w:type="dxa"/>
            </w:tcMar>
            <w:vAlign w:val="center"/>
          </w:tcPr>
          <w:p w14:paraId="22540E26">
            <w:pPr>
              <w:overflowPunct w:val="0"/>
              <w:autoSpaceDE w:val="0"/>
              <w:autoSpaceDN w:val="0"/>
              <w:adjustRightInd w:val="0"/>
              <w:snapToGrid w:val="0"/>
              <w:jc w:val="center"/>
              <w:rPr>
                <w:rFonts w:eastAsia="宋体"/>
                <w:b/>
                <w:bCs/>
                <w:sz w:val="20"/>
                <w:szCs w:val="20"/>
              </w:rPr>
            </w:pPr>
            <w:r>
              <w:rPr>
                <w:b/>
                <w:bCs/>
                <w:sz w:val="20"/>
                <w:szCs w:val="20"/>
              </w:rPr>
              <w:t>2</w:t>
            </w:r>
          </w:p>
        </w:tc>
        <w:tc>
          <w:tcPr>
            <w:tcW w:w="573" w:type="dxa"/>
            <w:shd w:val="clear" w:color="auto" w:fill="F1F1F1" w:themeFill="background1" w:themeFillShade="F2"/>
            <w:tcMar>
              <w:top w:w="28" w:type="dxa"/>
              <w:left w:w="57" w:type="dxa"/>
              <w:bottom w:w="28" w:type="dxa"/>
              <w:right w:w="57" w:type="dxa"/>
            </w:tcMar>
            <w:vAlign w:val="center"/>
          </w:tcPr>
          <w:p w14:paraId="0DAF84E0">
            <w:pPr>
              <w:overflowPunct w:val="0"/>
              <w:autoSpaceDE w:val="0"/>
              <w:autoSpaceDN w:val="0"/>
              <w:adjustRightInd w:val="0"/>
              <w:snapToGrid w:val="0"/>
              <w:jc w:val="center"/>
              <w:rPr>
                <w:rFonts w:eastAsia="宋体"/>
                <w:b/>
                <w:bCs/>
                <w:sz w:val="20"/>
                <w:szCs w:val="20"/>
              </w:rPr>
            </w:pPr>
            <w:r>
              <w:rPr>
                <w:b/>
                <w:bCs/>
                <w:sz w:val="20"/>
                <w:szCs w:val="20"/>
              </w:rPr>
              <w:t>4</w:t>
            </w:r>
          </w:p>
        </w:tc>
        <w:tc>
          <w:tcPr>
            <w:tcW w:w="572" w:type="dxa"/>
            <w:shd w:val="clear" w:color="auto" w:fill="F1F1F1" w:themeFill="background1" w:themeFillShade="F2"/>
            <w:tcMar>
              <w:top w:w="28" w:type="dxa"/>
              <w:left w:w="57" w:type="dxa"/>
              <w:bottom w:w="28" w:type="dxa"/>
              <w:right w:w="57" w:type="dxa"/>
            </w:tcMar>
            <w:vAlign w:val="center"/>
          </w:tcPr>
          <w:p w14:paraId="21893A47">
            <w:pPr>
              <w:overflowPunct w:val="0"/>
              <w:autoSpaceDE w:val="0"/>
              <w:autoSpaceDN w:val="0"/>
              <w:adjustRightInd w:val="0"/>
              <w:snapToGrid w:val="0"/>
              <w:jc w:val="center"/>
              <w:rPr>
                <w:rFonts w:eastAsia="宋体"/>
                <w:b/>
                <w:bCs/>
                <w:sz w:val="20"/>
                <w:szCs w:val="20"/>
              </w:rPr>
            </w:pPr>
            <w:r>
              <w:rPr>
                <w:b/>
                <w:bCs/>
                <w:sz w:val="20"/>
                <w:szCs w:val="20"/>
              </w:rPr>
              <w:t>6</w:t>
            </w:r>
          </w:p>
        </w:tc>
        <w:tc>
          <w:tcPr>
            <w:tcW w:w="573" w:type="dxa"/>
            <w:shd w:val="clear" w:color="auto" w:fill="F1F1F1" w:themeFill="background1" w:themeFillShade="F2"/>
            <w:tcMar>
              <w:top w:w="28" w:type="dxa"/>
              <w:left w:w="57" w:type="dxa"/>
              <w:bottom w:w="28" w:type="dxa"/>
              <w:right w:w="57" w:type="dxa"/>
            </w:tcMar>
            <w:vAlign w:val="center"/>
          </w:tcPr>
          <w:p w14:paraId="288D7269">
            <w:pPr>
              <w:overflowPunct w:val="0"/>
              <w:autoSpaceDE w:val="0"/>
              <w:autoSpaceDN w:val="0"/>
              <w:adjustRightInd w:val="0"/>
              <w:snapToGrid w:val="0"/>
              <w:jc w:val="center"/>
              <w:rPr>
                <w:rFonts w:eastAsia="宋体"/>
                <w:b/>
                <w:bCs/>
                <w:sz w:val="20"/>
                <w:szCs w:val="20"/>
              </w:rPr>
            </w:pPr>
            <w:r>
              <w:rPr>
                <w:b/>
                <w:bCs/>
                <w:sz w:val="20"/>
                <w:szCs w:val="20"/>
              </w:rPr>
              <w:t>8</w:t>
            </w:r>
          </w:p>
        </w:tc>
        <w:tc>
          <w:tcPr>
            <w:tcW w:w="572" w:type="dxa"/>
            <w:shd w:val="clear" w:color="auto" w:fill="F1F1F1" w:themeFill="background1" w:themeFillShade="F2"/>
            <w:tcMar>
              <w:top w:w="28" w:type="dxa"/>
              <w:left w:w="57" w:type="dxa"/>
              <w:bottom w:w="28" w:type="dxa"/>
              <w:right w:w="57" w:type="dxa"/>
            </w:tcMar>
            <w:vAlign w:val="center"/>
          </w:tcPr>
          <w:p w14:paraId="556AFDF6">
            <w:pPr>
              <w:overflowPunct w:val="0"/>
              <w:autoSpaceDE w:val="0"/>
              <w:autoSpaceDN w:val="0"/>
              <w:adjustRightInd w:val="0"/>
              <w:snapToGrid w:val="0"/>
              <w:jc w:val="center"/>
              <w:rPr>
                <w:rFonts w:eastAsia="宋体"/>
                <w:b/>
                <w:bCs/>
                <w:sz w:val="20"/>
                <w:szCs w:val="20"/>
              </w:rPr>
            </w:pPr>
            <w:r>
              <w:rPr>
                <w:b/>
                <w:bCs/>
                <w:sz w:val="20"/>
                <w:szCs w:val="20"/>
              </w:rPr>
              <w:t>10</w:t>
            </w:r>
          </w:p>
        </w:tc>
        <w:tc>
          <w:tcPr>
            <w:tcW w:w="573" w:type="dxa"/>
            <w:shd w:val="clear" w:color="auto" w:fill="F2F2F2" w:themeFill="background2" w:themeFillTint="33"/>
            <w:tcMar>
              <w:top w:w="28" w:type="dxa"/>
              <w:left w:w="57" w:type="dxa"/>
              <w:bottom w:w="28" w:type="dxa"/>
              <w:right w:w="57" w:type="dxa"/>
            </w:tcMar>
            <w:vAlign w:val="center"/>
          </w:tcPr>
          <w:p w14:paraId="049D9BB7">
            <w:pPr>
              <w:overflowPunct w:val="0"/>
              <w:autoSpaceDE w:val="0"/>
              <w:autoSpaceDN w:val="0"/>
              <w:adjustRightInd w:val="0"/>
              <w:snapToGrid w:val="0"/>
              <w:jc w:val="center"/>
              <w:rPr>
                <w:rFonts w:eastAsia="宋体"/>
                <w:b/>
                <w:bCs/>
                <w:sz w:val="20"/>
                <w:szCs w:val="20"/>
              </w:rPr>
            </w:pPr>
            <w:r>
              <w:rPr>
                <w:b/>
                <w:bCs/>
                <w:sz w:val="20"/>
                <w:szCs w:val="20"/>
              </w:rPr>
              <w:t>12</w:t>
            </w:r>
          </w:p>
        </w:tc>
        <w:tc>
          <w:tcPr>
            <w:tcW w:w="572" w:type="dxa"/>
            <w:shd w:val="clear" w:color="auto" w:fill="F2F2F2" w:themeFill="background2" w:themeFillTint="33"/>
            <w:tcMar>
              <w:top w:w="28" w:type="dxa"/>
              <w:left w:w="57" w:type="dxa"/>
              <w:bottom w:w="28" w:type="dxa"/>
              <w:right w:w="57" w:type="dxa"/>
            </w:tcMar>
            <w:vAlign w:val="center"/>
          </w:tcPr>
          <w:p w14:paraId="2D6B6AB0">
            <w:pPr>
              <w:overflowPunct w:val="0"/>
              <w:autoSpaceDE w:val="0"/>
              <w:autoSpaceDN w:val="0"/>
              <w:adjustRightInd w:val="0"/>
              <w:snapToGrid w:val="0"/>
              <w:jc w:val="center"/>
              <w:rPr>
                <w:rFonts w:eastAsia="宋体"/>
                <w:b/>
                <w:bCs/>
                <w:sz w:val="20"/>
                <w:szCs w:val="20"/>
              </w:rPr>
            </w:pPr>
            <w:r>
              <w:rPr>
                <w:b/>
                <w:bCs/>
                <w:sz w:val="20"/>
                <w:szCs w:val="20"/>
              </w:rPr>
              <w:t>14</w:t>
            </w:r>
          </w:p>
        </w:tc>
        <w:tc>
          <w:tcPr>
            <w:tcW w:w="573" w:type="dxa"/>
            <w:shd w:val="clear" w:color="auto" w:fill="F2F2F2" w:themeFill="background2" w:themeFillTint="33"/>
            <w:tcMar>
              <w:top w:w="28" w:type="dxa"/>
              <w:left w:w="57" w:type="dxa"/>
              <w:bottom w:w="28" w:type="dxa"/>
              <w:right w:w="57" w:type="dxa"/>
            </w:tcMar>
            <w:vAlign w:val="center"/>
          </w:tcPr>
          <w:p w14:paraId="0CE8A60D">
            <w:pPr>
              <w:overflowPunct w:val="0"/>
              <w:autoSpaceDE w:val="0"/>
              <w:autoSpaceDN w:val="0"/>
              <w:adjustRightInd w:val="0"/>
              <w:snapToGrid w:val="0"/>
              <w:jc w:val="center"/>
              <w:rPr>
                <w:rFonts w:eastAsia="宋体"/>
                <w:b/>
                <w:bCs/>
                <w:sz w:val="20"/>
                <w:szCs w:val="20"/>
              </w:rPr>
            </w:pPr>
            <w:r>
              <w:rPr>
                <w:b/>
                <w:bCs/>
                <w:sz w:val="20"/>
                <w:szCs w:val="20"/>
              </w:rPr>
              <w:t>16</w:t>
            </w:r>
          </w:p>
        </w:tc>
        <w:tc>
          <w:tcPr>
            <w:tcW w:w="572" w:type="dxa"/>
            <w:shd w:val="clear" w:color="auto" w:fill="F2F2F2" w:themeFill="background2" w:themeFillTint="33"/>
            <w:tcMar>
              <w:top w:w="28" w:type="dxa"/>
              <w:left w:w="57" w:type="dxa"/>
              <w:bottom w:w="28" w:type="dxa"/>
              <w:right w:w="57" w:type="dxa"/>
            </w:tcMar>
            <w:vAlign w:val="center"/>
          </w:tcPr>
          <w:p w14:paraId="5436F878">
            <w:pPr>
              <w:overflowPunct w:val="0"/>
              <w:autoSpaceDE w:val="0"/>
              <w:autoSpaceDN w:val="0"/>
              <w:adjustRightInd w:val="0"/>
              <w:snapToGrid w:val="0"/>
              <w:jc w:val="center"/>
              <w:rPr>
                <w:rFonts w:eastAsia="宋体"/>
                <w:b/>
                <w:bCs/>
                <w:sz w:val="20"/>
                <w:szCs w:val="20"/>
              </w:rPr>
            </w:pPr>
            <w:r>
              <w:rPr>
                <w:b/>
                <w:bCs/>
                <w:sz w:val="20"/>
                <w:szCs w:val="20"/>
              </w:rPr>
              <w:t>18</w:t>
            </w:r>
          </w:p>
        </w:tc>
        <w:tc>
          <w:tcPr>
            <w:tcW w:w="573" w:type="dxa"/>
            <w:shd w:val="clear" w:color="auto" w:fill="F2F2F2" w:themeFill="background2" w:themeFillTint="33"/>
            <w:tcMar>
              <w:top w:w="28" w:type="dxa"/>
              <w:left w:w="57" w:type="dxa"/>
              <w:bottom w:w="28" w:type="dxa"/>
              <w:right w:w="57" w:type="dxa"/>
            </w:tcMar>
            <w:vAlign w:val="center"/>
          </w:tcPr>
          <w:p w14:paraId="5BE6F2D4">
            <w:pPr>
              <w:overflowPunct w:val="0"/>
              <w:autoSpaceDE w:val="0"/>
              <w:autoSpaceDN w:val="0"/>
              <w:adjustRightInd w:val="0"/>
              <w:snapToGrid w:val="0"/>
              <w:jc w:val="center"/>
              <w:rPr>
                <w:rFonts w:eastAsia="宋体"/>
                <w:b/>
                <w:bCs/>
                <w:sz w:val="20"/>
                <w:szCs w:val="20"/>
              </w:rPr>
            </w:pPr>
            <w:r>
              <w:rPr>
                <w:b/>
                <w:bCs/>
                <w:sz w:val="20"/>
                <w:szCs w:val="20"/>
              </w:rPr>
              <w:t>20</w:t>
            </w:r>
          </w:p>
        </w:tc>
        <w:tc>
          <w:tcPr>
            <w:tcW w:w="572" w:type="dxa"/>
            <w:shd w:val="clear" w:color="auto" w:fill="F2F2F2" w:themeFill="background2" w:themeFillTint="33"/>
            <w:tcMar>
              <w:top w:w="28" w:type="dxa"/>
              <w:left w:w="57" w:type="dxa"/>
              <w:bottom w:w="28" w:type="dxa"/>
              <w:right w:w="57" w:type="dxa"/>
            </w:tcMar>
            <w:vAlign w:val="center"/>
          </w:tcPr>
          <w:p w14:paraId="45FE83AF">
            <w:pPr>
              <w:overflowPunct w:val="0"/>
              <w:autoSpaceDE w:val="0"/>
              <w:autoSpaceDN w:val="0"/>
              <w:adjustRightInd w:val="0"/>
              <w:snapToGrid w:val="0"/>
              <w:jc w:val="center"/>
              <w:rPr>
                <w:rFonts w:eastAsia="宋体"/>
                <w:b/>
                <w:bCs/>
                <w:sz w:val="20"/>
                <w:szCs w:val="20"/>
              </w:rPr>
            </w:pPr>
            <w:r>
              <w:rPr>
                <w:b/>
                <w:bCs/>
                <w:sz w:val="20"/>
                <w:szCs w:val="20"/>
              </w:rPr>
              <w:t>22</w:t>
            </w:r>
          </w:p>
        </w:tc>
        <w:tc>
          <w:tcPr>
            <w:tcW w:w="573" w:type="dxa"/>
            <w:tcMar>
              <w:top w:w="28" w:type="dxa"/>
              <w:left w:w="57" w:type="dxa"/>
              <w:bottom w:w="28" w:type="dxa"/>
              <w:right w:w="57" w:type="dxa"/>
            </w:tcMar>
            <w:vAlign w:val="center"/>
          </w:tcPr>
          <w:p w14:paraId="500EB427">
            <w:pPr>
              <w:overflowPunct w:val="0"/>
              <w:autoSpaceDE w:val="0"/>
              <w:autoSpaceDN w:val="0"/>
              <w:adjustRightInd w:val="0"/>
              <w:snapToGrid w:val="0"/>
              <w:jc w:val="center"/>
              <w:rPr>
                <w:rFonts w:eastAsia="宋体"/>
                <w:b/>
                <w:bCs/>
                <w:sz w:val="20"/>
                <w:szCs w:val="20"/>
              </w:rPr>
            </w:pPr>
            <w:r>
              <w:rPr>
                <w:b/>
                <w:bCs/>
                <w:sz w:val="20"/>
                <w:szCs w:val="20"/>
              </w:rPr>
              <w:t>\</w:t>
            </w:r>
          </w:p>
        </w:tc>
        <w:tc>
          <w:tcPr>
            <w:tcW w:w="572" w:type="dxa"/>
            <w:tcMar>
              <w:top w:w="28" w:type="dxa"/>
              <w:left w:w="57" w:type="dxa"/>
              <w:bottom w:w="28" w:type="dxa"/>
              <w:right w:w="57" w:type="dxa"/>
            </w:tcMar>
            <w:vAlign w:val="center"/>
          </w:tcPr>
          <w:p w14:paraId="5F22255E">
            <w:pPr>
              <w:overflowPunct w:val="0"/>
              <w:autoSpaceDE w:val="0"/>
              <w:autoSpaceDN w:val="0"/>
              <w:adjustRightInd w:val="0"/>
              <w:snapToGrid w:val="0"/>
              <w:jc w:val="center"/>
              <w:rPr>
                <w:rFonts w:eastAsia="宋体"/>
                <w:b/>
                <w:bCs/>
                <w:sz w:val="20"/>
                <w:szCs w:val="20"/>
              </w:rPr>
            </w:pPr>
            <w:r>
              <w:rPr>
                <w:b/>
                <w:bCs/>
                <w:sz w:val="20"/>
                <w:szCs w:val="20"/>
              </w:rPr>
              <w:t>\</w:t>
            </w:r>
          </w:p>
        </w:tc>
        <w:tc>
          <w:tcPr>
            <w:tcW w:w="573" w:type="dxa"/>
            <w:tcMar>
              <w:top w:w="28" w:type="dxa"/>
              <w:left w:w="57" w:type="dxa"/>
              <w:bottom w:w="28" w:type="dxa"/>
              <w:right w:w="57" w:type="dxa"/>
            </w:tcMar>
            <w:vAlign w:val="center"/>
          </w:tcPr>
          <w:p w14:paraId="3C0061E3">
            <w:pPr>
              <w:overflowPunct w:val="0"/>
              <w:autoSpaceDE w:val="0"/>
              <w:autoSpaceDN w:val="0"/>
              <w:adjustRightInd w:val="0"/>
              <w:snapToGrid w:val="0"/>
              <w:jc w:val="center"/>
              <w:rPr>
                <w:rFonts w:eastAsia="宋体"/>
                <w:b/>
                <w:bCs/>
                <w:sz w:val="20"/>
                <w:szCs w:val="20"/>
              </w:rPr>
            </w:pPr>
            <w:r>
              <w:rPr>
                <w:b/>
                <w:bCs/>
                <w:sz w:val="20"/>
                <w:szCs w:val="20"/>
              </w:rPr>
              <w:t>24</w:t>
            </w:r>
          </w:p>
        </w:tc>
        <w:tc>
          <w:tcPr>
            <w:tcW w:w="1616" w:type="dxa"/>
            <w:tcMar>
              <w:top w:w="28" w:type="dxa"/>
              <w:left w:w="57" w:type="dxa"/>
              <w:bottom w:w="28" w:type="dxa"/>
              <w:right w:w="57" w:type="dxa"/>
            </w:tcMar>
            <w:vAlign w:val="center"/>
          </w:tcPr>
          <w:p w14:paraId="75B81A07">
            <w:pPr>
              <w:overflowPunct w:val="0"/>
              <w:autoSpaceDE w:val="0"/>
              <w:autoSpaceDN w:val="0"/>
              <w:adjustRightInd w:val="0"/>
              <w:snapToGrid w:val="0"/>
              <w:jc w:val="center"/>
              <w:rPr>
                <w:rFonts w:eastAsia="宋体"/>
                <w:b/>
                <w:bCs/>
                <w:sz w:val="20"/>
                <w:szCs w:val="20"/>
              </w:rPr>
            </w:pPr>
            <w:r>
              <w:rPr>
                <w:b/>
                <w:bCs/>
                <w:sz w:val="20"/>
                <w:szCs w:val="20"/>
              </w:rPr>
              <w:t>26</w:t>
            </w:r>
          </w:p>
        </w:tc>
      </w:tr>
      <w:tr w14:paraId="1BD65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blHeader/>
        </w:trPr>
        <w:tc>
          <w:tcPr>
            <w:tcW w:w="2935" w:type="dxa"/>
            <w:tcMar>
              <w:top w:w="28" w:type="dxa"/>
              <w:left w:w="57" w:type="dxa"/>
              <w:bottom w:w="28" w:type="dxa"/>
              <w:right w:w="57" w:type="dxa"/>
            </w:tcMar>
            <w:vAlign w:val="center"/>
          </w:tcPr>
          <w:p w14:paraId="420F8B0D">
            <w:pPr>
              <w:overflowPunct w:val="0"/>
              <w:autoSpaceDE w:val="0"/>
              <w:autoSpaceDN w:val="0"/>
              <w:adjustRightInd w:val="0"/>
              <w:snapToGrid w:val="0"/>
              <w:jc w:val="center"/>
              <w:rPr>
                <w:rFonts w:eastAsia="宋体"/>
                <w:b/>
                <w:bCs/>
                <w:sz w:val="20"/>
                <w:szCs w:val="20"/>
              </w:rPr>
            </w:pPr>
            <w:r>
              <w:rPr>
                <w:b/>
                <w:bCs/>
                <w:sz w:val="20"/>
                <w:szCs w:val="20"/>
              </w:rPr>
              <w:t>Visit (day)</w:t>
            </w:r>
          </w:p>
        </w:tc>
        <w:tc>
          <w:tcPr>
            <w:tcW w:w="858" w:type="dxa"/>
            <w:shd w:val="clear" w:color="auto" w:fill="auto"/>
            <w:tcMar>
              <w:top w:w="28" w:type="dxa"/>
              <w:left w:w="57" w:type="dxa"/>
              <w:bottom w:w="28" w:type="dxa"/>
              <w:right w:w="57" w:type="dxa"/>
            </w:tcMar>
            <w:vAlign w:val="center"/>
          </w:tcPr>
          <w:p w14:paraId="6956408C">
            <w:pPr>
              <w:overflowPunct w:val="0"/>
              <w:autoSpaceDE w:val="0"/>
              <w:autoSpaceDN w:val="0"/>
              <w:adjustRightInd w:val="0"/>
              <w:snapToGrid w:val="0"/>
              <w:jc w:val="center"/>
              <w:rPr>
                <w:rFonts w:eastAsia="宋体"/>
                <w:b/>
                <w:bCs/>
                <w:sz w:val="20"/>
                <w:szCs w:val="20"/>
              </w:rPr>
            </w:pPr>
            <w:r>
              <w:rPr>
                <w:b/>
                <w:bCs/>
                <w:sz w:val="20"/>
                <w:szCs w:val="20"/>
              </w:rPr>
              <w:t>−14 to −1</w:t>
            </w:r>
          </w:p>
        </w:tc>
        <w:tc>
          <w:tcPr>
            <w:tcW w:w="572" w:type="dxa"/>
            <w:shd w:val="clear" w:color="auto" w:fill="F1F1F1" w:themeFill="background1" w:themeFillShade="F2"/>
            <w:tcMar>
              <w:top w:w="28" w:type="dxa"/>
              <w:left w:w="57" w:type="dxa"/>
              <w:bottom w:w="28" w:type="dxa"/>
              <w:right w:w="57" w:type="dxa"/>
            </w:tcMar>
            <w:vAlign w:val="center"/>
          </w:tcPr>
          <w:p w14:paraId="2CF717FF">
            <w:pPr>
              <w:overflowPunct w:val="0"/>
              <w:autoSpaceDE w:val="0"/>
              <w:autoSpaceDN w:val="0"/>
              <w:adjustRightInd w:val="0"/>
              <w:snapToGrid w:val="0"/>
              <w:jc w:val="center"/>
              <w:rPr>
                <w:rFonts w:eastAsia="宋体"/>
                <w:b/>
                <w:bCs/>
                <w:sz w:val="20"/>
                <w:szCs w:val="20"/>
              </w:rPr>
            </w:pPr>
            <w:r>
              <w:rPr>
                <w:b/>
                <w:bCs/>
                <w:sz w:val="20"/>
                <w:szCs w:val="20"/>
              </w:rPr>
              <w:t>0</w:t>
            </w:r>
          </w:p>
        </w:tc>
        <w:tc>
          <w:tcPr>
            <w:tcW w:w="572" w:type="dxa"/>
            <w:shd w:val="clear" w:color="auto" w:fill="F1F1F1" w:themeFill="background1" w:themeFillShade="F2"/>
            <w:tcMar>
              <w:top w:w="28" w:type="dxa"/>
              <w:left w:w="57" w:type="dxa"/>
              <w:bottom w:w="28" w:type="dxa"/>
              <w:right w:w="57" w:type="dxa"/>
            </w:tcMar>
            <w:vAlign w:val="center"/>
          </w:tcPr>
          <w:p w14:paraId="1E606303">
            <w:pPr>
              <w:overflowPunct w:val="0"/>
              <w:autoSpaceDE w:val="0"/>
              <w:autoSpaceDN w:val="0"/>
              <w:adjustRightInd w:val="0"/>
              <w:snapToGrid w:val="0"/>
              <w:jc w:val="center"/>
              <w:rPr>
                <w:rFonts w:eastAsia="宋体"/>
                <w:b/>
                <w:bCs/>
                <w:sz w:val="20"/>
                <w:szCs w:val="20"/>
              </w:rPr>
            </w:pPr>
            <w:r>
              <w:rPr>
                <w:b/>
                <w:bCs/>
                <w:sz w:val="20"/>
                <w:szCs w:val="20"/>
              </w:rPr>
              <w:t>14</w:t>
            </w:r>
          </w:p>
        </w:tc>
        <w:tc>
          <w:tcPr>
            <w:tcW w:w="573" w:type="dxa"/>
            <w:shd w:val="clear" w:color="auto" w:fill="F1F1F1" w:themeFill="background1" w:themeFillShade="F2"/>
            <w:tcMar>
              <w:top w:w="28" w:type="dxa"/>
              <w:left w:w="57" w:type="dxa"/>
              <w:bottom w:w="28" w:type="dxa"/>
              <w:right w:w="57" w:type="dxa"/>
            </w:tcMar>
            <w:vAlign w:val="center"/>
          </w:tcPr>
          <w:p w14:paraId="72C3279A">
            <w:pPr>
              <w:overflowPunct w:val="0"/>
              <w:autoSpaceDE w:val="0"/>
              <w:autoSpaceDN w:val="0"/>
              <w:adjustRightInd w:val="0"/>
              <w:snapToGrid w:val="0"/>
              <w:jc w:val="center"/>
              <w:rPr>
                <w:rFonts w:eastAsia="宋体"/>
                <w:b/>
                <w:bCs/>
                <w:sz w:val="20"/>
                <w:szCs w:val="20"/>
              </w:rPr>
            </w:pPr>
            <w:r>
              <w:rPr>
                <w:b/>
                <w:bCs/>
                <w:sz w:val="20"/>
                <w:szCs w:val="20"/>
              </w:rPr>
              <w:t>28</w:t>
            </w:r>
          </w:p>
        </w:tc>
        <w:tc>
          <w:tcPr>
            <w:tcW w:w="572" w:type="dxa"/>
            <w:shd w:val="clear" w:color="auto" w:fill="F1F1F1" w:themeFill="background1" w:themeFillShade="F2"/>
            <w:tcMar>
              <w:top w:w="28" w:type="dxa"/>
              <w:left w:w="57" w:type="dxa"/>
              <w:bottom w:w="28" w:type="dxa"/>
              <w:right w:w="57" w:type="dxa"/>
            </w:tcMar>
            <w:vAlign w:val="center"/>
          </w:tcPr>
          <w:p w14:paraId="43D34405">
            <w:pPr>
              <w:overflowPunct w:val="0"/>
              <w:autoSpaceDE w:val="0"/>
              <w:autoSpaceDN w:val="0"/>
              <w:adjustRightInd w:val="0"/>
              <w:snapToGrid w:val="0"/>
              <w:jc w:val="center"/>
              <w:rPr>
                <w:rFonts w:eastAsia="宋体"/>
                <w:b/>
                <w:bCs/>
                <w:sz w:val="20"/>
                <w:szCs w:val="20"/>
              </w:rPr>
            </w:pPr>
            <w:r>
              <w:rPr>
                <w:b/>
                <w:bCs/>
                <w:sz w:val="20"/>
                <w:szCs w:val="20"/>
              </w:rPr>
              <w:t>42</w:t>
            </w:r>
          </w:p>
        </w:tc>
        <w:tc>
          <w:tcPr>
            <w:tcW w:w="573" w:type="dxa"/>
            <w:shd w:val="clear" w:color="auto" w:fill="F1F1F1" w:themeFill="background1" w:themeFillShade="F2"/>
            <w:tcMar>
              <w:top w:w="28" w:type="dxa"/>
              <w:left w:w="57" w:type="dxa"/>
              <w:bottom w:w="28" w:type="dxa"/>
              <w:right w:w="57" w:type="dxa"/>
            </w:tcMar>
            <w:vAlign w:val="center"/>
          </w:tcPr>
          <w:p w14:paraId="1AE53E13">
            <w:pPr>
              <w:overflowPunct w:val="0"/>
              <w:autoSpaceDE w:val="0"/>
              <w:autoSpaceDN w:val="0"/>
              <w:adjustRightInd w:val="0"/>
              <w:snapToGrid w:val="0"/>
              <w:jc w:val="center"/>
              <w:rPr>
                <w:rFonts w:eastAsia="宋体"/>
                <w:b/>
                <w:bCs/>
                <w:sz w:val="20"/>
                <w:szCs w:val="20"/>
              </w:rPr>
            </w:pPr>
            <w:r>
              <w:rPr>
                <w:b/>
                <w:bCs/>
                <w:sz w:val="20"/>
                <w:szCs w:val="20"/>
              </w:rPr>
              <w:t>56</w:t>
            </w:r>
          </w:p>
        </w:tc>
        <w:tc>
          <w:tcPr>
            <w:tcW w:w="572" w:type="dxa"/>
            <w:shd w:val="clear" w:color="auto" w:fill="F1F1F1" w:themeFill="background1" w:themeFillShade="F2"/>
            <w:tcMar>
              <w:top w:w="28" w:type="dxa"/>
              <w:left w:w="57" w:type="dxa"/>
              <w:bottom w:w="28" w:type="dxa"/>
              <w:right w:w="57" w:type="dxa"/>
            </w:tcMar>
            <w:vAlign w:val="center"/>
          </w:tcPr>
          <w:p w14:paraId="678B129A">
            <w:pPr>
              <w:overflowPunct w:val="0"/>
              <w:autoSpaceDE w:val="0"/>
              <w:autoSpaceDN w:val="0"/>
              <w:adjustRightInd w:val="0"/>
              <w:snapToGrid w:val="0"/>
              <w:jc w:val="center"/>
              <w:rPr>
                <w:rFonts w:eastAsia="宋体"/>
                <w:b/>
                <w:bCs/>
                <w:sz w:val="20"/>
                <w:szCs w:val="20"/>
              </w:rPr>
            </w:pPr>
            <w:r>
              <w:rPr>
                <w:b/>
                <w:bCs/>
                <w:sz w:val="20"/>
                <w:szCs w:val="20"/>
              </w:rPr>
              <w:t>70</w:t>
            </w:r>
          </w:p>
        </w:tc>
        <w:tc>
          <w:tcPr>
            <w:tcW w:w="573" w:type="dxa"/>
            <w:shd w:val="clear" w:color="auto" w:fill="F2F2F2" w:themeFill="background2" w:themeFillTint="33"/>
            <w:tcMar>
              <w:top w:w="28" w:type="dxa"/>
              <w:left w:w="57" w:type="dxa"/>
              <w:bottom w:w="28" w:type="dxa"/>
              <w:right w:w="57" w:type="dxa"/>
            </w:tcMar>
            <w:vAlign w:val="center"/>
          </w:tcPr>
          <w:p w14:paraId="5D558485">
            <w:pPr>
              <w:overflowPunct w:val="0"/>
              <w:autoSpaceDE w:val="0"/>
              <w:autoSpaceDN w:val="0"/>
              <w:adjustRightInd w:val="0"/>
              <w:snapToGrid w:val="0"/>
              <w:jc w:val="center"/>
              <w:rPr>
                <w:rFonts w:eastAsia="宋体"/>
                <w:b/>
                <w:bCs/>
                <w:sz w:val="20"/>
                <w:szCs w:val="20"/>
              </w:rPr>
            </w:pPr>
            <w:r>
              <w:rPr>
                <w:b/>
                <w:bCs/>
                <w:sz w:val="20"/>
                <w:szCs w:val="20"/>
              </w:rPr>
              <w:t>84</w:t>
            </w:r>
          </w:p>
        </w:tc>
        <w:tc>
          <w:tcPr>
            <w:tcW w:w="572" w:type="dxa"/>
            <w:shd w:val="clear" w:color="auto" w:fill="F2F2F2" w:themeFill="background2" w:themeFillTint="33"/>
            <w:tcMar>
              <w:top w:w="28" w:type="dxa"/>
              <w:left w:w="57" w:type="dxa"/>
              <w:bottom w:w="28" w:type="dxa"/>
              <w:right w:w="57" w:type="dxa"/>
            </w:tcMar>
            <w:vAlign w:val="center"/>
          </w:tcPr>
          <w:p w14:paraId="34C9D5B5">
            <w:pPr>
              <w:overflowPunct w:val="0"/>
              <w:autoSpaceDE w:val="0"/>
              <w:autoSpaceDN w:val="0"/>
              <w:adjustRightInd w:val="0"/>
              <w:snapToGrid w:val="0"/>
              <w:jc w:val="center"/>
              <w:rPr>
                <w:rFonts w:eastAsia="宋体"/>
                <w:b/>
                <w:bCs/>
                <w:sz w:val="20"/>
                <w:szCs w:val="20"/>
              </w:rPr>
            </w:pPr>
            <w:r>
              <w:rPr>
                <w:b/>
                <w:bCs/>
                <w:sz w:val="20"/>
                <w:szCs w:val="20"/>
              </w:rPr>
              <w:t>98</w:t>
            </w:r>
          </w:p>
        </w:tc>
        <w:tc>
          <w:tcPr>
            <w:tcW w:w="573" w:type="dxa"/>
            <w:shd w:val="clear" w:color="auto" w:fill="F2F2F2" w:themeFill="background2" w:themeFillTint="33"/>
            <w:tcMar>
              <w:top w:w="28" w:type="dxa"/>
              <w:left w:w="57" w:type="dxa"/>
              <w:bottom w:w="28" w:type="dxa"/>
              <w:right w:w="57" w:type="dxa"/>
            </w:tcMar>
            <w:vAlign w:val="center"/>
          </w:tcPr>
          <w:p w14:paraId="3E18501A">
            <w:pPr>
              <w:overflowPunct w:val="0"/>
              <w:autoSpaceDE w:val="0"/>
              <w:autoSpaceDN w:val="0"/>
              <w:adjustRightInd w:val="0"/>
              <w:snapToGrid w:val="0"/>
              <w:jc w:val="center"/>
              <w:rPr>
                <w:rFonts w:eastAsia="宋体"/>
                <w:b/>
                <w:bCs/>
                <w:sz w:val="20"/>
                <w:szCs w:val="20"/>
              </w:rPr>
            </w:pPr>
            <w:r>
              <w:rPr>
                <w:b/>
                <w:bCs/>
                <w:sz w:val="20"/>
                <w:szCs w:val="20"/>
              </w:rPr>
              <w:t>112</w:t>
            </w:r>
          </w:p>
        </w:tc>
        <w:tc>
          <w:tcPr>
            <w:tcW w:w="572" w:type="dxa"/>
            <w:shd w:val="clear" w:color="auto" w:fill="F2F2F2" w:themeFill="background2" w:themeFillTint="33"/>
            <w:tcMar>
              <w:top w:w="28" w:type="dxa"/>
              <w:left w:w="57" w:type="dxa"/>
              <w:bottom w:w="28" w:type="dxa"/>
              <w:right w:w="57" w:type="dxa"/>
            </w:tcMar>
            <w:vAlign w:val="center"/>
          </w:tcPr>
          <w:p w14:paraId="45C5DCFF">
            <w:pPr>
              <w:overflowPunct w:val="0"/>
              <w:autoSpaceDE w:val="0"/>
              <w:autoSpaceDN w:val="0"/>
              <w:adjustRightInd w:val="0"/>
              <w:snapToGrid w:val="0"/>
              <w:jc w:val="center"/>
              <w:rPr>
                <w:rFonts w:eastAsia="宋体"/>
                <w:b/>
                <w:bCs/>
                <w:sz w:val="20"/>
                <w:szCs w:val="20"/>
              </w:rPr>
            </w:pPr>
            <w:r>
              <w:rPr>
                <w:b/>
                <w:bCs/>
                <w:sz w:val="20"/>
                <w:szCs w:val="20"/>
              </w:rPr>
              <w:t>126</w:t>
            </w:r>
          </w:p>
        </w:tc>
        <w:tc>
          <w:tcPr>
            <w:tcW w:w="573" w:type="dxa"/>
            <w:shd w:val="clear" w:color="auto" w:fill="F2F2F2" w:themeFill="background2" w:themeFillTint="33"/>
            <w:tcMar>
              <w:top w:w="28" w:type="dxa"/>
              <w:left w:w="57" w:type="dxa"/>
              <w:bottom w:w="28" w:type="dxa"/>
              <w:right w:w="57" w:type="dxa"/>
            </w:tcMar>
            <w:vAlign w:val="center"/>
          </w:tcPr>
          <w:p w14:paraId="52BBFD86">
            <w:pPr>
              <w:overflowPunct w:val="0"/>
              <w:autoSpaceDE w:val="0"/>
              <w:autoSpaceDN w:val="0"/>
              <w:adjustRightInd w:val="0"/>
              <w:snapToGrid w:val="0"/>
              <w:jc w:val="center"/>
              <w:rPr>
                <w:rFonts w:eastAsia="宋体"/>
                <w:b/>
                <w:bCs/>
                <w:sz w:val="20"/>
                <w:szCs w:val="20"/>
              </w:rPr>
            </w:pPr>
            <w:r>
              <w:rPr>
                <w:b/>
                <w:bCs/>
                <w:sz w:val="20"/>
                <w:szCs w:val="20"/>
              </w:rPr>
              <w:t>140</w:t>
            </w:r>
          </w:p>
        </w:tc>
        <w:tc>
          <w:tcPr>
            <w:tcW w:w="572" w:type="dxa"/>
            <w:shd w:val="clear" w:color="auto" w:fill="F2F2F2" w:themeFill="background2" w:themeFillTint="33"/>
            <w:tcMar>
              <w:top w:w="28" w:type="dxa"/>
              <w:left w:w="57" w:type="dxa"/>
              <w:bottom w:w="28" w:type="dxa"/>
              <w:right w:w="57" w:type="dxa"/>
            </w:tcMar>
            <w:vAlign w:val="center"/>
          </w:tcPr>
          <w:p w14:paraId="10F9E42F">
            <w:pPr>
              <w:overflowPunct w:val="0"/>
              <w:autoSpaceDE w:val="0"/>
              <w:autoSpaceDN w:val="0"/>
              <w:adjustRightInd w:val="0"/>
              <w:snapToGrid w:val="0"/>
              <w:jc w:val="center"/>
              <w:rPr>
                <w:rFonts w:eastAsia="宋体"/>
                <w:b/>
                <w:bCs/>
                <w:sz w:val="20"/>
                <w:szCs w:val="20"/>
              </w:rPr>
            </w:pPr>
            <w:r>
              <w:rPr>
                <w:b/>
                <w:bCs/>
                <w:sz w:val="20"/>
                <w:szCs w:val="20"/>
              </w:rPr>
              <w:t>154</w:t>
            </w:r>
          </w:p>
        </w:tc>
        <w:tc>
          <w:tcPr>
            <w:tcW w:w="573" w:type="dxa"/>
            <w:tcMar>
              <w:top w:w="28" w:type="dxa"/>
              <w:left w:w="57" w:type="dxa"/>
              <w:bottom w:w="28" w:type="dxa"/>
              <w:right w:w="57" w:type="dxa"/>
            </w:tcMar>
            <w:vAlign w:val="center"/>
          </w:tcPr>
          <w:p w14:paraId="5DB3A521">
            <w:pPr>
              <w:overflowPunct w:val="0"/>
              <w:autoSpaceDE w:val="0"/>
              <w:autoSpaceDN w:val="0"/>
              <w:adjustRightInd w:val="0"/>
              <w:snapToGrid w:val="0"/>
              <w:jc w:val="center"/>
              <w:rPr>
                <w:rFonts w:eastAsia="宋体"/>
                <w:b/>
                <w:bCs/>
                <w:sz w:val="20"/>
                <w:szCs w:val="20"/>
              </w:rPr>
            </w:pPr>
            <w:r>
              <w:rPr>
                <w:b/>
                <w:bCs/>
                <w:sz w:val="20"/>
                <w:szCs w:val="20"/>
              </w:rPr>
              <w:t>\</w:t>
            </w:r>
          </w:p>
        </w:tc>
        <w:tc>
          <w:tcPr>
            <w:tcW w:w="572" w:type="dxa"/>
            <w:tcMar>
              <w:top w:w="28" w:type="dxa"/>
              <w:left w:w="57" w:type="dxa"/>
              <w:bottom w:w="28" w:type="dxa"/>
              <w:right w:w="57" w:type="dxa"/>
            </w:tcMar>
            <w:vAlign w:val="center"/>
          </w:tcPr>
          <w:p w14:paraId="4FD2DCD2">
            <w:pPr>
              <w:overflowPunct w:val="0"/>
              <w:autoSpaceDE w:val="0"/>
              <w:autoSpaceDN w:val="0"/>
              <w:adjustRightInd w:val="0"/>
              <w:snapToGrid w:val="0"/>
              <w:jc w:val="center"/>
              <w:rPr>
                <w:rFonts w:eastAsia="宋体"/>
                <w:b/>
                <w:bCs/>
                <w:sz w:val="20"/>
                <w:szCs w:val="20"/>
              </w:rPr>
            </w:pPr>
            <w:r>
              <w:rPr>
                <w:b/>
                <w:bCs/>
                <w:sz w:val="20"/>
                <w:szCs w:val="20"/>
              </w:rPr>
              <w:t>\</w:t>
            </w:r>
          </w:p>
        </w:tc>
        <w:tc>
          <w:tcPr>
            <w:tcW w:w="573" w:type="dxa"/>
            <w:tcMar>
              <w:top w:w="28" w:type="dxa"/>
              <w:left w:w="57" w:type="dxa"/>
              <w:bottom w:w="28" w:type="dxa"/>
              <w:right w:w="57" w:type="dxa"/>
            </w:tcMar>
            <w:vAlign w:val="center"/>
          </w:tcPr>
          <w:p w14:paraId="676E4B77">
            <w:pPr>
              <w:overflowPunct w:val="0"/>
              <w:autoSpaceDE w:val="0"/>
              <w:autoSpaceDN w:val="0"/>
              <w:adjustRightInd w:val="0"/>
              <w:snapToGrid w:val="0"/>
              <w:jc w:val="center"/>
              <w:rPr>
                <w:rFonts w:eastAsia="宋体"/>
                <w:b/>
                <w:bCs/>
                <w:sz w:val="20"/>
                <w:szCs w:val="20"/>
              </w:rPr>
            </w:pPr>
            <w:r>
              <w:rPr>
                <w:b/>
                <w:bCs/>
                <w:sz w:val="20"/>
                <w:szCs w:val="20"/>
              </w:rPr>
              <w:t>168</w:t>
            </w:r>
          </w:p>
        </w:tc>
        <w:tc>
          <w:tcPr>
            <w:tcW w:w="1616" w:type="dxa"/>
            <w:tcMar>
              <w:top w:w="28" w:type="dxa"/>
              <w:left w:w="57" w:type="dxa"/>
              <w:bottom w:w="28" w:type="dxa"/>
              <w:right w:w="57" w:type="dxa"/>
            </w:tcMar>
            <w:vAlign w:val="center"/>
          </w:tcPr>
          <w:p w14:paraId="0D51F2A5">
            <w:pPr>
              <w:overflowPunct w:val="0"/>
              <w:autoSpaceDE w:val="0"/>
              <w:autoSpaceDN w:val="0"/>
              <w:adjustRightInd w:val="0"/>
              <w:snapToGrid w:val="0"/>
              <w:jc w:val="center"/>
              <w:rPr>
                <w:rFonts w:eastAsia="宋体"/>
                <w:b/>
                <w:bCs/>
                <w:sz w:val="20"/>
                <w:szCs w:val="20"/>
              </w:rPr>
            </w:pPr>
            <w:r>
              <w:rPr>
                <w:b/>
                <w:bCs/>
                <w:sz w:val="20"/>
                <w:szCs w:val="20"/>
              </w:rPr>
              <w:t>182/early withdrawal</w:t>
            </w:r>
            <w:r>
              <w:rPr>
                <w:b/>
                <w:bCs/>
                <w:sz w:val="20"/>
                <w:szCs w:val="20"/>
                <w:vertAlign w:val="superscript"/>
              </w:rPr>
              <w:t>2</w:t>
            </w:r>
          </w:p>
        </w:tc>
      </w:tr>
      <w:tr w14:paraId="2DF97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blHeader/>
        </w:trPr>
        <w:tc>
          <w:tcPr>
            <w:tcW w:w="2935" w:type="dxa"/>
            <w:tcMar>
              <w:top w:w="28" w:type="dxa"/>
              <w:left w:w="57" w:type="dxa"/>
              <w:bottom w:w="28" w:type="dxa"/>
              <w:right w:w="57" w:type="dxa"/>
            </w:tcMar>
            <w:vAlign w:val="center"/>
          </w:tcPr>
          <w:p w14:paraId="0820FE57">
            <w:pPr>
              <w:overflowPunct w:val="0"/>
              <w:autoSpaceDE w:val="0"/>
              <w:autoSpaceDN w:val="0"/>
              <w:adjustRightInd w:val="0"/>
              <w:snapToGrid w:val="0"/>
              <w:jc w:val="center"/>
              <w:rPr>
                <w:rFonts w:eastAsia="宋体"/>
                <w:b/>
                <w:bCs/>
                <w:sz w:val="20"/>
                <w:szCs w:val="20"/>
              </w:rPr>
            </w:pPr>
            <w:r>
              <w:rPr>
                <w:b/>
                <w:bCs/>
                <w:sz w:val="20"/>
                <w:szCs w:val="20"/>
              </w:rPr>
              <w:t>Time window (day)</w:t>
            </w:r>
          </w:p>
        </w:tc>
        <w:tc>
          <w:tcPr>
            <w:tcW w:w="858" w:type="dxa"/>
            <w:shd w:val="clear" w:color="auto" w:fill="auto"/>
            <w:tcMar>
              <w:top w:w="28" w:type="dxa"/>
              <w:left w:w="57" w:type="dxa"/>
              <w:bottom w:w="28" w:type="dxa"/>
              <w:right w:w="57" w:type="dxa"/>
            </w:tcMar>
            <w:vAlign w:val="center"/>
          </w:tcPr>
          <w:p w14:paraId="74CA0E51">
            <w:pPr>
              <w:overflowPunct w:val="0"/>
              <w:autoSpaceDE w:val="0"/>
              <w:autoSpaceDN w:val="0"/>
              <w:adjustRightInd w:val="0"/>
              <w:snapToGrid w:val="0"/>
              <w:jc w:val="center"/>
              <w:rPr>
                <w:rFonts w:eastAsia="宋体"/>
                <w:b/>
                <w:bCs/>
                <w:sz w:val="20"/>
                <w:szCs w:val="20"/>
              </w:rPr>
            </w:pPr>
            <w:r>
              <w:rPr>
                <w:b/>
                <w:bCs/>
                <w:sz w:val="20"/>
                <w:szCs w:val="20"/>
              </w:rPr>
              <w:t>\</w:t>
            </w:r>
          </w:p>
        </w:tc>
        <w:tc>
          <w:tcPr>
            <w:tcW w:w="572" w:type="dxa"/>
            <w:shd w:val="clear" w:color="auto" w:fill="F1F1F1" w:themeFill="background1" w:themeFillShade="F2"/>
            <w:tcMar>
              <w:top w:w="28" w:type="dxa"/>
              <w:left w:w="57" w:type="dxa"/>
              <w:bottom w:w="28" w:type="dxa"/>
              <w:right w:w="57" w:type="dxa"/>
            </w:tcMar>
            <w:vAlign w:val="center"/>
          </w:tcPr>
          <w:p w14:paraId="06943AE8">
            <w:pPr>
              <w:overflowPunct w:val="0"/>
              <w:autoSpaceDE w:val="0"/>
              <w:autoSpaceDN w:val="0"/>
              <w:adjustRightInd w:val="0"/>
              <w:snapToGrid w:val="0"/>
              <w:jc w:val="center"/>
              <w:rPr>
                <w:rFonts w:eastAsia="宋体"/>
                <w:b/>
                <w:bCs/>
                <w:sz w:val="20"/>
                <w:szCs w:val="20"/>
              </w:rPr>
            </w:pPr>
            <w:r>
              <w:rPr>
                <w:b/>
                <w:bCs/>
                <w:sz w:val="20"/>
                <w:szCs w:val="20"/>
              </w:rPr>
              <w:t>\</w:t>
            </w:r>
          </w:p>
        </w:tc>
        <w:tc>
          <w:tcPr>
            <w:tcW w:w="572" w:type="dxa"/>
            <w:shd w:val="clear" w:color="auto" w:fill="F1F1F1" w:themeFill="background1" w:themeFillShade="F2"/>
            <w:tcMar>
              <w:top w:w="28" w:type="dxa"/>
              <w:left w:w="57" w:type="dxa"/>
              <w:bottom w:w="28" w:type="dxa"/>
              <w:right w:w="57" w:type="dxa"/>
            </w:tcMar>
            <w:vAlign w:val="center"/>
          </w:tcPr>
          <w:p w14:paraId="7FA484F5">
            <w:pPr>
              <w:overflowPunct w:val="0"/>
              <w:autoSpaceDE w:val="0"/>
              <w:autoSpaceDN w:val="0"/>
              <w:adjustRightInd w:val="0"/>
              <w:snapToGrid w:val="0"/>
              <w:jc w:val="center"/>
              <w:rPr>
                <w:rFonts w:eastAsia="宋体"/>
                <w:b/>
                <w:bCs/>
                <w:sz w:val="20"/>
                <w:szCs w:val="20"/>
              </w:rPr>
            </w:pPr>
            <w:r>
              <w:rPr>
                <w:b/>
                <w:bCs/>
                <w:sz w:val="20"/>
                <w:szCs w:val="20"/>
              </w:rPr>
              <w:t>± 3</w:t>
            </w:r>
          </w:p>
        </w:tc>
        <w:tc>
          <w:tcPr>
            <w:tcW w:w="573" w:type="dxa"/>
            <w:shd w:val="clear" w:color="auto" w:fill="F1F1F1" w:themeFill="background1" w:themeFillShade="F2"/>
            <w:tcMar>
              <w:top w:w="28" w:type="dxa"/>
              <w:left w:w="57" w:type="dxa"/>
              <w:bottom w:w="28" w:type="dxa"/>
              <w:right w:w="57" w:type="dxa"/>
            </w:tcMar>
            <w:vAlign w:val="center"/>
          </w:tcPr>
          <w:p w14:paraId="658DB16C">
            <w:pPr>
              <w:overflowPunct w:val="0"/>
              <w:autoSpaceDE w:val="0"/>
              <w:autoSpaceDN w:val="0"/>
              <w:adjustRightInd w:val="0"/>
              <w:snapToGrid w:val="0"/>
              <w:jc w:val="center"/>
              <w:rPr>
                <w:rFonts w:eastAsia="宋体"/>
                <w:b/>
                <w:bCs/>
                <w:sz w:val="20"/>
                <w:szCs w:val="20"/>
              </w:rPr>
            </w:pPr>
            <w:r>
              <w:rPr>
                <w:b/>
                <w:bCs/>
                <w:sz w:val="20"/>
                <w:szCs w:val="20"/>
              </w:rPr>
              <w:t>± 3</w:t>
            </w:r>
          </w:p>
        </w:tc>
        <w:tc>
          <w:tcPr>
            <w:tcW w:w="572" w:type="dxa"/>
            <w:shd w:val="clear" w:color="auto" w:fill="F1F1F1" w:themeFill="background1" w:themeFillShade="F2"/>
            <w:tcMar>
              <w:top w:w="28" w:type="dxa"/>
              <w:left w:w="57" w:type="dxa"/>
              <w:bottom w:w="28" w:type="dxa"/>
              <w:right w:w="57" w:type="dxa"/>
            </w:tcMar>
            <w:vAlign w:val="center"/>
          </w:tcPr>
          <w:p w14:paraId="07DC7758">
            <w:pPr>
              <w:overflowPunct w:val="0"/>
              <w:autoSpaceDE w:val="0"/>
              <w:autoSpaceDN w:val="0"/>
              <w:adjustRightInd w:val="0"/>
              <w:snapToGrid w:val="0"/>
              <w:jc w:val="center"/>
              <w:rPr>
                <w:rFonts w:eastAsia="宋体"/>
                <w:b/>
                <w:bCs/>
                <w:sz w:val="20"/>
                <w:szCs w:val="20"/>
              </w:rPr>
            </w:pPr>
            <w:r>
              <w:rPr>
                <w:b/>
                <w:bCs/>
                <w:sz w:val="20"/>
                <w:szCs w:val="20"/>
              </w:rPr>
              <w:t>± 3</w:t>
            </w:r>
          </w:p>
        </w:tc>
        <w:tc>
          <w:tcPr>
            <w:tcW w:w="573" w:type="dxa"/>
            <w:shd w:val="clear" w:color="auto" w:fill="F1F1F1" w:themeFill="background1" w:themeFillShade="F2"/>
            <w:tcMar>
              <w:top w:w="28" w:type="dxa"/>
              <w:left w:w="57" w:type="dxa"/>
              <w:bottom w:w="28" w:type="dxa"/>
              <w:right w:w="57" w:type="dxa"/>
            </w:tcMar>
            <w:vAlign w:val="center"/>
          </w:tcPr>
          <w:p w14:paraId="2FDB2F28">
            <w:pPr>
              <w:overflowPunct w:val="0"/>
              <w:autoSpaceDE w:val="0"/>
              <w:autoSpaceDN w:val="0"/>
              <w:adjustRightInd w:val="0"/>
              <w:snapToGrid w:val="0"/>
              <w:jc w:val="center"/>
              <w:rPr>
                <w:rFonts w:eastAsia="宋体"/>
                <w:b/>
                <w:bCs/>
                <w:sz w:val="20"/>
                <w:szCs w:val="20"/>
              </w:rPr>
            </w:pPr>
            <w:r>
              <w:rPr>
                <w:b/>
                <w:bCs/>
                <w:sz w:val="20"/>
                <w:szCs w:val="20"/>
              </w:rPr>
              <w:t>± 3</w:t>
            </w:r>
          </w:p>
        </w:tc>
        <w:tc>
          <w:tcPr>
            <w:tcW w:w="572" w:type="dxa"/>
            <w:shd w:val="clear" w:color="auto" w:fill="F1F1F1" w:themeFill="background1" w:themeFillShade="F2"/>
            <w:tcMar>
              <w:top w:w="28" w:type="dxa"/>
              <w:left w:w="57" w:type="dxa"/>
              <w:bottom w:w="28" w:type="dxa"/>
              <w:right w:w="57" w:type="dxa"/>
            </w:tcMar>
            <w:vAlign w:val="center"/>
          </w:tcPr>
          <w:p w14:paraId="06ACD040">
            <w:pPr>
              <w:overflowPunct w:val="0"/>
              <w:autoSpaceDE w:val="0"/>
              <w:autoSpaceDN w:val="0"/>
              <w:adjustRightInd w:val="0"/>
              <w:snapToGrid w:val="0"/>
              <w:jc w:val="center"/>
              <w:rPr>
                <w:rFonts w:eastAsia="宋体"/>
                <w:b/>
                <w:bCs/>
                <w:sz w:val="20"/>
                <w:szCs w:val="20"/>
              </w:rPr>
            </w:pPr>
            <w:r>
              <w:rPr>
                <w:b/>
                <w:bCs/>
                <w:sz w:val="20"/>
                <w:szCs w:val="20"/>
              </w:rPr>
              <w:t>± 3</w:t>
            </w:r>
          </w:p>
        </w:tc>
        <w:tc>
          <w:tcPr>
            <w:tcW w:w="573" w:type="dxa"/>
            <w:shd w:val="clear" w:color="auto" w:fill="F2F2F2" w:themeFill="background2" w:themeFillTint="33"/>
            <w:tcMar>
              <w:top w:w="28" w:type="dxa"/>
              <w:left w:w="57" w:type="dxa"/>
              <w:bottom w:w="28" w:type="dxa"/>
              <w:right w:w="57" w:type="dxa"/>
            </w:tcMar>
            <w:vAlign w:val="center"/>
          </w:tcPr>
          <w:p w14:paraId="2EBDDC00">
            <w:pPr>
              <w:overflowPunct w:val="0"/>
              <w:autoSpaceDE w:val="0"/>
              <w:autoSpaceDN w:val="0"/>
              <w:adjustRightInd w:val="0"/>
              <w:snapToGrid w:val="0"/>
              <w:jc w:val="center"/>
              <w:rPr>
                <w:rFonts w:eastAsia="宋体"/>
                <w:b/>
                <w:bCs/>
                <w:sz w:val="20"/>
                <w:szCs w:val="20"/>
              </w:rPr>
            </w:pPr>
            <w:r>
              <w:rPr>
                <w:b/>
                <w:bCs/>
                <w:sz w:val="20"/>
                <w:szCs w:val="20"/>
              </w:rPr>
              <w:t>± 3</w:t>
            </w:r>
          </w:p>
        </w:tc>
        <w:tc>
          <w:tcPr>
            <w:tcW w:w="572" w:type="dxa"/>
            <w:shd w:val="clear" w:color="auto" w:fill="F2F2F2" w:themeFill="background2" w:themeFillTint="33"/>
            <w:tcMar>
              <w:top w:w="28" w:type="dxa"/>
              <w:left w:w="57" w:type="dxa"/>
              <w:bottom w:w="28" w:type="dxa"/>
              <w:right w:w="57" w:type="dxa"/>
            </w:tcMar>
            <w:vAlign w:val="center"/>
          </w:tcPr>
          <w:p w14:paraId="44ADC10B">
            <w:pPr>
              <w:overflowPunct w:val="0"/>
              <w:autoSpaceDE w:val="0"/>
              <w:autoSpaceDN w:val="0"/>
              <w:adjustRightInd w:val="0"/>
              <w:snapToGrid w:val="0"/>
              <w:jc w:val="center"/>
              <w:rPr>
                <w:rFonts w:eastAsia="宋体"/>
                <w:b/>
                <w:bCs/>
                <w:sz w:val="20"/>
                <w:szCs w:val="20"/>
              </w:rPr>
            </w:pPr>
            <w:r>
              <w:rPr>
                <w:b/>
                <w:bCs/>
                <w:sz w:val="20"/>
                <w:szCs w:val="20"/>
              </w:rPr>
              <w:t>± 3</w:t>
            </w:r>
          </w:p>
        </w:tc>
        <w:tc>
          <w:tcPr>
            <w:tcW w:w="573" w:type="dxa"/>
            <w:shd w:val="clear" w:color="auto" w:fill="F2F2F2" w:themeFill="background2" w:themeFillTint="33"/>
            <w:tcMar>
              <w:top w:w="28" w:type="dxa"/>
              <w:left w:w="57" w:type="dxa"/>
              <w:bottom w:w="28" w:type="dxa"/>
              <w:right w:w="57" w:type="dxa"/>
            </w:tcMar>
            <w:vAlign w:val="center"/>
          </w:tcPr>
          <w:p w14:paraId="58D3A30E">
            <w:pPr>
              <w:overflowPunct w:val="0"/>
              <w:autoSpaceDE w:val="0"/>
              <w:autoSpaceDN w:val="0"/>
              <w:adjustRightInd w:val="0"/>
              <w:snapToGrid w:val="0"/>
              <w:jc w:val="center"/>
              <w:rPr>
                <w:rFonts w:eastAsia="宋体"/>
                <w:b/>
                <w:bCs/>
                <w:sz w:val="20"/>
                <w:szCs w:val="20"/>
              </w:rPr>
            </w:pPr>
            <w:r>
              <w:rPr>
                <w:b/>
                <w:bCs/>
                <w:sz w:val="20"/>
                <w:szCs w:val="20"/>
              </w:rPr>
              <w:t>± 3</w:t>
            </w:r>
          </w:p>
        </w:tc>
        <w:tc>
          <w:tcPr>
            <w:tcW w:w="572" w:type="dxa"/>
            <w:shd w:val="clear" w:color="auto" w:fill="F2F2F2" w:themeFill="background2" w:themeFillTint="33"/>
            <w:tcMar>
              <w:top w:w="28" w:type="dxa"/>
              <w:left w:w="57" w:type="dxa"/>
              <w:bottom w:w="28" w:type="dxa"/>
              <w:right w:w="57" w:type="dxa"/>
            </w:tcMar>
            <w:vAlign w:val="center"/>
          </w:tcPr>
          <w:p w14:paraId="4A2324AE">
            <w:pPr>
              <w:overflowPunct w:val="0"/>
              <w:autoSpaceDE w:val="0"/>
              <w:autoSpaceDN w:val="0"/>
              <w:adjustRightInd w:val="0"/>
              <w:snapToGrid w:val="0"/>
              <w:jc w:val="center"/>
              <w:rPr>
                <w:rFonts w:eastAsia="宋体"/>
                <w:b/>
                <w:bCs/>
                <w:sz w:val="20"/>
                <w:szCs w:val="20"/>
              </w:rPr>
            </w:pPr>
            <w:r>
              <w:rPr>
                <w:b/>
                <w:bCs/>
                <w:sz w:val="20"/>
                <w:szCs w:val="20"/>
              </w:rPr>
              <w:t>± 3</w:t>
            </w:r>
          </w:p>
        </w:tc>
        <w:tc>
          <w:tcPr>
            <w:tcW w:w="573" w:type="dxa"/>
            <w:shd w:val="clear" w:color="auto" w:fill="F2F2F2" w:themeFill="background2" w:themeFillTint="33"/>
            <w:tcMar>
              <w:top w:w="28" w:type="dxa"/>
              <w:left w:w="57" w:type="dxa"/>
              <w:bottom w:w="28" w:type="dxa"/>
              <w:right w:w="57" w:type="dxa"/>
            </w:tcMar>
            <w:vAlign w:val="center"/>
          </w:tcPr>
          <w:p w14:paraId="414303D3">
            <w:pPr>
              <w:overflowPunct w:val="0"/>
              <w:autoSpaceDE w:val="0"/>
              <w:autoSpaceDN w:val="0"/>
              <w:adjustRightInd w:val="0"/>
              <w:snapToGrid w:val="0"/>
              <w:jc w:val="center"/>
              <w:rPr>
                <w:rFonts w:eastAsia="宋体"/>
                <w:b/>
                <w:bCs/>
                <w:sz w:val="20"/>
                <w:szCs w:val="20"/>
              </w:rPr>
            </w:pPr>
            <w:r>
              <w:rPr>
                <w:b/>
                <w:bCs/>
                <w:sz w:val="20"/>
                <w:szCs w:val="20"/>
              </w:rPr>
              <w:t>± 3</w:t>
            </w:r>
          </w:p>
        </w:tc>
        <w:tc>
          <w:tcPr>
            <w:tcW w:w="572" w:type="dxa"/>
            <w:shd w:val="clear" w:color="auto" w:fill="F2F2F2" w:themeFill="background2" w:themeFillTint="33"/>
            <w:tcMar>
              <w:top w:w="28" w:type="dxa"/>
              <w:left w:w="57" w:type="dxa"/>
              <w:bottom w:w="28" w:type="dxa"/>
              <w:right w:w="57" w:type="dxa"/>
            </w:tcMar>
            <w:vAlign w:val="center"/>
          </w:tcPr>
          <w:p w14:paraId="42F67C9C">
            <w:pPr>
              <w:overflowPunct w:val="0"/>
              <w:autoSpaceDE w:val="0"/>
              <w:autoSpaceDN w:val="0"/>
              <w:adjustRightInd w:val="0"/>
              <w:snapToGrid w:val="0"/>
              <w:jc w:val="center"/>
              <w:rPr>
                <w:rFonts w:eastAsia="宋体"/>
                <w:b/>
                <w:bCs/>
                <w:sz w:val="20"/>
                <w:szCs w:val="20"/>
              </w:rPr>
            </w:pPr>
            <w:r>
              <w:rPr>
                <w:b/>
                <w:bCs/>
                <w:sz w:val="20"/>
                <w:szCs w:val="20"/>
              </w:rPr>
              <w:t>± 3</w:t>
            </w:r>
          </w:p>
        </w:tc>
        <w:tc>
          <w:tcPr>
            <w:tcW w:w="573" w:type="dxa"/>
            <w:tcMar>
              <w:top w:w="28" w:type="dxa"/>
              <w:left w:w="57" w:type="dxa"/>
              <w:bottom w:w="28" w:type="dxa"/>
              <w:right w:w="57" w:type="dxa"/>
            </w:tcMar>
            <w:vAlign w:val="center"/>
          </w:tcPr>
          <w:p w14:paraId="0517470A">
            <w:pPr>
              <w:overflowPunct w:val="0"/>
              <w:autoSpaceDE w:val="0"/>
              <w:autoSpaceDN w:val="0"/>
              <w:adjustRightInd w:val="0"/>
              <w:snapToGrid w:val="0"/>
              <w:jc w:val="center"/>
              <w:rPr>
                <w:rFonts w:eastAsia="宋体"/>
                <w:b/>
                <w:bCs/>
                <w:sz w:val="20"/>
                <w:szCs w:val="20"/>
              </w:rPr>
            </w:pPr>
            <w:r>
              <w:rPr>
                <w:b/>
                <w:bCs/>
                <w:sz w:val="20"/>
                <w:szCs w:val="20"/>
              </w:rPr>
              <w:t>\</w:t>
            </w:r>
          </w:p>
        </w:tc>
        <w:tc>
          <w:tcPr>
            <w:tcW w:w="572" w:type="dxa"/>
            <w:tcMar>
              <w:top w:w="28" w:type="dxa"/>
              <w:left w:w="57" w:type="dxa"/>
              <w:bottom w:w="28" w:type="dxa"/>
              <w:right w:w="57" w:type="dxa"/>
            </w:tcMar>
            <w:vAlign w:val="center"/>
          </w:tcPr>
          <w:p w14:paraId="690D005B">
            <w:pPr>
              <w:overflowPunct w:val="0"/>
              <w:autoSpaceDE w:val="0"/>
              <w:autoSpaceDN w:val="0"/>
              <w:adjustRightInd w:val="0"/>
              <w:snapToGrid w:val="0"/>
              <w:jc w:val="center"/>
              <w:rPr>
                <w:rFonts w:eastAsia="宋体"/>
                <w:b/>
                <w:bCs/>
                <w:sz w:val="20"/>
                <w:szCs w:val="20"/>
              </w:rPr>
            </w:pPr>
            <w:r>
              <w:rPr>
                <w:b/>
                <w:bCs/>
                <w:sz w:val="20"/>
                <w:szCs w:val="20"/>
              </w:rPr>
              <w:t>\</w:t>
            </w:r>
          </w:p>
        </w:tc>
        <w:tc>
          <w:tcPr>
            <w:tcW w:w="573" w:type="dxa"/>
            <w:tcMar>
              <w:top w:w="28" w:type="dxa"/>
              <w:left w:w="57" w:type="dxa"/>
              <w:bottom w:w="28" w:type="dxa"/>
              <w:right w:w="57" w:type="dxa"/>
            </w:tcMar>
            <w:vAlign w:val="center"/>
          </w:tcPr>
          <w:p w14:paraId="32D385F7">
            <w:pPr>
              <w:overflowPunct w:val="0"/>
              <w:autoSpaceDE w:val="0"/>
              <w:autoSpaceDN w:val="0"/>
              <w:adjustRightInd w:val="0"/>
              <w:snapToGrid w:val="0"/>
              <w:jc w:val="center"/>
              <w:rPr>
                <w:rFonts w:eastAsia="宋体"/>
                <w:b/>
                <w:bCs/>
                <w:sz w:val="20"/>
                <w:szCs w:val="20"/>
              </w:rPr>
            </w:pPr>
            <w:r>
              <w:rPr>
                <w:b/>
                <w:bCs/>
                <w:sz w:val="20"/>
                <w:szCs w:val="20"/>
              </w:rPr>
              <w:t>± 3</w:t>
            </w:r>
          </w:p>
        </w:tc>
        <w:tc>
          <w:tcPr>
            <w:tcW w:w="1616" w:type="dxa"/>
            <w:tcMar>
              <w:top w:w="28" w:type="dxa"/>
              <w:left w:w="57" w:type="dxa"/>
              <w:bottom w:w="28" w:type="dxa"/>
              <w:right w:w="57" w:type="dxa"/>
            </w:tcMar>
            <w:vAlign w:val="center"/>
          </w:tcPr>
          <w:p w14:paraId="77C72593">
            <w:pPr>
              <w:overflowPunct w:val="0"/>
              <w:autoSpaceDE w:val="0"/>
              <w:autoSpaceDN w:val="0"/>
              <w:adjustRightInd w:val="0"/>
              <w:snapToGrid w:val="0"/>
              <w:jc w:val="center"/>
              <w:rPr>
                <w:rFonts w:eastAsia="宋体"/>
                <w:b/>
                <w:bCs/>
                <w:sz w:val="20"/>
                <w:szCs w:val="20"/>
              </w:rPr>
            </w:pPr>
            <w:r>
              <w:rPr>
                <w:b/>
                <w:bCs/>
                <w:sz w:val="20"/>
                <w:szCs w:val="20"/>
              </w:rPr>
              <w:t>± 3</w:t>
            </w:r>
          </w:p>
        </w:tc>
      </w:tr>
      <w:tr w14:paraId="0CFA8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blHeader/>
        </w:trPr>
        <w:tc>
          <w:tcPr>
            <w:tcW w:w="2935" w:type="dxa"/>
            <w:tcMar>
              <w:top w:w="28" w:type="dxa"/>
              <w:left w:w="57" w:type="dxa"/>
              <w:bottom w:w="28" w:type="dxa"/>
              <w:right w:w="57" w:type="dxa"/>
            </w:tcMar>
            <w:vAlign w:val="center"/>
          </w:tcPr>
          <w:p w14:paraId="568644C7">
            <w:pPr>
              <w:overflowPunct w:val="0"/>
              <w:autoSpaceDE w:val="0"/>
              <w:autoSpaceDN w:val="0"/>
              <w:adjustRightInd w:val="0"/>
              <w:snapToGrid w:val="0"/>
              <w:jc w:val="center"/>
              <w:rPr>
                <w:rFonts w:eastAsia="宋体"/>
                <w:b/>
                <w:bCs/>
                <w:sz w:val="20"/>
                <w:szCs w:val="20"/>
              </w:rPr>
            </w:pPr>
            <w:r>
              <w:rPr>
                <w:b/>
                <w:bCs/>
                <w:sz w:val="20"/>
                <w:szCs w:val="20"/>
              </w:rPr>
              <w:t>Subcutaneous administration of RAY1225</w:t>
            </w:r>
          </w:p>
        </w:tc>
        <w:tc>
          <w:tcPr>
            <w:tcW w:w="858" w:type="dxa"/>
            <w:shd w:val="clear" w:color="auto" w:fill="auto"/>
            <w:tcMar>
              <w:top w:w="28" w:type="dxa"/>
              <w:left w:w="57" w:type="dxa"/>
              <w:bottom w:w="28" w:type="dxa"/>
              <w:right w:w="57" w:type="dxa"/>
            </w:tcMar>
            <w:vAlign w:val="center"/>
          </w:tcPr>
          <w:p w14:paraId="78095BDC">
            <w:pPr>
              <w:overflowPunct w:val="0"/>
              <w:autoSpaceDE w:val="0"/>
              <w:autoSpaceDN w:val="0"/>
              <w:adjustRightInd w:val="0"/>
              <w:snapToGrid w:val="0"/>
              <w:jc w:val="center"/>
              <w:rPr>
                <w:rFonts w:eastAsia="宋体"/>
                <w:b/>
                <w:bCs/>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1A15F166">
            <w:pPr>
              <w:overflowPunct w:val="0"/>
              <w:autoSpaceDE w:val="0"/>
              <w:autoSpaceDN w:val="0"/>
              <w:adjustRightInd w:val="0"/>
              <w:snapToGrid w:val="0"/>
              <w:jc w:val="center"/>
              <w:rPr>
                <w:rFonts w:eastAsia="宋体"/>
                <w:b/>
                <w:bCs/>
                <w:sz w:val="20"/>
                <w:szCs w:val="20"/>
              </w:rPr>
            </w:pPr>
            <w:r>
              <w:rPr>
                <w:sz w:val="20"/>
                <w:szCs w:val="20"/>
              </w:rPr>
              <w:t>1</w:t>
            </w:r>
            <w:r>
              <w:rPr>
                <w:sz w:val="20"/>
                <w:szCs w:val="20"/>
                <w:vertAlign w:val="superscript"/>
              </w:rPr>
              <w:t>st</w:t>
            </w:r>
          </w:p>
        </w:tc>
        <w:tc>
          <w:tcPr>
            <w:tcW w:w="572" w:type="dxa"/>
            <w:shd w:val="clear" w:color="auto" w:fill="F1F1F1" w:themeFill="background1" w:themeFillShade="F2"/>
            <w:tcMar>
              <w:top w:w="28" w:type="dxa"/>
              <w:left w:w="57" w:type="dxa"/>
              <w:bottom w:w="28" w:type="dxa"/>
              <w:right w:w="57" w:type="dxa"/>
            </w:tcMar>
            <w:vAlign w:val="center"/>
          </w:tcPr>
          <w:p w14:paraId="56DA8DE0">
            <w:pPr>
              <w:overflowPunct w:val="0"/>
              <w:autoSpaceDE w:val="0"/>
              <w:autoSpaceDN w:val="0"/>
              <w:adjustRightInd w:val="0"/>
              <w:snapToGrid w:val="0"/>
              <w:jc w:val="center"/>
              <w:rPr>
                <w:rFonts w:eastAsia="宋体"/>
                <w:sz w:val="20"/>
                <w:szCs w:val="20"/>
              </w:rPr>
            </w:pPr>
            <w:r>
              <w:rPr>
                <w:sz w:val="20"/>
                <w:szCs w:val="20"/>
              </w:rPr>
              <w:t>2</w:t>
            </w:r>
            <w:r>
              <w:rPr>
                <w:sz w:val="20"/>
                <w:szCs w:val="20"/>
                <w:vertAlign w:val="superscript"/>
              </w:rPr>
              <w:t>nd</w:t>
            </w:r>
          </w:p>
        </w:tc>
        <w:tc>
          <w:tcPr>
            <w:tcW w:w="573" w:type="dxa"/>
            <w:shd w:val="clear" w:color="auto" w:fill="F1F1F1" w:themeFill="background1" w:themeFillShade="F2"/>
            <w:tcMar>
              <w:top w:w="28" w:type="dxa"/>
              <w:left w:w="57" w:type="dxa"/>
              <w:bottom w:w="28" w:type="dxa"/>
              <w:right w:w="57" w:type="dxa"/>
            </w:tcMar>
            <w:vAlign w:val="center"/>
          </w:tcPr>
          <w:p w14:paraId="1981B094">
            <w:pPr>
              <w:overflowPunct w:val="0"/>
              <w:autoSpaceDE w:val="0"/>
              <w:autoSpaceDN w:val="0"/>
              <w:adjustRightInd w:val="0"/>
              <w:snapToGrid w:val="0"/>
              <w:jc w:val="center"/>
              <w:rPr>
                <w:rFonts w:eastAsia="宋体"/>
                <w:sz w:val="20"/>
                <w:szCs w:val="20"/>
              </w:rPr>
            </w:pPr>
            <w:r>
              <w:rPr>
                <w:sz w:val="20"/>
                <w:szCs w:val="20"/>
              </w:rPr>
              <w:t>3</w:t>
            </w:r>
            <w:r>
              <w:rPr>
                <w:sz w:val="20"/>
                <w:szCs w:val="20"/>
                <w:vertAlign w:val="superscript"/>
              </w:rPr>
              <w:t>rd</w:t>
            </w:r>
          </w:p>
        </w:tc>
        <w:tc>
          <w:tcPr>
            <w:tcW w:w="572" w:type="dxa"/>
            <w:shd w:val="clear" w:color="auto" w:fill="F1F1F1" w:themeFill="background1" w:themeFillShade="F2"/>
            <w:tcMar>
              <w:top w:w="28" w:type="dxa"/>
              <w:left w:w="57" w:type="dxa"/>
              <w:bottom w:w="28" w:type="dxa"/>
              <w:right w:w="57" w:type="dxa"/>
            </w:tcMar>
            <w:vAlign w:val="center"/>
          </w:tcPr>
          <w:p w14:paraId="1F5FEE51">
            <w:pPr>
              <w:overflowPunct w:val="0"/>
              <w:autoSpaceDE w:val="0"/>
              <w:autoSpaceDN w:val="0"/>
              <w:adjustRightInd w:val="0"/>
              <w:snapToGrid w:val="0"/>
              <w:jc w:val="center"/>
              <w:rPr>
                <w:rFonts w:eastAsia="宋体"/>
                <w:sz w:val="20"/>
                <w:szCs w:val="20"/>
              </w:rPr>
            </w:pPr>
            <w:r>
              <w:rPr>
                <w:sz w:val="20"/>
                <w:szCs w:val="20"/>
              </w:rPr>
              <w:t>4</w:t>
            </w:r>
            <w:r>
              <w:rPr>
                <w:sz w:val="20"/>
                <w:szCs w:val="20"/>
                <w:vertAlign w:val="superscript"/>
              </w:rPr>
              <w:t>th</w:t>
            </w:r>
          </w:p>
        </w:tc>
        <w:tc>
          <w:tcPr>
            <w:tcW w:w="573" w:type="dxa"/>
            <w:shd w:val="clear" w:color="auto" w:fill="F1F1F1" w:themeFill="background1" w:themeFillShade="F2"/>
            <w:tcMar>
              <w:top w:w="28" w:type="dxa"/>
              <w:left w:w="57" w:type="dxa"/>
              <w:bottom w:w="28" w:type="dxa"/>
              <w:right w:w="57" w:type="dxa"/>
            </w:tcMar>
            <w:vAlign w:val="center"/>
          </w:tcPr>
          <w:p w14:paraId="3E465704">
            <w:pPr>
              <w:overflowPunct w:val="0"/>
              <w:autoSpaceDE w:val="0"/>
              <w:autoSpaceDN w:val="0"/>
              <w:adjustRightInd w:val="0"/>
              <w:snapToGrid w:val="0"/>
              <w:jc w:val="center"/>
              <w:rPr>
                <w:rFonts w:eastAsia="宋体"/>
                <w:sz w:val="20"/>
                <w:szCs w:val="20"/>
              </w:rPr>
            </w:pPr>
            <w:r>
              <w:rPr>
                <w:sz w:val="20"/>
                <w:szCs w:val="20"/>
              </w:rPr>
              <w:t>5</w:t>
            </w:r>
            <w:r>
              <w:rPr>
                <w:sz w:val="20"/>
                <w:szCs w:val="20"/>
                <w:vertAlign w:val="superscript"/>
              </w:rPr>
              <w:t>th</w:t>
            </w:r>
          </w:p>
        </w:tc>
        <w:tc>
          <w:tcPr>
            <w:tcW w:w="572" w:type="dxa"/>
            <w:shd w:val="clear" w:color="auto" w:fill="F1F1F1" w:themeFill="background1" w:themeFillShade="F2"/>
            <w:tcMar>
              <w:top w:w="28" w:type="dxa"/>
              <w:left w:w="57" w:type="dxa"/>
              <w:bottom w:w="28" w:type="dxa"/>
              <w:right w:w="57" w:type="dxa"/>
            </w:tcMar>
            <w:vAlign w:val="center"/>
          </w:tcPr>
          <w:p w14:paraId="2B851A22">
            <w:pPr>
              <w:overflowPunct w:val="0"/>
              <w:autoSpaceDE w:val="0"/>
              <w:autoSpaceDN w:val="0"/>
              <w:adjustRightInd w:val="0"/>
              <w:snapToGrid w:val="0"/>
              <w:jc w:val="center"/>
              <w:rPr>
                <w:rFonts w:eastAsia="宋体"/>
                <w:sz w:val="20"/>
                <w:szCs w:val="20"/>
              </w:rPr>
            </w:pPr>
            <w:r>
              <w:rPr>
                <w:sz w:val="20"/>
                <w:szCs w:val="20"/>
              </w:rPr>
              <w:t>6</w:t>
            </w:r>
            <w:r>
              <w:rPr>
                <w:sz w:val="20"/>
                <w:szCs w:val="20"/>
                <w:vertAlign w:val="superscript"/>
              </w:rPr>
              <w:t>th</w:t>
            </w:r>
          </w:p>
        </w:tc>
        <w:tc>
          <w:tcPr>
            <w:tcW w:w="573" w:type="dxa"/>
            <w:shd w:val="clear" w:color="auto" w:fill="F2F2F2" w:themeFill="background2" w:themeFillTint="33"/>
            <w:tcMar>
              <w:top w:w="28" w:type="dxa"/>
              <w:left w:w="57" w:type="dxa"/>
              <w:bottom w:w="28" w:type="dxa"/>
              <w:right w:w="57" w:type="dxa"/>
            </w:tcMar>
            <w:vAlign w:val="center"/>
          </w:tcPr>
          <w:p w14:paraId="2C48507C">
            <w:pPr>
              <w:overflowPunct w:val="0"/>
              <w:autoSpaceDE w:val="0"/>
              <w:autoSpaceDN w:val="0"/>
              <w:adjustRightInd w:val="0"/>
              <w:snapToGrid w:val="0"/>
              <w:jc w:val="center"/>
              <w:rPr>
                <w:rFonts w:eastAsia="宋体"/>
                <w:b/>
                <w:bCs/>
                <w:sz w:val="20"/>
                <w:szCs w:val="20"/>
              </w:rPr>
            </w:pPr>
            <w:r>
              <w:rPr>
                <w:sz w:val="20"/>
                <w:szCs w:val="20"/>
              </w:rPr>
              <w:t>7</w:t>
            </w:r>
            <w:r>
              <w:rPr>
                <w:sz w:val="20"/>
                <w:szCs w:val="20"/>
                <w:vertAlign w:val="superscript"/>
              </w:rPr>
              <w:t>th</w:t>
            </w:r>
          </w:p>
        </w:tc>
        <w:tc>
          <w:tcPr>
            <w:tcW w:w="572" w:type="dxa"/>
            <w:shd w:val="clear" w:color="auto" w:fill="F2F2F2" w:themeFill="background2" w:themeFillTint="33"/>
            <w:tcMar>
              <w:top w:w="28" w:type="dxa"/>
              <w:left w:w="57" w:type="dxa"/>
              <w:bottom w:w="28" w:type="dxa"/>
              <w:right w:w="57" w:type="dxa"/>
            </w:tcMar>
            <w:vAlign w:val="center"/>
          </w:tcPr>
          <w:p w14:paraId="6D447F7C">
            <w:pPr>
              <w:overflowPunct w:val="0"/>
              <w:autoSpaceDE w:val="0"/>
              <w:autoSpaceDN w:val="0"/>
              <w:adjustRightInd w:val="0"/>
              <w:snapToGrid w:val="0"/>
              <w:jc w:val="center"/>
              <w:rPr>
                <w:rFonts w:eastAsia="宋体"/>
                <w:b/>
                <w:bCs/>
                <w:sz w:val="20"/>
                <w:szCs w:val="20"/>
              </w:rPr>
            </w:pPr>
            <w:r>
              <w:rPr>
                <w:sz w:val="20"/>
                <w:szCs w:val="20"/>
              </w:rPr>
              <w:t>8</w:t>
            </w:r>
            <w:r>
              <w:rPr>
                <w:sz w:val="20"/>
                <w:szCs w:val="20"/>
                <w:vertAlign w:val="superscript"/>
              </w:rPr>
              <w:t>th</w:t>
            </w:r>
          </w:p>
        </w:tc>
        <w:tc>
          <w:tcPr>
            <w:tcW w:w="573" w:type="dxa"/>
            <w:shd w:val="clear" w:color="auto" w:fill="F2F2F2" w:themeFill="background2" w:themeFillTint="33"/>
            <w:tcMar>
              <w:top w:w="28" w:type="dxa"/>
              <w:left w:w="57" w:type="dxa"/>
              <w:bottom w:w="28" w:type="dxa"/>
              <w:right w:w="57" w:type="dxa"/>
            </w:tcMar>
            <w:vAlign w:val="center"/>
          </w:tcPr>
          <w:p w14:paraId="77DB9B19">
            <w:pPr>
              <w:overflowPunct w:val="0"/>
              <w:autoSpaceDE w:val="0"/>
              <w:autoSpaceDN w:val="0"/>
              <w:adjustRightInd w:val="0"/>
              <w:snapToGrid w:val="0"/>
              <w:jc w:val="center"/>
              <w:rPr>
                <w:rFonts w:eastAsia="宋体"/>
                <w:b/>
                <w:bCs/>
                <w:sz w:val="20"/>
                <w:szCs w:val="20"/>
              </w:rPr>
            </w:pPr>
            <w:r>
              <w:rPr>
                <w:sz w:val="20"/>
                <w:szCs w:val="20"/>
              </w:rPr>
              <w:t>9</w:t>
            </w:r>
            <w:r>
              <w:rPr>
                <w:sz w:val="20"/>
                <w:szCs w:val="20"/>
                <w:vertAlign w:val="superscript"/>
              </w:rPr>
              <w:t>th</w:t>
            </w:r>
          </w:p>
        </w:tc>
        <w:tc>
          <w:tcPr>
            <w:tcW w:w="572" w:type="dxa"/>
            <w:shd w:val="clear" w:color="auto" w:fill="F2F2F2" w:themeFill="background2" w:themeFillTint="33"/>
            <w:tcMar>
              <w:top w:w="28" w:type="dxa"/>
              <w:left w:w="57" w:type="dxa"/>
              <w:bottom w:w="28" w:type="dxa"/>
              <w:right w:w="57" w:type="dxa"/>
            </w:tcMar>
            <w:vAlign w:val="center"/>
          </w:tcPr>
          <w:p w14:paraId="3EDA1361">
            <w:pPr>
              <w:overflowPunct w:val="0"/>
              <w:autoSpaceDE w:val="0"/>
              <w:autoSpaceDN w:val="0"/>
              <w:adjustRightInd w:val="0"/>
              <w:snapToGrid w:val="0"/>
              <w:jc w:val="center"/>
              <w:rPr>
                <w:rFonts w:eastAsia="宋体"/>
                <w:b/>
                <w:bCs/>
                <w:sz w:val="20"/>
                <w:szCs w:val="20"/>
              </w:rPr>
            </w:pPr>
            <w:r>
              <w:rPr>
                <w:sz w:val="20"/>
                <w:szCs w:val="20"/>
              </w:rPr>
              <w:t>10</w:t>
            </w:r>
            <w:r>
              <w:rPr>
                <w:sz w:val="20"/>
                <w:szCs w:val="20"/>
                <w:vertAlign w:val="superscript"/>
              </w:rPr>
              <w:t>th</w:t>
            </w:r>
          </w:p>
        </w:tc>
        <w:tc>
          <w:tcPr>
            <w:tcW w:w="573" w:type="dxa"/>
            <w:shd w:val="clear" w:color="auto" w:fill="F2F2F2" w:themeFill="background2" w:themeFillTint="33"/>
            <w:tcMar>
              <w:top w:w="28" w:type="dxa"/>
              <w:left w:w="57" w:type="dxa"/>
              <w:bottom w:w="28" w:type="dxa"/>
              <w:right w:w="57" w:type="dxa"/>
            </w:tcMar>
            <w:vAlign w:val="center"/>
          </w:tcPr>
          <w:p w14:paraId="4F264F79">
            <w:pPr>
              <w:overflowPunct w:val="0"/>
              <w:autoSpaceDE w:val="0"/>
              <w:autoSpaceDN w:val="0"/>
              <w:adjustRightInd w:val="0"/>
              <w:snapToGrid w:val="0"/>
              <w:jc w:val="center"/>
              <w:rPr>
                <w:rFonts w:eastAsia="宋体"/>
                <w:sz w:val="20"/>
                <w:szCs w:val="20"/>
              </w:rPr>
            </w:pPr>
            <w:r>
              <w:rPr>
                <w:sz w:val="20"/>
                <w:szCs w:val="20"/>
              </w:rPr>
              <w:t>11</w:t>
            </w:r>
            <w:r>
              <w:rPr>
                <w:sz w:val="20"/>
                <w:szCs w:val="20"/>
                <w:vertAlign w:val="superscript"/>
              </w:rPr>
              <w:t>th</w:t>
            </w:r>
          </w:p>
        </w:tc>
        <w:tc>
          <w:tcPr>
            <w:tcW w:w="572" w:type="dxa"/>
            <w:shd w:val="clear" w:color="auto" w:fill="F2F2F2" w:themeFill="background2" w:themeFillTint="33"/>
            <w:tcMar>
              <w:top w:w="28" w:type="dxa"/>
              <w:left w:w="57" w:type="dxa"/>
              <w:bottom w:w="28" w:type="dxa"/>
              <w:right w:w="57" w:type="dxa"/>
            </w:tcMar>
            <w:vAlign w:val="center"/>
          </w:tcPr>
          <w:p w14:paraId="0BC3A9A1">
            <w:pPr>
              <w:overflowPunct w:val="0"/>
              <w:autoSpaceDE w:val="0"/>
              <w:autoSpaceDN w:val="0"/>
              <w:adjustRightInd w:val="0"/>
              <w:snapToGrid w:val="0"/>
              <w:jc w:val="center"/>
              <w:rPr>
                <w:rFonts w:eastAsia="宋体"/>
                <w:b/>
                <w:bCs/>
                <w:sz w:val="20"/>
                <w:szCs w:val="20"/>
              </w:rPr>
            </w:pPr>
            <w:r>
              <w:rPr>
                <w:sz w:val="20"/>
                <w:szCs w:val="20"/>
              </w:rPr>
              <w:t>12</w:t>
            </w:r>
            <w:r>
              <w:rPr>
                <w:sz w:val="20"/>
                <w:szCs w:val="20"/>
                <w:vertAlign w:val="superscript"/>
              </w:rPr>
              <w:t>th</w:t>
            </w:r>
          </w:p>
        </w:tc>
        <w:tc>
          <w:tcPr>
            <w:tcW w:w="573" w:type="dxa"/>
            <w:tcMar>
              <w:top w:w="28" w:type="dxa"/>
              <w:left w:w="57" w:type="dxa"/>
              <w:bottom w:w="28" w:type="dxa"/>
              <w:right w:w="57" w:type="dxa"/>
            </w:tcMar>
            <w:vAlign w:val="center"/>
          </w:tcPr>
          <w:p w14:paraId="6C4F42B4">
            <w:pPr>
              <w:overflowPunct w:val="0"/>
              <w:autoSpaceDE w:val="0"/>
              <w:autoSpaceDN w:val="0"/>
              <w:adjustRightInd w:val="0"/>
              <w:snapToGrid w:val="0"/>
              <w:jc w:val="center"/>
              <w:rPr>
                <w:rFonts w:eastAsia="宋体"/>
                <w:b/>
                <w:bCs/>
                <w:sz w:val="20"/>
                <w:szCs w:val="20"/>
                <w:lang w:eastAsia="zh-CN"/>
              </w:rPr>
            </w:pPr>
          </w:p>
        </w:tc>
        <w:tc>
          <w:tcPr>
            <w:tcW w:w="572" w:type="dxa"/>
            <w:tcMar>
              <w:top w:w="28" w:type="dxa"/>
              <w:left w:w="57" w:type="dxa"/>
              <w:bottom w:w="28" w:type="dxa"/>
              <w:right w:w="57" w:type="dxa"/>
            </w:tcMar>
            <w:vAlign w:val="center"/>
          </w:tcPr>
          <w:p w14:paraId="37BEDC97">
            <w:pPr>
              <w:overflowPunct w:val="0"/>
              <w:autoSpaceDE w:val="0"/>
              <w:autoSpaceDN w:val="0"/>
              <w:adjustRightInd w:val="0"/>
              <w:snapToGrid w:val="0"/>
              <w:jc w:val="center"/>
              <w:rPr>
                <w:rFonts w:eastAsia="宋体"/>
                <w:b/>
                <w:bCs/>
                <w:sz w:val="20"/>
                <w:szCs w:val="20"/>
                <w:lang w:eastAsia="zh-CN"/>
              </w:rPr>
            </w:pPr>
          </w:p>
        </w:tc>
        <w:tc>
          <w:tcPr>
            <w:tcW w:w="573" w:type="dxa"/>
            <w:tcMar>
              <w:top w:w="28" w:type="dxa"/>
              <w:left w:w="57" w:type="dxa"/>
              <w:bottom w:w="28" w:type="dxa"/>
              <w:right w:w="57" w:type="dxa"/>
            </w:tcMar>
            <w:vAlign w:val="center"/>
          </w:tcPr>
          <w:p w14:paraId="30216798">
            <w:pPr>
              <w:overflowPunct w:val="0"/>
              <w:autoSpaceDE w:val="0"/>
              <w:autoSpaceDN w:val="0"/>
              <w:adjustRightInd w:val="0"/>
              <w:snapToGrid w:val="0"/>
              <w:jc w:val="center"/>
              <w:rPr>
                <w:rFonts w:eastAsia="宋体"/>
                <w:b/>
                <w:bCs/>
                <w:sz w:val="20"/>
                <w:szCs w:val="20"/>
                <w:lang w:eastAsia="zh-CN"/>
              </w:rPr>
            </w:pPr>
          </w:p>
        </w:tc>
        <w:tc>
          <w:tcPr>
            <w:tcW w:w="1616" w:type="dxa"/>
            <w:tcMar>
              <w:top w:w="28" w:type="dxa"/>
              <w:left w:w="57" w:type="dxa"/>
              <w:bottom w:w="28" w:type="dxa"/>
              <w:right w:w="57" w:type="dxa"/>
            </w:tcMar>
            <w:vAlign w:val="center"/>
          </w:tcPr>
          <w:p w14:paraId="0C900ACA">
            <w:pPr>
              <w:overflowPunct w:val="0"/>
              <w:autoSpaceDE w:val="0"/>
              <w:autoSpaceDN w:val="0"/>
              <w:adjustRightInd w:val="0"/>
              <w:snapToGrid w:val="0"/>
              <w:jc w:val="center"/>
              <w:rPr>
                <w:rFonts w:eastAsia="宋体"/>
                <w:b/>
                <w:bCs/>
                <w:sz w:val="20"/>
                <w:szCs w:val="20"/>
                <w:lang w:eastAsia="zh-CN"/>
              </w:rPr>
            </w:pPr>
          </w:p>
        </w:tc>
      </w:tr>
      <w:tr w14:paraId="238D8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03590F84">
            <w:pPr>
              <w:overflowPunct w:val="0"/>
              <w:autoSpaceDE w:val="0"/>
              <w:autoSpaceDN w:val="0"/>
              <w:adjustRightInd w:val="0"/>
              <w:snapToGrid w:val="0"/>
              <w:jc w:val="center"/>
              <w:rPr>
                <w:rFonts w:eastAsia="宋体"/>
                <w:sz w:val="20"/>
                <w:szCs w:val="20"/>
              </w:rPr>
            </w:pPr>
            <w:r>
              <w:rPr>
                <w:sz w:val="20"/>
                <w:szCs w:val="20"/>
              </w:rPr>
              <w:t>Signing of ICF</w:t>
            </w:r>
          </w:p>
        </w:tc>
        <w:tc>
          <w:tcPr>
            <w:tcW w:w="858" w:type="dxa"/>
            <w:shd w:val="clear" w:color="auto" w:fill="auto"/>
            <w:tcMar>
              <w:top w:w="28" w:type="dxa"/>
              <w:left w:w="57" w:type="dxa"/>
              <w:bottom w:w="28" w:type="dxa"/>
              <w:right w:w="57" w:type="dxa"/>
            </w:tcMar>
            <w:vAlign w:val="center"/>
          </w:tcPr>
          <w:p w14:paraId="0AB4DC73">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5779E2AB">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79F9B17B">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7B1AA315">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47EF4FF2">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42DABF5F">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5CEC6BCA">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74EFFAC6">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35746854">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4DD335A8">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3ABE5163">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32451743">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1F9A2615">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77B3A4B4">
            <w:pPr>
              <w:overflowPunct w:val="0"/>
              <w:autoSpaceDE w:val="0"/>
              <w:autoSpaceDN w:val="0"/>
              <w:adjustRightInd w:val="0"/>
              <w:snapToGrid w:val="0"/>
              <w:jc w:val="center"/>
              <w:rPr>
                <w:rFonts w:eastAsia="宋体"/>
                <w:sz w:val="20"/>
                <w:szCs w:val="20"/>
                <w:lang w:eastAsia="zh-CN"/>
              </w:rPr>
            </w:pPr>
          </w:p>
        </w:tc>
        <w:tc>
          <w:tcPr>
            <w:tcW w:w="572" w:type="dxa"/>
            <w:tcMar>
              <w:top w:w="28" w:type="dxa"/>
              <w:left w:w="57" w:type="dxa"/>
              <w:bottom w:w="28" w:type="dxa"/>
              <w:right w:w="57" w:type="dxa"/>
            </w:tcMar>
            <w:vAlign w:val="center"/>
          </w:tcPr>
          <w:p w14:paraId="41C28C9E">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5F9973B8">
            <w:pPr>
              <w:overflowPunct w:val="0"/>
              <w:autoSpaceDE w:val="0"/>
              <w:autoSpaceDN w:val="0"/>
              <w:adjustRightInd w:val="0"/>
              <w:snapToGrid w:val="0"/>
              <w:jc w:val="center"/>
              <w:rPr>
                <w:rFonts w:eastAsia="宋体"/>
                <w:sz w:val="20"/>
                <w:szCs w:val="20"/>
                <w:lang w:eastAsia="zh-CN"/>
              </w:rPr>
            </w:pPr>
          </w:p>
        </w:tc>
        <w:tc>
          <w:tcPr>
            <w:tcW w:w="1616" w:type="dxa"/>
            <w:tcMar>
              <w:top w:w="28" w:type="dxa"/>
              <w:left w:w="57" w:type="dxa"/>
              <w:bottom w:w="28" w:type="dxa"/>
              <w:right w:w="57" w:type="dxa"/>
            </w:tcMar>
            <w:vAlign w:val="center"/>
          </w:tcPr>
          <w:p w14:paraId="1CF95062">
            <w:pPr>
              <w:overflowPunct w:val="0"/>
              <w:autoSpaceDE w:val="0"/>
              <w:autoSpaceDN w:val="0"/>
              <w:adjustRightInd w:val="0"/>
              <w:snapToGrid w:val="0"/>
              <w:jc w:val="center"/>
              <w:rPr>
                <w:rFonts w:eastAsia="宋体"/>
                <w:sz w:val="20"/>
                <w:szCs w:val="20"/>
                <w:lang w:eastAsia="zh-CN"/>
              </w:rPr>
            </w:pPr>
          </w:p>
        </w:tc>
      </w:tr>
      <w:tr w14:paraId="58F53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068FC067">
            <w:pPr>
              <w:overflowPunct w:val="0"/>
              <w:autoSpaceDE w:val="0"/>
              <w:autoSpaceDN w:val="0"/>
              <w:adjustRightInd w:val="0"/>
              <w:snapToGrid w:val="0"/>
              <w:jc w:val="center"/>
              <w:rPr>
                <w:rFonts w:eastAsia="宋体"/>
                <w:sz w:val="20"/>
                <w:szCs w:val="20"/>
              </w:rPr>
            </w:pPr>
            <w:r>
              <w:rPr>
                <w:sz w:val="20"/>
                <w:szCs w:val="20"/>
              </w:rPr>
              <w:t>Demographic information</w:t>
            </w:r>
          </w:p>
        </w:tc>
        <w:tc>
          <w:tcPr>
            <w:tcW w:w="858" w:type="dxa"/>
            <w:shd w:val="clear" w:color="auto" w:fill="auto"/>
            <w:tcMar>
              <w:top w:w="28" w:type="dxa"/>
              <w:left w:w="57" w:type="dxa"/>
              <w:bottom w:w="28" w:type="dxa"/>
              <w:right w:w="57" w:type="dxa"/>
            </w:tcMar>
            <w:vAlign w:val="center"/>
          </w:tcPr>
          <w:p w14:paraId="53D4F3AD">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2B951FE5">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12F56B30">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6C1DBF7D">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4C48214F">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0632BA21">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631B4313">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27E92DDC">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3791115C">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5353D85A">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529FDE0B">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5A1634AB">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20EF7ACF">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1E472640">
            <w:pPr>
              <w:overflowPunct w:val="0"/>
              <w:autoSpaceDE w:val="0"/>
              <w:autoSpaceDN w:val="0"/>
              <w:adjustRightInd w:val="0"/>
              <w:snapToGrid w:val="0"/>
              <w:jc w:val="center"/>
              <w:rPr>
                <w:rFonts w:eastAsia="宋体"/>
                <w:sz w:val="20"/>
                <w:szCs w:val="20"/>
                <w:lang w:eastAsia="zh-CN"/>
              </w:rPr>
            </w:pPr>
          </w:p>
        </w:tc>
        <w:tc>
          <w:tcPr>
            <w:tcW w:w="572" w:type="dxa"/>
            <w:tcMar>
              <w:top w:w="28" w:type="dxa"/>
              <w:left w:w="57" w:type="dxa"/>
              <w:bottom w:w="28" w:type="dxa"/>
              <w:right w:w="57" w:type="dxa"/>
            </w:tcMar>
            <w:vAlign w:val="center"/>
          </w:tcPr>
          <w:p w14:paraId="2A9330EE">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6BC8DF78">
            <w:pPr>
              <w:overflowPunct w:val="0"/>
              <w:autoSpaceDE w:val="0"/>
              <w:autoSpaceDN w:val="0"/>
              <w:adjustRightInd w:val="0"/>
              <w:snapToGrid w:val="0"/>
              <w:jc w:val="center"/>
              <w:rPr>
                <w:rFonts w:eastAsia="宋体"/>
                <w:sz w:val="20"/>
                <w:szCs w:val="20"/>
                <w:lang w:eastAsia="zh-CN"/>
              </w:rPr>
            </w:pPr>
          </w:p>
        </w:tc>
        <w:tc>
          <w:tcPr>
            <w:tcW w:w="1616" w:type="dxa"/>
            <w:tcMar>
              <w:top w:w="28" w:type="dxa"/>
              <w:left w:w="57" w:type="dxa"/>
              <w:bottom w:w="28" w:type="dxa"/>
              <w:right w:w="57" w:type="dxa"/>
            </w:tcMar>
            <w:vAlign w:val="center"/>
          </w:tcPr>
          <w:p w14:paraId="1431E39A">
            <w:pPr>
              <w:overflowPunct w:val="0"/>
              <w:autoSpaceDE w:val="0"/>
              <w:autoSpaceDN w:val="0"/>
              <w:adjustRightInd w:val="0"/>
              <w:snapToGrid w:val="0"/>
              <w:jc w:val="center"/>
              <w:rPr>
                <w:rFonts w:eastAsia="宋体"/>
                <w:sz w:val="20"/>
                <w:szCs w:val="20"/>
                <w:lang w:eastAsia="zh-CN"/>
              </w:rPr>
            </w:pPr>
          </w:p>
        </w:tc>
      </w:tr>
      <w:tr w14:paraId="53B9B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528E10BC">
            <w:pPr>
              <w:overflowPunct w:val="0"/>
              <w:autoSpaceDE w:val="0"/>
              <w:autoSpaceDN w:val="0"/>
              <w:adjustRightInd w:val="0"/>
              <w:snapToGrid w:val="0"/>
              <w:jc w:val="center"/>
              <w:rPr>
                <w:rFonts w:eastAsia="宋体"/>
                <w:sz w:val="20"/>
                <w:szCs w:val="20"/>
              </w:rPr>
            </w:pPr>
            <w:r>
              <w:rPr>
                <w:sz w:val="20"/>
                <w:szCs w:val="20"/>
              </w:rPr>
              <w:t>Medical history and personal history</w:t>
            </w:r>
          </w:p>
        </w:tc>
        <w:tc>
          <w:tcPr>
            <w:tcW w:w="858" w:type="dxa"/>
            <w:shd w:val="clear" w:color="auto" w:fill="auto"/>
            <w:tcMar>
              <w:top w:w="28" w:type="dxa"/>
              <w:left w:w="57" w:type="dxa"/>
              <w:bottom w:w="28" w:type="dxa"/>
              <w:right w:w="57" w:type="dxa"/>
            </w:tcMar>
            <w:vAlign w:val="center"/>
          </w:tcPr>
          <w:p w14:paraId="2F24DBFB">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3418044D">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1869C8D4">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2D4A321A">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1270D50F">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0DAA4A1D">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58E9EDB6">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21513B48">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445BFCAB">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17F8F8DA">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456F76AC">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60287628">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0B49B5ED">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25D4ECF6">
            <w:pPr>
              <w:overflowPunct w:val="0"/>
              <w:autoSpaceDE w:val="0"/>
              <w:autoSpaceDN w:val="0"/>
              <w:adjustRightInd w:val="0"/>
              <w:snapToGrid w:val="0"/>
              <w:jc w:val="center"/>
              <w:rPr>
                <w:rFonts w:eastAsia="宋体"/>
                <w:sz w:val="20"/>
                <w:szCs w:val="20"/>
                <w:lang w:eastAsia="zh-CN"/>
              </w:rPr>
            </w:pPr>
          </w:p>
        </w:tc>
        <w:tc>
          <w:tcPr>
            <w:tcW w:w="572" w:type="dxa"/>
            <w:tcMar>
              <w:top w:w="28" w:type="dxa"/>
              <w:left w:w="57" w:type="dxa"/>
              <w:bottom w:w="28" w:type="dxa"/>
              <w:right w:w="57" w:type="dxa"/>
            </w:tcMar>
            <w:vAlign w:val="center"/>
          </w:tcPr>
          <w:p w14:paraId="7493651E">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559B223D">
            <w:pPr>
              <w:overflowPunct w:val="0"/>
              <w:autoSpaceDE w:val="0"/>
              <w:autoSpaceDN w:val="0"/>
              <w:adjustRightInd w:val="0"/>
              <w:snapToGrid w:val="0"/>
              <w:jc w:val="center"/>
              <w:rPr>
                <w:rFonts w:eastAsia="宋体"/>
                <w:sz w:val="20"/>
                <w:szCs w:val="20"/>
                <w:lang w:eastAsia="zh-CN"/>
              </w:rPr>
            </w:pPr>
          </w:p>
        </w:tc>
        <w:tc>
          <w:tcPr>
            <w:tcW w:w="1616" w:type="dxa"/>
            <w:tcMar>
              <w:top w:w="28" w:type="dxa"/>
              <w:left w:w="57" w:type="dxa"/>
              <w:bottom w:w="28" w:type="dxa"/>
              <w:right w:w="57" w:type="dxa"/>
            </w:tcMar>
            <w:vAlign w:val="center"/>
          </w:tcPr>
          <w:p w14:paraId="3B7D5F31">
            <w:pPr>
              <w:overflowPunct w:val="0"/>
              <w:autoSpaceDE w:val="0"/>
              <w:autoSpaceDN w:val="0"/>
              <w:adjustRightInd w:val="0"/>
              <w:snapToGrid w:val="0"/>
              <w:jc w:val="center"/>
              <w:rPr>
                <w:rFonts w:eastAsia="宋体"/>
                <w:sz w:val="20"/>
                <w:szCs w:val="20"/>
                <w:lang w:eastAsia="zh-CN"/>
              </w:rPr>
            </w:pPr>
          </w:p>
        </w:tc>
      </w:tr>
      <w:tr w14:paraId="52B5A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179E5A61">
            <w:pPr>
              <w:overflowPunct w:val="0"/>
              <w:autoSpaceDE w:val="0"/>
              <w:autoSpaceDN w:val="0"/>
              <w:adjustRightInd w:val="0"/>
              <w:snapToGrid w:val="0"/>
              <w:jc w:val="center"/>
              <w:rPr>
                <w:rFonts w:eastAsia="宋体"/>
                <w:sz w:val="20"/>
                <w:szCs w:val="20"/>
              </w:rPr>
            </w:pPr>
            <w:r>
              <w:rPr>
                <w:sz w:val="20"/>
                <w:szCs w:val="20"/>
              </w:rPr>
              <w:t>Physical examination</w:t>
            </w:r>
          </w:p>
        </w:tc>
        <w:tc>
          <w:tcPr>
            <w:tcW w:w="858" w:type="dxa"/>
            <w:shd w:val="clear" w:color="auto" w:fill="auto"/>
            <w:tcMar>
              <w:top w:w="28" w:type="dxa"/>
              <w:left w:w="57" w:type="dxa"/>
              <w:bottom w:w="28" w:type="dxa"/>
              <w:right w:w="57" w:type="dxa"/>
            </w:tcMar>
            <w:vAlign w:val="center"/>
          </w:tcPr>
          <w:p w14:paraId="30FE0711">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1C61EA20">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735F8405">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3258AF13">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0F413E1A">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54F828E3">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4F456435">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342213A1">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1A57E12E">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38666572">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4B4EA80C">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2391A1D6">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24FA618A">
            <w:pPr>
              <w:overflowPunct w:val="0"/>
              <w:autoSpaceDE w:val="0"/>
              <w:autoSpaceDN w:val="0"/>
              <w:adjustRightInd w:val="0"/>
              <w:snapToGrid w:val="0"/>
              <w:jc w:val="center"/>
              <w:rPr>
                <w:rFonts w:eastAsia="宋体"/>
                <w:sz w:val="20"/>
                <w:szCs w:val="20"/>
              </w:rPr>
            </w:pPr>
            <w:r>
              <w:rPr>
                <w:sz w:val="20"/>
                <w:szCs w:val="20"/>
              </w:rPr>
              <w:t>X</w:t>
            </w:r>
          </w:p>
        </w:tc>
        <w:tc>
          <w:tcPr>
            <w:tcW w:w="573" w:type="dxa"/>
            <w:tcMar>
              <w:top w:w="28" w:type="dxa"/>
              <w:left w:w="57" w:type="dxa"/>
              <w:bottom w:w="28" w:type="dxa"/>
              <w:right w:w="57" w:type="dxa"/>
            </w:tcMar>
            <w:vAlign w:val="center"/>
          </w:tcPr>
          <w:p w14:paraId="347CB9F5">
            <w:pPr>
              <w:overflowPunct w:val="0"/>
              <w:autoSpaceDE w:val="0"/>
              <w:autoSpaceDN w:val="0"/>
              <w:adjustRightInd w:val="0"/>
              <w:snapToGrid w:val="0"/>
              <w:jc w:val="center"/>
              <w:rPr>
                <w:rFonts w:eastAsia="宋体"/>
                <w:sz w:val="20"/>
                <w:szCs w:val="20"/>
                <w:lang w:eastAsia="zh-CN"/>
              </w:rPr>
            </w:pPr>
          </w:p>
        </w:tc>
        <w:tc>
          <w:tcPr>
            <w:tcW w:w="572" w:type="dxa"/>
            <w:tcMar>
              <w:top w:w="28" w:type="dxa"/>
              <w:left w:w="57" w:type="dxa"/>
              <w:bottom w:w="28" w:type="dxa"/>
              <w:right w:w="57" w:type="dxa"/>
            </w:tcMar>
            <w:vAlign w:val="center"/>
          </w:tcPr>
          <w:p w14:paraId="2FF6C924">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298F3B74">
            <w:pPr>
              <w:overflowPunct w:val="0"/>
              <w:autoSpaceDE w:val="0"/>
              <w:autoSpaceDN w:val="0"/>
              <w:adjustRightInd w:val="0"/>
              <w:snapToGrid w:val="0"/>
              <w:jc w:val="center"/>
              <w:rPr>
                <w:rFonts w:eastAsia="宋体"/>
                <w:sz w:val="20"/>
                <w:szCs w:val="20"/>
              </w:rPr>
            </w:pPr>
            <w:r>
              <w:rPr>
                <w:sz w:val="20"/>
                <w:szCs w:val="20"/>
              </w:rPr>
              <w:t>X</w:t>
            </w:r>
          </w:p>
        </w:tc>
        <w:tc>
          <w:tcPr>
            <w:tcW w:w="1616" w:type="dxa"/>
            <w:tcMar>
              <w:top w:w="28" w:type="dxa"/>
              <w:left w:w="57" w:type="dxa"/>
              <w:bottom w:w="28" w:type="dxa"/>
              <w:right w:w="57" w:type="dxa"/>
            </w:tcMar>
            <w:vAlign w:val="center"/>
          </w:tcPr>
          <w:p w14:paraId="76E88EA7">
            <w:pPr>
              <w:overflowPunct w:val="0"/>
              <w:autoSpaceDE w:val="0"/>
              <w:autoSpaceDN w:val="0"/>
              <w:adjustRightInd w:val="0"/>
              <w:snapToGrid w:val="0"/>
              <w:jc w:val="center"/>
              <w:rPr>
                <w:rFonts w:eastAsia="宋体"/>
                <w:sz w:val="20"/>
                <w:szCs w:val="20"/>
              </w:rPr>
            </w:pPr>
            <w:r>
              <w:rPr>
                <w:sz w:val="20"/>
                <w:szCs w:val="20"/>
              </w:rPr>
              <w:t>X</w:t>
            </w:r>
          </w:p>
        </w:tc>
      </w:tr>
      <w:tr w14:paraId="33058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1D0AC048">
            <w:pPr>
              <w:overflowPunct w:val="0"/>
              <w:autoSpaceDE w:val="0"/>
              <w:autoSpaceDN w:val="0"/>
              <w:adjustRightInd w:val="0"/>
              <w:snapToGrid w:val="0"/>
              <w:jc w:val="center"/>
              <w:rPr>
                <w:rFonts w:eastAsia="宋体"/>
                <w:sz w:val="20"/>
                <w:szCs w:val="20"/>
              </w:rPr>
            </w:pPr>
            <w:r>
              <w:rPr>
                <w:sz w:val="20"/>
                <w:szCs w:val="20"/>
              </w:rPr>
              <w:t>Body weight and height</w:t>
            </w:r>
            <w:r>
              <w:rPr>
                <w:sz w:val="20"/>
                <w:szCs w:val="20"/>
                <w:vertAlign w:val="superscript"/>
              </w:rPr>
              <w:t>3</w:t>
            </w:r>
          </w:p>
        </w:tc>
        <w:tc>
          <w:tcPr>
            <w:tcW w:w="858" w:type="dxa"/>
            <w:shd w:val="clear" w:color="auto" w:fill="auto"/>
            <w:tcMar>
              <w:top w:w="28" w:type="dxa"/>
              <w:left w:w="57" w:type="dxa"/>
              <w:bottom w:w="28" w:type="dxa"/>
              <w:right w:w="57" w:type="dxa"/>
            </w:tcMar>
            <w:vAlign w:val="center"/>
          </w:tcPr>
          <w:p w14:paraId="407F3DDB">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6C74E122">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5AEDC8BD">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6F3AF05F">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43245410">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63B9C4D9">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68C1AD45">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6921143E">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3512891B">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2322B0F2">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04EAE91E">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42FDD607">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1F0891E1">
            <w:pPr>
              <w:overflowPunct w:val="0"/>
              <w:autoSpaceDE w:val="0"/>
              <w:autoSpaceDN w:val="0"/>
              <w:adjustRightInd w:val="0"/>
              <w:snapToGrid w:val="0"/>
              <w:jc w:val="center"/>
              <w:rPr>
                <w:rFonts w:eastAsia="宋体"/>
                <w:sz w:val="20"/>
                <w:szCs w:val="20"/>
              </w:rPr>
            </w:pPr>
            <w:r>
              <w:rPr>
                <w:sz w:val="20"/>
                <w:szCs w:val="20"/>
              </w:rPr>
              <w:t>X</w:t>
            </w:r>
          </w:p>
        </w:tc>
        <w:tc>
          <w:tcPr>
            <w:tcW w:w="573" w:type="dxa"/>
            <w:tcMar>
              <w:top w:w="28" w:type="dxa"/>
              <w:left w:w="57" w:type="dxa"/>
              <w:bottom w:w="28" w:type="dxa"/>
              <w:right w:w="57" w:type="dxa"/>
            </w:tcMar>
            <w:vAlign w:val="center"/>
          </w:tcPr>
          <w:p w14:paraId="26D11538">
            <w:pPr>
              <w:overflowPunct w:val="0"/>
              <w:autoSpaceDE w:val="0"/>
              <w:autoSpaceDN w:val="0"/>
              <w:adjustRightInd w:val="0"/>
              <w:snapToGrid w:val="0"/>
              <w:jc w:val="center"/>
              <w:rPr>
                <w:rFonts w:eastAsia="宋体"/>
                <w:sz w:val="20"/>
                <w:szCs w:val="20"/>
                <w:lang w:eastAsia="zh-CN"/>
              </w:rPr>
            </w:pPr>
          </w:p>
        </w:tc>
        <w:tc>
          <w:tcPr>
            <w:tcW w:w="572" w:type="dxa"/>
            <w:tcMar>
              <w:top w:w="28" w:type="dxa"/>
              <w:left w:w="57" w:type="dxa"/>
              <w:bottom w:w="28" w:type="dxa"/>
              <w:right w:w="57" w:type="dxa"/>
            </w:tcMar>
            <w:vAlign w:val="center"/>
          </w:tcPr>
          <w:p w14:paraId="3E27CCD3">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17E99F6F">
            <w:pPr>
              <w:overflowPunct w:val="0"/>
              <w:autoSpaceDE w:val="0"/>
              <w:autoSpaceDN w:val="0"/>
              <w:adjustRightInd w:val="0"/>
              <w:snapToGrid w:val="0"/>
              <w:jc w:val="center"/>
              <w:rPr>
                <w:rFonts w:eastAsia="宋体"/>
                <w:sz w:val="20"/>
                <w:szCs w:val="20"/>
              </w:rPr>
            </w:pPr>
            <w:r>
              <w:rPr>
                <w:sz w:val="20"/>
                <w:szCs w:val="20"/>
              </w:rPr>
              <w:t>X</w:t>
            </w:r>
          </w:p>
        </w:tc>
        <w:tc>
          <w:tcPr>
            <w:tcW w:w="1616" w:type="dxa"/>
            <w:tcMar>
              <w:top w:w="28" w:type="dxa"/>
              <w:left w:w="57" w:type="dxa"/>
              <w:bottom w:w="28" w:type="dxa"/>
              <w:right w:w="57" w:type="dxa"/>
            </w:tcMar>
            <w:vAlign w:val="center"/>
          </w:tcPr>
          <w:p w14:paraId="78962490">
            <w:pPr>
              <w:overflowPunct w:val="0"/>
              <w:autoSpaceDE w:val="0"/>
              <w:autoSpaceDN w:val="0"/>
              <w:adjustRightInd w:val="0"/>
              <w:snapToGrid w:val="0"/>
              <w:jc w:val="center"/>
              <w:rPr>
                <w:rFonts w:eastAsia="宋体"/>
                <w:sz w:val="20"/>
                <w:szCs w:val="20"/>
              </w:rPr>
            </w:pPr>
            <w:r>
              <w:rPr>
                <w:sz w:val="20"/>
                <w:szCs w:val="20"/>
              </w:rPr>
              <w:t>X</w:t>
            </w:r>
          </w:p>
        </w:tc>
      </w:tr>
      <w:tr w14:paraId="20166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771F4FBD">
            <w:pPr>
              <w:overflowPunct w:val="0"/>
              <w:autoSpaceDE w:val="0"/>
              <w:autoSpaceDN w:val="0"/>
              <w:adjustRightInd w:val="0"/>
              <w:snapToGrid w:val="0"/>
              <w:jc w:val="center"/>
              <w:rPr>
                <w:rFonts w:eastAsia="宋体"/>
                <w:sz w:val="20"/>
                <w:szCs w:val="20"/>
              </w:rPr>
            </w:pPr>
            <w:r>
              <w:rPr>
                <w:sz w:val="20"/>
                <w:szCs w:val="20"/>
              </w:rPr>
              <w:t>Waist and hip circumference</w:t>
            </w:r>
          </w:p>
        </w:tc>
        <w:tc>
          <w:tcPr>
            <w:tcW w:w="858" w:type="dxa"/>
            <w:shd w:val="clear" w:color="auto" w:fill="auto"/>
            <w:tcMar>
              <w:top w:w="28" w:type="dxa"/>
              <w:left w:w="57" w:type="dxa"/>
              <w:bottom w:w="28" w:type="dxa"/>
              <w:right w:w="57" w:type="dxa"/>
            </w:tcMar>
            <w:vAlign w:val="center"/>
          </w:tcPr>
          <w:p w14:paraId="0742EF50">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2DE38809">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0CE68F0C">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040A87AB">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23036977">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54F1B280">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5759C226">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297A09FE">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49DE151D">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67DCCA15">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1C416B96">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14C918CF">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01C98356">
            <w:pPr>
              <w:overflowPunct w:val="0"/>
              <w:autoSpaceDE w:val="0"/>
              <w:autoSpaceDN w:val="0"/>
              <w:adjustRightInd w:val="0"/>
              <w:snapToGrid w:val="0"/>
              <w:jc w:val="center"/>
              <w:rPr>
                <w:rFonts w:eastAsia="宋体"/>
                <w:sz w:val="20"/>
                <w:szCs w:val="20"/>
              </w:rPr>
            </w:pPr>
            <w:r>
              <w:rPr>
                <w:sz w:val="20"/>
                <w:szCs w:val="20"/>
              </w:rPr>
              <w:t>X</w:t>
            </w:r>
          </w:p>
        </w:tc>
        <w:tc>
          <w:tcPr>
            <w:tcW w:w="573" w:type="dxa"/>
            <w:tcMar>
              <w:top w:w="28" w:type="dxa"/>
              <w:left w:w="57" w:type="dxa"/>
              <w:bottom w:w="28" w:type="dxa"/>
              <w:right w:w="57" w:type="dxa"/>
            </w:tcMar>
            <w:vAlign w:val="center"/>
          </w:tcPr>
          <w:p w14:paraId="2AC02E52">
            <w:pPr>
              <w:overflowPunct w:val="0"/>
              <w:autoSpaceDE w:val="0"/>
              <w:autoSpaceDN w:val="0"/>
              <w:adjustRightInd w:val="0"/>
              <w:snapToGrid w:val="0"/>
              <w:jc w:val="center"/>
              <w:rPr>
                <w:rFonts w:eastAsia="宋体"/>
                <w:sz w:val="20"/>
                <w:szCs w:val="20"/>
                <w:lang w:eastAsia="zh-CN"/>
              </w:rPr>
            </w:pPr>
          </w:p>
        </w:tc>
        <w:tc>
          <w:tcPr>
            <w:tcW w:w="572" w:type="dxa"/>
            <w:tcMar>
              <w:top w:w="28" w:type="dxa"/>
              <w:left w:w="57" w:type="dxa"/>
              <w:bottom w:w="28" w:type="dxa"/>
              <w:right w:w="57" w:type="dxa"/>
            </w:tcMar>
            <w:vAlign w:val="center"/>
          </w:tcPr>
          <w:p w14:paraId="29BDBC7C">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6EF4B078">
            <w:pPr>
              <w:overflowPunct w:val="0"/>
              <w:autoSpaceDE w:val="0"/>
              <w:autoSpaceDN w:val="0"/>
              <w:adjustRightInd w:val="0"/>
              <w:snapToGrid w:val="0"/>
              <w:jc w:val="center"/>
              <w:rPr>
                <w:rFonts w:eastAsia="宋体"/>
                <w:sz w:val="20"/>
                <w:szCs w:val="20"/>
              </w:rPr>
            </w:pPr>
            <w:r>
              <w:rPr>
                <w:sz w:val="20"/>
                <w:szCs w:val="20"/>
              </w:rPr>
              <w:t>X</w:t>
            </w:r>
          </w:p>
        </w:tc>
        <w:tc>
          <w:tcPr>
            <w:tcW w:w="1616" w:type="dxa"/>
            <w:tcMar>
              <w:top w:w="28" w:type="dxa"/>
              <w:left w:w="57" w:type="dxa"/>
              <w:bottom w:w="28" w:type="dxa"/>
              <w:right w:w="57" w:type="dxa"/>
            </w:tcMar>
            <w:vAlign w:val="center"/>
          </w:tcPr>
          <w:p w14:paraId="3C22DA1D">
            <w:pPr>
              <w:overflowPunct w:val="0"/>
              <w:autoSpaceDE w:val="0"/>
              <w:autoSpaceDN w:val="0"/>
              <w:adjustRightInd w:val="0"/>
              <w:snapToGrid w:val="0"/>
              <w:jc w:val="center"/>
              <w:rPr>
                <w:rFonts w:eastAsia="宋体"/>
                <w:sz w:val="20"/>
                <w:szCs w:val="20"/>
              </w:rPr>
            </w:pPr>
            <w:r>
              <w:rPr>
                <w:sz w:val="20"/>
                <w:szCs w:val="20"/>
              </w:rPr>
              <w:t>X</w:t>
            </w:r>
          </w:p>
        </w:tc>
      </w:tr>
      <w:tr w14:paraId="030F4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15A28DB9">
            <w:pPr>
              <w:overflowPunct w:val="0"/>
              <w:autoSpaceDE w:val="0"/>
              <w:autoSpaceDN w:val="0"/>
              <w:adjustRightInd w:val="0"/>
              <w:snapToGrid w:val="0"/>
              <w:jc w:val="center"/>
              <w:rPr>
                <w:rFonts w:eastAsia="宋体"/>
                <w:sz w:val="20"/>
                <w:szCs w:val="20"/>
              </w:rPr>
            </w:pPr>
            <w:r>
              <w:rPr>
                <w:sz w:val="20"/>
                <w:szCs w:val="20"/>
              </w:rPr>
              <w:t>Vital signs</w:t>
            </w:r>
            <w:r>
              <w:rPr>
                <w:sz w:val="20"/>
                <w:szCs w:val="20"/>
                <w:vertAlign w:val="superscript"/>
              </w:rPr>
              <w:t>4</w:t>
            </w:r>
          </w:p>
        </w:tc>
        <w:tc>
          <w:tcPr>
            <w:tcW w:w="858" w:type="dxa"/>
            <w:shd w:val="clear" w:color="auto" w:fill="auto"/>
            <w:tcMar>
              <w:top w:w="28" w:type="dxa"/>
              <w:left w:w="57" w:type="dxa"/>
              <w:bottom w:w="28" w:type="dxa"/>
              <w:right w:w="57" w:type="dxa"/>
            </w:tcMar>
            <w:vAlign w:val="center"/>
          </w:tcPr>
          <w:p w14:paraId="1823B0A0">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2C3BA95E">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07DD3A51">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4D12ED9F">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6A32CF71">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3A4D045B">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37ACFCE3">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026E648A">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6013ADF7">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6E05C089">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6DB83683">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4F102B69">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3A5E43AC">
            <w:pPr>
              <w:overflowPunct w:val="0"/>
              <w:autoSpaceDE w:val="0"/>
              <w:autoSpaceDN w:val="0"/>
              <w:adjustRightInd w:val="0"/>
              <w:snapToGrid w:val="0"/>
              <w:jc w:val="center"/>
              <w:rPr>
                <w:rFonts w:eastAsia="宋体"/>
                <w:sz w:val="20"/>
                <w:szCs w:val="20"/>
              </w:rPr>
            </w:pPr>
            <w:r>
              <w:rPr>
                <w:sz w:val="20"/>
                <w:szCs w:val="20"/>
              </w:rPr>
              <w:t>X</w:t>
            </w:r>
          </w:p>
        </w:tc>
        <w:tc>
          <w:tcPr>
            <w:tcW w:w="573" w:type="dxa"/>
            <w:tcMar>
              <w:top w:w="28" w:type="dxa"/>
              <w:left w:w="57" w:type="dxa"/>
              <w:bottom w:w="28" w:type="dxa"/>
              <w:right w:w="57" w:type="dxa"/>
            </w:tcMar>
            <w:vAlign w:val="center"/>
          </w:tcPr>
          <w:p w14:paraId="4D56DFDF">
            <w:pPr>
              <w:overflowPunct w:val="0"/>
              <w:autoSpaceDE w:val="0"/>
              <w:autoSpaceDN w:val="0"/>
              <w:adjustRightInd w:val="0"/>
              <w:snapToGrid w:val="0"/>
              <w:jc w:val="center"/>
              <w:rPr>
                <w:rFonts w:eastAsia="宋体"/>
                <w:sz w:val="20"/>
                <w:szCs w:val="20"/>
              </w:rPr>
            </w:pPr>
            <w:r>
              <w:rPr>
                <w:sz w:val="20"/>
                <w:szCs w:val="20"/>
              </w:rPr>
              <w:t>X</w:t>
            </w:r>
          </w:p>
        </w:tc>
        <w:tc>
          <w:tcPr>
            <w:tcW w:w="572" w:type="dxa"/>
            <w:tcMar>
              <w:top w:w="28" w:type="dxa"/>
              <w:left w:w="57" w:type="dxa"/>
              <w:bottom w:w="28" w:type="dxa"/>
              <w:right w:w="57" w:type="dxa"/>
            </w:tcMar>
            <w:vAlign w:val="center"/>
          </w:tcPr>
          <w:p w14:paraId="18D7454E">
            <w:pPr>
              <w:overflowPunct w:val="0"/>
              <w:autoSpaceDE w:val="0"/>
              <w:autoSpaceDN w:val="0"/>
              <w:adjustRightInd w:val="0"/>
              <w:snapToGrid w:val="0"/>
              <w:jc w:val="center"/>
              <w:rPr>
                <w:rFonts w:eastAsia="宋体"/>
                <w:sz w:val="20"/>
                <w:szCs w:val="20"/>
              </w:rPr>
            </w:pPr>
            <w:r>
              <w:rPr>
                <w:sz w:val="20"/>
                <w:szCs w:val="20"/>
              </w:rPr>
              <w:t>X</w:t>
            </w:r>
          </w:p>
        </w:tc>
        <w:tc>
          <w:tcPr>
            <w:tcW w:w="573" w:type="dxa"/>
            <w:tcMar>
              <w:top w:w="28" w:type="dxa"/>
              <w:left w:w="57" w:type="dxa"/>
              <w:bottom w:w="28" w:type="dxa"/>
              <w:right w:w="57" w:type="dxa"/>
            </w:tcMar>
            <w:vAlign w:val="center"/>
          </w:tcPr>
          <w:p w14:paraId="158A8C44">
            <w:pPr>
              <w:overflowPunct w:val="0"/>
              <w:autoSpaceDE w:val="0"/>
              <w:autoSpaceDN w:val="0"/>
              <w:adjustRightInd w:val="0"/>
              <w:snapToGrid w:val="0"/>
              <w:jc w:val="center"/>
              <w:rPr>
                <w:rFonts w:eastAsia="宋体"/>
                <w:sz w:val="20"/>
                <w:szCs w:val="20"/>
              </w:rPr>
            </w:pPr>
            <w:r>
              <w:rPr>
                <w:sz w:val="20"/>
                <w:szCs w:val="20"/>
              </w:rPr>
              <w:t>X</w:t>
            </w:r>
          </w:p>
        </w:tc>
        <w:tc>
          <w:tcPr>
            <w:tcW w:w="1616" w:type="dxa"/>
            <w:tcMar>
              <w:top w:w="28" w:type="dxa"/>
              <w:left w:w="57" w:type="dxa"/>
              <w:bottom w:w="28" w:type="dxa"/>
              <w:right w:w="57" w:type="dxa"/>
            </w:tcMar>
            <w:vAlign w:val="center"/>
          </w:tcPr>
          <w:p w14:paraId="7F33D8C0">
            <w:pPr>
              <w:overflowPunct w:val="0"/>
              <w:autoSpaceDE w:val="0"/>
              <w:autoSpaceDN w:val="0"/>
              <w:adjustRightInd w:val="0"/>
              <w:snapToGrid w:val="0"/>
              <w:jc w:val="center"/>
              <w:rPr>
                <w:rFonts w:eastAsia="宋体"/>
                <w:sz w:val="20"/>
                <w:szCs w:val="20"/>
              </w:rPr>
            </w:pPr>
            <w:r>
              <w:rPr>
                <w:sz w:val="20"/>
                <w:szCs w:val="20"/>
              </w:rPr>
              <w:t>X</w:t>
            </w:r>
          </w:p>
        </w:tc>
      </w:tr>
      <w:tr w14:paraId="45DA4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7CE21346">
            <w:pPr>
              <w:overflowPunct w:val="0"/>
              <w:autoSpaceDE w:val="0"/>
              <w:autoSpaceDN w:val="0"/>
              <w:adjustRightInd w:val="0"/>
              <w:snapToGrid w:val="0"/>
              <w:jc w:val="center"/>
              <w:rPr>
                <w:rFonts w:eastAsia="宋体"/>
                <w:sz w:val="20"/>
                <w:szCs w:val="20"/>
              </w:rPr>
            </w:pPr>
            <w:r>
              <w:rPr>
                <w:sz w:val="20"/>
                <w:szCs w:val="20"/>
              </w:rPr>
              <w:t xml:space="preserve">12-lead ECG </w:t>
            </w:r>
            <w:r>
              <w:rPr>
                <w:sz w:val="20"/>
                <w:szCs w:val="20"/>
                <w:vertAlign w:val="superscript"/>
              </w:rPr>
              <w:t>5</w:t>
            </w:r>
          </w:p>
        </w:tc>
        <w:tc>
          <w:tcPr>
            <w:tcW w:w="858" w:type="dxa"/>
            <w:shd w:val="clear" w:color="auto" w:fill="auto"/>
            <w:tcMar>
              <w:top w:w="28" w:type="dxa"/>
              <w:left w:w="57" w:type="dxa"/>
              <w:bottom w:w="28" w:type="dxa"/>
              <w:right w:w="57" w:type="dxa"/>
            </w:tcMar>
            <w:vAlign w:val="center"/>
          </w:tcPr>
          <w:p w14:paraId="080A6EC1">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13479225">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3BBE597A">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107B7477">
            <w:pPr>
              <w:overflowPunct w:val="0"/>
              <w:autoSpaceDE w:val="0"/>
              <w:autoSpaceDN w:val="0"/>
              <w:adjustRightInd w:val="0"/>
              <w:snapToGrid w:val="0"/>
              <w:jc w:val="center"/>
              <w:rPr>
                <w:rFonts w:eastAsia="宋体"/>
                <w:sz w:val="20"/>
                <w:szCs w:val="20"/>
              </w:rPr>
            </w:pPr>
            <w:bookmarkStart w:id="26" w:name="OLE_LINK13"/>
            <w:r>
              <w:rPr>
                <w:sz w:val="20"/>
                <w:szCs w:val="20"/>
              </w:rPr>
              <w:t>X</w:t>
            </w:r>
            <w:bookmarkEnd w:id="26"/>
          </w:p>
        </w:tc>
        <w:tc>
          <w:tcPr>
            <w:tcW w:w="572" w:type="dxa"/>
            <w:shd w:val="clear" w:color="auto" w:fill="F1F1F1" w:themeFill="background1" w:themeFillShade="F2"/>
            <w:tcMar>
              <w:top w:w="28" w:type="dxa"/>
              <w:left w:w="57" w:type="dxa"/>
              <w:bottom w:w="28" w:type="dxa"/>
              <w:right w:w="57" w:type="dxa"/>
            </w:tcMar>
            <w:vAlign w:val="center"/>
          </w:tcPr>
          <w:p w14:paraId="6B2FB638">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206E7D01">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49BE502D">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2516ACC2">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71EE6338">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616145E4">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6BC3210E">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37D7FF23">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7463AEAA">
            <w:pPr>
              <w:overflowPunct w:val="0"/>
              <w:autoSpaceDE w:val="0"/>
              <w:autoSpaceDN w:val="0"/>
              <w:adjustRightInd w:val="0"/>
              <w:snapToGrid w:val="0"/>
              <w:jc w:val="center"/>
              <w:rPr>
                <w:rFonts w:eastAsia="宋体"/>
                <w:sz w:val="20"/>
                <w:szCs w:val="20"/>
              </w:rPr>
            </w:pPr>
            <w:r>
              <w:rPr>
                <w:sz w:val="20"/>
                <w:szCs w:val="20"/>
              </w:rPr>
              <w:t>X</w:t>
            </w:r>
          </w:p>
        </w:tc>
        <w:tc>
          <w:tcPr>
            <w:tcW w:w="573" w:type="dxa"/>
            <w:tcMar>
              <w:top w:w="28" w:type="dxa"/>
              <w:left w:w="57" w:type="dxa"/>
              <w:bottom w:w="28" w:type="dxa"/>
              <w:right w:w="57" w:type="dxa"/>
            </w:tcMar>
            <w:vAlign w:val="center"/>
          </w:tcPr>
          <w:p w14:paraId="2F309E81">
            <w:pPr>
              <w:overflowPunct w:val="0"/>
              <w:autoSpaceDE w:val="0"/>
              <w:autoSpaceDN w:val="0"/>
              <w:adjustRightInd w:val="0"/>
              <w:snapToGrid w:val="0"/>
              <w:jc w:val="center"/>
              <w:rPr>
                <w:rFonts w:eastAsia="宋体"/>
                <w:sz w:val="20"/>
                <w:szCs w:val="20"/>
              </w:rPr>
            </w:pPr>
            <w:r>
              <w:rPr>
                <w:sz w:val="20"/>
                <w:szCs w:val="20"/>
              </w:rPr>
              <w:t>X</w:t>
            </w:r>
          </w:p>
        </w:tc>
        <w:tc>
          <w:tcPr>
            <w:tcW w:w="572" w:type="dxa"/>
            <w:tcMar>
              <w:top w:w="28" w:type="dxa"/>
              <w:left w:w="57" w:type="dxa"/>
              <w:bottom w:w="28" w:type="dxa"/>
              <w:right w:w="57" w:type="dxa"/>
            </w:tcMar>
            <w:vAlign w:val="center"/>
          </w:tcPr>
          <w:p w14:paraId="773D8052">
            <w:pPr>
              <w:overflowPunct w:val="0"/>
              <w:autoSpaceDE w:val="0"/>
              <w:autoSpaceDN w:val="0"/>
              <w:adjustRightInd w:val="0"/>
              <w:snapToGrid w:val="0"/>
              <w:jc w:val="center"/>
              <w:rPr>
                <w:rFonts w:eastAsia="宋体"/>
                <w:sz w:val="20"/>
                <w:szCs w:val="20"/>
              </w:rPr>
            </w:pPr>
            <w:r>
              <w:rPr>
                <w:sz w:val="20"/>
                <w:szCs w:val="20"/>
              </w:rPr>
              <w:t>X</w:t>
            </w:r>
          </w:p>
        </w:tc>
        <w:tc>
          <w:tcPr>
            <w:tcW w:w="573" w:type="dxa"/>
            <w:tcMar>
              <w:top w:w="28" w:type="dxa"/>
              <w:left w:w="57" w:type="dxa"/>
              <w:bottom w:w="28" w:type="dxa"/>
              <w:right w:w="57" w:type="dxa"/>
            </w:tcMar>
            <w:vAlign w:val="center"/>
          </w:tcPr>
          <w:p w14:paraId="0D70B23E">
            <w:pPr>
              <w:overflowPunct w:val="0"/>
              <w:autoSpaceDE w:val="0"/>
              <w:autoSpaceDN w:val="0"/>
              <w:adjustRightInd w:val="0"/>
              <w:snapToGrid w:val="0"/>
              <w:jc w:val="center"/>
              <w:rPr>
                <w:rFonts w:eastAsia="宋体"/>
                <w:sz w:val="20"/>
                <w:szCs w:val="20"/>
              </w:rPr>
            </w:pPr>
            <w:r>
              <w:rPr>
                <w:sz w:val="20"/>
                <w:szCs w:val="20"/>
              </w:rPr>
              <w:t>X</w:t>
            </w:r>
          </w:p>
        </w:tc>
        <w:tc>
          <w:tcPr>
            <w:tcW w:w="1616" w:type="dxa"/>
            <w:tcMar>
              <w:top w:w="28" w:type="dxa"/>
              <w:left w:w="57" w:type="dxa"/>
              <w:bottom w:w="28" w:type="dxa"/>
              <w:right w:w="57" w:type="dxa"/>
            </w:tcMar>
            <w:vAlign w:val="center"/>
          </w:tcPr>
          <w:p w14:paraId="3772B018">
            <w:pPr>
              <w:overflowPunct w:val="0"/>
              <w:autoSpaceDE w:val="0"/>
              <w:autoSpaceDN w:val="0"/>
              <w:adjustRightInd w:val="0"/>
              <w:snapToGrid w:val="0"/>
              <w:jc w:val="center"/>
              <w:rPr>
                <w:rFonts w:eastAsia="宋体"/>
                <w:sz w:val="20"/>
                <w:szCs w:val="20"/>
              </w:rPr>
            </w:pPr>
            <w:r>
              <w:rPr>
                <w:sz w:val="20"/>
                <w:szCs w:val="20"/>
              </w:rPr>
              <w:t>X</w:t>
            </w:r>
          </w:p>
        </w:tc>
      </w:tr>
      <w:tr w14:paraId="02F60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62972110">
            <w:pPr>
              <w:overflowPunct w:val="0"/>
              <w:autoSpaceDE w:val="0"/>
              <w:autoSpaceDN w:val="0"/>
              <w:adjustRightInd w:val="0"/>
              <w:snapToGrid w:val="0"/>
              <w:jc w:val="center"/>
              <w:rPr>
                <w:rFonts w:eastAsia="宋体"/>
                <w:sz w:val="20"/>
                <w:szCs w:val="20"/>
              </w:rPr>
            </w:pPr>
            <w:r>
              <w:rPr>
                <w:sz w:val="20"/>
                <w:szCs w:val="20"/>
              </w:rPr>
              <w:t>Chest X-ray (anteroposterior and lateral)</w:t>
            </w:r>
          </w:p>
        </w:tc>
        <w:tc>
          <w:tcPr>
            <w:tcW w:w="858" w:type="dxa"/>
            <w:shd w:val="clear" w:color="auto" w:fill="auto"/>
            <w:tcMar>
              <w:top w:w="28" w:type="dxa"/>
              <w:left w:w="57" w:type="dxa"/>
              <w:bottom w:w="28" w:type="dxa"/>
              <w:right w:w="57" w:type="dxa"/>
            </w:tcMar>
            <w:vAlign w:val="center"/>
          </w:tcPr>
          <w:p w14:paraId="5ADC597F">
            <w:pPr>
              <w:overflowPunct w:val="0"/>
              <w:autoSpaceDE w:val="0"/>
              <w:autoSpaceDN w:val="0"/>
              <w:adjustRightInd w:val="0"/>
              <w:snapToGrid w:val="0"/>
              <w:jc w:val="center"/>
              <w:rPr>
                <w:rFonts w:eastAsia="宋体"/>
                <w:sz w:val="20"/>
                <w:szCs w:val="20"/>
              </w:rPr>
            </w:pPr>
            <w:r>
              <w:rPr>
                <w:sz w:val="20"/>
                <w:szCs w:val="20"/>
              </w:rPr>
              <w:t>X</w:t>
            </w:r>
            <w:r>
              <w:rPr>
                <w:sz w:val="20"/>
                <w:szCs w:val="20"/>
                <w:vertAlign w:val="superscript"/>
              </w:rPr>
              <w:t>6</w:t>
            </w:r>
          </w:p>
        </w:tc>
        <w:tc>
          <w:tcPr>
            <w:tcW w:w="572" w:type="dxa"/>
            <w:shd w:val="clear" w:color="auto" w:fill="F1F1F1" w:themeFill="background1" w:themeFillShade="F2"/>
            <w:tcMar>
              <w:top w:w="28" w:type="dxa"/>
              <w:left w:w="57" w:type="dxa"/>
              <w:bottom w:w="28" w:type="dxa"/>
              <w:right w:w="57" w:type="dxa"/>
            </w:tcMar>
            <w:vAlign w:val="center"/>
          </w:tcPr>
          <w:p w14:paraId="5262528C">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2105B6E7">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734680ED">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72CCE919">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3A175E97">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2D94A019">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39CE9F5F">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46C4D382">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07F2ED75">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0D8C6312">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5DC15A8A">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5DBB5864">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773AE29F">
            <w:pPr>
              <w:overflowPunct w:val="0"/>
              <w:autoSpaceDE w:val="0"/>
              <w:autoSpaceDN w:val="0"/>
              <w:adjustRightInd w:val="0"/>
              <w:snapToGrid w:val="0"/>
              <w:jc w:val="center"/>
              <w:rPr>
                <w:rFonts w:eastAsia="宋体"/>
                <w:sz w:val="20"/>
                <w:szCs w:val="20"/>
                <w:lang w:eastAsia="zh-CN"/>
              </w:rPr>
            </w:pPr>
          </w:p>
        </w:tc>
        <w:tc>
          <w:tcPr>
            <w:tcW w:w="572" w:type="dxa"/>
            <w:tcMar>
              <w:top w:w="28" w:type="dxa"/>
              <w:left w:w="57" w:type="dxa"/>
              <w:bottom w:w="28" w:type="dxa"/>
              <w:right w:w="57" w:type="dxa"/>
            </w:tcMar>
            <w:vAlign w:val="center"/>
          </w:tcPr>
          <w:p w14:paraId="2914D5FD">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1F6217DD">
            <w:pPr>
              <w:overflowPunct w:val="0"/>
              <w:autoSpaceDE w:val="0"/>
              <w:autoSpaceDN w:val="0"/>
              <w:adjustRightInd w:val="0"/>
              <w:snapToGrid w:val="0"/>
              <w:jc w:val="center"/>
              <w:rPr>
                <w:rFonts w:eastAsia="宋体"/>
                <w:sz w:val="20"/>
                <w:szCs w:val="20"/>
                <w:lang w:eastAsia="zh-CN"/>
              </w:rPr>
            </w:pPr>
          </w:p>
        </w:tc>
        <w:tc>
          <w:tcPr>
            <w:tcW w:w="1616" w:type="dxa"/>
            <w:tcMar>
              <w:top w:w="28" w:type="dxa"/>
              <w:left w:w="57" w:type="dxa"/>
              <w:bottom w:w="28" w:type="dxa"/>
              <w:right w:w="57" w:type="dxa"/>
            </w:tcMar>
            <w:vAlign w:val="center"/>
          </w:tcPr>
          <w:p w14:paraId="113A41AB">
            <w:pPr>
              <w:overflowPunct w:val="0"/>
              <w:autoSpaceDE w:val="0"/>
              <w:autoSpaceDN w:val="0"/>
              <w:adjustRightInd w:val="0"/>
              <w:snapToGrid w:val="0"/>
              <w:jc w:val="center"/>
              <w:rPr>
                <w:rFonts w:eastAsia="宋体"/>
                <w:sz w:val="20"/>
                <w:szCs w:val="20"/>
                <w:lang w:eastAsia="zh-CN"/>
              </w:rPr>
            </w:pPr>
          </w:p>
        </w:tc>
      </w:tr>
      <w:tr w14:paraId="09177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705E93AB">
            <w:pPr>
              <w:overflowPunct w:val="0"/>
              <w:autoSpaceDE w:val="0"/>
              <w:autoSpaceDN w:val="0"/>
              <w:adjustRightInd w:val="0"/>
              <w:snapToGrid w:val="0"/>
              <w:jc w:val="center"/>
              <w:rPr>
                <w:rFonts w:eastAsia="宋体"/>
                <w:sz w:val="20"/>
                <w:szCs w:val="20"/>
              </w:rPr>
            </w:pPr>
            <w:r>
              <w:rPr>
                <w:sz w:val="20"/>
                <w:szCs w:val="20"/>
              </w:rPr>
              <w:t>Fundoscopy</w:t>
            </w:r>
          </w:p>
        </w:tc>
        <w:tc>
          <w:tcPr>
            <w:tcW w:w="858" w:type="dxa"/>
            <w:shd w:val="clear" w:color="auto" w:fill="auto"/>
            <w:tcMar>
              <w:top w:w="28" w:type="dxa"/>
              <w:left w:w="57" w:type="dxa"/>
              <w:bottom w:w="28" w:type="dxa"/>
              <w:right w:w="57" w:type="dxa"/>
            </w:tcMar>
            <w:vAlign w:val="center"/>
          </w:tcPr>
          <w:p w14:paraId="7753EF58">
            <w:pPr>
              <w:overflowPunct w:val="0"/>
              <w:autoSpaceDE w:val="0"/>
              <w:autoSpaceDN w:val="0"/>
              <w:adjustRightInd w:val="0"/>
              <w:snapToGrid w:val="0"/>
              <w:jc w:val="center"/>
              <w:rPr>
                <w:rFonts w:eastAsia="宋体"/>
                <w:sz w:val="20"/>
                <w:szCs w:val="20"/>
              </w:rPr>
            </w:pPr>
            <w:r>
              <w:rPr>
                <w:sz w:val="20"/>
                <w:szCs w:val="20"/>
              </w:rPr>
              <w:t>X</w:t>
            </w:r>
            <w:r>
              <w:rPr>
                <w:sz w:val="20"/>
                <w:szCs w:val="20"/>
                <w:vertAlign w:val="superscript"/>
              </w:rPr>
              <w:t>6</w:t>
            </w:r>
          </w:p>
        </w:tc>
        <w:tc>
          <w:tcPr>
            <w:tcW w:w="572" w:type="dxa"/>
            <w:shd w:val="clear" w:color="auto" w:fill="F1F1F1" w:themeFill="background1" w:themeFillShade="F2"/>
            <w:tcMar>
              <w:top w:w="28" w:type="dxa"/>
              <w:left w:w="57" w:type="dxa"/>
              <w:bottom w:w="28" w:type="dxa"/>
              <w:right w:w="57" w:type="dxa"/>
            </w:tcMar>
            <w:vAlign w:val="center"/>
          </w:tcPr>
          <w:p w14:paraId="6A11F648">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4E2216FA">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0CD8411A">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5F463279">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230B365B">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00311834">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767A3FE1">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4AF19566">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30FD3941">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7D8A4C39">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3D9B3033">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0594FA5C">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3F554921">
            <w:pPr>
              <w:overflowPunct w:val="0"/>
              <w:autoSpaceDE w:val="0"/>
              <w:autoSpaceDN w:val="0"/>
              <w:adjustRightInd w:val="0"/>
              <w:snapToGrid w:val="0"/>
              <w:jc w:val="center"/>
              <w:rPr>
                <w:rFonts w:eastAsia="宋体"/>
                <w:sz w:val="20"/>
                <w:szCs w:val="20"/>
                <w:lang w:eastAsia="zh-CN"/>
              </w:rPr>
            </w:pPr>
          </w:p>
        </w:tc>
        <w:tc>
          <w:tcPr>
            <w:tcW w:w="572" w:type="dxa"/>
            <w:tcMar>
              <w:top w:w="28" w:type="dxa"/>
              <w:left w:w="57" w:type="dxa"/>
              <w:bottom w:w="28" w:type="dxa"/>
              <w:right w:w="57" w:type="dxa"/>
            </w:tcMar>
            <w:vAlign w:val="center"/>
          </w:tcPr>
          <w:p w14:paraId="45E3492F">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3B7B73E1">
            <w:pPr>
              <w:overflowPunct w:val="0"/>
              <w:autoSpaceDE w:val="0"/>
              <w:autoSpaceDN w:val="0"/>
              <w:adjustRightInd w:val="0"/>
              <w:snapToGrid w:val="0"/>
              <w:jc w:val="center"/>
              <w:rPr>
                <w:rFonts w:eastAsia="宋体"/>
                <w:sz w:val="20"/>
                <w:szCs w:val="20"/>
                <w:lang w:eastAsia="zh-CN"/>
              </w:rPr>
            </w:pPr>
          </w:p>
        </w:tc>
        <w:tc>
          <w:tcPr>
            <w:tcW w:w="1616" w:type="dxa"/>
            <w:tcMar>
              <w:top w:w="28" w:type="dxa"/>
              <w:left w:w="57" w:type="dxa"/>
              <w:bottom w:w="28" w:type="dxa"/>
              <w:right w:w="57" w:type="dxa"/>
            </w:tcMar>
            <w:vAlign w:val="center"/>
          </w:tcPr>
          <w:p w14:paraId="0A19567C">
            <w:pPr>
              <w:overflowPunct w:val="0"/>
              <w:autoSpaceDE w:val="0"/>
              <w:autoSpaceDN w:val="0"/>
              <w:adjustRightInd w:val="0"/>
              <w:snapToGrid w:val="0"/>
              <w:jc w:val="center"/>
              <w:rPr>
                <w:rFonts w:eastAsia="宋体"/>
                <w:sz w:val="20"/>
                <w:szCs w:val="20"/>
              </w:rPr>
            </w:pPr>
            <w:r>
              <w:rPr>
                <w:sz w:val="20"/>
                <w:szCs w:val="20"/>
              </w:rPr>
              <w:t>X</w:t>
            </w:r>
          </w:p>
        </w:tc>
      </w:tr>
      <w:tr w14:paraId="5E2E4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5D324283">
            <w:pPr>
              <w:overflowPunct w:val="0"/>
              <w:autoSpaceDE w:val="0"/>
              <w:autoSpaceDN w:val="0"/>
              <w:adjustRightInd w:val="0"/>
              <w:snapToGrid w:val="0"/>
              <w:jc w:val="center"/>
              <w:rPr>
                <w:rFonts w:eastAsia="宋体"/>
                <w:sz w:val="20"/>
                <w:szCs w:val="20"/>
              </w:rPr>
            </w:pPr>
            <w:r>
              <w:rPr>
                <w:sz w:val="20"/>
                <w:szCs w:val="20"/>
              </w:rPr>
              <w:t>PHQ9 questionnaire</w:t>
            </w:r>
          </w:p>
        </w:tc>
        <w:tc>
          <w:tcPr>
            <w:tcW w:w="858" w:type="dxa"/>
            <w:shd w:val="clear" w:color="auto" w:fill="auto"/>
            <w:tcMar>
              <w:top w:w="28" w:type="dxa"/>
              <w:left w:w="57" w:type="dxa"/>
              <w:bottom w:w="28" w:type="dxa"/>
              <w:right w:w="57" w:type="dxa"/>
            </w:tcMar>
            <w:vAlign w:val="center"/>
          </w:tcPr>
          <w:p w14:paraId="6C2E7B92">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4E478407">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28A0E147">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3EEF2760">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77C66BC2">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1220E22C">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12916CA8">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7002251F">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1D570A07">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2F287A72">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3EEE4154">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554D0C28">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07D82FCE">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0BAE9A13">
            <w:pPr>
              <w:overflowPunct w:val="0"/>
              <w:autoSpaceDE w:val="0"/>
              <w:autoSpaceDN w:val="0"/>
              <w:adjustRightInd w:val="0"/>
              <w:snapToGrid w:val="0"/>
              <w:jc w:val="center"/>
              <w:rPr>
                <w:rFonts w:eastAsia="宋体"/>
                <w:sz w:val="20"/>
                <w:szCs w:val="20"/>
                <w:lang w:eastAsia="zh-CN"/>
              </w:rPr>
            </w:pPr>
          </w:p>
        </w:tc>
        <w:tc>
          <w:tcPr>
            <w:tcW w:w="572" w:type="dxa"/>
            <w:tcMar>
              <w:top w:w="28" w:type="dxa"/>
              <w:left w:w="57" w:type="dxa"/>
              <w:bottom w:w="28" w:type="dxa"/>
              <w:right w:w="57" w:type="dxa"/>
            </w:tcMar>
            <w:vAlign w:val="center"/>
          </w:tcPr>
          <w:p w14:paraId="44599322">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3B6E5D16">
            <w:pPr>
              <w:overflowPunct w:val="0"/>
              <w:autoSpaceDE w:val="0"/>
              <w:autoSpaceDN w:val="0"/>
              <w:adjustRightInd w:val="0"/>
              <w:snapToGrid w:val="0"/>
              <w:jc w:val="center"/>
              <w:rPr>
                <w:rFonts w:eastAsia="宋体"/>
                <w:sz w:val="20"/>
                <w:szCs w:val="20"/>
                <w:lang w:eastAsia="zh-CN"/>
              </w:rPr>
            </w:pPr>
          </w:p>
        </w:tc>
        <w:tc>
          <w:tcPr>
            <w:tcW w:w="1616" w:type="dxa"/>
            <w:tcMar>
              <w:top w:w="28" w:type="dxa"/>
              <w:left w:w="57" w:type="dxa"/>
              <w:bottom w:w="28" w:type="dxa"/>
              <w:right w:w="57" w:type="dxa"/>
            </w:tcMar>
            <w:vAlign w:val="center"/>
          </w:tcPr>
          <w:p w14:paraId="13F5F7C0">
            <w:pPr>
              <w:overflowPunct w:val="0"/>
              <w:autoSpaceDE w:val="0"/>
              <w:autoSpaceDN w:val="0"/>
              <w:adjustRightInd w:val="0"/>
              <w:snapToGrid w:val="0"/>
              <w:jc w:val="center"/>
              <w:rPr>
                <w:rFonts w:eastAsia="宋体"/>
                <w:sz w:val="20"/>
                <w:szCs w:val="20"/>
              </w:rPr>
            </w:pPr>
            <w:r>
              <w:rPr>
                <w:sz w:val="20"/>
                <w:szCs w:val="20"/>
              </w:rPr>
              <w:t>X</w:t>
            </w:r>
          </w:p>
        </w:tc>
      </w:tr>
      <w:tr w14:paraId="71A64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68BAF977">
            <w:pPr>
              <w:overflowPunct w:val="0"/>
              <w:autoSpaceDE w:val="0"/>
              <w:autoSpaceDN w:val="0"/>
              <w:adjustRightInd w:val="0"/>
              <w:snapToGrid w:val="0"/>
              <w:jc w:val="center"/>
              <w:rPr>
                <w:rFonts w:eastAsia="宋体"/>
                <w:sz w:val="20"/>
                <w:szCs w:val="20"/>
                <w:vertAlign w:val="superscript"/>
              </w:rPr>
            </w:pPr>
            <w:r>
              <w:rPr>
                <w:sz w:val="20"/>
                <w:szCs w:val="20"/>
              </w:rPr>
              <w:t>Infectious disease examination</w:t>
            </w:r>
          </w:p>
        </w:tc>
        <w:tc>
          <w:tcPr>
            <w:tcW w:w="858" w:type="dxa"/>
            <w:shd w:val="clear" w:color="auto" w:fill="auto"/>
            <w:tcMar>
              <w:top w:w="28" w:type="dxa"/>
              <w:left w:w="57" w:type="dxa"/>
              <w:bottom w:w="28" w:type="dxa"/>
              <w:right w:w="57" w:type="dxa"/>
            </w:tcMar>
            <w:vAlign w:val="center"/>
          </w:tcPr>
          <w:p w14:paraId="68013A9F">
            <w:pPr>
              <w:overflowPunct w:val="0"/>
              <w:autoSpaceDE w:val="0"/>
              <w:autoSpaceDN w:val="0"/>
              <w:adjustRightInd w:val="0"/>
              <w:snapToGrid w:val="0"/>
              <w:jc w:val="center"/>
              <w:rPr>
                <w:rFonts w:eastAsia="宋体"/>
                <w:sz w:val="20"/>
                <w:szCs w:val="20"/>
              </w:rPr>
            </w:pPr>
            <w:r>
              <w:rPr>
                <w:sz w:val="20"/>
                <w:szCs w:val="20"/>
              </w:rPr>
              <w:t>X</w:t>
            </w:r>
            <w:r>
              <w:rPr>
                <w:sz w:val="20"/>
                <w:szCs w:val="20"/>
                <w:vertAlign w:val="superscript"/>
              </w:rPr>
              <w:t>6</w:t>
            </w:r>
          </w:p>
        </w:tc>
        <w:tc>
          <w:tcPr>
            <w:tcW w:w="572" w:type="dxa"/>
            <w:shd w:val="clear" w:color="auto" w:fill="F1F1F1" w:themeFill="background1" w:themeFillShade="F2"/>
            <w:tcMar>
              <w:top w:w="28" w:type="dxa"/>
              <w:left w:w="57" w:type="dxa"/>
              <w:bottom w:w="28" w:type="dxa"/>
              <w:right w:w="57" w:type="dxa"/>
            </w:tcMar>
            <w:vAlign w:val="center"/>
          </w:tcPr>
          <w:p w14:paraId="1232D149">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4293AA19">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35F14CFC">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05233977">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33603C82">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0DFE1C80">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689802BC">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2AADD4E5">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69CD0C90">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7A67D311">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7C191C72">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6A65498E">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4AC3CE70">
            <w:pPr>
              <w:overflowPunct w:val="0"/>
              <w:autoSpaceDE w:val="0"/>
              <w:autoSpaceDN w:val="0"/>
              <w:adjustRightInd w:val="0"/>
              <w:snapToGrid w:val="0"/>
              <w:jc w:val="center"/>
              <w:rPr>
                <w:rFonts w:eastAsia="宋体"/>
                <w:sz w:val="20"/>
                <w:szCs w:val="20"/>
                <w:lang w:eastAsia="zh-CN"/>
              </w:rPr>
            </w:pPr>
          </w:p>
        </w:tc>
        <w:tc>
          <w:tcPr>
            <w:tcW w:w="572" w:type="dxa"/>
            <w:tcMar>
              <w:top w:w="28" w:type="dxa"/>
              <w:left w:w="57" w:type="dxa"/>
              <w:bottom w:w="28" w:type="dxa"/>
              <w:right w:w="57" w:type="dxa"/>
            </w:tcMar>
            <w:vAlign w:val="center"/>
          </w:tcPr>
          <w:p w14:paraId="54D37035">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4E849312">
            <w:pPr>
              <w:overflowPunct w:val="0"/>
              <w:autoSpaceDE w:val="0"/>
              <w:autoSpaceDN w:val="0"/>
              <w:adjustRightInd w:val="0"/>
              <w:snapToGrid w:val="0"/>
              <w:jc w:val="center"/>
              <w:rPr>
                <w:rFonts w:eastAsia="宋体"/>
                <w:sz w:val="20"/>
                <w:szCs w:val="20"/>
                <w:lang w:eastAsia="zh-CN"/>
              </w:rPr>
            </w:pPr>
          </w:p>
        </w:tc>
        <w:tc>
          <w:tcPr>
            <w:tcW w:w="1616" w:type="dxa"/>
            <w:tcMar>
              <w:top w:w="28" w:type="dxa"/>
              <w:left w:w="57" w:type="dxa"/>
              <w:bottom w:w="28" w:type="dxa"/>
              <w:right w:w="57" w:type="dxa"/>
            </w:tcMar>
            <w:vAlign w:val="center"/>
          </w:tcPr>
          <w:p w14:paraId="4F0AF001">
            <w:pPr>
              <w:overflowPunct w:val="0"/>
              <w:autoSpaceDE w:val="0"/>
              <w:autoSpaceDN w:val="0"/>
              <w:adjustRightInd w:val="0"/>
              <w:snapToGrid w:val="0"/>
              <w:jc w:val="center"/>
              <w:rPr>
                <w:rFonts w:eastAsia="宋体"/>
                <w:sz w:val="20"/>
                <w:szCs w:val="20"/>
                <w:lang w:eastAsia="zh-CN"/>
              </w:rPr>
            </w:pPr>
          </w:p>
        </w:tc>
      </w:tr>
      <w:tr w14:paraId="6A24B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131AA3F5">
            <w:pPr>
              <w:overflowPunct w:val="0"/>
              <w:autoSpaceDE w:val="0"/>
              <w:autoSpaceDN w:val="0"/>
              <w:adjustRightInd w:val="0"/>
              <w:snapToGrid w:val="0"/>
              <w:jc w:val="center"/>
              <w:rPr>
                <w:rFonts w:eastAsia="宋体"/>
                <w:sz w:val="20"/>
                <w:szCs w:val="20"/>
              </w:rPr>
            </w:pPr>
            <w:r>
              <w:rPr>
                <w:sz w:val="20"/>
                <w:szCs w:val="20"/>
              </w:rPr>
              <w:t>Five tests of thyroid function</w:t>
            </w:r>
          </w:p>
        </w:tc>
        <w:tc>
          <w:tcPr>
            <w:tcW w:w="858" w:type="dxa"/>
            <w:shd w:val="clear" w:color="auto" w:fill="auto"/>
            <w:tcMar>
              <w:top w:w="28" w:type="dxa"/>
              <w:left w:w="57" w:type="dxa"/>
              <w:bottom w:w="28" w:type="dxa"/>
              <w:right w:w="57" w:type="dxa"/>
            </w:tcMar>
            <w:vAlign w:val="center"/>
          </w:tcPr>
          <w:p w14:paraId="0010AB60">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1A8B2C49">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682EBF04">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6462E36C">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40BB8E3C">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764C7221">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6DC35020">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78E5CA71">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229443C5">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2CF893A4">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5744C176">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03BE9F44">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42F0AD8C">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263EB664">
            <w:pPr>
              <w:overflowPunct w:val="0"/>
              <w:autoSpaceDE w:val="0"/>
              <w:autoSpaceDN w:val="0"/>
              <w:adjustRightInd w:val="0"/>
              <w:snapToGrid w:val="0"/>
              <w:jc w:val="center"/>
              <w:rPr>
                <w:rFonts w:eastAsia="宋体"/>
                <w:sz w:val="20"/>
                <w:szCs w:val="20"/>
                <w:lang w:eastAsia="zh-CN"/>
              </w:rPr>
            </w:pPr>
          </w:p>
        </w:tc>
        <w:tc>
          <w:tcPr>
            <w:tcW w:w="572" w:type="dxa"/>
            <w:tcMar>
              <w:top w:w="28" w:type="dxa"/>
              <w:left w:w="57" w:type="dxa"/>
              <w:bottom w:w="28" w:type="dxa"/>
              <w:right w:w="57" w:type="dxa"/>
            </w:tcMar>
            <w:vAlign w:val="center"/>
          </w:tcPr>
          <w:p w14:paraId="4EE7EEB2">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32BD10BC">
            <w:pPr>
              <w:overflowPunct w:val="0"/>
              <w:autoSpaceDE w:val="0"/>
              <w:autoSpaceDN w:val="0"/>
              <w:adjustRightInd w:val="0"/>
              <w:snapToGrid w:val="0"/>
              <w:jc w:val="center"/>
              <w:rPr>
                <w:rFonts w:eastAsia="宋体"/>
                <w:sz w:val="20"/>
                <w:szCs w:val="20"/>
                <w:lang w:eastAsia="zh-CN"/>
              </w:rPr>
            </w:pPr>
          </w:p>
        </w:tc>
        <w:tc>
          <w:tcPr>
            <w:tcW w:w="1616" w:type="dxa"/>
            <w:tcMar>
              <w:top w:w="28" w:type="dxa"/>
              <w:left w:w="57" w:type="dxa"/>
              <w:bottom w:w="28" w:type="dxa"/>
              <w:right w:w="57" w:type="dxa"/>
            </w:tcMar>
            <w:vAlign w:val="center"/>
          </w:tcPr>
          <w:p w14:paraId="1A37CF9F">
            <w:pPr>
              <w:overflowPunct w:val="0"/>
              <w:autoSpaceDE w:val="0"/>
              <w:autoSpaceDN w:val="0"/>
              <w:adjustRightInd w:val="0"/>
              <w:snapToGrid w:val="0"/>
              <w:jc w:val="center"/>
              <w:rPr>
                <w:rFonts w:eastAsia="宋体"/>
                <w:sz w:val="20"/>
                <w:szCs w:val="20"/>
              </w:rPr>
            </w:pPr>
            <w:r>
              <w:rPr>
                <w:sz w:val="20"/>
                <w:szCs w:val="20"/>
              </w:rPr>
              <w:t>X</w:t>
            </w:r>
          </w:p>
        </w:tc>
      </w:tr>
      <w:tr w14:paraId="1AFBD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1DF288DE">
            <w:pPr>
              <w:overflowPunct w:val="0"/>
              <w:autoSpaceDE w:val="0"/>
              <w:autoSpaceDN w:val="0"/>
              <w:adjustRightInd w:val="0"/>
              <w:snapToGrid w:val="0"/>
              <w:jc w:val="center"/>
              <w:rPr>
                <w:rFonts w:eastAsia="宋体"/>
                <w:sz w:val="20"/>
                <w:szCs w:val="20"/>
              </w:rPr>
            </w:pPr>
            <w:r>
              <w:rPr>
                <w:bCs/>
                <w:sz w:val="20"/>
                <w:szCs w:val="20"/>
              </w:rPr>
              <w:t>Serum calcitonin</w:t>
            </w:r>
          </w:p>
        </w:tc>
        <w:tc>
          <w:tcPr>
            <w:tcW w:w="858" w:type="dxa"/>
            <w:shd w:val="clear" w:color="auto" w:fill="auto"/>
            <w:tcMar>
              <w:top w:w="28" w:type="dxa"/>
              <w:left w:w="57" w:type="dxa"/>
              <w:bottom w:w="28" w:type="dxa"/>
              <w:right w:w="57" w:type="dxa"/>
            </w:tcMar>
            <w:vAlign w:val="center"/>
          </w:tcPr>
          <w:p w14:paraId="7C7980A4">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5C49052B">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78582A8B">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69651439">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65C5C71D">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6F749FC4">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6822022F">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7BBAB923">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455D5B6A">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2988DA56">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022CCD25">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0BC6A4E4">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5EB064E4">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301B7A27">
            <w:pPr>
              <w:overflowPunct w:val="0"/>
              <w:autoSpaceDE w:val="0"/>
              <w:autoSpaceDN w:val="0"/>
              <w:adjustRightInd w:val="0"/>
              <w:snapToGrid w:val="0"/>
              <w:jc w:val="center"/>
              <w:rPr>
                <w:rFonts w:eastAsia="宋体"/>
                <w:sz w:val="20"/>
                <w:szCs w:val="20"/>
                <w:lang w:eastAsia="zh-CN"/>
              </w:rPr>
            </w:pPr>
          </w:p>
        </w:tc>
        <w:tc>
          <w:tcPr>
            <w:tcW w:w="572" w:type="dxa"/>
            <w:tcMar>
              <w:top w:w="28" w:type="dxa"/>
              <w:left w:w="57" w:type="dxa"/>
              <w:bottom w:w="28" w:type="dxa"/>
              <w:right w:w="57" w:type="dxa"/>
            </w:tcMar>
            <w:vAlign w:val="center"/>
          </w:tcPr>
          <w:p w14:paraId="2929F3F9">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49816E13">
            <w:pPr>
              <w:overflowPunct w:val="0"/>
              <w:autoSpaceDE w:val="0"/>
              <w:autoSpaceDN w:val="0"/>
              <w:adjustRightInd w:val="0"/>
              <w:snapToGrid w:val="0"/>
              <w:jc w:val="center"/>
              <w:rPr>
                <w:rFonts w:eastAsia="宋体"/>
                <w:sz w:val="20"/>
                <w:szCs w:val="20"/>
                <w:lang w:eastAsia="zh-CN"/>
              </w:rPr>
            </w:pPr>
          </w:p>
        </w:tc>
        <w:tc>
          <w:tcPr>
            <w:tcW w:w="1616" w:type="dxa"/>
            <w:tcMar>
              <w:top w:w="28" w:type="dxa"/>
              <w:left w:w="57" w:type="dxa"/>
              <w:bottom w:w="28" w:type="dxa"/>
              <w:right w:w="57" w:type="dxa"/>
            </w:tcMar>
            <w:vAlign w:val="center"/>
          </w:tcPr>
          <w:p w14:paraId="0568A7D9">
            <w:pPr>
              <w:overflowPunct w:val="0"/>
              <w:autoSpaceDE w:val="0"/>
              <w:autoSpaceDN w:val="0"/>
              <w:adjustRightInd w:val="0"/>
              <w:snapToGrid w:val="0"/>
              <w:jc w:val="center"/>
              <w:rPr>
                <w:rFonts w:eastAsia="宋体"/>
                <w:sz w:val="20"/>
                <w:szCs w:val="20"/>
              </w:rPr>
            </w:pPr>
            <w:r>
              <w:rPr>
                <w:sz w:val="20"/>
                <w:szCs w:val="20"/>
              </w:rPr>
              <w:t>X</w:t>
            </w:r>
          </w:p>
        </w:tc>
      </w:tr>
      <w:tr w14:paraId="32A5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4A0A595E">
            <w:pPr>
              <w:overflowPunct w:val="0"/>
              <w:autoSpaceDE w:val="0"/>
              <w:autoSpaceDN w:val="0"/>
              <w:adjustRightInd w:val="0"/>
              <w:snapToGrid w:val="0"/>
              <w:jc w:val="center"/>
              <w:rPr>
                <w:rFonts w:eastAsia="宋体"/>
                <w:sz w:val="20"/>
                <w:szCs w:val="20"/>
              </w:rPr>
            </w:pPr>
            <w:r>
              <w:rPr>
                <w:sz w:val="20"/>
                <w:szCs w:val="20"/>
              </w:rPr>
              <w:t>T-lymphocyte subsets</w:t>
            </w:r>
          </w:p>
        </w:tc>
        <w:tc>
          <w:tcPr>
            <w:tcW w:w="858" w:type="dxa"/>
            <w:shd w:val="clear" w:color="auto" w:fill="auto"/>
            <w:tcMar>
              <w:top w:w="28" w:type="dxa"/>
              <w:left w:w="57" w:type="dxa"/>
              <w:bottom w:w="28" w:type="dxa"/>
              <w:right w:w="57" w:type="dxa"/>
            </w:tcMar>
            <w:vAlign w:val="center"/>
          </w:tcPr>
          <w:p w14:paraId="0A1334E2">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1DE06B64">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45849207">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09E2E0F3">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5FDC8BEA">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2AF06E58">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64C5F3BE">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1924AEB2">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2F4EA101">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768381FF">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2E1EFD49">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75E7B7DA">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55851A55">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6E501DB2">
            <w:pPr>
              <w:overflowPunct w:val="0"/>
              <w:autoSpaceDE w:val="0"/>
              <w:autoSpaceDN w:val="0"/>
              <w:adjustRightInd w:val="0"/>
              <w:snapToGrid w:val="0"/>
              <w:jc w:val="center"/>
              <w:rPr>
                <w:rFonts w:eastAsia="宋体"/>
                <w:sz w:val="20"/>
                <w:szCs w:val="20"/>
                <w:lang w:eastAsia="zh-CN"/>
              </w:rPr>
            </w:pPr>
          </w:p>
        </w:tc>
        <w:tc>
          <w:tcPr>
            <w:tcW w:w="572" w:type="dxa"/>
            <w:tcMar>
              <w:top w:w="28" w:type="dxa"/>
              <w:left w:w="57" w:type="dxa"/>
              <w:bottom w:w="28" w:type="dxa"/>
              <w:right w:w="57" w:type="dxa"/>
            </w:tcMar>
            <w:vAlign w:val="center"/>
          </w:tcPr>
          <w:p w14:paraId="1290284F">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3F670EE1">
            <w:pPr>
              <w:overflowPunct w:val="0"/>
              <w:autoSpaceDE w:val="0"/>
              <w:autoSpaceDN w:val="0"/>
              <w:adjustRightInd w:val="0"/>
              <w:snapToGrid w:val="0"/>
              <w:jc w:val="center"/>
              <w:rPr>
                <w:rFonts w:eastAsia="宋体"/>
                <w:sz w:val="20"/>
                <w:szCs w:val="20"/>
                <w:lang w:eastAsia="zh-CN"/>
              </w:rPr>
            </w:pPr>
          </w:p>
        </w:tc>
        <w:tc>
          <w:tcPr>
            <w:tcW w:w="1616" w:type="dxa"/>
            <w:tcMar>
              <w:top w:w="28" w:type="dxa"/>
              <w:left w:w="57" w:type="dxa"/>
              <w:bottom w:w="28" w:type="dxa"/>
              <w:right w:w="57" w:type="dxa"/>
            </w:tcMar>
            <w:vAlign w:val="center"/>
          </w:tcPr>
          <w:p w14:paraId="6FB29FB5">
            <w:pPr>
              <w:overflowPunct w:val="0"/>
              <w:autoSpaceDE w:val="0"/>
              <w:autoSpaceDN w:val="0"/>
              <w:adjustRightInd w:val="0"/>
              <w:snapToGrid w:val="0"/>
              <w:jc w:val="center"/>
              <w:rPr>
                <w:rFonts w:eastAsia="宋体"/>
                <w:sz w:val="20"/>
                <w:szCs w:val="20"/>
              </w:rPr>
            </w:pPr>
            <w:r>
              <w:rPr>
                <w:sz w:val="20"/>
                <w:szCs w:val="20"/>
              </w:rPr>
              <w:t>X</w:t>
            </w:r>
          </w:p>
        </w:tc>
      </w:tr>
      <w:tr w14:paraId="64DE6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1F5CF5A2">
            <w:pPr>
              <w:overflowPunct w:val="0"/>
              <w:autoSpaceDE w:val="0"/>
              <w:autoSpaceDN w:val="0"/>
              <w:adjustRightInd w:val="0"/>
              <w:snapToGrid w:val="0"/>
              <w:jc w:val="center"/>
              <w:rPr>
                <w:rFonts w:eastAsia="宋体"/>
                <w:sz w:val="20"/>
                <w:szCs w:val="20"/>
              </w:rPr>
            </w:pPr>
            <w:r>
              <w:rPr>
                <w:sz w:val="20"/>
                <w:szCs w:val="20"/>
              </w:rPr>
              <w:t>Pregnancy test</w:t>
            </w:r>
            <w:r>
              <w:rPr>
                <w:sz w:val="20"/>
                <w:szCs w:val="20"/>
                <w:vertAlign w:val="superscript"/>
              </w:rPr>
              <w:t>7</w:t>
            </w:r>
          </w:p>
        </w:tc>
        <w:tc>
          <w:tcPr>
            <w:tcW w:w="858" w:type="dxa"/>
            <w:shd w:val="clear" w:color="auto" w:fill="auto"/>
            <w:tcMar>
              <w:top w:w="28" w:type="dxa"/>
              <w:left w:w="57" w:type="dxa"/>
              <w:bottom w:w="28" w:type="dxa"/>
              <w:right w:w="57" w:type="dxa"/>
            </w:tcMar>
            <w:vAlign w:val="center"/>
          </w:tcPr>
          <w:p w14:paraId="4C481C12">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0569BEAD">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44C4A80C">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476FACD9">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2246EE87">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163987E3">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381ED6F2">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1228E6B2">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4626F9E7">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604DF872">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2A410BFA">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1C753224">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57114B05">
            <w:pPr>
              <w:overflowPunct w:val="0"/>
              <w:autoSpaceDE w:val="0"/>
              <w:autoSpaceDN w:val="0"/>
              <w:adjustRightInd w:val="0"/>
              <w:snapToGrid w:val="0"/>
              <w:jc w:val="center"/>
              <w:rPr>
                <w:rFonts w:eastAsia="宋体"/>
                <w:sz w:val="20"/>
                <w:szCs w:val="20"/>
              </w:rPr>
            </w:pPr>
            <w:r>
              <w:rPr>
                <w:sz w:val="20"/>
                <w:szCs w:val="20"/>
              </w:rPr>
              <w:t>X</w:t>
            </w:r>
          </w:p>
        </w:tc>
        <w:tc>
          <w:tcPr>
            <w:tcW w:w="573" w:type="dxa"/>
            <w:tcMar>
              <w:top w:w="28" w:type="dxa"/>
              <w:left w:w="57" w:type="dxa"/>
              <w:bottom w:w="28" w:type="dxa"/>
              <w:right w:w="57" w:type="dxa"/>
            </w:tcMar>
            <w:vAlign w:val="center"/>
          </w:tcPr>
          <w:p w14:paraId="4D77E4A5">
            <w:pPr>
              <w:overflowPunct w:val="0"/>
              <w:autoSpaceDE w:val="0"/>
              <w:autoSpaceDN w:val="0"/>
              <w:adjustRightInd w:val="0"/>
              <w:snapToGrid w:val="0"/>
              <w:jc w:val="center"/>
              <w:rPr>
                <w:rFonts w:eastAsia="宋体"/>
                <w:sz w:val="20"/>
                <w:szCs w:val="20"/>
                <w:lang w:eastAsia="zh-CN"/>
              </w:rPr>
            </w:pPr>
          </w:p>
        </w:tc>
        <w:tc>
          <w:tcPr>
            <w:tcW w:w="572" w:type="dxa"/>
            <w:tcMar>
              <w:top w:w="28" w:type="dxa"/>
              <w:left w:w="57" w:type="dxa"/>
              <w:bottom w:w="28" w:type="dxa"/>
              <w:right w:w="57" w:type="dxa"/>
            </w:tcMar>
            <w:vAlign w:val="center"/>
          </w:tcPr>
          <w:p w14:paraId="0B8B6204">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7D3BDF48">
            <w:pPr>
              <w:overflowPunct w:val="0"/>
              <w:autoSpaceDE w:val="0"/>
              <w:autoSpaceDN w:val="0"/>
              <w:adjustRightInd w:val="0"/>
              <w:snapToGrid w:val="0"/>
              <w:jc w:val="center"/>
              <w:rPr>
                <w:rFonts w:eastAsia="宋体"/>
                <w:sz w:val="20"/>
                <w:szCs w:val="20"/>
              </w:rPr>
            </w:pPr>
            <w:r>
              <w:rPr>
                <w:sz w:val="20"/>
                <w:szCs w:val="20"/>
              </w:rPr>
              <w:t>X</w:t>
            </w:r>
          </w:p>
        </w:tc>
        <w:tc>
          <w:tcPr>
            <w:tcW w:w="1616" w:type="dxa"/>
            <w:tcMar>
              <w:top w:w="28" w:type="dxa"/>
              <w:left w:w="57" w:type="dxa"/>
              <w:bottom w:w="28" w:type="dxa"/>
              <w:right w:w="57" w:type="dxa"/>
            </w:tcMar>
            <w:vAlign w:val="center"/>
          </w:tcPr>
          <w:p w14:paraId="7CF1D752">
            <w:pPr>
              <w:overflowPunct w:val="0"/>
              <w:autoSpaceDE w:val="0"/>
              <w:autoSpaceDN w:val="0"/>
              <w:adjustRightInd w:val="0"/>
              <w:snapToGrid w:val="0"/>
              <w:jc w:val="center"/>
              <w:rPr>
                <w:rFonts w:eastAsia="宋体"/>
                <w:sz w:val="20"/>
                <w:szCs w:val="20"/>
              </w:rPr>
            </w:pPr>
            <w:r>
              <w:rPr>
                <w:sz w:val="20"/>
                <w:szCs w:val="20"/>
              </w:rPr>
              <w:t>X</w:t>
            </w:r>
          </w:p>
        </w:tc>
      </w:tr>
      <w:tr w14:paraId="588F5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4284B9A4">
            <w:pPr>
              <w:overflowPunct w:val="0"/>
              <w:autoSpaceDE w:val="0"/>
              <w:autoSpaceDN w:val="0"/>
              <w:adjustRightInd w:val="0"/>
              <w:snapToGrid w:val="0"/>
              <w:jc w:val="center"/>
              <w:rPr>
                <w:rFonts w:eastAsia="宋体"/>
                <w:sz w:val="20"/>
                <w:szCs w:val="20"/>
              </w:rPr>
            </w:pPr>
            <w:r>
              <w:rPr>
                <w:sz w:val="20"/>
                <w:szCs w:val="20"/>
              </w:rPr>
              <w:t>Follicle-stimulating hormone test (as needed)</w:t>
            </w:r>
            <w:r>
              <w:rPr>
                <w:sz w:val="20"/>
                <w:szCs w:val="20"/>
                <w:vertAlign w:val="superscript"/>
              </w:rPr>
              <w:t>8</w:t>
            </w:r>
          </w:p>
        </w:tc>
        <w:tc>
          <w:tcPr>
            <w:tcW w:w="858" w:type="dxa"/>
            <w:shd w:val="clear" w:color="auto" w:fill="auto"/>
            <w:tcMar>
              <w:top w:w="28" w:type="dxa"/>
              <w:left w:w="57" w:type="dxa"/>
              <w:bottom w:w="28" w:type="dxa"/>
              <w:right w:w="57" w:type="dxa"/>
            </w:tcMar>
            <w:vAlign w:val="center"/>
          </w:tcPr>
          <w:p w14:paraId="78D2A93C">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44B348C6">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2CFBB603">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4F826203">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57F6ED85">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3702FEC1">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08F3FA20">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12CF4018">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33DAA17A">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6571871B">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4F590314">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24D8022A">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0DD7CE51">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2B12B0B9">
            <w:pPr>
              <w:overflowPunct w:val="0"/>
              <w:autoSpaceDE w:val="0"/>
              <w:autoSpaceDN w:val="0"/>
              <w:adjustRightInd w:val="0"/>
              <w:snapToGrid w:val="0"/>
              <w:jc w:val="center"/>
              <w:rPr>
                <w:rFonts w:eastAsia="宋体"/>
                <w:sz w:val="20"/>
                <w:szCs w:val="20"/>
                <w:lang w:eastAsia="zh-CN"/>
              </w:rPr>
            </w:pPr>
          </w:p>
        </w:tc>
        <w:tc>
          <w:tcPr>
            <w:tcW w:w="572" w:type="dxa"/>
            <w:tcMar>
              <w:top w:w="28" w:type="dxa"/>
              <w:left w:w="57" w:type="dxa"/>
              <w:bottom w:w="28" w:type="dxa"/>
              <w:right w:w="57" w:type="dxa"/>
            </w:tcMar>
            <w:vAlign w:val="center"/>
          </w:tcPr>
          <w:p w14:paraId="071284FF">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6C84F1AB">
            <w:pPr>
              <w:overflowPunct w:val="0"/>
              <w:autoSpaceDE w:val="0"/>
              <w:autoSpaceDN w:val="0"/>
              <w:adjustRightInd w:val="0"/>
              <w:snapToGrid w:val="0"/>
              <w:jc w:val="center"/>
              <w:rPr>
                <w:rFonts w:eastAsia="宋体"/>
                <w:sz w:val="20"/>
                <w:szCs w:val="20"/>
                <w:lang w:eastAsia="zh-CN"/>
              </w:rPr>
            </w:pPr>
          </w:p>
        </w:tc>
        <w:tc>
          <w:tcPr>
            <w:tcW w:w="1616" w:type="dxa"/>
            <w:tcMar>
              <w:top w:w="28" w:type="dxa"/>
              <w:left w:w="57" w:type="dxa"/>
              <w:bottom w:w="28" w:type="dxa"/>
              <w:right w:w="57" w:type="dxa"/>
            </w:tcMar>
            <w:vAlign w:val="center"/>
          </w:tcPr>
          <w:p w14:paraId="43380E74">
            <w:pPr>
              <w:overflowPunct w:val="0"/>
              <w:autoSpaceDE w:val="0"/>
              <w:autoSpaceDN w:val="0"/>
              <w:adjustRightInd w:val="0"/>
              <w:snapToGrid w:val="0"/>
              <w:jc w:val="center"/>
              <w:rPr>
                <w:rFonts w:eastAsia="宋体"/>
                <w:sz w:val="20"/>
                <w:szCs w:val="20"/>
                <w:lang w:eastAsia="zh-CN"/>
              </w:rPr>
            </w:pPr>
          </w:p>
        </w:tc>
      </w:tr>
      <w:tr w14:paraId="391FD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0D03DEF6">
            <w:pPr>
              <w:overflowPunct w:val="0"/>
              <w:autoSpaceDE w:val="0"/>
              <w:autoSpaceDN w:val="0"/>
              <w:adjustRightInd w:val="0"/>
              <w:snapToGrid w:val="0"/>
              <w:jc w:val="center"/>
              <w:rPr>
                <w:rFonts w:eastAsia="宋体"/>
                <w:sz w:val="20"/>
                <w:szCs w:val="20"/>
              </w:rPr>
            </w:pPr>
            <w:r>
              <w:rPr>
                <w:sz w:val="20"/>
                <w:szCs w:val="20"/>
              </w:rPr>
              <w:t>Routine hematology + Ret, blood chemistry, coagulation test, and urinalysis</w:t>
            </w:r>
            <w:r>
              <w:rPr>
                <w:sz w:val="20"/>
                <w:szCs w:val="20"/>
                <w:vertAlign w:val="superscript"/>
              </w:rPr>
              <w:t>9</w:t>
            </w:r>
          </w:p>
        </w:tc>
        <w:tc>
          <w:tcPr>
            <w:tcW w:w="858" w:type="dxa"/>
            <w:shd w:val="clear" w:color="auto" w:fill="auto"/>
            <w:tcMar>
              <w:top w:w="28" w:type="dxa"/>
              <w:left w:w="57" w:type="dxa"/>
              <w:bottom w:w="28" w:type="dxa"/>
              <w:right w:w="57" w:type="dxa"/>
            </w:tcMar>
            <w:vAlign w:val="center"/>
          </w:tcPr>
          <w:p w14:paraId="688D4C92">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0FBF68A4">
            <w:pPr>
              <w:overflowPunct w:val="0"/>
              <w:autoSpaceDE w:val="0"/>
              <w:autoSpaceDN w:val="0"/>
              <w:adjustRightInd w:val="0"/>
              <w:snapToGrid w:val="0"/>
              <w:jc w:val="center"/>
              <w:rPr>
                <w:rFonts w:eastAsia="宋体"/>
                <w:sz w:val="20"/>
                <w:szCs w:val="20"/>
              </w:rPr>
            </w:pPr>
            <w:r>
              <w:rPr>
                <w:sz w:val="20"/>
                <w:szCs w:val="20"/>
              </w:rPr>
              <w:t>X</w:t>
            </w:r>
            <w:r>
              <w:rPr>
                <w:sz w:val="20"/>
                <w:szCs w:val="20"/>
                <w:vertAlign w:val="superscript"/>
              </w:rPr>
              <w:t>10</w:t>
            </w:r>
          </w:p>
        </w:tc>
        <w:tc>
          <w:tcPr>
            <w:tcW w:w="572" w:type="dxa"/>
            <w:shd w:val="clear" w:color="auto" w:fill="F1F1F1" w:themeFill="background1" w:themeFillShade="F2"/>
            <w:tcMar>
              <w:top w:w="28" w:type="dxa"/>
              <w:left w:w="57" w:type="dxa"/>
              <w:bottom w:w="28" w:type="dxa"/>
              <w:right w:w="57" w:type="dxa"/>
            </w:tcMar>
            <w:vAlign w:val="center"/>
          </w:tcPr>
          <w:p w14:paraId="3D1E08C3">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4442E89F">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55E2F60D">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7F0625D6">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29E69022">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0D3438E7">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2777B383">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362E67E8">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2D54F56A">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2F57BDF3">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541ECFF8">
            <w:pPr>
              <w:overflowPunct w:val="0"/>
              <w:autoSpaceDE w:val="0"/>
              <w:autoSpaceDN w:val="0"/>
              <w:adjustRightInd w:val="0"/>
              <w:snapToGrid w:val="0"/>
              <w:jc w:val="center"/>
              <w:rPr>
                <w:rFonts w:eastAsia="宋体"/>
                <w:sz w:val="20"/>
                <w:szCs w:val="20"/>
              </w:rPr>
            </w:pPr>
            <w:r>
              <w:rPr>
                <w:sz w:val="20"/>
                <w:szCs w:val="20"/>
              </w:rPr>
              <w:t>X</w:t>
            </w:r>
          </w:p>
        </w:tc>
        <w:tc>
          <w:tcPr>
            <w:tcW w:w="573" w:type="dxa"/>
            <w:tcMar>
              <w:top w:w="28" w:type="dxa"/>
              <w:left w:w="57" w:type="dxa"/>
              <w:bottom w:w="28" w:type="dxa"/>
              <w:right w:w="57" w:type="dxa"/>
            </w:tcMar>
            <w:vAlign w:val="center"/>
          </w:tcPr>
          <w:p w14:paraId="3D1D3BE1">
            <w:pPr>
              <w:overflowPunct w:val="0"/>
              <w:autoSpaceDE w:val="0"/>
              <w:autoSpaceDN w:val="0"/>
              <w:adjustRightInd w:val="0"/>
              <w:snapToGrid w:val="0"/>
              <w:jc w:val="center"/>
              <w:rPr>
                <w:rFonts w:eastAsia="宋体"/>
                <w:sz w:val="20"/>
                <w:szCs w:val="20"/>
                <w:lang w:eastAsia="zh-CN"/>
              </w:rPr>
            </w:pPr>
          </w:p>
        </w:tc>
        <w:tc>
          <w:tcPr>
            <w:tcW w:w="572" w:type="dxa"/>
            <w:tcMar>
              <w:top w:w="28" w:type="dxa"/>
              <w:left w:w="57" w:type="dxa"/>
              <w:bottom w:w="28" w:type="dxa"/>
              <w:right w:w="57" w:type="dxa"/>
            </w:tcMar>
            <w:vAlign w:val="center"/>
          </w:tcPr>
          <w:p w14:paraId="258EF7F6">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78CB6E4F">
            <w:pPr>
              <w:overflowPunct w:val="0"/>
              <w:autoSpaceDE w:val="0"/>
              <w:autoSpaceDN w:val="0"/>
              <w:adjustRightInd w:val="0"/>
              <w:snapToGrid w:val="0"/>
              <w:jc w:val="center"/>
              <w:rPr>
                <w:rFonts w:eastAsia="宋体"/>
                <w:sz w:val="20"/>
                <w:szCs w:val="20"/>
              </w:rPr>
            </w:pPr>
            <w:r>
              <w:rPr>
                <w:sz w:val="20"/>
                <w:szCs w:val="20"/>
              </w:rPr>
              <w:t>X</w:t>
            </w:r>
          </w:p>
        </w:tc>
        <w:tc>
          <w:tcPr>
            <w:tcW w:w="1616" w:type="dxa"/>
            <w:tcMar>
              <w:top w:w="28" w:type="dxa"/>
              <w:left w:w="57" w:type="dxa"/>
              <w:bottom w:w="28" w:type="dxa"/>
              <w:right w:w="57" w:type="dxa"/>
            </w:tcMar>
            <w:vAlign w:val="center"/>
          </w:tcPr>
          <w:p w14:paraId="2F53B3A7">
            <w:pPr>
              <w:overflowPunct w:val="0"/>
              <w:autoSpaceDE w:val="0"/>
              <w:autoSpaceDN w:val="0"/>
              <w:adjustRightInd w:val="0"/>
              <w:snapToGrid w:val="0"/>
              <w:jc w:val="center"/>
              <w:rPr>
                <w:rFonts w:eastAsia="宋体"/>
                <w:sz w:val="20"/>
                <w:szCs w:val="20"/>
              </w:rPr>
            </w:pPr>
            <w:r>
              <w:rPr>
                <w:sz w:val="20"/>
                <w:szCs w:val="20"/>
              </w:rPr>
              <w:t>X</w:t>
            </w:r>
          </w:p>
        </w:tc>
      </w:tr>
      <w:tr w14:paraId="1FA95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159453D6">
            <w:pPr>
              <w:overflowPunct w:val="0"/>
              <w:autoSpaceDE w:val="0"/>
              <w:autoSpaceDN w:val="0"/>
              <w:adjustRightInd w:val="0"/>
              <w:snapToGrid w:val="0"/>
              <w:jc w:val="center"/>
              <w:rPr>
                <w:rFonts w:eastAsia="宋体"/>
                <w:bCs/>
                <w:sz w:val="20"/>
                <w:szCs w:val="20"/>
              </w:rPr>
            </w:pPr>
            <w:r>
              <w:rPr>
                <w:sz w:val="20"/>
                <w:szCs w:val="20"/>
              </w:rPr>
              <w:t>Urine albumin-creatinine ratio (UACR)</w:t>
            </w:r>
          </w:p>
        </w:tc>
        <w:tc>
          <w:tcPr>
            <w:tcW w:w="858" w:type="dxa"/>
            <w:shd w:val="clear" w:color="auto" w:fill="auto"/>
            <w:tcMar>
              <w:top w:w="28" w:type="dxa"/>
              <w:left w:w="57" w:type="dxa"/>
              <w:bottom w:w="28" w:type="dxa"/>
              <w:right w:w="57" w:type="dxa"/>
            </w:tcMar>
            <w:vAlign w:val="center"/>
          </w:tcPr>
          <w:p w14:paraId="7660F38F">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006CA559">
            <w:pPr>
              <w:overflowPunct w:val="0"/>
              <w:autoSpaceDE w:val="0"/>
              <w:autoSpaceDN w:val="0"/>
              <w:adjustRightInd w:val="0"/>
              <w:snapToGrid w:val="0"/>
              <w:jc w:val="center"/>
              <w:rPr>
                <w:rFonts w:eastAsia="宋体"/>
                <w:sz w:val="20"/>
                <w:szCs w:val="20"/>
              </w:rPr>
            </w:pPr>
            <w:r>
              <w:rPr>
                <w:sz w:val="20"/>
                <w:szCs w:val="20"/>
              </w:rPr>
              <w:t>X</w:t>
            </w:r>
            <w:r>
              <w:rPr>
                <w:sz w:val="20"/>
                <w:szCs w:val="20"/>
                <w:vertAlign w:val="superscript"/>
              </w:rPr>
              <w:t>10</w:t>
            </w:r>
          </w:p>
        </w:tc>
        <w:tc>
          <w:tcPr>
            <w:tcW w:w="572" w:type="dxa"/>
            <w:shd w:val="clear" w:color="auto" w:fill="F1F1F1" w:themeFill="background1" w:themeFillShade="F2"/>
            <w:tcMar>
              <w:top w:w="28" w:type="dxa"/>
              <w:left w:w="57" w:type="dxa"/>
              <w:bottom w:w="28" w:type="dxa"/>
              <w:right w:w="57" w:type="dxa"/>
            </w:tcMar>
            <w:vAlign w:val="center"/>
          </w:tcPr>
          <w:p w14:paraId="630FE620">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73FC4C90">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31122E0B">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217D2E0B">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5A5C31DD">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1DF1CB45">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600FE3B1">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5C9EDE08">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55B8C5DA">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2C8B1A15">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6F7461F5">
            <w:pPr>
              <w:overflowPunct w:val="0"/>
              <w:autoSpaceDE w:val="0"/>
              <w:autoSpaceDN w:val="0"/>
              <w:adjustRightInd w:val="0"/>
              <w:snapToGrid w:val="0"/>
              <w:jc w:val="center"/>
              <w:rPr>
                <w:rFonts w:eastAsia="宋体"/>
                <w:sz w:val="20"/>
                <w:szCs w:val="20"/>
              </w:rPr>
            </w:pPr>
            <w:r>
              <w:rPr>
                <w:sz w:val="20"/>
                <w:szCs w:val="20"/>
              </w:rPr>
              <w:t>X</w:t>
            </w:r>
          </w:p>
        </w:tc>
        <w:tc>
          <w:tcPr>
            <w:tcW w:w="573" w:type="dxa"/>
            <w:tcMar>
              <w:top w:w="28" w:type="dxa"/>
              <w:left w:w="57" w:type="dxa"/>
              <w:bottom w:w="28" w:type="dxa"/>
              <w:right w:w="57" w:type="dxa"/>
            </w:tcMar>
            <w:vAlign w:val="center"/>
          </w:tcPr>
          <w:p w14:paraId="5EDED509">
            <w:pPr>
              <w:overflowPunct w:val="0"/>
              <w:autoSpaceDE w:val="0"/>
              <w:autoSpaceDN w:val="0"/>
              <w:adjustRightInd w:val="0"/>
              <w:snapToGrid w:val="0"/>
              <w:jc w:val="center"/>
              <w:rPr>
                <w:rFonts w:eastAsia="宋体"/>
                <w:sz w:val="20"/>
                <w:szCs w:val="20"/>
                <w:lang w:eastAsia="zh-CN"/>
              </w:rPr>
            </w:pPr>
          </w:p>
        </w:tc>
        <w:tc>
          <w:tcPr>
            <w:tcW w:w="572" w:type="dxa"/>
            <w:tcMar>
              <w:top w:w="28" w:type="dxa"/>
              <w:left w:w="57" w:type="dxa"/>
              <w:bottom w:w="28" w:type="dxa"/>
              <w:right w:w="57" w:type="dxa"/>
            </w:tcMar>
            <w:vAlign w:val="center"/>
          </w:tcPr>
          <w:p w14:paraId="259F9CCD">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774F38D7">
            <w:pPr>
              <w:overflowPunct w:val="0"/>
              <w:autoSpaceDE w:val="0"/>
              <w:autoSpaceDN w:val="0"/>
              <w:adjustRightInd w:val="0"/>
              <w:snapToGrid w:val="0"/>
              <w:jc w:val="center"/>
              <w:rPr>
                <w:rFonts w:eastAsia="宋体"/>
                <w:sz w:val="20"/>
                <w:szCs w:val="20"/>
              </w:rPr>
            </w:pPr>
            <w:r>
              <w:rPr>
                <w:sz w:val="20"/>
                <w:szCs w:val="20"/>
              </w:rPr>
              <w:t>X</w:t>
            </w:r>
          </w:p>
        </w:tc>
        <w:tc>
          <w:tcPr>
            <w:tcW w:w="1616" w:type="dxa"/>
            <w:tcMar>
              <w:top w:w="28" w:type="dxa"/>
              <w:left w:w="57" w:type="dxa"/>
              <w:bottom w:w="28" w:type="dxa"/>
              <w:right w:w="57" w:type="dxa"/>
            </w:tcMar>
            <w:vAlign w:val="center"/>
          </w:tcPr>
          <w:p w14:paraId="35447E2D">
            <w:pPr>
              <w:overflowPunct w:val="0"/>
              <w:autoSpaceDE w:val="0"/>
              <w:autoSpaceDN w:val="0"/>
              <w:adjustRightInd w:val="0"/>
              <w:snapToGrid w:val="0"/>
              <w:jc w:val="center"/>
              <w:rPr>
                <w:rFonts w:eastAsia="宋体"/>
                <w:sz w:val="20"/>
                <w:szCs w:val="20"/>
              </w:rPr>
            </w:pPr>
            <w:r>
              <w:rPr>
                <w:sz w:val="20"/>
                <w:szCs w:val="20"/>
              </w:rPr>
              <w:t>X</w:t>
            </w:r>
          </w:p>
        </w:tc>
      </w:tr>
      <w:tr w14:paraId="65281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3E97F43B">
            <w:pPr>
              <w:overflowPunct w:val="0"/>
              <w:autoSpaceDE w:val="0"/>
              <w:autoSpaceDN w:val="0"/>
              <w:adjustRightInd w:val="0"/>
              <w:snapToGrid w:val="0"/>
              <w:jc w:val="center"/>
              <w:rPr>
                <w:rFonts w:eastAsia="宋体"/>
                <w:sz w:val="20"/>
                <w:szCs w:val="20"/>
              </w:rPr>
            </w:pPr>
            <w:r>
              <w:rPr>
                <w:sz w:val="20"/>
                <w:szCs w:val="20"/>
              </w:rPr>
              <w:t>HbA1c</w:t>
            </w:r>
            <w:r>
              <w:rPr>
                <w:sz w:val="20"/>
                <w:szCs w:val="20"/>
                <w:vertAlign w:val="superscript"/>
              </w:rPr>
              <w:t>11</w:t>
            </w:r>
          </w:p>
        </w:tc>
        <w:tc>
          <w:tcPr>
            <w:tcW w:w="858" w:type="dxa"/>
            <w:shd w:val="clear" w:color="auto" w:fill="auto"/>
            <w:tcMar>
              <w:top w:w="28" w:type="dxa"/>
              <w:left w:w="57" w:type="dxa"/>
              <w:bottom w:w="28" w:type="dxa"/>
              <w:right w:w="57" w:type="dxa"/>
            </w:tcMar>
            <w:vAlign w:val="center"/>
          </w:tcPr>
          <w:p w14:paraId="66815DF6">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0BFEA11A">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42772A27">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7098ED7C">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35DBADA7">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47A1A008">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1E852DDF">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763D8B1E">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320EE633">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00A20660">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62DB4E2A">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1252916E">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04A1E4AF">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51CEB822">
            <w:pPr>
              <w:overflowPunct w:val="0"/>
              <w:autoSpaceDE w:val="0"/>
              <w:autoSpaceDN w:val="0"/>
              <w:adjustRightInd w:val="0"/>
              <w:snapToGrid w:val="0"/>
              <w:jc w:val="center"/>
              <w:rPr>
                <w:rFonts w:eastAsia="宋体"/>
                <w:sz w:val="20"/>
                <w:szCs w:val="20"/>
                <w:lang w:eastAsia="zh-CN"/>
              </w:rPr>
            </w:pPr>
          </w:p>
        </w:tc>
        <w:tc>
          <w:tcPr>
            <w:tcW w:w="572" w:type="dxa"/>
            <w:tcMar>
              <w:top w:w="28" w:type="dxa"/>
              <w:left w:w="57" w:type="dxa"/>
              <w:bottom w:w="28" w:type="dxa"/>
              <w:right w:w="57" w:type="dxa"/>
            </w:tcMar>
            <w:vAlign w:val="center"/>
          </w:tcPr>
          <w:p w14:paraId="027AD0CA">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3CA88018">
            <w:pPr>
              <w:overflowPunct w:val="0"/>
              <w:autoSpaceDE w:val="0"/>
              <w:autoSpaceDN w:val="0"/>
              <w:adjustRightInd w:val="0"/>
              <w:snapToGrid w:val="0"/>
              <w:jc w:val="center"/>
              <w:rPr>
                <w:rFonts w:eastAsia="宋体"/>
                <w:sz w:val="20"/>
                <w:szCs w:val="20"/>
              </w:rPr>
            </w:pPr>
            <w:r>
              <w:rPr>
                <w:sz w:val="20"/>
                <w:szCs w:val="20"/>
              </w:rPr>
              <w:t>X</w:t>
            </w:r>
          </w:p>
        </w:tc>
        <w:tc>
          <w:tcPr>
            <w:tcW w:w="1616" w:type="dxa"/>
            <w:tcMar>
              <w:top w:w="28" w:type="dxa"/>
              <w:left w:w="57" w:type="dxa"/>
              <w:bottom w:w="28" w:type="dxa"/>
              <w:right w:w="57" w:type="dxa"/>
            </w:tcMar>
            <w:vAlign w:val="center"/>
          </w:tcPr>
          <w:p w14:paraId="2746E0BB">
            <w:pPr>
              <w:overflowPunct w:val="0"/>
              <w:autoSpaceDE w:val="0"/>
              <w:autoSpaceDN w:val="0"/>
              <w:adjustRightInd w:val="0"/>
              <w:snapToGrid w:val="0"/>
              <w:jc w:val="center"/>
              <w:rPr>
                <w:rFonts w:eastAsia="宋体"/>
                <w:sz w:val="20"/>
                <w:szCs w:val="20"/>
              </w:rPr>
            </w:pPr>
            <w:r>
              <w:rPr>
                <w:sz w:val="20"/>
                <w:szCs w:val="20"/>
              </w:rPr>
              <w:t>X</w:t>
            </w:r>
          </w:p>
        </w:tc>
      </w:tr>
      <w:tr w14:paraId="418F0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1D2A7767">
            <w:pPr>
              <w:overflowPunct w:val="0"/>
              <w:autoSpaceDE w:val="0"/>
              <w:autoSpaceDN w:val="0"/>
              <w:adjustRightInd w:val="0"/>
              <w:snapToGrid w:val="0"/>
              <w:jc w:val="center"/>
              <w:rPr>
                <w:rFonts w:eastAsia="宋体"/>
                <w:sz w:val="20"/>
                <w:szCs w:val="20"/>
              </w:rPr>
            </w:pPr>
            <w:r>
              <w:rPr>
                <w:sz w:val="20"/>
                <w:szCs w:val="20"/>
              </w:rPr>
              <w:t>Verification against eligibility criteria</w:t>
            </w:r>
          </w:p>
        </w:tc>
        <w:tc>
          <w:tcPr>
            <w:tcW w:w="858" w:type="dxa"/>
            <w:shd w:val="clear" w:color="auto" w:fill="auto"/>
            <w:tcMar>
              <w:top w:w="28" w:type="dxa"/>
              <w:left w:w="57" w:type="dxa"/>
              <w:bottom w:w="28" w:type="dxa"/>
              <w:right w:w="57" w:type="dxa"/>
            </w:tcMar>
            <w:vAlign w:val="center"/>
          </w:tcPr>
          <w:p w14:paraId="01335DD3">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2AA30BFF">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4C0FECC9">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19FBB460">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68437E78">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0057B942">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406ACF86">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5CA82A83">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3A73BBDB">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04FA995A">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1CD9CE8A">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6AD54A7D">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13978CC2">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37FF9EF5">
            <w:pPr>
              <w:overflowPunct w:val="0"/>
              <w:autoSpaceDE w:val="0"/>
              <w:autoSpaceDN w:val="0"/>
              <w:adjustRightInd w:val="0"/>
              <w:snapToGrid w:val="0"/>
              <w:jc w:val="center"/>
              <w:rPr>
                <w:rFonts w:eastAsia="宋体"/>
                <w:sz w:val="20"/>
                <w:szCs w:val="20"/>
                <w:lang w:eastAsia="zh-CN"/>
              </w:rPr>
            </w:pPr>
          </w:p>
        </w:tc>
        <w:tc>
          <w:tcPr>
            <w:tcW w:w="572" w:type="dxa"/>
            <w:tcMar>
              <w:top w:w="28" w:type="dxa"/>
              <w:left w:w="57" w:type="dxa"/>
              <w:bottom w:w="28" w:type="dxa"/>
              <w:right w:w="57" w:type="dxa"/>
            </w:tcMar>
            <w:vAlign w:val="center"/>
          </w:tcPr>
          <w:p w14:paraId="6481E47C">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66274DD3">
            <w:pPr>
              <w:overflowPunct w:val="0"/>
              <w:autoSpaceDE w:val="0"/>
              <w:autoSpaceDN w:val="0"/>
              <w:adjustRightInd w:val="0"/>
              <w:snapToGrid w:val="0"/>
              <w:jc w:val="center"/>
              <w:rPr>
                <w:rFonts w:eastAsia="宋体"/>
                <w:sz w:val="20"/>
                <w:szCs w:val="20"/>
                <w:lang w:eastAsia="zh-CN"/>
              </w:rPr>
            </w:pPr>
          </w:p>
        </w:tc>
        <w:tc>
          <w:tcPr>
            <w:tcW w:w="1616" w:type="dxa"/>
            <w:tcMar>
              <w:top w:w="28" w:type="dxa"/>
              <w:left w:w="57" w:type="dxa"/>
              <w:bottom w:w="28" w:type="dxa"/>
              <w:right w:w="57" w:type="dxa"/>
            </w:tcMar>
            <w:vAlign w:val="center"/>
          </w:tcPr>
          <w:p w14:paraId="0CE17D42">
            <w:pPr>
              <w:overflowPunct w:val="0"/>
              <w:autoSpaceDE w:val="0"/>
              <w:autoSpaceDN w:val="0"/>
              <w:adjustRightInd w:val="0"/>
              <w:snapToGrid w:val="0"/>
              <w:jc w:val="center"/>
              <w:rPr>
                <w:rFonts w:eastAsia="宋体"/>
                <w:sz w:val="20"/>
                <w:szCs w:val="20"/>
                <w:lang w:eastAsia="zh-CN"/>
              </w:rPr>
            </w:pPr>
          </w:p>
        </w:tc>
      </w:tr>
      <w:tr w14:paraId="64879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27D19FA4">
            <w:pPr>
              <w:overflowPunct w:val="0"/>
              <w:autoSpaceDE w:val="0"/>
              <w:autoSpaceDN w:val="0"/>
              <w:adjustRightInd w:val="0"/>
              <w:snapToGrid w:val="0"/>
              <w:jc w:val="center"/>
              <w:rPr>
                <w:rFonts w:eastAsia="宋体"/>
                <w:sz w:val="20"/>
                <w:szCs w:val="20"/>
              </w:rPr>
            </w:pPr>
            <w:r>
              <w:rPr>
                <w:sz w:val="20"/>
                <w:szCs w:val="20"/>
              </w:rPr>
              <w:t>Randomization</w:t>
            </w:r>
          </w:p>
        </w:tc>
        <w:tc>
          <w:tcPr>
            <w:tcW w:w="858" w:type="dxa"/>
            <w:shd w:val="clear" w:color="auto" w:fill="auto"/>
            <w:tcMar>
              <w:top w:w="28" w:type="dxa"/>
              <w:left w:w="57" w:type="dxa"/>
              <w:bottom w:w="28" w:type="dxa"/>
              <w:right w:w="57" w:type="dxa"/>
            </w:tcMar>
            <w:vAlign w:val="center"/>
          </w:tcPr>
          <w:p w14:paraId="2FE612E6">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286FBD80">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61C596F6">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743D55CC">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70116BAB">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675C6300">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5E4ED5C8">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116C513F">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03758D78">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4FC0F52E">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388AD594">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41306FDF">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7A40A76F">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1D643CF8">
            <w:pPr>
              <w:overflowPunct w:val="0"/>
              <w:autoSpaceDE w:val="0"/>
              <w:autoSpaceDN w:val="0"/>
              <w:adjustRightInd w:val="0"/>
              <w:snapToGrid w:val="0"/>
              <w:jc w:val="center"/>
              <w:rPr>
                <w:rFonts w:eastAsia="宋体"/>
                <w:sz w:val="20"/>
                <w:szCs w:val="20"/>
                <w:lang w:eastAsia="zh-CN"/>
              </w:rPr>
            </w:pPr>
          </w:p>
        </w:tc>
        <w:tc>
          <w:tcPr>
            <w:tcW w:w="572" w:type="dxa"/>
            <w:tcMar>
              <w:top w:w="28" w:type="dxa"/>
              <w:left w:w="57" w:type="dxa"/>
              <w:bottom w:w="28" w:type="dxa"/>
              <w:right w:w="57" w:type="dxa"/>
            </w:tcMar>
            <w:vAlign w:val="center"/>
          </w:tcPr>
          <w:p w14:paraId="2983C273">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3EC76CC6">
            <w:pPr>
              <w:overflowPunct w:val="0"/>
              <w:autoSpaceDE w:val="0"/>
              <w:autoSpaceDN w:val="0"/>
              <w:adjustRightInd w:val="0"/>
              <w:snapToGrid w:val="0"/>
              <w:jc w:val="center"/>
              <w:rPr>
                <w:rFonts w:eastAsia="宋体"/>
                <w:sz w:val="20"/>
                <w:szCs w:val="20"/>
                <w:lang w:eastAsia="zh-CN"/>
              </w:rPr>
            </w:pPr>
          </w:p>
        </w:tc>
        <w:tc>
          <w:tcPr>
            <w:tcW w:w="1616" w:type="dxa"/>
            <w:tcMar>
              <w:top w:w="28" w:type="dxa"/>
              <w:left w:w="57" w:type="dxa"/>
              <w:bottom w:w="28" w:type="dxa"/>
              <w:right w:w="57" w:type="dxa"/>
            </w:tcMar>
            <w:vAlign w:val="center"/>
          </w:tcPr>
          <w:p w14:paraId="03A4CE36">
            <w:pPr>
              <w:overflowPunct w:val="0"/>
              <w:autoSpaceDE w:val="0"/>
              <w:autoSpaceDN w:val="0"/>
              <w:adjustRightInd w:val="0"/>
              <w:snapToGrid w:val="0"/>
              <w:jc w:val="center"/>
              <w:rPr>
                <w:rFonts w:eastAsia="宋体"/>
                <w:sz w:val="20"/>
                <w:szCs w:val="20"/>
                <w:lang w:eastAsia="zh-CN"/>
              </w:rPr>
            </w:pPr>
          </w:p>
        </w:tc>
      </w:tr>
      <w:tr w14:paraId="0CE7B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41E2CB66">
            <w:pPr>
              <w:overflowPunct w:val="0"/>
              <w:autoSpaceDE w:val="0"/>
              <w:autoSpaceDN w:val="0"/>
              <w:adjustRightInd w:val="0"/>
              <w:snapToGrid w:val="0"/>
              <w:jc w:val="center"/>
              <w:rPr>
                <w:rFonts w:eastAsia="宋体"/>
                <w:b/>
                <w:bCs/>
                <w:sz w:val="20"/>
                <w:szCs w:val="20"/>
              </w:rPr>
            </w:pPr>
            <w:r>
              <w:rPr>
                <w:sz w:val="20"/>
                <w:szCs w:val="20"/>
              </w:rPr>
              <w:t>RAY1225 PK sample collection</w:t>
            </w:r>
            <w:r>
              <w:rPr>
                <w:sz w:val="20"/>
                <w:szCs w:val="20"/>
                <w:vertAlign w:val="superscript"/>
              </w:rPr>
              <w:t>12</w:t>
            </w:r>
          </w:p>
        </w:tc>
        <w:tc>
          <w:tcPr>
            <w:tcW w:w="858" w:type="dxa"/>
            <w:shd w:val="clear" w:color="auto" w:fill="auto"/>
            <w:tcMar>
              <w:top w:w="28" w:type="dxa"/>
              <w:left w:w="57" w:type="dxa"/>
              <w:bottom w:w="28" w:type="dxa"/>
              <w:right w:w="57" w:type="dxa"/>
            </w:tcMar>
            <w:vAlign w:val="center"/>
          </w:tcPr>
          <w:p w14:paraId="34A1EE1C">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43386AC9">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666566DA">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5B279E1F">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19E9FECE">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40E0DBC2">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0D5B80CA">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0A687AA9">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65365E7D">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71D3CAFB">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651EFCC3">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70D3AF29">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03F3AE6F">
            <w:pPr>
              <w:overflowPunct w:val="0"/>
              <w:autoSpaceDE w:val="0"/>
              <w:autoSpaceDN w:val="0"/>
              <w:adjustRightInd w:val="0"/>
              <w:snapToGrid w:val="0"/>
              <w:jc w:val="center"/>
              <w:rPr>
                <w:rFonts w:eastAsia="宋体"/>
                <w:sz w:val="20"/>
                <w:szCs w:val="20"/>
              </w:rPr>
            </w:pPr>
            <w:r>
              <w:rPr>
                <w:sz w:val="20"/>
                <w:szCs w:val="20"/>
              </w:rPr>
              <w:t>X</w:t>
            </w:r>
          </w:p>
        </w:tc>
        <w:tc>
          <w:tcPr>
            <w:tcW w:w="573" w:type="dxa"/>
            <w:tcMar>
              <w:top w:w="28" w:type="dxa"/>
              <w:left w:w="57" w:type="dxa"/>
              <w:bottom w:w="28" w:type="dxa"/>
              <w:right w:w="57" w:type="dxa"/>
            </w:tcMar>
            <w:vAlign w:val="center"/>
          </w:tcPr>
          <w:p w14:paraId="36779996">
            <w:pPr>
              <w:overflowPunct w:val="0"/>
              <w:autoSpaceDE w:val="0"/>
              <w:autoSpaceDN w:val="0"/>
              <w:adjustRightInd w:val="0"/>
              <w:snapToGrid w:val="0"/>
              <w:jc w:val="center"/>
              <w:rPr>
                <w:rFonts w:eastAsia="宋体"/>
                <w:sz w:val="20"/>
                <w:szCs w:val="20"/>
              </w:rPr>
            </w:pPr>
            <w:r>
              <w:rPr>
                <w:sz w:val="20"/>
                <w:szCs w:val="20"/>
              </w:rPr>
              <w:t>X*</w:t>
            </w:r>
          </w:p>
        </w:tc>
        <w:tc>
          <w:tcPr>
            <w:tcW w:w="572" w:type="dxa"/>
            <w:tcMar>
              <w:top w:w="28" w:type="dxa"/>
              <w:left w:w="57" w:type="dxa"/>
              <w:bottom w:w="28" w:type="dxa"/>
              <w:right w:w="57" w:type="dxa"/>
            </w:tcMar>
            <w:vAlign w:val="center"/>
          </w:tcPr>
          <w:p w14:paraId="254BF15A">
            <w:pPr>
              <w:overflowPunct w:val="0"/>
              <w:autoSpaceDE w:val="0"/>
              <w:autoSpaceDN w:val="0"/>
              <w:adjustRightInd w:val="0"/>
              <w:snapToGrid w:val="0"/>
              <w:jc w:val="center"/>
              <w:rPr>
                <w:rFonts w:eastAsia="宋体"/>
                <w:sz w:val="20"/>
                <w:szCs w:val="20"/>
              </w:rPr>
            </w:pPr>
            <w:r>
              <w:rPr>
                <w:sz w:val="20"/>
                <w:szCs w:val="20"/>
              </w:rPr>
              <w:t>X*</w:t>
            </w:r>
          </w:p>
        </w:tc>
        <w:tc>
          <w:tcPr>
            <w:tcW w:w="573" w:type="dxa"/>
            <w:tcMar>
              <w:top w:w="28" w:type="dxa"/>
              <w:left w:w="57" w:type="dxa"/>
              <w:bottom w:w="28" w:type="dxa"/>
              <w:right w:w="57" w:type="dxa"/>
            </w:tcMar>
            <w:vAlign w:val="center"/>
          </w:tcPr>
          <w:p w14:paraId="6D76C5B6">
            <w:pPr>
              <w:overflowPunct w:val="0"/>
              <w:autoSpaceDE w:val="0"/>
              <w:autoSpaceDN w:val="0"/>
              <w:adjustRightInd w:val="0"/>
              <w:snapToGrid w:val="0"/>
              <w:jc w:val="center"/>
              <w:rPr>
                <w:rFonts w:eastAsia="宋体"/>
                <w:sz w:val="20"/>
                <w:szCs w:val="20"/>
              </w:rPr>
            </w:pPr>
            <w:r>
              <w:rPr>
                <w:sz w:val="20"/>
                <w:szCs w:val="20"/>
              </w:rPr>
              <w:t>X</w:t>
            </w:r>
          </w:p>
        </w:tc>
        <w:tc>
          <w:tcPr>
            <w:tcW w:w="1616" w:type="dxa"/>
            <w:tcMar>
              <w:top w:w="28" w:type="dxa"/>
              <w:left w:w="57" w:type="dxa"/>
              <w:bottom w:w="28" w:type="dxa"/>
              <w:right w:w="57" w:type="dxa"/>
            </w:tcMar>
            <w:vAlign w:val="center"/>
          </w:tcPr>
          <w:p w14:paraId="008BC3EB">
            <w:pPr>
              <w:overflowPunct w:val="0"/>
              <w:autoSpaceDE w:val="0"/>
              <w:autoSpaceDN w:val="0"/>
              <w:adjustRightInd w:val="0"/>
              <w:snapToGrid w:val="0"/>
              <w:jc w:val="center"/>
              <w:rPr>
                <w:rFonts w:eastAsia="宋体"/>
                <w:sz w:val="20"/>
                <w:szCs w:val="20"/>
              </w:rPr>
            </w:pPr>
            <w:r>
              <w:rPr>
                <w:sz w:val="20"/>
                <w:szCs w:val="20"/>
              </w:rPr>
              <w:t>X</w:t>
            </w:r>
          </w:p>
        </w:tc>
      </w:tr>
      <w:tr w14:paraId="1C03A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30890494">
            <w:pPr>
              <w:overflowPunct w:val="0"/>
              <w:autoSpaceDE w:val="0"/>
              <w:autoSpaceDN w:val="0"/>
              <w:adjustRightInd w:val="0"/>
              <w:snapToGrid w:val="0"/>
              <w:jc w:val="center"/>
              <w:rPr>
                <w:rFonts w:eastAsia="宋体"/>
                <w:sz w:val="20"/>
                <w:szCs w:val="20"/>
              </w:rPr>
            </w:pPr>
            <w:r>
              <w:rPr>
                <w:sz w:val="20"/>
                <w:szCs w:val="20"/>
              </w:rPr>
              <w:t>Immunogenicity test</w:t>
            </w:r>
            <w:r>
              <w:rPr>
                <w:sz w:val="20"/>
                <w:szCs w:val="20"/>
                <w:vertAlign w:val="superscript"/>
              </w:rPr>
              <w:t>13</w:t>
            </w:r>
          </w:p>
        </w:tc>
        <w:tc>
          <w:tcPr>
            <w:tcW w:w="858" w:type="dxa"/>
            <w:shd w:val="clear" w:color="auto" w:fill="auto"/>
            <w:tcMar>
              <w:top w:w="28" w:type="dxa"/>
              <w:left w:w="57" w:type="dxa"/>
              <w:bottom w:w="28" w:type="dxa"/>
              <w:right w:w="57" w:type="dxa"/>
            </w:tcMar>
            <w:vAlign w:val="center"/>
          </w:tcPr>
          <w:p w14:paraId="13816731">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66606E38">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1C71515F">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424B5E69">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6071C520">
            <w:pPr>
              <w:overflowPunct w:val="0"/>
              <w:autoSpaceDE w:val="0"/>
              <w:autoSpaceDN w:val="0"/>
              <w:adjustRightInd w:val="0"/>
              <w:snapToGrid w:val="0"/>
              <w:jc w:val="center"/>
              <w:rPr>
                <w:rFonts w:eastAsia="宋体"/>
                <w:sz w:val="20"/>
                <w:szCs w:val="20"/>
                <w:lang w:eastAsia="zh-CN"/>
              </w:rPr>
            </w:pPr>
          </w:p>
        </w:tc>
        <w:tc>
          <w:tcPr>
            <w:tcW w:w="573" w:type="dxa"/>
            <w:shd w:val="clear" w:color="auto" w:fill="F1F1F1" w:themeFill="background1" w:themeFillShade="F2"/>
            <w:tcMar>
              <w:top w:w="28" w:type="dxa"/>
              <w:left w:w="57" w:type="dxa"/>
              <w:bottom w:w="28" w:type="dxa"/>
              <w:right w:w="57" w:type="dxa"/>
            </w:tcMar>
            <w:vAlign w:val="center"/>
          </w:tcPr>
          <w:p w14:paraId="07A43472">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417CA865">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66550042">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65F7CE73">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6EB7EFE2">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217AB6B3">
            <w:pPr>
              <w:overflowPunct w:val="0"/>
              <w:autoSpaceDE w:val="0"/>
              <w:autoSpaceDN w:val="0"/>
              <w:adjustRightInd w:val="0"/>
              <w:snapToGrid w:val="0"/>
              <w:jc w:val="center"/>
              <w:rPr>
                <w:rFonts w:eastAsia="宋体"/>
                <w:sz w:val="20"/>
                <w:szCs w:val="20"/>
                <w:lang w:eastAsia="zh-CN"/>
              </w:rPr>
            </w:pPr>
          </w:p>
        </w:tc>
        <w:tc>
          <w:tcPr>
            <w:tcW w:w="573" w:type="dxa"/>
            <w:shd w:val="clear" w:color="auto" w:fill="F2F2F2" w:themeFill="background2" w:themeFillTint="33"/>
            <w:tcMar>
              <w:top w:w="28" w:type="dxa"/>
              <w:left w:w="57" w:type="dxa"/>
              <w:bottom w:w="28" w:type="dxa"/>
              <w:right w:w="57" w:type="dxa"/>
            </w:tcMar>
            <w:vAlign w:val="center"/>
          </w:tcPr>
          <w:p w14:paraId="7BBFC5C5">
            <w:pPr>
              <w:overflowPunct w:val="0"/>
              <w:autoSpaceDE w:val="0"/>
              <w:autoSpaceDN w:val="0"/>
              <w:adjustRightInd w:val="0"/>
              <w:snapToGrid w:val="0"/>
              <w:jc w:val="center"/>
              <w:rPr>
                <w:rFonts w:eastAsia="宋体"/>
                <w:sz w:val="20"/>
                <w:szCs w:val="20"/>
                <w:lang w:eastAsia="zh-CN"/>
              </w:rPr>
            </w:pPr>
          </w:p>
        </w:tc>
        <w:tc>
          <w:tcPr>
            <w:tcW w:w="572" w:type="dxa"/>
            <w:shd w:val="clear" w:color="auto" w:fill="F2F2F2" w:themeFill="background2" w:themeFillTint="33"/>
            <w:tcMar>
              <w:top w:w="28" w:type="dxa"/>
              <w:left w:w="57" w:type="dxa"/>
              <w:bottom w:w="28" w:type="dxa"/>
              <w:right w:w="57" w:type="dxa"/>
            </w:tcMar>
            <w:vAlign w:val="center"/>
          </w:tcPr>
          <w:p w14:paraId="0713011E">
            <w:pPr>
              <w:overflowPunct w:val="0"/>
              <w:autoSpaceDE w:val="0"/>
              <w:autoSpaceDN w:val="0"/>
              <w:adjustRightInd w:val="0"/>
              <w:snapToGrid w:val="0"/>
              <w:jc w:val="center"/>
              <w:rPr>
                <w:rFonts w:eastAsia="宋体"/>
                <w:sz w:val="20"/>
                <w:szCs w:val="20"/>
              </w:rPr>
            </w:pPr>
            <w:r>
              <w:rPr>
                <w:sz w:val="20"/>
                <w:szCs w:val="20"/>
              </w:rPr>
              <w:t>X</w:t>
            </w:r>
          </w:p>
        </w:tc>
        <w:tc>
          <w:tcPr>
            <w:tcW w:w="573" w:type="dxa"/>
            <w:tcMar>
              <w:top w:w="28" w:type="dxa"/>
              <w:left w:w="57" w:type="dxa"/>
              <w:bottom w:w="28" w:type="dxa"/>
              <w:right w:w="57" w:type="dxa"/>
            </w:tcMar>
            <w:vAlign w:val="center"/>
          </w:tcPr>
          <w:p w14:paraId="7F1E9AC2">
            <w:pPr>
              <w:overflowPunct w:val="0"/>
              <w:autoSpaceDE w:val="0"/>
              <w:autoSpaceDN w:val="0"/>
              <w:adjustRightInd w:val="0"/>
              <w:snapToGrid w:val="0"/>
              <w:jc w:val="center"/>
              <w:rPr>
                <w:rFonts w:eastAsia="宋体"/>
                <w:sz w:val="20"/>
                <w:szCs w:val="20"/>
                <w:lang w:eastAsia="zh-CN"/>
              </w:rPr>
            </w:pPr>
          </w:p>
        </w:tc>
        <w:tc>
          <w:tcPr>
            <w:tcW w:w="572" w:type="dxa"/>
            <w:tcMar>
              <w:top w:w="28" w:type="dxa"/>
              <w:left w:w="57" w:type="dxa"/>
              <w:bottom w:w="28" w:type="dxa"/>
              <w:right w:w="57" w:type="dxa"/>
            </w:tcMar>
            <w:vAlign w:val="center"/>
          </w:tcPr>
          <w:p w14:paraId="542413E3">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071BDEC9">
            <w:pPr>
              <w:overflowPunct w:val="0"/>
              <w:autoSpaceDE w:val="0"/>
              <w:autoSpaceDN w:val="0"/>
              <w:adjustRightInd w:val="0"/>
              <w:snapToGrid w:val="0"/>
              <w:jc w:val="center"/>
              <w:rPr>
                <w:rFonts w:eastAsia="宋体"/>
                <w:sz w:val="20"/>
                <w:szCs w:val="20"/>
                <w:lang w:eastAsia="zh-CN"/>
              </w:rPr>
            </w:pPr>
          </w:p>
        </w:tc>
        <w:tc>
          <w:tcPr>
            <w:tcW w:w="1616" w:type="dxa"/>
            <w:tcMar>
              <w:top w:w="28" w:type="dxa"/>
              <w:left w:w="57" w:type="dxa"/>
              <w:bottom w:w="28" w:type="dxa"/>
              <w:right w:w="57" w:type="dxa"/>
            </w:tcMar>
            <w:vAlign w:val="center"/>
          </w:tcPr>
          <w:p w14:paraId="533E6709">
            <w:pPr>
              <w:overflowPunct w:val="0"/>
              <w:autoSpaceDE w:val="0"/>
              <w:autoSpaceDN w:val="0"/>
              <w:adjustRightInd w:val="0"/>
              <w:snapToGrid w:val="0"/>
              <w:jc w:val="center"/>
              <w:rPr>
                <w:rFonts w:eastAsia="宋体"/>
                <w:sz w:val="20"/>
                <w:szCs w:val="20"/>
              </w:rPr>
            </w:pPr>
            <w:r>
              <w:rPr>
                <w:sz w:val="20"/>
                <w:szCs w:val="20"/>
              </w:rPr>
              <w:t>X</w:t>
            </w:r>
          </w:p>
        </w:tc>
      </w:tr>
      <w:tr w14:paraId="6341D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54818B10">
            <w:pPr>
              <w:overflowPunct w:val="0"/>
              <w:autoSpaceDE w:val="0"/>
              <w:autoSpaceDN w:val="0"/>
              <w:adjustRightInd w:val="0"/>
              <w:snapToGrid w:val="0"/>
              <w:jc w:val="center"/>
              <w:rPr>
                <w:rFonts w:eastAsia="宋体"/>
                <w:sz w:val="20"/>
                <w:szCs w:val="20"/>
              </w:rPr>
            </w:pPr>
            <w:r>
              <w:rPr>
                <w:sz w:val="20"/>
                <w:szCs w:val="20"/>
              </w:rPr>
              <w:t>Assessment of injection site reaction</w:t>
            </w:r>
          </w:p>
        </w:tc>
        <w:tc>
          <w:tcPr>
            <w:tcW w:w="858" w:type="dxa"/>
            <w:shd w:val="clear" w:color="auto" w:fill="auto"/>
            <w:tcMar>
              <w:top w:w="28" w:type="dxa"/>
              <w:left w:w="57" w:type="dxa"/>
              <w:bottom w:w="28" w:type="dxa"/>
              <w:right w:w="57" w:type="dxa"/>
            </w:tcMar>
            <w:vAlign w:val="center"/>
          </w:tcPr>
          <w:p w14:paraId="08C0CED7">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67CBC267">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0EEDE162">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56EC18A9">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3A7ADDBE">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16998D67">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1BD277EB">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744F417E">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1F9077C9">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04501AFD">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1027FB88">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68E95CE8">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5B9E1B94">
            <w:pPr>
              <w:overflowPunct w:val="0"/>
              <w:autoSpaceDE w:val="0"/>
              <w:autoSpaceDN w:val="0"/>
              <w:adjustRightInd w:val="0"/>
              <w:snapToGrid w:val="0"/>
              <w:jc w:val="center"/>
              <w:rPr>
                <w:rFonts w:eastAsia="宋体"/>
                <w:sz w:val="20"/>
                <w:szCs w:val="20"/>
              </w:rPr>
            </w:pPr>
            <w:r>
              <w:rPr>
                <w:sz w:val="20"/>
                <w:szCs w:val="20"/>
              </w:rPr>
              <w:t>X</w:t>
            </w:r>
          </w:p>
        </w:tc>
        <w:tc>
          <w:tcPr>
            <w:tcW w:w="573" w:type="dxa"/>
            <w:tcMar>
              <w:top w:w="28" w:type="dxa"/>
              <w:left w:w="57" w:type="dxa"/>
              <w:bottom w:w="28" w:type="dxa"/>
              <w:right w:w="57" w:type="dxa"/>
            </w:tcMar>
            <w:vAlign w:val="center"/>
          </w:tcPr>
          <w:p w14:paraId="5B94DACD">
            <w:pPr>
              <w:overflowPunct w:val="0"/>
              <w:autoSpaceDE w:val="0"/>
              <w:autoSpaceDN w:val="0"/>
              <w:adjustRightInd w:val="0"/>
              <w:snapToGrid w:val="0"/>
              <w:jc w:val="center"/>
              <w:rPr>
                <w:rFonts w:eastAsia="宋体"/>
                <w:sz w:val="20"/>
                <w:szCs w:val="20"/>
                <w:lang w:eastAsia="zh-CN"/>
              </w:rPr>
            </w:pPr>
          </w:p>
        </w:tc>
        <w:tc>
          <w:tcPr>
            <w:tcW w:w="572" w:type="dxa"/>
            <w:tcMar>
              <w:top w:w="28" w:type="dxa"/>
              <w:left w:w="57" w:type="dxa"/>
              <w:bottom w:w="28" w:type="dxa"/>
              <w:right w:w="57" w:type="dxa"/>
            </w:tcMar>
            <w:vAlign w:val="center"/>
          </w:tcPr>
          <w:p w14:paraId="789AC2BC">
            <w:pPr>
              <w:overflowPunct w:val="0"/>
              <w:autoSpaceDE w:val="0"/>
              <w:autoSpaceDN w:val="0"/>
              <w:adjustRightInd w:val="0"/>
              <w:snapToGrid w:val="0"/>
              <w:jc w:val="center"/>
              <w:rPr>
                <w:rFonts w:eastAsia="宋体"/>
                <w:sz w:val="20"/>
                <w:szCs w:val="20"/>
                <w:lang w:eastAsia="zh-CN"/>
              </w:rPr>
            </w:pPr>
          </w:p>
        </w:tc>
        <w:tc>
          <w:tcPr>
            <w:tcW w:w="573" w:type="dxa"/>
            <w:tcMar>
              <w:top w:w="28" w:type="dxa"/>
              <w:left w:w="57" w:type="dxa"/>
              <w:bottom w:w="28" w:type="dxa"/>
              <w:right w:w="57" w:type="dxa"/>
            </w:tcMar>
            <w:vAlign w:val="center"/>
          </w:tcPr>
          <w:p w14:paraId="642DA573">
            <w:pPr>
              <w:overflowPunct w:val="0"/>
              <w:autoSpaceDE w:val="0"/>
              <w:autoSpaceDN w:val="0"/>
              <w:adjustRightInd w:val="0"/>
              <w:snapToGrid w:val="0"/>
              <w:jc w:val="center"/>
              <w:rPr>
                <w:rFonts w:eastAsia="宋体"/>
                <w:sz w:val="20"/>
                <w:szCs w:val="20"/>
                <w:lang w:eastAsia="zh-CN"/>
              </w:rPr>
            </w:pPr>
          </w:p>
        </w:tc>
        <w:tc>
          <w:tcPr>
            <w:tcW w:w="1616" w:type="dxa"/>
            <w:tcMar>
              <w:top w:w="28" w:type="dxa"/>
              <w:left w:w="57" w:type="dxa"/>
              <w:bottom w:w="28" w:type="dxa"/>
              <w:right w:w="57" w:type="dxa"/>
            </w:tcMar>
            <w:vAlign w:val="center"/>
          </w:tcPr>
          <w:p w14:paraId="4631100F">
            <w:pPr>
              <w:overflowPunct w:val="0"/>
              <w:autoSpaceDE w:val="0"/>
              <w:autoSpaceDN w:val="0"/>
              <w:adjustRightInd w:val="0"/>
              <w:snapToGrid w:val="0"/>
              <w:jc w:val="center"/>
              <w:rPr>
                <w:rFonts w:eastAsia="宋体"/>
                <w:sz w:val="20"/>
                <w:szCs w:val="20"/>
                <w:lang w:eastAsia="zh-CN"/>
              </w:rPr>
            </w:pPr>
          </w:p>
        </w:tc>
      </w:tr>
      <w:tr w14:paraId="053AC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35" w:type="dxa"/>
            <w:shd w:val="clear" w:color="auto" w:fill="auto"/>
            <w:tcMar>
              <w:top w:w="28" w:type="dxa"/>
              <w:left w:w="57" w:type="dxa"/>
              <w:bottom w:w="28" w:type="dxa"/>
              <w:right w:w="57" w:type="dxa"/>
            </w:tcMar>
            <w:vAlign w:val="center"/>
          </w:tcPr>
          <w:p w14:paraId="70BF8326">
            <w:pPr>
              <w:overflowPunct w:val="0"/>
              <w:autoSpaceDE w:val="0"/>
              <w:autoSpaceDN w:val="0"/>
              <w:adjustRightInd w:val="0"/>
              <w:snapToGrid w:val="0"/>
              <w:jc w:val="center"/>
              <w:rPr>
                <w:rFonts w:eastAsia="宋体"/>
                <w:sz w:val="20"/>
                <w:szCs w:val="20"/>
              </w:rPr>
            </w:pPr>
            <w:r>
              <w:rPr>
                <w:sz w:val="20"/>
                <w:szCs w:val="20"/>
              </w:rPr>
              <w:t>Distribution of diary card</w:t>
            </w:r>
          </w:p>
        </w:tc>
        <w:tc>
          <w:tcPr>
            <w:tcW w:w="858" w:type="dxa"/>
            <w:shd w:val="clear" w:color="auto" w:fill="auto"/>
            <w:tcMar>
              <w:top w:w="28" w:type="dxa"/>
              <w:left w:w="57" w:type="dxa"/>
              <w:bottom w:w="28" w:type="dxa"/>
              <w:right w:w="57" w:type="dxa"/>
            </w:tcMar>
            <w:vAlign w:val="center"/>
          </w:tcPr>
          <w:p w14:paraId="7E17463B">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5DEE4855">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1959CB4F">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24D954CA">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4096A0F9">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6DAA5742">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3AE260E9">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19AC8DB5">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0BC5220A">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24B77F79">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2EA21462">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1AF4BBC3">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39D3D83F">
            <w:pPr>
              <w:overflowPunct w:val="0"/>
              <w:autoSpaceDE w:val="0"/>
              <w:autoSpaceDN w:val="0"/>
              <w:adjustRightInd w:val="0"/>
              <w:snapToGrid w:val="0"/>
              <w:jc w:val="center"/>
              <w:rPr>
                <w:rFonts w:eastAsia="宋体"/>
                <w:sz w:val="20"/>
                <w:szCs w:val="20"/>
              </w:rPr>
            </w:pPr>
            <w:r>
              <w:rPr>
                <w:sz w:val="20"/>
                <w:szCs w:val="20"/>
              </w:rPr>
              <w:t>X</w:t>
            </w:r>
          </w:p>
        </w:tc>
        <w:tc>
          <w:tcPr>
            <w:tcW w:w="573" w:type="dxa"/>
            <w:tcMar>
              <w:top w:w="28" w:type="dxa"/>
              <w:left w:w="57" w:type="dxa"/>
              <w:bottom w:w="28" w:type="dxa"/>
              <w:right w:w="57" w:type="dxa"/>
            </w:tcMar>
            <w:vAlign w:val="center"/>
          </w:tcPr>
          <w:p w14:paraId="0F1BA967">
            <w:pPr>
              <w:overflowPunct w:val="0"/>
              <w:autoSpaceDE w:val="0"/>
              <w:autoSpaceDN w:val="0"/>
              <w:adjustRightInd w:val="0"/>
              <w:snapToGrid w:val="0"/>
              <w:jc w:val="center"/>
              <w:rPr>
                <w:rFonts w:eastAsia="宋体"/>
                <w:sz w:val="20"/>
                <w:szCs w:val="20"/>
              </w:rPr>
            </w:pPr>
          </w:p>
        </w:tc>
        <w:tc>
          <w:tcPr>
            <w:tcW w:w="572" w:type="dxa"/>
            <w:tcMar>
              <w:top w:w="28" w:type="dxa"/>
              <w:left w:w="57" w:type="dxa"/>
              <w:bottom w:w="28" w:type="dxa"/>
              <w:right w:w="57" w:type="dxa"/>
            </w:tcMar>
            <w:vAlign w:val="center"/>
          </w:tcPr>
          <w:p w14:paraId="333E96F5">
            <w:pPr>
              <w:overflowPunct w:val="0"/>
              <w:autoSpaceDE w:val="0"/>
              <w:autoSpaceDN w:val="0"/>
              <w:adjustRightInd w:val="0"/>
              <w:snapToGrid w:val="0"/>
              <w:jc w:val="center"/>
              <w:rPr>
                <w:rFonts w:eastAsia="宋体"/>
                <w:sz w:val="20"/>
                <w:szCs w:val="20"/>
              </w:rPr>
            </w:pPr>
          </w:p>
        </w:tc>
        <w:tc>
          <w:tcPr>
            <w:tcW w:w="573" w:type="dxa"/>
            <w:tcMar>
              <w:top w:w="28" w:type="dxa"/>
              <w:left w:w="57" w:type="dxa"/>
              <w:bottom w:w="28" w:type="dxa"/>
              <w:right w:w="57" w:type="dxa"/>
            </w:tcMar>
            <w:vAlign w:val="center"/>
          </w:tcPr>
          <w:p w14:paraId="0331F3DF">
            <w:pPr>
              <w:overflowPunct w:val="0"/>
              <w:autoSpaceDE w:val="0"/>
              <w:autoSpaceDN w:val="0"/>
              <w:adjustRightInd w:val="0"/>
              <w:snapToGrid w:val="0"/>
              <w:jc w:val="center"/>
              <w:rPr>
                <w:rFonts w:eastAsia="宋体"/>
                <w:sz w:val="20"/>
                <w:szCs w:val="20"/>
              </w:rPr>
            </w:pPr>
            <w:r>
              <w:rPr>
                <w:sz w:val="20"/>
                <w:szCs w:val="20"/>
              </w:rPr>
              <w:t>X</w:t>
            </w:r>
          </w:p>
        </w:tc>
        <w:tc>
          <w:tcPr>
            <w:tcW w:w="1616" w:type="dxa"/>
            <w:tcMar>
              <w:top w:w="28" w:type="dxa"/>
              <w:left w:w="57" w:type="dxa"/>
              <w:bottom w:w="28" w:type="dxa"/>
              <w:right w:w="57" w:type="dxa"/>
            </w:tcMar>
            <w:vAlign w:val="center"/>
          </w:tcPr>
          <w:p w14:paraId="2E6574B3">
            <w:pPr>
              <w:overflowPunct w:val="0"/>
              <w:autoSpaceDE w:val="0"/>
              <w:autoSpaceDN w:val="0"/>
              <w:adjustRightInd w:val="0"/>
              <w:snapToGrid w:val="0"/>
              <w:jc w:val="center"/>
              <w:rPr>
                <w:rFonts w:eastAsia="宋体"/>
                <w:sz w:val="20"/>
                <w:szCs w:val="20"/>
                <w:lang w:eastAsia="zh-CN"/>
              </w:rPr>
            </w:pPr>
          </w:p>
        </w:tc>
      </w:tr>
      <w:tr w14:paraId="48DBF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3A7793D4">
            <w:pPr>
              <w:overflowPunct w:val="0"/>
              <w:autoSpaceDE w:val="0"/>
              <w:autoSpaceDN w:val="0"/>
              <w:adjustRightInd w:val="0"/>
              <w:snapToGrid w:val="0"/>
              <w:jc w:val="center"/>
              <w:rPr>
                <w:rFonts w:eastAsia="宋体"/>
                <w:sz w:val="20"/>
                <w:szCs w:val="20"/>
              </w:rPr>
            </w:pPr>
            <w:r>
              <w:rPr>
                <w:sz w:val="20"/>
                <w:szCs w:val="20"/>
              </w:rPr>
              <w:t>Collection of diary card</w:t>
            </w:r>
          </w:p>
        </w:tc>
        <w:tc>
          <w:tcPr>
            <w:tcW w:w="858" w:type="dxa"/>
            <w:shd w:val="clear" w:color="auto" w:fill="auto"/>
            <w:tcMar>
              <w:top w:w="28" w:type="dxa"/>
              <w:left w:w="57" w:type="dxa"/>
              <w:bottom w:w="28" w:type="dxa"/>
              <w:right w:w="57" w:type="dxa"/>
            </w:tcMar>
            <w:vAlign w:val="center"/>
          </w:tcPr>
          <w:p w14:paraId="186EF081">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730D3916">
            <w:pPr>
              <w:overflowPunct w:val="0"/>
              <w:autoSpaceDE w:val="0"/>
              <w:autoSpaceDN w:val="0"/>
              <w:adjustRightInd w:val="0"/>
              <w:snapToGrid w:val="0"/>
              <w:jc w:val="center"/>
              <w:rPr>
                <w:rFonts w:eastAsia="宋体"/>
                <w:sz w:val="20"/>
                <w:szCs w:val="20"/>
                <w:lang w:eastAsia="zh-CN"/>
              </w:rPr>
            </w:pPr>
          </w:p>
        </w:tc>
        <w:tc>
          <w:tcPr>
            <w:tcW w:w="572" w:type="dxa"/>
            <w:shd w:val="clear" w:color="auto" w:fill="F1F1F1" w:themeFill="background1" w:themeFillShade="F2"/>
            <w:tcMar>
              <w:top w:w="28" w:type="dxa"/>
              <w:left w:w="57" w:type="dxa"/>
              <w:bottom w:w="28" w:type="dxa"/>
              <w:right w:w="57" w:type="dxa"/>
            </w:tcMar>
            <w:vAlign w:val="center"/>
          </w:tcPr>
          <w:p w14:paraId="5D53F1FC">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78772716">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0E236F55">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0072B892">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4C1F5E5A">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6A738E11">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6E1E12A4">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12BE1012">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207B4AFF">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34F8E4EA">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4B72BB66">
            <w:pPr>
              <w:overflowPunct w:val="0"/>
              <w:autoSpaceDE w:val="0"/>
              <w:autoSpaceDN w:val="0"/>
              <w:adjustRightInd w:val="0"/>
              <w:snapToGrid w:val="0"/>
              <w:jc w:val="center"/>
              <w:rPr>
                <w:rFonts w:eastAsia="宋体"/>
                <w:sz w:val="20"/>
                <w:szCs w:val="20"/>
              </w:rPr>
            </w:pPr>
            <w:r>
              <w:rPr>
                <w:sz w:val="20"/>
                <w:szCs w:val="20"/>
              </w:rPr>
              <w:t>X</w:t>
            </w:r>
          </w:p>
        </w:tc>
        <w:tc>
          <w:tcPr>
            <w:tcW w:w="573" w:type="dxa"/>
            <w:tcMar>
              <w:top w:w="28" w:type="dxa"/>
              <w:left w:w="57" w:type="dxa"/>
              <w:bottom w:w="28" w:type="dxa"/>
              <w:right w:w="57" w:type="dxa"/>
            </w:tcMar>
            <w:vAlign w:val="center"/>
          </w:tcPr>
          <w:p w14:paraId="0B8C2275">
            <w:pPr>
              <w:overflowPunct w:val="0"/>
              <w:autoSpaceDE w:val="0"/>
              <w:autoSpaceDN w:val="0"/>
              <w:adjustRightInd w:val="0"/>
              <w:snapToGrid w:val="0"/>
              <w:jc w:val="center"/>
              <w:rPr>
                <w:rFonts w:eastAsia="宋体"/>
                <w:sz w:val="20"/>
                <w:szCs w:val="20"/>
              </w:rPr>
            </w:pPr>
          </w:p>
        </w:tc>
        <w:tc>
          <w:tcPr>
            <w:tcW w:w="572" w:type="dxa"/>
            <w:tcMar>
              <w:top w:w="28" w:type="dxa"/>
              <w:left w:w="57" w:type="dxa"/>
              <w:bottom w:w="28" w:type="dxa"/>
              <w:right w:w="57" w:type="dxa"/>
            </w:tcMar>
            <w:vAlign w:val="center"/>
          </w:tcPr>
          <w:p w14:paraId="1A129349">
            <w:pPr>
              <w:overflowPunct w:val="0"/>
              <w:autoSpaceDE w:val="0"/>
              <w:autoSpaceDN w:val="0"/>
              <w:adjustRightInd w:val="0"/>
              <w:snapToGrid w:val="0"/>
              <w:jc w:val="center"/>
              <w:rPr>
                <w:rFonts w:eastAsia="宋体"/>
                <w:sz w:val="20"/>
                <w:szCs w:val="20"/>
              </w:rPr>
            </w:pPr>
          </w:p>
        </w:tc>
        <w:tc>
          <w:tcPr>
            <w:tcW w:w="573" w:type="dxa"/>
            <w:tcMar>
              <w:top w:w="28" w:type="dxa"/>
              <w:left w:w="57" w:type="dxa"/>
              <w:bottom w:w="28" w:type="dxa"/>
              <w:right w:w="57" w:type="dxa"/>
            </w:tcMar>
            <w:vAlign w:val="center"/>
          </w:tcPr>
          <w:p w14:paraId="55A91483">
            <w:pPr>
              <w:overflowPunct w:val="0"/>
              <w:autoSpaceDE w:val="0"/>
              <w:autoSpaceDN w:val="0"/>
              <w:adjustRightInd w:val="0"/>
              <w:snapToGrid w:val="0"/>
              <w:jc w:val="center"/>
              <w:rPr>
                <w:rFonts w:eastAsia="宋体"/>
                <w:sz w:val="20"/>
                <w:szCs w:val="20"/>
              </w:rPr>
            </w:pPr>
            <w:r>
              <w:rPr>
                <w:sz w:val="20"/>
                <w:szCs w:val="20"/>
              </w:rPr>
              <w:t>X</w:t>
            </w:r>
          </w:p>
        </w:tc>
        <w:tc>
          <w:tcPr>
            <w:tcW w:w="1616" w:type="dxa"/>
            <w:tcMar>
              <w:top w:w="28" w:type="dxa"/>
              <w:left w:w="57" w:type="dxa"/>
              <w:bottom w:w="28" w:type="dxa"/>
              <w:right w:w="57" w:type="dxa"/>
            </w:tcMar>
            <w:vAlign w:val="center"/>
          </w:tcPr>
          <w:p w14:paraId="5284B9E2">
            <w:pPr>
              <w:overflowPunct w:val="0"/>
              <w:autoSpaceDE w:val="0"/>
              <w:autoSpaceDN w:val="0"/>
              <w:adjustRightInd w:val="0"/>
              <w:snapToGrid w:val="0"/>
              <w:jc w:val="center"/>
              <w:rPr>
                <w:rFonts w:eastAsia="宋体"/>
                <w:sz w:val="20"/>
                <w:szCs w:val="20"/>
              </w:rPr>
            </w:pPr>
            <w:r>
              <w:rPr>
                <w:sz w:val="20"/>
                <w:szCs w:val="20"/>
              </w:rPr>
              <w:t>X</w:t>
            </w:r>
          </w:p>
        </w:tc>
      </w:tr>
      <w:tr w14:paraId="3946F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3A1A7455">
            <w:pPr>
              <w:overflowPunct w:val="0"/>
              <w:autoSpaceDE w:val="0"/>
              <w:autoSpaceDN w:val="0"/>
              <w:adjustRightInd w:val="0"/>
              <w:snapToGrid w:val="0"/>
              <w:jc w:val="center"/>
              <w:rPr>
                <w:rFonts w:eastAsia="宋体"/>
                <w:sz w:val="20"/>
                <w:szCs w:val="20"/>
              </w:rPr>
            </w:pPr>
            <w:r>
              <w:rPr>
                <w:sz w:val="20"/>
                <w:szCs w:val="20"/>
              </w:rPr>
              <w:t>Diet and exercise guidance</w:t>
            </w:r>
          </w:p>
        </w:tc>
        <w:tc>
          <w:tcPr>
            <w:tcW w:w="858" w:type="dxa"/>
            <w:shd w:val="clear" w:color="auto" w:fill="auto"/>
            <w:tcMar>
              <w:top w:w="28" w:type="dxa"/>
              <w:left w:w="57" w:type="dxa"/>
              <w:bottom w:w="28" w:type="dxa"/>
              <w:right w:w="57" w:type="dxa"/>
            </w:tcMar>
            <w:vAlign w:val="center"/>
          </w:tcPr>
          <w:p w14:paraId="23EDB9BF">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71FB9832">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5C0A9EC3">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1E798E8F">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385ED71F">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296F8B91">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374A0235">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2D437E80">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1158C6C6">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15CE5E58">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2906033A">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66B696D1">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05C4CC76">
            <w:pPr>
              <w:overflowPunct w:val="0"/>
              <w:autoSpaceDE w:val="0"/>
              <w:autoSpaceDN w:val="0"/>
              <w:adjustRightInd w:val="0"/>
              <w:snapToGrid w:val="0"/>
              <w:jc w:val="center"/>
              <w:rPr>
                <w:rFonts w:eastAsia="宋体"/>
                <w:sz w:val="20"/>
                <w:szCs w:val="20"/>
              </w:rPr>
            </w:pPr>
            <w:r>
              <w:rPr>
                <w:sz w:val="20"/>
                <w:szCs w:val="20"/>
              </w:rPr>
              <w:t>X</w:t>
            </w:r>
          </w:p>
        </w:tc>
        <w:tc>
          <w:tcPr>
            <w:tcW w:w="573" w:type="dxa"/>
            <w:tcMar>
              <w:top w:w="28" w:type="dxa"/>
              <w:left w:w="57" w:type="dxa"/>
              <w:bottom w:w="28" w:type="dxa"/>
              <w:right w:w="57" w:type="dxa"/>
            </w:tcMar>
            <w:vAlign w:val="center"/>
          </w:tcPr>
          <w:p w14:paraId="69E479FF">
            <w:pPr>
              <w:overflowPunct w:val="0"/>
              <w:autoSpaceDE w:val="0"/>
              <w:autoSpaceDN w:val="0"/>
              <w:adjustRightInd w:val="0"/>
              <w:snapToGrid w:val="0"/>
              <w:jc w:val="center"/>
              <w:rPr>
                <w:rFonts w:eastAsia="宋体"/>
                <w:sz w:val="20"/>
                <w:szCs w:val="20"/>
              </w:rPr>
            </w:pPr>
          </w:p>
        </w:tc>
        <w:tc>
          <w:tcPr>
            <w:tcW w:w="572" w:type="dxa"/>
            <w:tcMar>
              <w:top w:w="28" w:type="dxa"/>
              <w:left w:w="57" w:type="dxa"/>
              <w:bottom w:w="28" w:type="dxa"/>
              <w:right w:w="57" w:type="dxa"/>
            </w:tcMar>
            <w:vAlign w:val="center"/>
          </w:tcPr>
          <w:p w14:paraId="7D290F23">
            <w:pPr>
              <w:overflowPunct w:val="0"/>
              <w:autoSpaceDE w:val="0"/>
              <w:autoSpaceDN w:val="0"/>
              <w:adjustRightInd w:val="0"/>
              <w:snapToGrid w:val="0"/>
              <w:jc w:val="center"/>
              <w:rPr>
                <w:rFonts w:eastAsia="宋体"/>
                <w:sz w:val="20"/>
                <w:szCs w:val="20"/>
              </w:rPr>
            </w:pPr>
          </w:p>
        </w:tc>
        <w:tc>
          <w:tcPr>
            <w:tcW w:w="573" w:type="dxa"/>
            <w:tcMar>
              <w:top w:w="28" w:type="dxa"/>
              <w:left w:w="57" w:type="dxa"/>
              <w:bottom w:w="28" w:type="dxa"/>
              <w:right w:w="57" w:type="dxa"/>
            </w:tcMar>
            <w:vAlign w:val="center"/>
          </w:tcPr>
          <w:p w14:paraId="2B36BA50">
            <w:pPr>
              <w:overflowPunct w:val="0"/>
              <w:autoSpaceDE w:val="0"/>
              <w:autoSpaceDN w:val="0"/>
              <w:adjustRightInd w:val="0"/>
              <w:snapToGrid w:val="0"/>
              <w:jc w:val="center"/>
              <w:rPr>
                <w:rFonts w:eastAsia="宋体"/>
                <w:sz w:val="20"/>
                <w:szCs w:val="20"/>
              </w:rPr>
            </w:pPr>
            <w:r>
              <w:rPr>
                <w:sz w:val="20"/>
                <w:szCs w:val="20"/>
              </w:rPr>
              <w:t>X</w:t>
            </w:r>
          </w:p>
        </w:tc>
        <w:tc>
          <w:tcPr>
            <w:tcW w:w="1616" w:type="dxa"/>
            <w:tcMar>
              <w:top w:w="28" w:type="dxa"/>
              <w:left w:w="57" w:type="dxa"/>
              <w:bottom w:w="28" w:type="dxa"/>
              <w:right w:w="57" w:type="dxa"/>
            </w:tcMar>
            <w:vAlign w:val="center"/>
          </w:tcPr>
          <w:p w14:paraId="6D9647A2">
            <w:pPr>
              <w:overflowPunct w:val="0"/>
              <w:autoSpaceDE w:val="0"/>
              <w:autoSpaceDN w:val="0"/>
              <w:adjustRightInd w:val="0"/>
              <w:snapToGrid w:val="0"/>
              <w:jc w:val="center"/>
              <w:rPr>
                <w:rFonts w:eastAsia="宋体"/>
                <w:sz w:val="20"/>
                <w:szCs w:val="20"/>
              </w:rPr>
            </w:pPr>
            <w:r>
              <w:rPr>
                <w:sz w:val="20"/>
                <w:szCs w:val="20"/>
              </w:rPr>
              <w:t>X</w:t>
            </w:r>
          </w:p>
        </w:tc>
      </w:tr>
      <w:tr w14:paraId="0DA8B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7198CDF0">
            <w:pPr>
              <w:overflowPunct w:val="0"/>
              <w:autoSpaceDE w:val="0"/>
              <w:autoSpaceDN w:val="0"/>
              <w:adjustRightInd w:val="0"/>
              <w:snapToGrid w:val="0"/>
              <w:jc w:val="center"/>
              <w:rPr>
                <w:rFonts w:eastAsia="宋体"/>
                <w:sz w:val="20"/>
                <w:szCs w:val="20"/>
              </w:rPr>
            </w:pPr>
            <w:r>
              <w:rPr>
                <w:sz w:val="20"/>
                <w:szCs w:val="20"/>
              </w:rPr>
              <w:t>AE monitoring and recording</w:t>
            </w:r>
          </w:p>
        </w:tc>
        <w:tc>
          <w:tcPr>
            <w:tcW w:w="858" w:type="dxa"/>
            <w:shd w:val="clear" w:color="auto" w:fill="auto"/>
            <w:tcMar>
              <w:top w:w="28" w:type="dxa"/>
              <w:left w:w="57" w:type="dxa"/>
              <w:bottom w:w="28" w:type="dxa"/>
              <w:right w:w="57" w:type="dxa"/>
            </w:tcMar>
            <w:vAlign w:val="center"/>
          </w:tcPr>
          <w:p w14:paraId="0E2165D4">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324C3063">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2FE90C8C">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1A9334BF">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1C5B4DB8">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75C14682">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12BAF20C">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28E483E9">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61A55B68">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1FB095DA">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54718357">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21C894D2">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27020B91">
            <w:pPr>
              <w:overflowPunct w:val="0"/>
              <w:autoSpaceDE w:val="0"/>
              <w:autoSpaceDN w:val="0"/>
              <w:adjustRightInd w:val="0"/>
              <w:snapToGrid w:val="0"/>
              <w:jc w:val="center"/>
              <w:rPr>
                <w:rFonts w:eastAsia="宋体"/>
                <w:sz w:val="20"/>
                <w:szCs w:val="20"/>
              </w:rPr>
            </w:pPr>
            <w:r>
              <w:rPr>
                <w:sz w:val="20"/>
                <w:szCs w:val="20"/>
              </w:rPr>
              <w:t>X</w:t>
            </w:r>
          </w:p>
        </w:tc>
        <w:tc>
          <w:tcPr>
            <w:tcW w:w="573" w:type="dxa"/>
            <w:tcMar>
              <w:top w:w="28" w:type="dxa"/>
              <w:left w:w="57" w:type="dxa"/>
              <w:bottom w:w="28" w:type="dxa"/>
              <w:right w:w="57" w:type="dxa"/>
            </w:tcMar>
            <w:vAlign w:val="center"/>
          </w:tcPr>
          <w:p w14:paraId="148273E6">
            <w:pPr>
              <w:overflowPunct w:val="0"/>
              <w:autoSpaceDE w:val="0"/>
              <w:autoSpaceDN w:val="0"/>
              <w:adjustRightInd w:val="0"/>
              <w:snapToGrid w:val="0"/>
              <w:jc w:val="center"/>
              <w:rPr>
                <w:rFonts w:eastAsia="宋体"/>
                <w:sz w:val="20"/>
                <w:szCs w:val="20"/>
              </w:rPr>
            </w:pPr>
            <w:r>
              <w:rPr>
                <w:sz w:val="20"/>
                <w:szCs w:val="20"/>
              </w:rPr>
              <w:t>X</w:t>
            </w:r>
          </w:p>
        </w:tc>
        <w:tc>
          <w:tcPr>
            <w:tcW w:w="572" w:type="dxa"/>
            <w:tcMar>
              <w:top w:w="28" w:type="dxa"/>
              <w:left w:w="57" w:type="dxa"/>
              <w:bottom w:w="28" w:type="dxa"/>
              <w:right w:w="57" w:type="dxa"/>
            </w:tcMar>
            <w:vAlign w:val="center"/>
          </w:tcPr>
          <w:p w14:paraId="6BA4F733">
            <w:pPr>
              <w:overflowPunct w:val="0"/>
              <w:autoSpaceDE w:val="0"/>
              <w:autoSpaceDN w:val="0"/>
              <w:adjustRightInd w:val="0"/>
              <w:snapToGrid w:val="0"/>
              <w:jc w:val="center"/>
              <w:rPr>
                <w:rFonts w:eastAsia="宋体"/>
                <w:sz w:val="20"/>
                <w:szCs w:val="20"/>
              </w:rPr>
            </w:pPr>
            <w:r>
              <w:rPr>
                <w:sz w:val="20"/>
                <w:szCs w:val="20"/>
              </w:rPr>
              <w:t>X</w:t>
            </w:r>
          </w:p>
        </w:tc>
        <w:tc>
          <w:tcPr>
            <w:tcW w:w="573" w:type="dxa"/>
            <w:tcMar>
              <w:top w:w="28" w:type="dxa"/>
              <w:left w:w="57" w:type="dxa"/>
              <w:bottom w:w="28" w:type="dxa"/>
              <w:right w:w="57" w:type="dxa"/>
            </w:tcMar>
            <w:vAlign w:val="center"/>
          </w:tcPr>
          <w:p w14:paraId="32AC45A8">
            <w:pPr>
              <w:overflowPunct w:val="0"/>
              <w:autoSpaceDE w:val="0"/>
              <w:autoSpaceDN w:val="0"/>
              <w:adjustRightInd w:val="0"/>
              <w:snapToGrid w:val="0"/>
              <w:jc w:val="center"/>
              <w:rPr>
                <w:rFonts w:eastAsia="宋体"/>
                <w:sz w:val="20"/>
                <w:szCs w:val="20"/>
              </w:rPr>
            </w:pPr>
            <w:r>
              <w:rPr>
                <w:sz w:val="20"/>
                <w:szCs w:val="20"/>
              </w:rPr>
              <w:t>X</w:t>
            </w:r>
          </w:p>
        </w:tc>
        <w:tc>
          <w:tcPr>
            <w:tcW w:w="1616" w:type="dxa"/>
            <w:tcMar>
              <w:top w:w="28" w:type="dxa"/>
              <w:left w:w="57" w:type="dxa"/>
              <w:bottom w:w="28" w:type="dxa"/>
              <w:right w:w="57" w:type="dxa"/>
            </w:tcMar>
            <w:vAlign w:val="center"/>
          </w:tcPr>
          <w:p w14:paraId="15F907B0">
            <w:pPr>
              <w:overflowPunct w:val="0"/>
              <w:autoSpaceDE w:val="0"/>
              <w:autoSpaceDN w:val="0"/>
              <w:adjustRightInd w:val="0"/>
              <w:snapToGrid w:val="0"/>
              <w:jc w:val="center"/>
              <w:rPr>
                <w:rFonts w:eastAsia="宋体"/>
                <w:sz w:val="20"/>
                <w:szCs w:val="20"/>
              </w:rPr>
            </w:pPr>
            <w:r>
              <w:rPr>
                <w:sz w:val="20"/>
                <w:szCs w:val="20"/>
              </w:rPr>
              <w:t>X</w:t>
            </w:r>
          </w:p>
        </w:tc>
      </w:tr>
      <w:tr w14:paraId="19FD7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935" w:type="dxa"/>
            <w:shd w:val="clear" w:color="auto" w:fill="auto"/>
            <w:tcMar>
              <w:top w:w="28" w:type="dxa"/>
              <w:left w:w="57" w:type="dxa"/>
              <w:bottom w:w="28" w:type="dxa"/>
              <w:right w:w="57" w:type="dxa"/>
            </w:tcMar>
            <w:vAlign w:val="center"/>
          </w:tcPr>
          <w:p w14:paraId="1BFF9595">
            <w:pPr>
              <w:overflowPunct w:val="0"/>
              <w:autoSpaceDE w:val="0"/>
              <w:autoSpaceDN w:val="0"/>
              <w:adjustRightInd w:val="0"/>
              <w:snapToGrid w:val="0"/>
              <w:jc w:val="center"/>
              <w:rPr>
                <w:rFonts w:eastAsia="宋体"/>
                <w:sz w:val="20"/>
                <w:szCs w:val="20"/>
              </w:rPr>
            </w:pPr>
            <w:r>
              <w:rPr>
                <w:sz w:val="20"/>
                <w:szCs w:val="20"/>
              </w:rPr>
              <w:t>Collection of concomitant medication/treatment</w:t>
            </w:r>
          </w:p>
        </w:tc>
        <w:tc>
          <w:tcPr>
            <w:tcW w:w="858" w:type="dxa"/>
            <w:shd w:val="clear" w:color="auto" w:fill="auto"/>
            <w:tcMar>
              <w:top w:w="28" w:type="dxa"/>
              <w:left w:w="57" w:type="dxa"/>
              <w:bottom w:w="28" w:type="dxa"/>
              <w:right w:w="57" w:type="dxa"/>
            </w:tcMar>
            <w:vAlign w:val="center"/>
          </w:tcPr>
          <w:p w14:paraId="371A3F29">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04F5CD0F">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64C85EA9">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75E46BA8">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57030C4F">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1F1F1" w:themeFill="background1" w:themeFillShade="F2"/>
            <w:tcMar>
              <w:top w:w="28" w:type="dxa"/>
              <w:left w:w="57" w:type="dxa"/>
              <w:bottom w:w="28" w:type="dxa"/>
              <w:right w:w="57" w:type="dxa"/>
            </w:tcMar>
            <w:vAlign w:val="center"/>
          </w:tcPr>
          <w:p w14:paraId="2AFC0B57">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1F1F1" w:themeFill="background1" w:themeFillShade="F2"/>
            <w:tcMar>
              <w:top w:w="28" w:type="dxa"/>
              <w:left w:w="57" w:type="dxa"/>
              <w:bottom w:w="28" w:type="dxa"/>
              <w:right w:w="57" w:type="dxa"/>
            </w:tcMar>
            <w:vAlign w:val="center"/>
          </w:tcPr>
          <w:p w14:paraId="224BDDE0">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538BA8F9">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2FDE470D">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7D589B74">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4B50BA42">
            <w:pPr>
              <w:overflowPunct w:val="0"/>
              <w:autoSpaceDE w:val="0"/>
              <w:autoSpaceDN w:val="0"/>
              <w:adjustRightInd w:val="0"/>
              <w:snapToGrid w:val="0"/>
              <w:jc w:val="center"/>
              <w:rPr>
                <w:rFonts w:eastAsia="宋体"/>
                <w:sz w:val="20"/>
                <w:szCs w:val="20"/>
              </w:rPr>
            </w:pPr>
            <w:r>
              <w:rPr>
                <w:sz w:val="20"/>
                <w:szCs w:val="20"/>
              </w:rPr>
              <w:t>X</w:t>
            </w:r>
          </w:p>
        </w:tc>
        <w:tc>
          <w:tcPr>
            <w:tcW w:w="573" w:type="dxa"/>
            <w:shd w:val="clear" w:color="auto" w:fill="F2F2F2" w:themeFill="background2" w:themeFillTint="33"/>
            <w:tcMar>
              <w:top w:w="28" w:type="dxa"/>
              <w:left w:w="57" w:type="dxa"/>
              <w:bottom w:w="28" w:type="dxa"/>
              <w:right w:w="57" w:type="dxa"/>
            </w:tcMar>
            <w:vAlign w:val="center"/>
          </w:tcPr>
          <w:p w14:paraId="73065F66">
            <w:pPr>
              <w:overflowPunct w:val="0"/>
              <w:autoSpaceDE w:val="0"/>
              <w:autoSpaceDN w:val="0"/>
              <w:adjustRightInd w:val="0"/>
              <w:snapToGrid w:val="0"/>
              <w:jc w:val="center"/>
              <w:rPr>
                <w:rFonts w:eastAsia="宋体"/>
                <w:sz w:val="20"/>
                <w:szCs w:val="20"/>
              </w:rPr>
            </w:pPr>
            <w:r>
              <w:rPr>
                <w:sz w:val="20"/>
                <w:szCs w:val="20"/>
              </w:rPr>
              <w:t>X</w:t>
            </w:r>
          </w:p>
        </w:tc>
        <w:tc>
          <w:tcPr>
            <w:tcW w:w="572" w:type="dxa"/>
            <w:shd w:val="clear" w:color="auto" w:fill="F2F2F2" w:themeFill="background2" w:themeFillTint="33"/>
            <w:tcMar>
              <w:top w:w="28" w:type="dxa"/>
              <w:left w:w="57" w:type="dxa"/>
              <w:bottom w:w="28" w:type="dxa"/>
              <w:right w:w="57" w:type="dxa"/>
            </w:tcMar>
            <w:vAlign w:val="center"/>
          </w:tcPr>
          <w:p w14:paraId="5686BBB2">
            <w:pPr>
              <w:overflowPunct w:val="0"/>
              <w:autoSpaceDE w:val="0"/>
              <w:autoSpaceDN w:val="0"/>
              <w:adjustRightInd w:val="0"/>
              <w:snapToGrid w:val="0"/>
              <w:jc w:val="center"/>
              <w:rPr>
                <w:rFonts w:eastAsia="宋体"/>
                <w:sz w:val="20"/>
                <w:szCs w:val="20"/>
              </w:rPr>
            </w:pPr>
            <w:r>
              <w:rPr>
                <w:sz w:val="20"/>
                <w:szCs w:val="20"/>
              </w:rPr>
              <w:t>X</w:t>
            </w:r>
          </w:p>
        </w:tc>
        <w:tc>
          <w:tcPr>
            <w:tcW w:w="573" w:type="dxa"/>
            <w:tcMar>
              <w:top w:w="28" w:type="dxa"/>
              <w:left w:w="57" w:type="dxa"/>
              <w:bottom w:w="28" w:type="dxa"/>
              <w:right w:w="57" w:type="dxa"/>
            </w:tcMar>
            <w:vAlign w:val="center"/>
          </w:tcPr>
          <w:p w14:paraId="09DB8E62">
            <w:pPr>
              <w:overflowPunct w:val="0"/>
              <w:autoSpaceDE w:val="0"/>
              <w:autoSpaceDN w:val="0"/>
              <w:adjustRightInd w:val="0"/>
              <w:snapToGrid w:val="0"/>
              <w:jc w:val="center"/>
              <w:rPr>
                <w:rFonts w:eastAsia="宋体"/>
                <w:sz w:val="20"/>
                <w:szCs w:val="20"/>
              </w:rPr>
            </w:pPr>
            <w:r>
              <w:rPr>
                <w:sz w:val="20"/>
                <w:szCs w:val="20"/>
              </w:rPr>
              <w:t>X</w:t>
            </w:r>
          </w:p>
        </w:tc>
        <w:tc>
          <w:tcPr>
            <w:tcW w:w="572" w:type="dxa"/>
            <w:tcMar>
              <w:top w:w="28" w:type="dxa"/>
              <w:left w:w="57" w:type="dxa"/>
              <w:bottom w:w="28" w:type="dxa"/>
              <w:right w:w="57" w:type="dxa"/>
            </w:tcMar>
            <w:vAlign w:val="center"/>
          </w:tcPr>
          <w:p w14:paraId="46F1FC99">
            <w:pPr>
              <w:overflowPunct w:val="0"/>
              <w:autoSpaceDE w:val="0"/>
              <w:autoSpaceDN w:val="0"/>
              <w:adjustRightInd w:val="0"/>
              <w:snapToGrid w:val="0"/>
              <w:jc w:val="center"/>
              <w:rPr>
                <w:rFonts w:eastAsia="宋体"/>
                <w:sz w:val="20"/>
                <w:szCs w:val="20"/>
              </w:rPr>
            </w:pPr>
            <w:r>
              <w:rPr>
                <w:sz w:val="20"/>
                <w:szCs w:val="20"/>
              </w:rPr>
              <w:t>X</w:t>
            </w:r>
          </w:p>
        </w:tc>
        <w:tc>
          <w:tcPr>
            <w:tcW w:w="573" w:type="dxa"/>
            <w:tcMar>
              <w:top w:w="28" w:type="dxa"/>
              <w:left w:w="57" w:type="dxa"/>
              <w:bottom w:w="28" w:type="dxa"/>
              <w:right w:w="57" w:type="dxa"/>
            </w:tcMar>
            <w:vAlign w:val="center"/>
          </w:tcPr>
          <w:p w14:paraId="4C745FDC">
            <w:pPr>
              <w:overflowPunct w:val="0"/>
              <w:autoSpaceDE w:val="0"/>
              <w:autoSpaceDN w:val="0"/>
              <w:adjustRightInd w:val="0"/>
              <w:snapToGrid w:val="0"/>
              <w:jc w:val="center"/>
              <w:rPr>
                <w:rFonts w:eastAsia="宋体"/>
                <w:sz w:val="20"/>
                <w:szCs w:val="20"/>
              </w:rPr>
            </w:pPr>
            <w:r>
              <w:rPr>
                <w:sz w:val="20"/>
                <w:szCs w:val="20"/>
              </w:rPr>
              <w:t>X</w:t>
            </w:r>
          </w:p>
        </w:tc>
        <w:tc>
          <w:tcPr>
            <w:tcW w:w="1616" w:type="dxa"/>
            <w:tcMar>
              <w:top w:w="28" w:type="dxa"/>
              <w:left w:w="57" w:type="dxa"/>
              <w:bottom w:w="28" w:type="dxa"/>
              <w:right w:w="57" w:type="dxa"/>
            </w:tcMar>
            <w:vAlign w:val="center"/>
          </w:tcPr>
          <w:p w14:paraId="278E5271">
            <w:pPr>
              <w:overflowPunct w:val="0"/>
              <w:autoSpaceDE w:val="0"/>
              <w:autoSpaceDN w:val="0"/>
              <w:adjustRightInd w:val="0"/>
              <w:snapToGrid w:val="0"/>
              <w:jc w:val="center"/>
              <w:rPr>
                <w:rFonts w:eastAsia="宋体"/>
                <w:sz w:val="20"/>
                <w:szCs w:val="20"/>
              </w:rPr>
            </w:pPr>
            <w:r>
              <w:rPr>
                <w:sz w:val="20"/>
                <w:szCs w:val="20"/>
              </w:rPr>
              <w:t>X</w:t>
            </w:r>
          </w:p>
        </w:tc>
      </w:tr>
      <w:bookmarkEnd w:id="25"/>
    </w:tbl>
    <w:p w14:paraId="7A712146">
      <w:pPr>
        <w:pStyle w:val="21"/>
        <w:numPr>
          <w:ilvl w:val="0"/>
          <w:numId w:val="15"/>
        </w:numPr>
        <w:overflowPunct w:val="0"/>
        <w:autoSpaceDE w:val="0"/>
        <w:autoSpaceDN w:val="0"/>
        <w:adjustRightInd w:val="0"/>
        <w:snapToGrid w:val="0"/>
        <w:spacing w:line="240" w:lineRule="auto"/>
        <w:ind w:firstLineChars="0"/>
        <w:jc w:val="left"/>
        <w:rPr>
          <w:rFonts w:ascii="Times New Roman" w:hAnsi="Times New Roman" w:eastAsia="宋体"/>
          <w:color w:val="auto"/>
          <w:sz w:val="20"/>
          <w:szCs w:val="20"/>
        </w:rPr>
      </w:pPr>
      <w:bookmarkStart w:id="27" w:name="_Hlk150360088"/>
      <w:r>
        <w:rPr>
          <w:rFonts w:ascii="Times New Roman" w:hAnsi="Times New Roman"/>
          <w:color w:val="auto"/>
          <w:sz w:val="20"/>
          <w:szCs w:val="20"/>
        </w:rPr>
        <w:t>Subjects will be screened within 14 days before the first dose (D0) with the same screening procedure in all groups;</w:t>
      </w:r>
    </w:p>
    <w:p w14:paraId="61167CE1">
      <w:pPr>
        <w:pStyle w:val="21"/>
        <w:numPr>
          <w:ilvl w:val="0"/>
          <w:numId w:val="15"/>
        </w:numPr>
        <w:overflowPunct w:val="0"/>
        <w:autoSpaceDE w:val="0"/>
        <w:autoSpaceDN w:val="0"/>
        <w:adjustRightInd w:val="0"/>
        <w:snapToGrid w:val="0"/>
        <w:spacing w:line="240" w:lineRule="auto"/>
        <w:ind w:firstLineChars="0"/>
        <w:jc w:val="left"/>
        <w:rPr>
          <w:rFonts w:ascii="Times New Roman" w:hAnsi="Times New Roman" w:eastAsia="宋体"/>
          <w:color w:val="auto"/>
          <w:sz w:val="20"/>
          <w:szCs w:val="20"/>
        </w:rPr>
      </w:pPr>
      <w:bookmarkStart w:id="28" w:name="_Hlk155337948"/>
      <w:bookmarkStart w:id="29" w:name="_Hlk155311541"/>
      <w:r>
        <w:rPr>
          <w:rFonts w:ascii="Times New Roman" w:hAnsi="Times New Roman"/>
          <w:color w:val="auto"/>
          <w:sz w:val="20"/>
          <w:szCs w:val="20"/>
        </w:rPr>
        <w:t>If a subject withdraws from the study prematurely after medication, all efforts should be made to complete the early withdrawal visit (4 weeks ± 3 days after the last dose);</w:t>
      </w:r>
      <w:bookmarkStart w:id="30" w:name="_Hlk155995361"/>
      <w:r>
        <w:rPr>
          <w:rFonts w:ascii="Times New Roman" w:hAnsi="Times New Roman"/>
          <w:color w:val="auto"/>
          <w:sz w:val="20"/>
          <w:szCs w:val="20"/>
        </w:rPr>
        <w:t xml:space="preserve"> in addition, efficacy endpoints (i.e., HbA1c, fasting plasma glucose, lipid level, blood pressure, body weight, waist circumference, and hip circumference) should be tested at 24 weeks (± 3 days) after the first dose whenever possible</w:t>
      </w:r>
      <w:bookmarkEnd w:id="28"/>
      <w:bookmarkEnd w:id="30"/>
      <w:r>
        <w:rPr>
          <w:rFonts w:ascii="Times New Roman" w:hAnsi="Times New Roman"/>
          <w:color w:val="auto"/>
          <w:sz w:val="20"/>
          <w:szCs w:val="20"/>
        </w:rPr>
        <w:t>;</w:t>
      </w:r>
    </w:p>
    <w:bookmarkEnd w:id="29"/>
    <w:p w14:paraId="36C1A6B8">
      <w:pPr>
        <w:pStyle w:val="21"/>
        <w:numPr>
          <w:ilvl w:val="0"/>
          <w:numId w:val="15"/>
        </w:numPr>
        <w:overflowPunct w:val="0"/>
        <w:autoSpaceDE w:val="0"/>
        <w:autoSpaceDN w:val="0"/>
        <w:adjustRightInd w:val="0"/>
        <w:snapToGrid w:val="0"/>
        <w:spacing w:line="240" w:lineRule="auto"/>
        <w:ind w:firstLineChars="0"/>
        <w:jc w:val="left"/>
        <w:rPr>
          <w:rFonts w:ascii="Times New Roman" w:hAnsi="Times New Roman" w:eastAsia="宋体"/>
          <w:color w:val="auto"/>
          <w:sz w:val="20"/>
          <w:szCs w:val="20"/>
        </w:rPr>
      </w:pPr>
      <w:r>
        <w:rPr>
          <w:rFonts w:ascii="Times New Roman" w:hAnsi="Times New Roman"/>
          <w:color w:val="auto"/>
          <w:sz w:val="20"/>
          <w:szCs w:val="20"/>
        </w:rPr>
        <w:t>Body height will only be measured at the first visit in the screening period;</w:t>
      </w:r>
    </w:p>
    <w:p w14:paraId="3E25B8A9">
      <w:pPr>
        <w:pStyle w:val="21"/>
        <w:numPr>
          <w:ilvl w:val="0"/>
          <w:numId w:val="15"/>
        </w:numPr>
        <w:overflowPunct w:val="0"/>
        <w:autoSpaceDE w:val="0"/>
        <w:autoSpaceDN w:val="0"/>
        <w:adjustRightInd w:val="0"/>
        <w:snapToGrid w:val="0"/>
        <w:spacing w:line="240" w:lineRule="auto"/>
        <w:ind w:firstLineChars="0"/>
        <w:jc w:val="left"/>
        <w:rPr>
          <w:rFonts w:ascii="Times New Roman" w:hAnsi="Times New Roman" w:eastAsia="宋体"/>
          <w:color w:val="auto"/>
          <w:sz w:val="20"/>
          <w:szCs w:val="20"/>
        </w:rPr>
      </w:pPr>
      <w:r>
        <w:rPr>
          <w:rFonts w:ascii="Times New Roman" w:hAnsi="Times New Roman"/>
          <w:color w:val="auto"/>
          <w:sz w:val="20"/>
          <w:szCs w:val="20"/>
        </w:rPr>
        <w:t>Vital signs: Subjects should rest for at least 5 min before measurement of blood pressure, pulse, and respiration;</w:t>
      </w:r>
      <w:bookmarkStart w:id="31" w:name="_Hlk154584627"/>
      <w:r>
        <w:rPr>
          <w:rFonts w:ascii="Times New Roman" w:hAnsi="Times New Roman"/>
          <w:sz w:val="20"/>
          <w:szCs w:val="20"/>
        </w:rPr>
        <w:t xml:space="preserve"> </w:t>
      </w:r>
      <w:r>
        <w:rPr>
          <w:rFonts w:ascii="Times New Roman" w:hAnsi="Times New Roman"/>
          <w:color w:val="auto"/>
          <w:sz w:val="20"/>
          <w:szCs w:val="20"/>
        </w:rPr>
        <w:t xml:space="preserve">if blood sample collection is required on the day of the examination, the examination </w:t>
      </w:r>
      <w:bookmarkEnd w:id="31"/>
      <w:r>
        <w:rPr>
          <w:rFonts w:ascii="Times New Roman" w:hAnsi="Times New Roman"/>
          <w:color w:val="auto"/>
          <w:sz w:val="20"/>
          <w:szCs w:val="20"/>
        </w:rPr>
        <w:t>shall be completed before blood collection;</w:t>
      </w:r>
    </w:p>
    <w:p w14:paraId="482A00BD">
      <w:pPr>
        <w:pStyle w:val="21"/>
        <w:numPr>
          <w:ilvl w:val="0"/>
          <w:numId w:val="15"/>
        </w:numPr>
        <w:overflowPunct w:val="0"/>
        <w:autoSpaceDE w:val="0"/>
        <w:autoSpaceDN w:val="0"/>
        <w:adjustRightInd w:val="0"/>
        <w:snapToGrid w:val="0"/>
        <w:spacing w:line="240" w:lineRule="auto"/>
        <w:ind w:firstLineChars="0"/>
        <w:jc w:val="left"/>
        <w:rPr>
          <w:rFonts w:ascii="Times New Roman" w:hAnsi="Times New Roman" w:eastAsia="宋体"/>
          <w:color w:val="auto"/>
          <w:sz w:val="20"/>
          <w:szCs w:val="20"/>
        </w:rPr>
      </w:pPr>
      <w:r>
        <w:rPr>
          <w:rFonts w:ascii="Times New Roman" w:hAnsi="Times New Roman"/>
          <w:color w:val="auto"/>
          <w:sz w:val="20"/>
          <w:szCs w:val="20"/>
        </w:rPr>
        <w:t>12-Lead ECG:</w:t>
      </w:r>
      <w:bookmarkStart w:id="32" w:name="_Hlk154584681"/>
      <w:r>
        <w:rPr>
          <w:rFonts w:ascii="Times New Roman" w:hAnsi="Times New Roman"/>
          <w:sz w:val="20"/>
          <w:szCs w:val="20"/>
        </w:rPr>
        <w:t xml:space="preserve"> </w:t>
      </w:r>
      <w:r>
        <w:rPr>
          <w:rFonts w:ascii="Times New Roman" w:hAnsi="Times New Roman"/>
          <w:color w:val="auto"/>
          <w:sz w:val="20"/>
          <w:szCs w:val="20"/>
        </w:rPr>
        <w:t>Subjects must not exercise or consume caffeine, alcohol, or nicotine within 30 min before the ECG examination and must rest for at least 5 min; if blood sample collection is required on the day of the examination, the examination shall be completed before blood collection;</w:t>
      </w:r>
      <w:bookmarkEnd w:id="32"/>
    </w:p>
    <w:p w14:paraId="72399E4B">
      <w:pPr>
        <w:pStyle w:val="21"/>
        <w:numPr>
          <w:ilvl w:val="0"/>
          <w:numId w:val="15"/>
        </w:numPr>
        <w:overflowPunct w:val="0"/>
        <w:autoSpaceDE w:val="0"/>
        <w:autoSpaceDN w:val="0"/>
        <w:adjustRightInd w:val="0"/>
        <w:snapToGrid w:val="0"/>
        <w:spacing w:line="240" w:lineRule="auto"/>
        <w:ind w:firstLineChars="0"/>
        <w:jc w:val="left"/>
        <w:rPr>
          <w:rFonts w:ascii="Times New Roman" w:hAnsi="Times New Roman" w:eastAsia="宋体"/>
          <w:color w:val="auto"/>
          <w:sz w:val="20"/>
          <w:szCs w:val="20"/>
        </w:rPr>
      </w:pPr>
      <w:bookmarkStart w:id="33" w:name="_Hlk155876537"/>
      <w:r>
        <w:rPr>
          <w:rFonts w:ascii="Times New Roman" w:hAnsi="Times New Roman"/>
          <w:color w:val="auto"/>
          <w:sz w:val="20"/>
          <w:szCs w:val="20"/>
        </w:rPr>
        <w:t>Examination results within 1 month before screening are acceptable;</w:t>
      </w:r>
    </w:p>
    <w:bookmarkEnd w:id="33"/>
    <w:p w14:paraId="0E6B283B">
      <w:pPr>
        <w:pStyle w:val="21"/>
        <w:numPr>
          <w:ilvl w:val="0"/>
          <w:numId w:val="15"/>
        </w:numPr>
        <w:overflowPunct w:val="0"/>
        <w:autoSpaceDE w:val="0"/>
        <w:autoSpaceDN w:val="0"/>
        <w:adjustRightInd w:val="0"/>
        <w:snapToGrid w:val="0"/>
        <w:spacing w:line="240" w:lineRule="auto"/>
        <w:ind w:firstLineChars="0"/>
        <w:jc w:val="left"/>
        <w:rPr>
          <w:rFonts w:ascii="Times New Roman" w:hAnsi="Times New Roman" w:eastAsia="宋体"/>
          <w:color w:val="auto"/>
          <w:sz w:val="20"/>
          <w:szCs w:val="20"/>
        </w:rPr>
      </w:pPr>
      <w:r>
        <w:rPr>
          <w:rFonts w:ascii="Times New Roman" w:hAnsi="Times New Roman"/>
          <w:color w:val="auto"/>
          <w:sz w:val="20"/>
          <w:szCs w:val="20"/>
        </w:rPr>
        <w:t>Pregnancy test: For female subjects only, except for postmenopausal women (amenorrhea for 2 years or longer and confirmed by follicle-stimulating hormone test) and women who have undergone hysterectomy, bilateral oophorectomy, or tubal ligation, blood pregnancy test shall be performed;</w:t>
      </w:r>
      <w:bookmarkStart w:id="34" w:name="_Hlk154584771"/>
      <w:r>
        <w:rPr>
          <w:rFonts w:ascii="Times New Roman" w:hAnsi="Times New Roman"/>
          <w:sz w:val="20"/>
          <w:szCs w:val="20"/>
        </w:rPr>
        <w:t xml:space="preserve"> </w:t>
      </w:r>
      <w:r>
        <w:rPr>
          <w:rFonts w:ascii="Times New Roman" w:hAnsi="Times New Roman"/>
          <w:color w:val="auto"/>
          <w:sz w:val="20"/>
          <w:szCs w:val="20"/>
        </w:rPr>
        <w:t>if there is no blood pregnancy test result within 3 days before administration on D0, urine pregnancy test should be performed before administration for confirmation</w:t>
      </w:r>
      <w:bookmarkEnd w:id="34"/>
      <w:r>
        <w:rPr>
          <w:rFonts w:ascii="Times New Roman" w:hAnsi="Times New Roman"/>
          <w:color w:val="auto"/>
          <w:sz w:val="20"/>
          <w:szCs w:val="20"/>
        </w:rPr>
        <w:t>;</w:t>
      </w:r>
    </w:p>
    <w:p w14:paraId="3FF3238B">
      <w:pPr>
        <w:pStyle w:val="78"/>
        <w:numPr>
          <w:ilvl w:val="0"/>
          <w:numId w:val="15"/>
        </w:numPr>
        <w:overflowPunct w:val="0"/>
        <w:autoSpaceDE w:val="0"/>
        <w:autoSpaceDN w:val="0"/>
        <w:adjustRightInd w:val="0"/>
        <w:snapToGrid w:val="0"/>
        <w:jc w:val="left"/>
        <w:rPr>
          <w:rFonts w:hAnsi="Times New Roman" w:eastAsia="宋体" w:cs="Times New Roman"/>
          <w:color w:val="auto"/>
          <w:sz w:val="20"/>
          <w:szCs w:val="20"/>
        </w:rPr>
      </w:pPr>
      <w:r>
        <w:rPr>
          <w:rFonts w:hAnsi="Times New Roman" w:cs="Times New Roman"/>
          <w:color w:val="auto"/>
          <w:sz w:val="20"/>
          <w:szCs w:val="20"/>
        </w:rPr>
        <w:t>Only for women requiring confirmation of menopause;</w:t>
      </w:r>
    </w:p>
    <w:p w14:paraId="6DA7699B">
      <w:pPr>
        <w:pStyle w:val="21"/>
        <w:numPr>
          <w:ilvl w:val="0"/>
          <w:numId w:val="15"/>
        </w:numPr>
        <w:overflowPunct w:val="0"/>
        <w:autoSpaceDE w:val="0"/>
        <w:autoSpaceDN w:val="0"/>
        <w:adjustRightInd w:val="0"/>
        <w:snapToGrid w:val="0"/>
        <w:spacing w:line="240" w:lineRule="auto"/>
        <w:ind w:firstLineChars="0"/>
        <w:jc w:val="left"/>
        <w:rPr>
          <w:rFonts w:ascii="Times New Roman" w:hAnsi="Times New Roman" w:eastAsia="宋体"/>
          <w:color w:val="auto"/>
          <w:sz w:val="20"/>
          <w:szCs w:val="20"/>
        </w:rPr>
      </w:pPr>
      <w:r>
        <w:rPr>
          <w:rFonts w:ascii="Times New Roman" w:hAnsi="Times New Roman"/>
          <w:color w:val="auto"/>
          <w:sz w:val="20"/>
          <w:szCs w:val="20"/>
        </w:rPr>
        <w:t xml:space="preserve">Blood samples will be collected under fasting (no caloric intake for at least 8 h) conditions; </w:t>
      </w:r>
    </w:p>
    <w:p w14:paraId="4A8B3E8B">
      <w:pPr>
        <w:pStyle w:val="21"/>
        <w:numPr>
          <w:ilvl w:val="0"/>
          <w:numId w:val="15"/>
        </w:numPr>
        <w:overflowPunct w:val="0"/>
        <w:autoSpaceDE w:val="0"/>
        <w:autoSpaceDN w:val="0"/>
        <w:adjustRightInd w:val="0"/>
        <w:snapToGrid w:val="0"/>
        <w:spacing w:line="240" w:lineRule="auto"/>
        <w:ind w:firstLineChars="0"/>
        <w:jc w:val="left"/>
        <w:rPr>
          <w:rFonts w:ascii="Times New Roman" w:hAnsi="Times New Roman" w:eastAsia="宋体"/>
          <w:color w:val="auto"/>
          <w:sz w:val="20"/>
          <w:szCs w:val="20"/>
        </w:rPr>
      </w:pPr>
      <w:bookmarkStart w:id="35" w:name="_Hlk154584803"/>
      <w:bookmarkStart w:id="36" w:name="_Hlk153459531"/>
      <w:r>
        <w:rPr>
          <w:rFonts w:ascii="Times New Roman" w:hAnsi="Times New Roman"/>
          <w:sz w:val="20"/>
          <w:szCs w:val="20"/>
        </w:rPr>
        <w:t xml:space="preserve">Sample collection </w:t>
      </w:r>
      <w:r>
        <w:rPr>
          <w:rFonts w:ascii="Times New Roman" w:hAnsi="Times New Roman"/>
          <w:color w:val="auto"/>
          <w:sz w:val="20"/>
          <w:szCs w:val="20"/>
        </w:rPr>
        <w:t>for the examination must be</w:t>
      </w:r>
      <w:bookmarkEnd w:id="35"/>
      <w:r>
        <w:rPr>
          <w:rFonts w:ascii="Times New Roman" w:hAnsi="Times New Roman"/>
          <w:sz w:val="20"/>
          <w:szCs w:val="20"/>
        </w:rPr>
        <w:t xml:space="preserve"> completed </w:t>
      </w:r>
      <w:r>
        <w:rPr>
          <w:rFonts w:ascii="Times New Roman" w:hAnsi="Times New Roman"/>
          <w:color w:val="auto"/>
          <w:sz w:val="20"/>
          <w:szCs w:val="20"/>
        </w:rPr>
        <w:t>before administration</w:t>
      </w:r>
      <w:bookmarkEnd w:id="36"/>
      <w:r>
        <w:rPr>
          <w:rFonts w:ascii="Times New Roman" w:hAnsi="Times New Roman"/>
          <w:color w:val="auto"/>
          <w:sz w:val="20"/>
          <w:szCs w:val="20"/>
        </w:rPr>
        <w:t>;</w:t>
      </w:r>
    </w:p>
    <w:p w14:paraId="5AEB2F3D">
      <w:pPr>
        <w:pStyle w:val="78"/>
        <w:numPr>
          <w:ilvl w:val="0"/>
          <w:numId w:val="15"/>
        </w:numPr>
        <w:overflowPunct w:val="0"/>
        <w:autoSpaceDE w:val="0"/>
        <w:autoSpaceDN w:val="0"/>
        <w:adjustRightInd w:val="0"/>
        <w:snapToGrid w:val="0"/>
        <w:jc w:val="left"/>
        <w:rPr>
          <w:rFonts w:hAnsi="Times New Roman" w:eastAsia="宋体" w:cs="Times New Roman"/>
          <w:color w:val="auto"/>
          <w:sz w:val="20"/>
          <w:szCs w:val="20"/>
        </w:rPr>
      </w:pPr>
      <w:r>
        <w:rPr>
          <w:rFonts w:hAnsi="Times New Roman" w:cs="Times New Roman"/>
          <w:color w:val="auto"/>
          <w:sz w:val="20"/>
          <w:szCs w:val="20"/>
        </w:rPr>
        <w:t>HbA1c blood samples from all visits should be sent to the central laboratory for testing; an additional tube of blood samples for HbA1c needs to be collected during the screening period for testing at the study site as screening basis;</w:t>
      </w:r>
    </w:p>
    <w:p w14:paraId="0B8021B6">
      <w:pPr>
        <w:pStyle w:val="21"/>
        <w:numPr>
          <w:ilvl w:val="0"/>
          <w:numId w:val="15"/>
        </w:numPr>
        <w:overflowPunct w:val="0"/>
        <w:autoSpaceDE w:val="0"/>
        <w:autoSpaceDN w:val="0"/>
        <w:adjustRightInd w:val="0"/>
        <w:snapToGrid w:val="0"/>
        <w:spacing w:line="240" w:lineRule="auto"/>
        <w:ind w:firstLineChars="0"/>
        <w:jc w:val="left"/>
        <w:rPr>
          <w:rFonts w:ascii="Times New Roman" w:hAnsi="Times New Roman" w:eastAsia="宋体"/>
          <w:color w:val="auto"/>
          <w:sz w:val="20"/>
          <w:szCs w:val="20"/>
        </w:rPr>
      </w:pPr>
      <w:bookmarkStart w:id="37" w:name="_Hlk154585266"/>
      <w:r>
        <w:rPr>
          <w:rFonts w:ascii="Times New Roman" w:hAnsi="Times New Roman"/>
          <w:color w:val="auto"/>
          <w:sz w:val="20"/>
          <w:szCs w:val="20"/>
        </w:rPr>
        <w:t>PK blood samples of RAY1225 will be collected once before the first dose, pre-dose at weeks 4, 8, 12, and 16, pre-dose and at 4–72 h and 96–240 h post-dose at week 22, at week 24 or 26, and at early withdrawal. Each subject will have up to 10 blood sampling points, with approximately 4 mL of blood to be drawn each time</w:t>
      </w:r>
      <w:bookmarkEnd w:id="27"/>
      <w:bookmarkEnd w:id="37"/>
      <w:r>
        <w:rPr>
          <w:rFonts w:ascii="Times New Roman" w:hAnsi="Times New Roman"/>
          <w:color w:val="auto"/>
          <w:sz w:val="20"/>
          <w:szCs w:val="20"/>
        </w:rPr>
        <w:t>;</w:t>
      </w:r>
    </w:p>
    <w:p w14:paraId="2845237E">
      <w:pPr>
        <w:pStyle w:val="78"/>
        <w:numPr>
          <w:ilvl w:val="0"/>
          <w:numId w:val="15"/>
        </w:numPr>
        <w:overflowPunct w:val="0"/>
        <w:autoSpaceDE w:val="0"/>
        <w:autoSpaceDN w:val="0"/>
        <w:adjustRightInd w:val="0"/>
        <w:snapToGrid w:val="0"/>
        <w:jc w:val="left"/>
        <w:rPr>
          <w:rFonts w:hAnsi="Times New Roman" w:eastAsia="宋体" w:cs="Times New Roman"/>
          <w:color w:val="auto"/>
          <w:sz w:val="20"/>
          <w:szCs w:val="20"/>
        </w:rPr>
      </w:pPr>
      <w:r>
        <w:rPr>
          <w:rFonts w:hAnsi="Times New Roman" w:cs="Times New Roman"/>
          <w:color w:val="auto"/>
          <w:sz w:val="20"/>
          <w:szCs w:val="20"/>
        </w:rPr>
        <w:t>If blood sample collection for immunogenicity test and subcutaneous administration of RAY1225 are on the same day, blood sampling should be completed before administration.</w:t>
      </w:r>
    </w:p>
    <w:p w14:paraId="4B8D34EC">
      <w:pPr>
        <w:pStyle w:val="2"/>
        <w:overflowPunct w:val="0"/>
        <w:autoSpaceDE w:val="0"/>
        <w:autoSpaceDN w:val="0"/>
        <w:adjustRightInd w:val="0"/>
        <w:snapToGrid w:val="0"/>
        <w:spacing w:before="120" w:beforeLines="50" w:afterLines="50" w:line="300" w:lineRule="auto"/>
        <w:rPr>
          <w:rFonts w:eastAsia="宋体"/>
          <w:lang w:eastAsia="zh-CN"/>
        </w:rPr>
        <w:sectPr>
          <w:headerReference r:id="rId16" w:type="first"/>
          <w:headerReference r:id="rId15" w:type="default"/>
          <w:endnotePr>
            <w:numFmt w:val="decimal"/>
          </w:endnotePr>
          <w:pgSz w:w="15840" w:h="12240" w:orient="landscape"/>
          <w:pgMar w:top="1440" w:right="1440" w:bottom="1440" w:left="1440" w:header="1418" w:footer="720" w:gutter="0"/>
          <w:cols w:space="0" w:num="1"/>
          <w:titlePg/>
          <w:docGrid w:linePitch="326" w:charSpace="0"/>
        </w:sectPr>
      </w:pPr>
    </w:p>
    <w:p w14:paraId="4B134787">
      <w:pPr>
        <w:pStyle w:val="15"/>
        <w:rPr>
          <w:rFonts w:eastAsia="宋体"/>
        </w:rPr>
      </w:pPr>
      <w:bookmarkStart w:id="38" w:name="_Toc159511676"/>
      <w:r>
        <w:t xml:space="preserve">Table </w:t>
      </w:r>
      <w:r>
        <w:rPr>
          <w:rFonts w:eastAsia="宋体"/>
        </w:rPr>
        <w:fldChar w:fldCharType="begin"/>
      </w:r>
      <w:r>
        <w:rPr>
          <w:rFonts w:eastAsia="宋体"/>
        </w:rPr>
        <w:instrText xml:space="preserve"> SEQ 表 \* ARABIC </w:instrText>
      </w:r>
      <w:r>
        <w:rPr>
          <w:rFonts w:eastAsia="宋体"/>
        </w:rPr>
        <w:fldChar w:fldCharType="separate"/>
      </w:r>
      <w:r>
        <w:rPr>
          <w:rFonts w:eastAsia="宋体"/>
        </w:rPr>
        <w:t>2</w:t>
      </w:r>
      <w:r>
        <w:rPr>
          <w:rFonts w:eastAsia="宋体"/>
        </w:rPr>
        <w:fldChar w:fldCharType="end"/>
      </w:r>
      <w:r>
        <w:t>. Schedule of Part B dose escalation study procedures</w:t>
      </w:r>
      <w:bookmarkEnd w:id="38"/>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57" w:type="dxa"/>
          <w:bottom w:w="28" w:type="dxa"/>
          <w:right w:w="57" w:type="dxa"/>
        </w:tblCellMar>
      </w:tblPr>
      <w:tblGrid>
        <w:gridCol w:w="1977"/>
        <w:gridCol w:w="533"/>
        <w:gridCol w:w="399"/>
        <w:gridCol w:w="396"/>
        <w:gridCol w:w="382"/>
        <w:gridCol w:w="382"/>
        <w:gridCol w:w="382"/>
        <w:gridCol w:w="382"/>
        <w:gridCol w:w="382"/>
        <w:gridCol w:w="382"/>
        <w:gridCol w:w="432"/>
        <w:gridCol w:w="460"/>
        <w:gridCol w:w="461"/>
        <w:gridCol w:w="461"/>
        <w:gridCol w:w="461"/>
        <w:gridCol w:w="461"/>
        <w:gridCol w:w="461"/>
        <w:gridCol w:w="461"/>
        <w:gridCol w:w="461"/>
        <w:gridCol w:w="461"/>
        <w:gridCol w:w="461"/>
        <w:gridCol w:w="461"/>
        <w:gridCol w:w="461"/>
        <w:gridCol w:w="461"/>
        <w:gridCol w:w="1053"/>
      </w:tblGrid>
      <w:tr w14:paraId="4BA1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blHeader/>
        </w:trPr>
        <w:tc>
          <w:tcPr>
            <w:tcW w:w="2405" w:type="dxa"/>
            <w:tcMar>
              <w:top w:w="28" w:type="dxa"/>
              <w:left w:w="57" w:type="dxa"/>
              <w:bottom w:w="28" w:type="dxa"/>
              <w:right w:w="57" w:type="dxa"/>
            </w:tcMar>
            <w:vAlign w:val="center"/>
          </w:tcPr>
          <w:p w14:paraId="6350630D">
            <w:pPr>
              <w:overflowPunct w:val="0"/>
              <w:autoSpaceDE w:val="0"/>
              <w:autoSpaceDN w:val="0"/>
              <w:adjustRightInd w:val="0"/>
              <w:snapToGrid w:val="0"/>
              <w:jc w:val="center"/>
              <w:rPr>
                <w:rFonts w:eastAsia="宋体"/>
                <w:b/>
                <w:bCs/>
                <w:sz w:val="18"/>
                <w:szCs w:val="18"/>
              </w:rPr>
            </w:pPr>
            <w:bookmarkStart w:id="39" w:name="_Hlk152262416"/>
            <w:r>
              <w:rPr>
                <w:b/>
                <w:bCs/>
                <w:sz w:val="18"/>
                <w:szCs w:val="18"/>
              </w:rPr>
              <w:t>Study procedure</w:t>
            </w:r>
          </w:p>
        </w:tc>
        <w:tc>
          <w:tcPr>
            <w:tcW w:w="1007" w:type="dxa"/>
            <w:gridSpan w:val="2"/>
            <w:shd w:val="clear" w:color="auto" w:fill="auto"/>
            <w:tcMar>
              <w:top w:w="28" w:type="dxa"/>
              <w:left w:w="57" w:type="dxa"/>
              <w:bottom w:w="28" w:type="dxa"/>
              <w:right w:w="57" w:type="dxa"/>
            </w:tcMar>
            <w:vAlign w:val="center"/>
          </w:tcPr>
          <w:p w14:paraId="1DF4C8F5">
            <w:pPr>
              <w:overflowPunct w:val="0"/>
              <w:autoSpaceDE w:val="0"/>
              <w:autoSpaceDN w:val="0"/>
              <w:adjustRightInd w:val="0"/>
              <w:snapToGrid w:val="0"/>
              <w:jc w:val="center"/>
              <w:rPr>
                <w:rFonts w:eastAsia="宋体"/>
                <w:b/>
                <w:bCs/>
                <w:sz w:val="18"/>
                <w:szCs w:val="18"/>
              </w:rPr>
            </w:pPr>
            <w:r>
              <w:rPr>
                <w:b/>
                <w:bCs/>
                <w:sz w:val="18"/>
                <w:szCs w:val="18"/>
              </w:rPr>
              <w:t>Screening visits</w:t>
            </w:r>
            <w:r>
              <w:rPr>
                <w:b/>
                <w:bCs/>
                <w:sz w:val="18"/>
                <w:szCs w:val="18"/>
                <w:vertAlign w:val="superscript"/>
              </w:rPr>
              <w:t>1</w:t>
            </w:r>
          </w:p>
        </w:tc>
        <w:tc>
          <w:tcPr>
            <w:tcW w:w="10965" w:type="dxa"/>
            <w:gridSpan w:val="22"/>
            <w:tcMar>
              <w:top w:w="28" w:type="dxa"/>
              <w:left w:w="57" w:type="dxa"/>
              <w:bottom w:w="28" w:type="dxa"/>
              <w:right w:w="57" w:type="dxa"/>
            </w:tcMar>
          </w:tcPr>
          <w:p w14:paraId="52CE33AC">
            <w:pPr>
              <w:overflowPunct w:val="0"/>
              <w:autoSpaceDE w:val="0"/>
              <w:autoSpaceDN w:val="0"/>
              <w:adjustRightInd w:val="0"/>
              <w:snapToGrid w:val="0"/>
              <w:jc w:val="center"/>
              <w:rPr>
                <w:rFonts w:eastAsia="宋体"/>
                <w:b/>
                <w:bCs/>
                <w:sz w:val="18"/>
                <w:szCs w:val="18"/>
              </w:rPr>
            </w:pPr>
            <w:r>
              <w:rPr>
                <w:b/>
                <w:bCs/>
                <w:sz w:val="18"/>
                <w:szCs w:val="18"/>
              </w:rPr>
              <w:t>Treatment and observation periods</w:t>
            </w:r>
          </w:p>
        </w:tc>
      </w:tr>
      <w:tr w14:paraId="3B84C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blHeader/>
        </w:trPr>
        <w:tc>
          <w:tcPr>
            <w:tcW w:w="2405" w:type="dxa"/>
            <w:tcMar>
              <w:top w:w="28" w:type="dxa"/>
              <w:left w:w="57" w:type="dxa"/>
              <w:bottom w:w="28" w:type="dxa"/>
              <w:right w:w="57" w:type="dxa"/>
            </w:tcMar>
            <w:vAlign w:val="center"/>
          </w:tcPr>
          <w:p w14:paraId="01E41C04">
            <w:pPr>
              <w:overflowPunct w:val="0"/>
              <w:autoSpaceDE w:val="0"/>
              <w:autoSpaceDN w:val="0"/>
              <w:adjustRightInd w:val="0"/>
              <w:snapToGrid w:val="0"/>
              <w:jc w:val="center"/>
              <w:rPr>
                <w:rFonts w:eastAsia="宋体"/>
                <w:b/>
                <w:bCs/>
                <w:sz w:val="18"/>
                <w:szCs w:val="18"/>
              </w:rPr>
            </w:pPr>
            <w:r>
              <w:rPr>
                <w:b/>
                <w:bCs/>
                <w:sz w:val="18"/>
                <w:szCs w:val="18"/>
              </w:rPr>
              <w:t>Visit</w:t>
            </w:r>
          </w:p>
        </w:tc>
        <w:tc>
          <w:tcPr>
            <w:tcW w:w="582" w:type="dxa"/>
            <w:shd w:val="clear" w:color="auto" w:fill="auto"/>
            <w:tcMar>
              <w:top w:w="28" w:type="dxa"/>
              <w:left w:w="57" w:type="dxa"/>
              <w:bottom w:w="28" w:type="dxa"/>
              <w:right w:w="57" w:type="dxa"/>
            </w:tcMar>
            <w:vAlign w:val="center"/>
          </w:tcPr>
          <w:p w14:paraId="271379D4">
            <w:pPr>
              <w:overflowPunct w:val="0"/>
              <w:autoSpaceDE w:val="0"/>
              <w:autoSpaceDN w:val="0"/>
              <w:adjustRightInd w:val="0"/>
              <w:snapToGrid w:val="0"/>
              <w:jc w:val="center"/>
              <w:rPr>
                <w:rFonts w:eastAsia="宋体"/>
                <w:b/>
                <w:bCs/>
                <w:sz w:val="18"/>
                <w:szCs w:val="18"/>
              </w:rPr>
            </w:pPr>
            <w:r>
              <w:rPr>
                <w:b/>
                <w:bCs/>
                <w:sz w:val="18"/>
                <w:szCs w:val="18"/>
              </w:rPr>
              <w:t>V1</w:t>
            </w:r>
          </w:p>
        </w:tc>
        <w:tc>
          <w:tcPr>
            <w:tcW w:w="425" w:type="dxa"/>
            <w:shd w:val="clear" w:color="auto" w:fill="auto"/>
            <w:tcMar>
              <w:top w:w="28" w:type="dxa"/>
              <w:left w:w="57" w:type="dxa"/>
              <w:bottom w:w="28" w:type="dxa"/>
              <w:right w:w="57" w:type="dxa"/>
            </w:tcMar>
            <w:vAlign w:val="center"/>
          </w:tcPr>
          <w:p w14:paraId="31359296">
            <w:pPr>
              <w:overflowPunct w:val="0"/>
              <w:autoSpaceDE w:val="0"/>
              <w:autoSpaceDN w:val="0"/>
              <w:adjustRightInd w:val="0"/>
              <w:snapToGrid w:val="0"/>
              <w:jc w:val="center"/>
              <w:rPr>
                <w:rFonts w:eastAsia="宋体"/>
                <w:b/>
                <w:bCs/>
                <w:sz w:val="18"/>
                <w:szCs w:val="18"/>
              </w:rPr>
            </w:pPr>
            <w:r>
              <w:rPr>
                <w:b/>
                <w:bCs/>
                <w:sz w:val="18"/>
                <w:szCs w:val="18"/>
              </w:rPr>
              <w:t>V2</w:t>
            </w:r>
          </w:p>
        </w:tc>
        <w:tc>
          <w:tcPr>
            <w:tcW w:w="443" w:type="dxa"/>
            <w:shd w:val="clear" w:color="auto" w:fill="F1F1F1" w:themeFill="background1" w:themeFillShade="F2"/>
            <w:tcMar>
              <w:top w:w="28" w:type="dxa"/>
              <w:left w:w="57" w:type="dxa"/>
              <w:bottom w:w="28" w:type="dxa"/>
              <w:right w:w="57" w:type="dxa"/>
            </w:tcMar>
            <w:vAlign w:val="center"/>
          </w:tcPr>
          <w:p w14:paraId="6F45436E">
            <w:pPr>
              <w:overflowPunct w:val="0"/>
              <w:autoSpaceDE w:val="0"/>
              <w:autoSpaceDN w:val="0"/>
              <w:adjustRightInd w:val="0"/>
              <w:snapToGrid w:val="0"/>
              <w:jc w:val="center"/>
              <w:rPr>
                <w:rFonts w:eastAsia="宋体"/>
                <w:b/>
                <w:bCs/>
                <w:sz w:val="18"/>
                <w:szCs w:val="18"/>
              </w:rPr>
            </w:pPr>
            <w:r>
              <w:rPr>
                <w:b/>
                <w:bCs/>
                <w:sz w:val="18"/>
                <w:szCs w:val="18"/>
              </w:rPr>
              <w:t>V3</w:t>
            </w:r>
          </w:p>
        </w:tc>
        <w:tc>
          <w:tcPr>
            <w:tcW w:w="443" w:type="dxa"/>
            <w:shd w:val="clear" w:color="auto" w:fill="F1F1F1" w:themeFill="background1" w:themeFillShade="F2"/>
            <w:tcMar>
              <w:top w:w="28" w:type="dxa"/>
              <w:left w:w="57" w:type="dxa"/>
              <w:bottom w:w="28" w:type="dxa"/>
              <w:right w:w="57" w:type="dxa"/>
            </w:tcMar>
            <w:vAlign w:val="center"/>
          </w:tcPr>
          <w:p w14:paraId="4F38C2FA">
            <w:pPr>
              <w:overflowPunct w:val="0"/>
              <w:autoSpaceDE w:val="0"/>
              <w:autoSpaceDN w:val="0"/>
              <w:adjustRightInd w:val="0"/>
              <w:snapToGrid w:val="0"/>
              <w:jc w:val="center"/>
              <w:rPr>
                <w:rFonts w:eastAsia="宋体"/>
                <w:b/>
                <w:bCs/>
                <w:sz w:val="18"/>
                <w:szCs w:val="18"/>
              </w:rPr>
            </w:pPr>
            <w:r>
              <w:rPr>
                <w:b/>
                <w:bCs/>
                <w:sz w:val="18"/>
                <w:szCs w:val="18"/>
              </w:rPr>
              <w:t>V4</w:t>
            </w:r>
          </w:p>
        </w:tc>
        <w:tc>
          <w:tcPr>
            <w:tcW w:w="443" w:type="dxa"/>
            <w:shd w:val="clear" w:color="auto" w:fill="F1F1F1" w:themeFill="background1" w:themeFillShade="F2"/>
            <w:tcMar>
              <w:top w:w="28" w:type="dxa"/>
              <w:left w:w="57" w:type="dxa"/>
              <w:bottom w:w="28" w:type="dxa"/>
              <w:right w:w="57" w:type="dxa"/>
            </w:tcMar>
            <w:vAlign w:val="center"/>
          </w:tcPr>
          <w:p w14:paraId="4F9CDFF0">
            <w:pPr>
              <w:overflowPunct w:val="0"/>
              <w:autoSpaceDE w:val="0"/>
              <w:autoSpaceDN w:val="0"/>
              <w:adjustRightInd w:val="0"/>
              <w:snapToGrid w:val="0"/>
              <w:jc w:val="center"/>
              <w:rPr>
                <w:rFonts w:eastAsia="宋体"/>
                <w:b/>
                <w:bCs/>
                <w:sz w:val="18"/>
                <w:szCs w:val="18"/>
              </w:rPr>
            </w:pPr>
            <w:r>
              <w:rPr>
                <w:b/>
                <w:bCs/>
                <w:sz w:val="18"/>
                <w:szCs w:val="18"/>
              </w:rPr>
              <w:t>V5</w:t>
            </w:r>
          </w:p>
        </w:tc>
        <w:tc>
          <w:tcPr>
            <w:tcW w:w="443" w:type="dxa"/>
            <w:shd w:val="clear" w:color="auto" w:fill="F1F1F1" w:themeFill="background1" w:themeFillShade="F2"/>
            <w:tcMar>
              <w:top w:w="28" w:type="dxa"/>
              <w:left w:w="57" w:type="dxa"/>
              <w:bottom w:w="28" w:type="dxa"/>
              <w:right w:w="57" w:type="dxa"/>
            </w:tcMar>
            <w:vAlign w:val="center"/>
          </w:tcPr>
          <w:p w14:paraId="5047E256">
            <w:pPr>
              <w:overflowPunct w:val="0"/>
              <w:autoSpaceDE w:val="0"/>
              <w:autoSpaceDN w:val="0"/>
              <w:adjustRightInd w:val="0"/>
              <w:snapToGrid w:val="0"/>
              <w:jc w:val="center"/>
              <w:rPr>
                <w:rFonts w:eastAsia="宋体"/>
                <w:b/>
                <w:bCs/>
                <w:sz w:val="18"/>
                <w:szCs w:val="18"/>
              </w:rPr>
            </w:pPr>
            <w:r>
              <w:rPr>
                <w:b/>
                <w:bCs/>
                <w:sz w:val="18"/>
                <w:szCs w:val="18"/>
              </w:rPr>
              <w:t>V6</w:t>
            </w:r>
          </w:p>
        </w:tc>
        <w:tc>
          <w:tcPr>
            <w:tcW w:w="443" w:type="dxa"/>
            <w:shd w:val="clear" w:color="auto" w:fill="F1F1F1" w:themeFill="background1" w:themeFillShade="F2"/>
            <w:tcMar>
              <w:top w:w="28" w:type="dxa"/>
              <w:left w:w="57" w:type="dxa"/>
              <w:bottom w:w="28" w:type="dxa"/>
              <w:right w:w="57" w:type="dxa"/>
            </w:tcMar>
            <w:vAlign w:val="center"/>
          </w:tcPr>
          <w:p w14:paraId="70C2E983">
            <w:pPr>
              <w:overflowPunct w:val="0"/>
              <w:autoSpaceDE w:val="0"/>
              <w:autoSpaceDN w:val="0"/>
              <w:adjustRightInd w:val="0"/>
              <w:snapToGrid w:val="0"/>
              <w:jc w:val="center"/>
              <w:rPr>
                <w:rFonts w:eastAsia="宋体"/>
                <w:b/>
                <w:bCs/>
                <w:sz w:val="18"/>
                <w:szCs w:val="18"/>
              </w:rPr>
            </w:pPr>
            <w:r>
              <w:rPr>
                <w:b/>
                <w:bCs/>
                <w:sz w:val="18"/>
                <w:szCs w:val="18"/>
              </w:rPr>
              <w:t>V7</w:t>
            </w:r>
          </w:p>
        </w:tc>
        <w:tc>
          <w:tcPr>
            <w:tcW w:w="443" w:type="dxa"/>
            <w:shd w:val="clear" w:color="auto" w:fill="F1F1F1" w:themeFill="background1" w:themeFillShade="F2"/>
            <w:tcMar>
              <w:top w:w="28" w:type="dxa"/>
              <w:left w:w="57" w:type="dxa"/>
              <w:bottom w:w="28" w:type="dxa"/>
              <w:right w:w="57" w:type="dxa"/>
            </w:tcMar>
            <w:vAlign w:val="center"/>
          </w:tcPr>
          <w:p w14:paraId="0085327E">
            <w:pPr>
              <w:overflowPunct w:val="0"/>
              <w:autoSpaceDE w:val="0"/>
              <w:autoSpaceDN w:val="0"/>
              <w:adjustRightInd w:val="0"/>
              <w:snapToGrid w:val="0"/>
              <w:jc w:val="center"/>
              <w:rPr>
                <w:rFonts w:eastAsia="宋体"/>
                <w:b/>
                <w:bCs/>
                <w:sz w:val="18"/>
                <w:szCs w:val="18"/>
              </w:rPr>
            </w:pPr>
            <w:r>
              <w:rPr>
                <w:b/>
                <w:bCs/>
                <w:sz w:val="18"/>
                <w:szCs w:val="18"/>
              </w:rPr>
              <w:t>V8</w:t>
            </w:r>
          </w:p>
        </w:tc>
        <w:tc>
          <w:tcPr>
            <w:tcW w:w="443" w:type="dxa"/>
            <w:shd w:val="clear" w:color="auto" w:fill="F2F2F2" w:themeFill="background2" w:themeFillTint="33"/>
            <w:tcMar>
              <w:top w:w="28" w:type="dxa"/>
              <w:left w:w="57" w:type="dxa"/>
              <w:bottom w:w="28" w:type="dxa"/>
              <w:right w:w="57" w:type="dxa"/>
            </w:tcMar>
            <w:vAlign w:val="center"/>
          </w:tcPr>
          <w:p w14:paraId="10EEAE78">
            <w:pPr>
              <w:overflowPunct w:val="0"/>
              <w:autoSpaceDE w:val="0"/>
              <w:autoSpaceDN w:val="0"/>
              <w:adjustRightInd w:val="0"/>
              <w:snapToGrid w:val="0"/>
              <w:jc w:val="center"/>
              <w:rPr>
                <w:rFonts w:eastAsia="宋体"/>
                <w:b/>
                <w:bCs/>
                <w:sz w:val="18"/>
                <w:szCs w:val="18"/>
              </w:rPr>
            </w:pPr>
            <w:r>
              <w:rPr>
                <w:b/>
                <w:bCs/>
                <w:sz w:val="18"/>
                <w:szCs w:val="18"/>
              </w:rPr>
              <w:t>V9</w:t>
            </w:r>
          </w:p>
        </w:tc>
        <w:tc>
          <w:tcPr>
            <w:tcW w:w="443" w:type="dxa"/>
            <w:shd w:val="clear" w:color="auto" w:fill="F2F2F2" w:themeFill="background2" w:themeFillTint="33"/>
            <w:tcMar>
              <w:top w:w="28" w:type="dxa"/>
              <w:left w:w="57" w:type="dxa"/>
              <w:bottom w:w="28" w:type="dxa"/>
              <w:right w:w="57" w:type="dxa"/>
            </w:tcMar>
            <w:vAlign w:val="center"/>
          </w:tcPr>
          <w:p w14:paraId="2FA7E8E5">
            <w:pPr>
              <w:overflowPunct w:val="0"/>
              <w:autoSpaceDE w:val="0"/>
              <w:autoSpaceDN w:val="0"/>
              <w:adjustRightInd w:val="0"/>
              <w:snapToGrid w:val="0"/>
              <w:jc w:val="center"/>
              <w:rPr>
                <w:rFonts w:eastAsia="宋体"/>
                <w:b/>
                <w:bCs/>
                <w:sz w:val="18"/>
                <w:szCs w:val="18"/>
              </w:rPr>
            </w:pPr>
            <w:r>
              <w:rPr>
                <w:b/>
                <w:bCs/>
                <w:sz w:val="18"/>
                <w:szCs w:val="18"/>
              </w:rPr>
              <w:t>V10</w:t>
            </w:r>
          </w:p>
        </w:tc>
        <w:tc>
          <w:tcPr>
            <w:tcW w:w="507" w:type="dxa"/>
            <w:shd w:val="clear" w:color="auto" w:fill="F2F2F2" w:themeFill="background2" w:themeFillTint="33"/>
            <w:tcMar>
              <w:top w:w="28" w:type="dxa"/>
              <w:left w:w="57" w:type="dxa"/>
              <w:bottom w:w="28" w:type="dxa"/>
              <w:right w:w="57" w:type="dxa"/>
            </w:tcMar>
            <w:vAlign w:val="center"/>
          </w:tcPr>
          <w:p w14:paraId="579E5A1E">
            <w:pPr>
              <w:overflowPunct w:val="0"/>
              <w:autoSpaceDE w:val="0"/>
              <w:autoSpaceDN w:val="0"/>
              <w:adjustRightInd w:val="0"/>
              <w:snapToGrid w:val="0"/>
              <w:jc w:val="center"/>
              <w:rPr>
                <w:rFonts w:eastAsia="宋体"/>
                <w:b/>
                <w:bCs/>
                <w:sz w:val="18"/>
                <w:szCs w:val="18"/>
              </w:rPr>
            </w:pPr>
            <w:r>
              <w:rPr>
                <w:b/>
                <w:bCs/>
                <w:sz w:val="18"/>
                <w:szCs w:val="18"/>
              </w:rPr>
              <w:t>V11</w:t>
            </w:r>
          </w:p>
        </w:tc>
        <w:tc>
          <w:tcPr>
            <w:tcW w:w="508" w:type="dxa"/>
            <w:shd w:val="clear" w:color="auto" w:fill="F2F2F2" w:themeFill="background2" w:themeFillTint="33"/>
            <w:tcMar>
              <w:top w:w="28" w:type="dxa"/>
              <w:left w:w="57" w:type="dxa"/>
              <w:bottom w:w="28" w:type="dxa"/>
              <w:right w:w="57" w:type="dxa"/>
            </w:tcMar>
            <w:vAlign w:val="center"/>
          </w:tcPr>
          <w:p w14:paraId="70F40694">
            <w:pPr>
              <w:overflowPunct w:val="0"/>
              <w:autoSpaceDE w:val="0"/>
              <w:autoSpaceDN w:val="0"/>
              <w:adjustRightInd w:val="0"/>
              <w:snapToGrid w:val="0"/>
              <w:jc w:val="center"/>
              <w:rPr>
                <w:rFonts w:eastAsia="宋体"/>
                <w:b/>
                <w:bCs/>
                <w:sz w:val="18"/>
                <w:szCs w:val="18"/>
              </w:rPr>
            </w:pPr>
            <w:r>
              <w:rPr>
                <w:b/>
                <w:bCs/>
                <w:sz w:val="18"/>
                <w:szCs w:val="18"/>
              </w:rPr>
              <w:t>V12</w:t>
            </w:r>
          </w:p>
        </w:tc>
        <w:tc>
          <w:tcPr>
            <w:tcW w:w="508" w:type="dxa"/>
            <w:shd w:val="clear" w:color="auto" w:fill="F2F2F2" w:themeFill="background2" w:themeFillTint="33"/>
            <w:tcMar>
              <w:top w:w="28" w:type="dxa"/>
              <w:left w:w="57" w:type="dxa"/>
              <w:bottom w:w="28" w:type="dxa"/>
              <w:right w:w="57" w:type="dxa"/>
            </w:tcMar>
            <w:vAlign w:val="center"/>
          </w:tcPr>
          <w:p w14:paraId="5CAD3D78">
            <w:pPr>
              <w:overflowPunct w:val="0"/>
              <w:autoSpaceDE w:val="0"/>
              <w:autoSpaceDN w:val="0"/>
              <w:adjustRightInd w:val="0"/>
              <w:snapToGrid w:val="0"/>
              <w:jc w:val="center"/>
              <w:rPr>
                <w:rFonts w:eastAsia="宋体"/>
                <w:b/>
                <w:bCs/>
                <w:sz w:val="18"/>
                <w:szCs w:val="18"/>
              </w:rPr>
            </w:pPr>
            <w:r>
              <w:rPr>
                <w:b/>
                <w:bCs/>
                <w:sz w:val="18"/>
                <w:szCs w:val="18"/>
              </w:rPr>
              <w:t>V13</w:t>
            </w:r>
          </w:p>
        </w:tc>
        <w:tc>
          <w:tcPr>
            <w:tcW w:w="508" w:type="dxa"/>
            <w:shd w:val="clear" w:color="auto" w:fill="F2F2F2" w:themeFill="background2" w:themeFillTint="33"/>
            <w:tcMar>
              <w:top w:w="28" w:type="dxa"/>
              <w:left w:w="57" w:type="dxa"/>
              <w:bottom w:w="28" w:type="dxa"/>
              <w:right w:w="57" w:type="dxa"/>
            </w:tcMar>
            <w:vAlign w:val="center"/>
          </w:tcPr>
          <w:p w14:paraId="7D1C1F66">
            <w:pPr>
              <w:overflowPunct w:val="0"/>
              <w:autoSpaceDE w:val="0"/>
              <w:autoSpaceDN w:val="0"/>
              <w:adjustRightInd w:val="0"/>
              <w:snapToGrid w:val="0"/>
              <w:jc w:val="center"/>
              <w:rPr>
                <w:rFonts w:eastAsia="宋体"/>
                <w:b/>
                <w:bCs/>
                <w:sz w:val="18"/>
                <w:szCs w:val="18"/>
              </w:rPr>
            </w:pPr>
            <w:r>
              <w:rPr>
                <w:b/>
                <w:bCs/>
                <w:sz w:val="18"/>
                <w:szCs w:val="18"/>
              </w:rPr>
              <w:t>V14</w:t>
            </w:r>
          </w:p>
        </w:tc>
        <w:tc>
          <w:tcPr>
            <w:tcW w:w="508" w:type="dxa"/>
            <w:tcMar>
              <w:top w:w="28" w:type="dxa"/>
              <w:left w:w="57" w:type="dxa"/>
              <w:bottom w:w="28" w:type="dxa"/>
              <w:right w:w="57" w:type="dxa"/>
            </w:tcMar>
            <w:vAlign w:val="center"/>
          </w:tcPr>
          <w:p w14:paraId="3AED8118">
            <w:pPr>
              <w:overflowPunct w:val="0"/>
              <w:autoSpaceDE w:val="0"/>
              <w:autoSpaceDN w:val="0"/>
              <w:adjustRightInd w:val="0"/>
              <w:snapToGrid w:val="0"/>
              <w:jc w:val="center"/>
              <w:rPr>
                <w:rFonts w:eastAsia="宋体"/>
                <w:b/>
                <w:bCs/>
                <w:sz w:val="18"/>
                <w:szCs w:val="18"/>
              </w:rPr>
            </w:pPr>
            <w:r>
              <w:rPr>
                <w:b/>
                <w:bCs/>
                <w:sz w:val="18"/>
                <w:szCs w:val="18"/>
              </w:rPr>
              <w:t>V15</w:t>
            </w:r>
          </w:p>
        </w:tc>
        <w:tc>
          <w:tcPr>
            <w:tcW w:w="508" w:type="dxa"/>
            <w:tcMar>
              <w:top w:w="28" w:type="dxa"/>
              <w:left w:w="57" w:type="dxa"/>
              <w:bottom w:w="28" w:type="dxa"/>
              <w:right w:w="57" w:type="dxa"/>
            </w:tcMar>
            <w:vAlign w:val="center"/>
          </w:tcPr>
          <w:p w14:paraId="56066470">
            <w:pPr>
              <w:overflowPunct w:val="0"/>
              <w:autoSpaceDE w:val="0"/>
              <w:autoSpaceDN w:val="0"/>
              <w:adjustRightInd w:val="0"/>
              <w:snapToGrid w:val="0"/>
              <w:jc w:val="center"/>
              <w:rPr>
                <w:rFonts w:eastAsia="宋体"/>
                <w:b/>
                <w:bCs/>
                <w:sz w:val="18"/>
                <w:szCs w:val="18"/>
              </w:rPr>
            </w:pPr>
            <w:r>
              <w:rPr>
                <w:b/>
                <w:bCs/>
                <w:sz w:val="18"/>
                <w:szCs w:val="18"/>
              </w:rPr>
              <w:t>V16</w:t>
            </w:r>
          </w:p>
        </w:tc>
        <w:tc>
          <w:tcPr>
            <w:tcW w:w="508" w:type="dxa"/>
            <w:tcMar>
              <w:top w:w="28" w:type="dxa"/>
              <w:left w:w="57" w:type="dxa"/>
              <w:bottom w:w="28" w:type="dxa"/>
              <w:right w:w="57" w:type="dxa"/>
            </w:tcMar>
            <w:vAlign w:val="center"/>
          </w:tcPr>
          <w:p w14:paraId="447E4511">
            <w:pPr>
              <w:overflowPunct w:val="0"/>
              <w:autoSpaceDE w:val="0"/>
              <w:autoSpaceDN w:val="0"/>
              <w:adjustRightInd w:val="0"/>
              <w:snapToGrid w:val="0"/>
              <w:jc w:val="center"/>
              <w:rPr>
                <w:rFonts w:eastAsia="宋体"/>
                <w:b/>
                <w:bCs/>
                <w:sz w:val="18"/>
                <w:szCs w:val="18"/>
              </w:rPr>
            </w:pPr>
            <w:r>
              <w:rPr>
                <w:b/>
                <w:bCs/>
                <w:sz w:val="18"/>
                <w:szCs w:val="18"/>
              </w:rPr>
              <w:t>V17</w:t>
            </w:r>
          </w:p>
        </w:tc>
        <w:tc>
          <w:tcPr>
            <w:tcW w:w="508" w:type="dxa"/>
            <w:tcMar>
              <w:top w:w="28" w:type="dxa"/>
              <w:left w:w="57" w:type="dxa"/>
              <w:bottom w:w="28" w:type="dxa"/>
              <w:right w:w="57" w:type="dxa"/>
            </w:tcMar>
            <w:vAlign w:val="center"/>
          </w:tcPr>
          <w:p w14:paraId="3B2C84BA">
            <w:pPr>
              <w:overflowPunct w:val="0"/>
              <w:autoSpaceDE w:val="0"/>
              <w:autoSpaceDN w:val="0"/>
              <w:adjustRightInd w:val="0"/>
              <w:snapToGrid w:val="0"/>
              <w:jc w:val="center"/>
              <w:rPr>
                <w:rFonts w:eastAsia="宋体"/>
                <w:b/>
                <w:bCs/>
                <w:sz w:val="18"/>
                <w:szCs w:val="18"/>
              </w:rPr>
            </w:pPr>
            <w:r>
              <w:rPr>
                <w:b/>
                <w:bCs/>
                <w:sz w:val="18"/>
                <w:szCs w:val="18"/>
              </w:rPr>
              <w:t>V18</w:t>
            </w:r>
          </w:p>
        </w:tc>
        <w:tc>
          <w:tcPr>
            <w:tcW w:w="508" w:type="dxa"/>
            <w:tcMar>
              <w:top w:w="28" w:type="dxa"/>
              <w:left w:w="57" w:type="dxa"/>
              <w:bottom w:w="28" w:type="dxa"/>
              <w:right w:w="57" w:type="dxa"/>
            </w:tcMar>
            <w:vAlign w:val="center"/>
          </w:tcPr>
          <w:p w14:paraId="35ECAE76">
            <w:pPr>
              <w:overflowPunct w:val="0"/>
              <w:autoSpaceDE w:val="0"/>
              <w:autoSpaceDN w:val="0"/>
              <w:adjustRightInd w:val="0"/>
              <w:snapToGrid w:val="0"/>
              <w:jc w:val="center"/>
              <w:rPr>
                <w:rFonts w:eastAsia="宋体"/>
                <w:b/>
                <w:bCs/>
                <w:sz w:val="18"/>
                <w:szCs w:val="18"/>
              </w:rPr>
            </w:pPr>
            <w:r>
              <w:rPr>
                <w:b/>
                <w:bCs/>
                <w:sz w:val="18"/>
                <w:szCs w:val="18"/>
              </w:rPr>
              <w:t>V19</w:t>
            </w:r>
          </w:p>
        </w:tc>
        <w:tc>
          <w:tcPr>
            <w:tcW w:w="508" w:type="dxa"/>
            <w:tcMar>
              <w:top w:w="28" w:type="dxa"/>
              <w:left w:w="57" w:type="dxa"/>
              <w:bottom w:w="28" w:type="dxa"/>
              <w:right w:w="57" w:type="dxa"/>
            </w:tcMar>
            <w:vAlign w:val="center"/>
          </w:tcPr>
          <w:p w14:paraId="53EDA501">
            <w:pPr>
              <w:overflowPunct w:val="0"/>
              <w:autoSpaceDE w:val="0"/>
              <w:autoSpaceDN w:val="0"/>
              <w:adjustRightInd w:val="0"/>
              <w:snapToGrid w:val="0"/>
              <w:jc w:val="center"/>
              <w:rPr>
                <w:rFonts w:eastAsia="宋体"/>
                <w:b/>
                <w:bCs/>
                <w:sz w:val="18"/>
                <w:szCs w:val="18"/>
              </w:rPr>
            </w:pPr>
            <w:r>
              <w:rPr>
                <w:b/>
                <w:bCs/>
                <w:sz w:val="18"/>
                <w:szCs w:val="18"/>
              </w:rPr>
              <w:t>V20</w:t>
            </w:r>
          </w:p>
        </w:tc>
        <w:tc>
          <w:tcPr>
            <w:tcW w:w="508" w:type="dxa"/>
            <w:tcMar>
              <w:top w:w="28" w:type="dxa"/>
              <w:left w:w="57" w:type="dxa"/>
              <w:bottom w:w="28" w:type="dxa"/>
              <w:right w:w="57" w:type="dxa"/>
            </w:tcMar>
            <w:vAlign w:val="center"/>
          </w:tcPr>
          <w:p w14:paraId="5EE003C8">
            <w:pPr>
              <w:overflowPunct w:val="0"/>
              <w:autoSpaceDE w:val="0"/>
              <w:autoSpaceDN w:val="0"/>
              <w:adjustRightInd w:val="0"/>
              <w:snapToGrid w:val="0"/>
              <w:jc w:val="center"/>
              <w:rPr>
                <w:rFonts w:eastAsia="宋体"/>
                <w:b/>
                <w:bCs/>
                <w:sz w:val="18"/>
                <w:szCs w:val="18"/>
              </w:rPr>
            </w:pPr>
            <w:r>
              <w:rPr>
                <w:b/>
                <w:bCs/>
                <w:sz w:val="18"/>
                <w:szCs w:val="18"/>
              </w:rPr>
              <w:t>V21</w:t>
            </w:r>
          </w:p>
        </w:tc>
        <w:tc>
          <w:tcPr>
            <w:tcW w:w="508" w:type="dxa"/>
            <w:tcMar>
              <w:top w:w="28" w:type="dxa"/>
              <w:left w:w="57" w:type="dxa"/>
              <w:bottom w:w="28" w:type="dxa"/>
              <w:right w:w="57" w:type="dxa"/>
            </w:tcMar>
            <w:vAlign w:val="center"/>
          </w:tcPr>
          <w:p w14:paraId="52FE097D">
            <w:pPr>
              <w:overflowPunct w:val="0"/>
              <w:autoSpaceDE w:val="0"/>
              <w:autoSpaceDN w:val="0"/>
              <w:adjustRightInd w:val="0"/>
              <w:snapToGrid w:val="0"/>
              <w:jc w:val="center"/>
              <w:rPr>
                <w:rFonts w:eastAsia="宋体"/>
                <w:b/>
                <w:bCs/>
                <w:sz w:val="18"/>
                <w:szCs w:val="18"/>
              </w:rPr>
            </w:pPr>
            <w:r>
              <w:rPr>
                <w:b/>
                <w:bCs/>
                <w:sz w:val="18"/>
                <w:szCs w:val="18"/>
              </w:rPr>
              <w:t>V22</w:t>
            </w:r>
          </w:p>
        </w:tc>
        <w:tc>
          <w:tcPr>
            <w:tcW w:w="508" w:type="dxa"/>
            <w:tcMar>
              <w:top w:w="28" w:type="dxa"/>
              <w:left w:w="57" w:type="dxa"/>
              <w:bottom w:w="28" w:type="dxa"/>
              <w:right w:w="57" w:type="dxa"/>
            </w:tcMar>
            <w:vAlign w:val="center"/>
          </w:tcPr>
          <w:p w14:paraId="76BEE795">
            <w:pPr>
              <w:overflowPunct w:val="0"/>
              <w:autoSpaceDE w:val="0"/>
              <w:autoSpaceDN w:val="0"/>
              <w:adjustRightInd w:val="0"/>
              <w:snapToGrid w:val="0"/>
              <w:jc w:val="center"/>
              <w:rPr>
                <w:rFonts w:eastAsia="宋体"/>
                <w:b/>
                <w:bCs/>
                <w:sz w:val="18"/>
                <w:szCs w:val="18"/>
              </w:rPr>
            </w:pPr>
            <w:r>
              <w:rPr>
                <w:b/>
                <w:bCs/>
                <w:sz w:val="18"/>
                <w:szCs w:val="18"/>
              </w:rPr>
              <w:t>V23</w:t>
            </w:r>
          </w:p>
        </w:tc>
        <w:tc>
          <w:tcPr>
            <w:tcW w:w="818" w:type="dxa"/>
            <w:tcMar>
              <w:top w:w="28" w:type="dxa"/>
              <w:left w:w="57" w:type="dxa"/>
              <w:bottom w:w="28" w:type="dxa"/>
              <w:right w:w="57" w:type="dxa"/>
            </w:tcMar>
            <w:vAlign w:val="center"/>
          </w:tcPr>
          <w:p w14:paraId="14C743E8">
            <w:pPr>
              <w:overflowPunct w:val="0"/>
              <w:autoSpaceDE w:val="0"/>
              <w:autoSpaceDN w:val="0"/>
              <w:adjustRightInd w:val="0"/>
              <w:snapToGrid w:val="0"/>
              <w:jc w:val="center"/>
              <w:rPr>
                <w:rFonts w:eastAsia="宋体"/>
                <w:b/>
                <w:bCs/>
                <w:sz w:val="18"/>
                <w:szCs w:val="18"/>
              </w:rPr>
            </w:pPr>
            <w:r>
              <w:rPr>
                <w:b/>
                <w:bCs/>
                <w:sz w:val="18"/>
                <w:szCs w:val="18"/>
              </w:rPr>
              <w:t>V24</w:t>
            </w:r>
          </w:p>
        </w:tc>
      </w:tr>
      <w:tr w14:paraId="3B69F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blHeader/>
        </w:trPr>
        <w:tc>
          <w:tcPr>
            <w:tcW w:w="2405" w:type="dxa"/>
            <w:tcMar>
              <w:top w:w="28" w:type="dxa"/>
              <w:left w:w="57" w:type="dxa"/>
              <w:bottom w:w="28" w:type="dxa"/>
              <w:right w:w="57" w:type="dxa"/>
            </w:tcMar>
            <w:vAlign w:val="center"/>
          </w:tcPr>
          <w:p w14:paraId="703942F1">
            <w:pPr>
              <w:overflowPunct w:val="0"/>
              <w:autoSpaceDE w:val="0"/>
              <w:autoSpaceDN w:val="0"/>
              <w:adjustRightInd w:val="0"/>
              <w:snapToGrid w:val="0"/>
              <w:jc w:val="center"/>
              <w:rPr>
                <w:rFonts w:eastAsia="宋体"/>
                <w:b/>
                <w:bCs/>
                <w:sz w:val="18"/>
                <w:szCs w:val="18"/>
              </w:rPr>
            </w:pPr>
            <w:r>
              <w:rPr>
                <w:b/>
                <w:bCs/>
                <w:sz w:val="18"/>
                <w:szCs w:val="18"/>
              </w:rPr>
              <w:t>Visit (week)</w:t>
            </w:r>
          </w:p>
        </w:tc>
        <w:tc>
          <w:tcPr>
            <w:tcW w:w="582" w:type="dxa"/>
            <w:shd w:val="clear" w:color="auto" w:fill="auto"/>
            <w:tcMar>
              <w:top w:w="28" w:type="dxa"/>
              <w:left w:w="57" w:type="dxa"/>
              <w:bottom w:w="28" w:type="dxa"/>
              <w:right w:w="57" w:type="dxa"/>
            </w:tcMar>
            <w:vAlign w:val="center"/>
          </w:tcPr>
          <w:p w14:paraId="5FC9FCA1">
            <w:pPr>
              <w:overflowPunct w:val="0"/>
              <w:autoSpaceDE w:val="0"/>
              <w:autoSpaceDN w:val="0"/>
              <w:adjustRightInd w:val="0"/>
              <w:snapToGrid w:val="0"/>
              <w:jc w:val="center"/>
              <w:rPr>
                <w:rFonts w:eastAsia="宋体"/>
                <w:b/>
                <w:bCs/>
                <w:sz w:val="18"/>
                <w:szCs w:val="18"/>
              </w:rPr>
            </w:pPr>
            <w:r>
              <w:rPr>
                <w:b/>
                <w:bCs/>
                <w:sz w:val="18"/>
                <w:szCs w:val="18"/>
              </w:rPr>
              <w:t>\</w:t>
            </w:r>
          </w:p>
        </w:tc>
        <w:tc>
          <w:tcPr>
            <w:tcW w:w="425" w:type="dxa"/>
            <w:shd w:val="clear" w:color="auto" w:fill="auto"/>
            <w:tcMar>
              <w:top w:w="28" w:type="dxa"/>
              <w:left w:w="57" w:type="dxa"/>
              <w:bottom w:w="28" w:type="dxa"/>
              <w:right w:w="57" w:type="dxa"/>
            </w:tcMar>
            <w:vAlign w:val="center"/>
          </w:tcPr>
          <w:p w14:paraId="62ED87AD">
            <w:pPr>
              <w:overflowPunct w:val="0"/>
              <w:autoSpaceDE w:val="0"/>
              <w:autoSpaceDN w:val="0"/>
              <w:adjustRightInd w:val="0"/>
              <w:snapToGrid w:val="0"/>
              <w:jc w:val="center"/>
              <w:rPr>
                <w:rFonts w:eastAsia="宋体"/>
                <w:b/>
                <w:bCs/>
                <w:sz w:val="18"/>
                <w:szCs w:val="18"/>
              </w:rPr>
            </w:pPr>
            <w:r>
              <w:rPr>
                <w:b/>
                <w:bCs/>
                <w:sz w:val="18"/>
                <w:szCs w:val="18"/>
              </w:rPr>
              <w:t>\</w:t>
            </w:r>
          </w:p>
        </w:tc>
        <w:tc>
          <w:tcPr>
            <w:tcW w:w="443" w:type="dxa"/>
            <w:shd w:val="clear" w:color="auto" w:fill="F1F1F1" w:themeFill="background1" w:themeFillShade="F2"/>
            <w:tcMar>
              <w:top w:w="28" w:type="dxa"/>
              <w:left w:w="57" w:type="dxa"/>
              <w:bottom w:w="28" w:type="dxa"/>
              <w:right w:w="57" w:type="dxa"/>
            </w:tcMar>
            <w:vAlign w:val="center"/>
          </w:tcPr>
          <w:p w14:paraId="4D7AD3DC">
            <w:pPr>
              <w:overflowPunct w:val="0"/>
              <w:autoSpaceDE w:val="0"/>
              <w:autoSpaceDN w:val="0"/>
              <w:adjustRightInd w:val="0"/>
              <w:snapToGrid w:val="0"/>
              <w:jc w:val="center"/>
              <w:rPr>
                <w:rFonts w:eastAsia="宋体"/>
                <w:b/>
                <w:bCs/>
                <w:sz w:val="18"/>
                <w:szCs w:val="18"/>
              </w:rPr>
            </w:pPr>
            <w:r>
              <w:rPr>
                <w:b/>
                <w:bCs/>
                <w:sz w:val="18"/>
                <w:szCs w:val="18"/>
              </w:rPr>
              <w:t>0</w:t>
            </w:r>
          </w:p>
        </w:tc>
        <w:tc>
          <w:tcPr>
            <w:tcW w:w="443" w:type="dxa"/>
            <w:shd w:val="clear" w:color="auto" w:fill="F1F1F1" w:themeFill="background1" w:themeFillShade="F2"/>
            <w:tcMar>
              <w:top w:w="28" w:type="dxa"/>
              <w:left w:w="57" w:type="dxa"/>
              <w:bottom w:w="28" w:type="dxa"/>
              <w:right w:w="57" w:type="dxa"/>
            </w:tcMar>
            <w:vAlign w:val="center"/>
          </w:tcPr>
          <w:p w14:paraId="7C1E7ADB">
            <w:pPr>
              <w:overflowPunct w:val="0"/>
              <w:autoSpaceDE w:val="0"/>
              <w:autoSpaceDN w:val="0"/>
              <w:adjustRightInd w:val="0"/>
              <w:snapToGrid w:val="0"/>
              <w:jc w:val="center"/>
              <w:rPr>
                <w:rFonts w:eastAsia="宋体"/>
                <w:b/>
                <w:bCs/>
                <w:sz w:val="18"/>
                <w:szCs w:val="18"/>
              </w:rPr>
            </w:pPr>
            <w:r>
              <w:rPr>
                <w:b/>
                <w:bCs/>
                <w:sz w:val="18"/>
                <w:szCs w:val="18"/>
              </w:rPr>
              <w:t>2</w:t>
            </w:r>
          </w:p>
        </w:tc>
        <w:tc>
          <w:tcPr>
            <w:tcW w:w="443" w:type="dxa"/>
            <w:shd w:val="clear" w:color="auto" w:fill="F1F1F1" w:themeFill="background1" w:themeFillShade="F2"/>
            <w:tcMar>
              <w:top w:w="28" w:type="dxa"/>
              <w:left w:w="57" w:type="dxa"/>
              <w:bottom w:w="28" w:type="dxa"/>
              <w:right w:w="57" w:type="dxa"/>
            </w:tcMar>
            <w:vAlign w:val="center"/>
          </w:tcPr>
          <w:p w14:paraId="385C1EE4">
            <w:pPr>
              <w:overflowPunct w:val="0"/>
              <w:autoSpaceDE w:val="0"/>
              <w:autoSpaceDN w:val="0"/>
              <w:adjustRightInd w:val="0"/>
              <w:snapToGrid w:val="0"/>
              <w:jc w:val="center"/>
              <w:rPr>
                <w:rFonts w:eastAsia="宋体"/>
                <w:b/>
                <w:bCs/>
                <w:sz w:val="18"/>
                <w:szCs w:val="18"/>
              </w:rPr>
            </w:pPr>
            <w:r>
              <w:rPr>
                <w:b/>
                <w:bCs/>
                <w:sz w:val="18"/>
                <w:szCs w:val="18"/>
              </w:rPr>
              <w:t>4</w:t>
            </w:r>
          </w:p>
        </w:tc>
        <w:tc>
          <w:tcPr>
            <w:tcW w:w="443" w:type="dxa"/>
            <w:shd w:val="clear" w:color="auto" w:fill="F1F1F1" w:themeFill="background1" w:themeFillShade="F2"/>
            <w:tcMar>
              <w:top w:w="28" w:type="dxa"/>
              <w:left w:w="57" w:type="dxa"/>
              <w:bottom w:w="28" w:type="dxa"/>
              <w:right w:w="57" w:type="dxa"/>
            </w:tcMar>
            <w:vAlign w:val="center"/>
          </w:tcPr>
          <w:p w14:paraId="4119EA11">
            <w:pPr>
              <w:overflowPunct w:val="0"/>
              <w:autoSpaceDE w:val="0"/>
              <w:autoSpaceDN w:val="0"/>
              <w:adjustRightInd w:val="0"/>
              <w:snapToGrid w:val="0"/>
              <w:jc w:val="center"/>
              <w:rPr>
                <w:rFonts w:eastAsia="宋体"/>
                <w:b/>
                <w:bCs/>
                <w:sz w:val="18"/>
                <w:szCs w:val="18"/>
              </w:rPr>
            </w:pPr>
            <w:r>
              <w:rPr>
                <w:b/>
                <w:bCs/>
                <w:sz w:val="18"/>
                <w:szCs w:val="18"/>
              </w:rPr>
              <w:t>6</w:t>
            </w:r>
          </w:p>
        </w:tc>
        <w:tc>
          <w:tcPr>
            <w:tcW w:w="443" w:type="dxa"/>
            <w:shd w:val="clear" w:color="auto" w:fill="F1F1F1" w:themeFill="background1" w:themeFillShade="F2"/>
            <w:tcMar>
              <w:top w:w="28" w:type="dxa"/>
              <w:left w:w="57" w:type="dxa"/>
              <w:bottom w:w="28" w:type="dxa"/>
              <w:right w:w="57" w:type="dxa"/>
            </w:tcMar>
            <w:vAlign w:val="center"/>
          </w:tcPr>
          <w:p w14:paraId="1A3574D5">
            <w:pPr>
              <w:overflowPunct w:val="0"/>
              <w:autoSpaceDE w:val="0"/>
              <w:autoSpaceDN w:val="0"/>
              <w:adjustRightInd w:val="0"/>
              <w:snapToGrid w:val="0"/>
              <w:jc w:val="center"/>
              <w:rPr>
                <w:rFonts w:eastAsia="宋体"/>
                <w:b/>
                <w:bCs/>
                <w:sz w:val="18"/>
                <w:szCs w:val="18"/>
              </w:rPr>
            </w:pPr>
            <w:r>
              <w:rPr>
                <w:b/>
                <w:bCs/>
                <w:sz w:val="18"/>
                <w:szCs w:val="18"/>
              </w:rPr>
              <w:t>8</w:t>
            </w:r>
          </w:p>
        </w:tc>
        <w:tc>
          <w:tcPr>
            <w:tcW w:w="443" w:type="dxa"/>
            <w:shd w:val="clear" w:color="auto" w:fill="F1F1F1" w:themeFill="background1" w:themeFillShade="F2"/>
            <w:tcMar>
              <w:top w:w="28" w:type="dxa"/>
              <w:left w:w="57" w:type="dxa"/>
              <w:bottom w:w="28" w:type="dxa"/>
              <w:right w:w="57" w:type="dxa"/>
            </w:tcMar>
            <w:vAlign w:val="center"/>
          </w:tcPr>
          <w:p w14:paraId="0FCFBD03">
            <w:pPr>
              <w:overflowPunct w:val="0"/>
              <w:autoSpaceDE w:val="0"/>
              <w:autoSpaceDN w:val="0"/>
              <w:adjustRightInd w:val="0"/>
              <w:snapToGrid w:val="0"/>
              <w:jc w:val="center"/>
              <w:rPr>
                <w:rFonts w:eastAsia="宋体"/>
                <w:b/>
                <w:bCs/>
                <w:sz w:val="18"/>
                <w:szCs w:val="18"/>
              </w:rPr>
            </w:pPr>
            <w:r>
              <w:rPr>
                <w:b/>
                <w:bCs/>
                <w:sz w:val="18"/>
                <w:szCs w:val="18"/>
              </w:rPr>
              <w:t>10</w:t>
            </w:r>
          </w:p>
        </w:tc>
        <w:tc>
          <w:tcPr>
            <w:tcW w:w="443" w:type="dxa"/>
            <w:shd w:val="clear" w:color="auto" w:fill="F2F2F2" w:themeFill="background2" w:themeFillTint="33"/>
            <w:tcMar>
              <w:top w:w="28" w:type="dxa"/>
              <w:left w:w="57" w:type="dxa"/>
              <w:bottom w:w="28" w:type="dxa"/>
              <w:right w:w="57" w:type="dxa"/>
            </w:tcMar>
            <w:vAlign w:val="center"/>
          </w:tcPr>
          <w:p w14:paraId="2F92E752">
            <w:pPr>
              <w:overflowPunct w:val="0"/>
              <w:autoSpaceDE w:val="0"/>
              <w:autoSpaceDN w:val="0"/>
              <w:adjustRightInd w:val="0"/>
              <w:snapToGrid w:val="0"/>
              <w:jc w:val="center"/>
              <w:rPr>
                <w:rFonts w:eastAsia="宋体"/>
                <w:b/>
                <w:bCs/>
                <w:sz w:val="18"/>
                <w:szCs w:val="18"/>
              </w:rPr>
            </w:pPr>
            <w:r>
              <w:rPr>
                <w:b/>
                <w:bCs/>
                <w:sz w:val="18"/>
                <w:szCs w:val="18"/>
              </w:rPr>
              <w:t>12</w:t>
            </w:r>
          </w:p>
        </w:tc>
        <w:tc>
          <w:tcPr>
            <w:tcW w:w="443" w:type="dxa"/>
            <w:shd w:val="clear" w:color="auto" w:fill="F2F2F2" w:themeFill="background2" w:themeFillTint="33"/>
            <w:tcMar>
              <w:top w:w="28" w:type="dxa"/>
              <w:left w:w="57" w:type="dxa"/>
              <w:bottom w:w="28" w:type="dxa"/>
              <w:right w:w="57" w:type="dxa"/>
            </w:tcMar>
            <w:vAlign w:val="center"/>
          </w:tcPr>
          <w:p w14:paraId="31C0F65A">
            <w:pPr>
              <w:overflowPunct w:val="0"/>
              <w:autoSpaceDE w:val="0"/>
              <w:autoSpaceDN w:val="0"/>
              <w:adjustRightInd w:val="0"/>
              <w:snapToGrid w:val="0"/>
              <w:jc w:val="center"/>
              <w:rPr>
                <w:rFonts w:eastAsia="宋体"/>
                <w:b/>
                <w:bCs/>
                <w:sz w:val="18"/>
                <w:szCs w:val="18"/>
              </w:rPr>
            </w:pPr>
            <w:r>
              <w:rPr>
                <w:b/>
                <w:bCs/>
                <w:sz w:val="18"/>
                <w:szCs w:val="18"/>
              </w:rPr>
              <w:t>14</w:t>
            </w:r>
          </w:p>
        </w:tc>
        <w:tc>
          <w:tcPr>
            <w:tcW w:w="507" w:type="dxa"/>
            <w:shd w:val="clear" w:color="auto" w:fill="F2F2F2" w:themeFill="background2" w:themeFillTint="33"/>
            <w:tcMar>
              <w:top w:w="28" w:type="dxa"/>
              <w:left w:w="57" w:type="dxa"/>
              <w:bottom w:w="28" w:type="dxa"/>
              <w:right w:w="57" w:type="dxa"/>
            </w:tcMar>
            <w:vAlign w:val="center"/>
          </w:tcPr>
          <w:p w14:paraId="52B7B210">
            <w:pPr>
              <w:overflowPunct w:val="0"/>
              <w:autoSpaceDE w:val="0"/>
              <w:autoSpaceDN w:val="0"/>
              <w:adjustRightInd w:val="0"/>
              <w:snapToGrid w:val="0"/>
              <w:jc w:val="center"/>
              <w:rPr>
                <w:rFonts w:eastAsia="宋体"/>
                <w:b/>
                <w:bCs/>
                <w:sz w:val="18"/>
                <w:szCs w:val="18"/>
              </w:rPr>
            </w:pPr>
            <w:r>
              <w:rPr>
                <w:b/>
                <w:bCs/>
                <w:sz w:val="18"/>
                <w:szCs w:val="18"/>
              </w:rPr>
              <w:t>16</w:t>
            </w:r>
          </w:p>
        </w:tc>
        <w:tc>
          <w:tcPr>
            <w:tcW w:w="508" w:type="dxa"/>
            <w:shd w:val="clear" w:color="auto" w:fill="F2F2F2" w:themeFill="background2" w:themeFillTint="33"/>
            <w:tcMar>
              <w:top w:w="28" w:type="dxa"/>
              <w:left w:w="57" w:type="dxa"/>
              <w:bottom w:w="28" w:type="dxa"/>
              <w:right w:w="57" w:type="dxa"/>
            </w:tcMar>
            <w:vAlign w:val="center"/>
          </w:tcPr>
          <w:p w14:paraId="6C36E1B5">
            <w:pPr>
              <w:overflowPunct w:val="0"/>
              <w:autoSpaceDE w:val="0"/>
              <w:autoSpaceDN w:val="0"/>
              <w:adjustRightInd w:val="0"/>
              <w:snapToGrid w:val="0"/>
              <w:jc w:val="center"/>
              <w:rPr>
                <w:rFonts w:eastAsia="宋体"/>
                <w:b/>
                <w:bCs/>
                <w:sz w:val="18"/>
                <w:szCs w:val="18"/>
              </w:rPr>
            </w:pPr>
            <w:r>
              <w:rPr>
                <w:b/>
                <w:bCs/>
                <w:sz w:val="18"/>
                <w:szCs w:val="18"/>
              </w:rPr>
              <w:t>18</w:t>
            </w:r>
          </w:p>
        </w:tc>
        <w:tc>
          <w:tcPr>
            <w:tcW w:w="508" w:type="dxa"/>
            <w:shd w:val="clear" w:color="auto" w:fill="F2F2F2" w:themeFill="background2" w:themeFillTint="33"/>
            <w:tcMar>
              <w:top w:w="28" w:type="dxa"/>
              <w:left w:w="57" w:type="dxa"/>
              <w:bottom w:w="28" w:type="dxa"/>
              <w:right w:w="57" w:type="dxa"/>
            </w:tcMar>
            <w:vAlign w:val="center"/>
          </w:tcPr>
          <w:p w14:paraId="107DCB0D">
            <w:pPr>
              <w:overflowPunct w:val="0"/>
              <w:autoSpaceDE w:val="0"/>
              <w:autoSpaceDN w:val="0"/>
              <w:adjustRightInd w:val="0"/>
              <w:snapToGrid w:val="0"/>
              <w:jc w:val="center"/>
              <w:rPr>
                <w:rFonts w:eastAsia="宋体"/>
                <w:b/>
                <w:bCs/>
                <w:sz w:val="18"/>
                <w:szCs w:val="18"/>
              </w:rPr>
            </w:pPr>
            <w:r>
              <w:rPr>
                <w:b/>
                <w:bCs/>
                <w:sz w:val="18"/>
                <w:szCs w:val="18"/>
              </w:rPr>
              <w:t>20</w:t>
            </w:r>
          </w:p>
        </w:tc>
        <w:tc>
          <w:tcPr>
            <w:tcW w:w="508" w:type="dxa"/>
            <w:shd w:val="clear" w:color="auto" w:fill="F2F2F2" w:themeFill="background2" w:themeFillTint="33"/>
            <w:tcMar>
              <w:top w:w="28" w:type="dxa"/>
              <w:left w:w="57" w:type="dxa"/>
              <w:bottom w:w="28" w:type="dxa"/>
              <w:right w:w="57" w:type="dxa"/>
            </w:tcMar>
            <w:vAlign w:val="center"/>
          </w:tcPr>
          <w:p w14:paraId="44E37396">
            <w:pPr>
              <w:overflowPunct w:val="0"/>
              <w:autoSpaceDE w:val="0"/>
              <w:autoSpaceDN w:val="0"/>
              <w:adjustRightInd w:val="0"/>
              <w:snapToGrid w:val="0"/>
              <w:jc w:val="center"/>
              <w:rPr>
                <w:rFonts w:eastAsia="宋体"/>
                <w:b/>
                <w:bCs/>
                <w:sz w:val="18"/>
                <w:szCs w:val="18"/>
              </w:rPr>
            </w:pPr>
            <w:r>
              <w:rPr>
                <w:b/>
                <w:bCs/>
                <w:sz w:val="18"/>
                <w:szCs w:val="18"/>
              </w:rPr>
              <w:t>22</w:t>
            </w:r>
          </w:p>
        </w:tc>
        <w:tc>
          <w:tcPr>
            <w:tcW w:w="508" w:type="dxa"/>
            <w:tcMar>
              <w:top w:w="28" w:type="dxa"/>
              <w:left w:w="57" w:type="dxa"/>
              <w:bottom w:w="28" w:type="dxa"/>
              <w:right w:w="57" w:type="dxa"/>
            </w:tcMar>
            <w:vAlign w:val="center"/>
          </w:tcPr>
          <w:p w14:paraId="64D60E5E">
            <w:pPr>
              <w:overflowPunct w:val="0"/>
              <w:autoSpaceDE w:val="0"/>
              <w:autoSpaceDN w:val="0"/>
              <w:adjustRightInd w:val="0"/>
              <w:snapToGrid w:val="0"/>
              <w:jc w:val="center"/>
              <w:rPr>
                <w:rFonts w:eastAsia="宋体"/>
                <w:b/>
                <w:bCs/>
                <w:sz w:val="18"/>
                <w:szCs w:val="18"/>
              </w:rPr>
            </w:pPr>
            <w:r>
              <w:rPr>
                <w:b/>
                <w:bCs/>
                <w:sz w:val="18"/>
                <w:szCs w:val="18"/>
              </w:rPr>
              <w:t>22</w:t>
            </w:r>
          </w:p>
        </w:tc>
        <w:tc>
          <w:tcPr>
            <w:tcW w:w="508" w:type="dxa"/>
            <w:tcMar>
              <w:top w:w="28" w:type="dxa"/>
              <w:left w:w="57" w:type="dxa"/>
              <w:bottom w:w="28" w:type="dxa"/>
              <w:right w:w="57" w:type="dxa"/>
            </w:tcMar>
            <w:vAlign w:val="center"/>
          </w:tcPr>
          <w:p w14:paraId="3BA6953F">
            <w:pPr>
              <w:overflowPunct w:val="0"/>
              <w:autoSpaceDE w:val="0"/>
              <w:autoSpaceDN w:val="0"/>
              <w:adjustRightInd w:val="0"/>
              <w:snapToGrid w:val="0"/>
              <w:jc w:val="center"/>
              <w:rPr>
                <w:rFonts w:eastAsia="宋体"/>
                <w:b/>
                <w:bCs/>
                <w:sz w:val="18"/>
                <w:szCs w:val="18"/>
              </w:rPr>
            </w:pPr>
            <w:r>
              <w:rPr>
                <w:b/>
                <w:bCs/>
                <w:sz w:val="18"/>
                <w:szCs w:val="18"/>
              </w:rPr>
              <w:t>22</w:t>
            </w:r>
          </w:p>
        </w:tc>
        <w:tc>
          <w:tcPr>
            <w:tcW w:w="508" w:type="dxa"/>
            <w:tcMar>
              <w:top w:w="28" w:type="dxa"/>
              <w:left w:w="57" w:type="dxa"/>
              <w:bottom w:w="28" w:type="dxa"/>
              <w:right w:w="57" w:type="dxa"/>
            </w:tcMar>
            <w:vAlign w:val="center"/>
          </w:tcPr>
          <w:p w14:paraId="02F213EE">
            <w:pPr>
              <w:overflowPunct w:val="0"/>
              <w:autoSpaceDE w:val="0"/>
              <w:autoSpaceDN w:val="0"/>
              <w:adjustRightInd w:val="0"/>
              <w:snapToGrid w:val="0"/>
              <w:jc w:val="center"/>
              <w:rPr>
                <w:rFonts w:eastAsia="宋体"/>
                <w:b/>
                <w:bCs/>
                <w:sz w:val="18"/>
                <w:szCs w:val="18"/>
              </w:rPr>
            </w:pPr>
            <w:r>
              <w:rPr>
                <w:b/>
                <w:bCs/>
                <w:sz w:val="18"/>
                <w:szCs w:val="18"/>
              </w:rPr>
              <w:t>22</w:t>
            </w:r>
          </w:p>
        </w:tc>
        <w:tc>
          <w:tcPr>
            <w:tcW w:w="508" w:type="dxa"/>
            <w:tcMar>
              <w:top w:w="28" w:type="dxa"/>
              <w:left w:w="57" w:type="dxa"/>
              <w:bottom w:w="28" w:type="dxa"/>
              <w:right w:w="57" w:type="dxa"/>
            </w:tcMar>
            <w:vAlign w:val="center"/>
          </w:tcPr>
          <w:p w14:paraId="1BF33488">
            <w:pPr>
              <w:overflowPunct w:val="0"/>
              <w:autoSpaceDE w:val="0"/>
              <w:autoSpaceDN w:val="0"/>
              <w:adjustRightInd w:val="0"/>
              <w:snapToGrid w:val="0"/>
              <w:jc w:val="center"/>
              <w:rPr>
                <w:rFonts w:eastAsia="宋体"/>
                <w:b/>
                <w:bCs/>
                <w:sz w:val="18"/>
                <w:szCs w:val="18"/>
              </w:rPr>
            </w:pPr>
            <w:r>
              <w:rPr>
                <w:b/>
                <w:bCs/>
                <w:sz w:val="18"/>
                <w:szCs w:val="18"/>
              </w:rPr>
              <w:t>23</w:t>
            </w:r>
          </w:p>
        </w:tc>
        <w:tc>
          <w:tcPr>
            <w:tcW w:w="508" w:type="dxa"/>
            <w:tcMar>
              <w:top w:w="28" w:type="dxa"/>
              <w:left w:w="57" w:type="dxa"/>
              <w:bottom w:w="28" w:type="dxa"/>
              <w:right w:w="57" w:type="dxa"/>
            </w:tcMar>
            <w:vAlign w:val="center"/>
          </w:tcPr>
          <w:p w14:paraId="5C32F92F">
            <w:pPr>
              <w:overflowPunct w:val="0"/>
              <w:autoSpaceDE w:val="0"/>
              <w:autoSpaceDN w:val="0"/>
              <w:adjustRightInd w:val="0"/>
              <w:snapToGrid w:val="0"/>
              <w:jc w:val="center"/>
              <w:rPr>
                <w:rFonts w:eastAsia="宋体"/>
                <w:b/>
                <w:bCs/>
                <w:sz w:val="18"/>
                <w:szCs w:val="18"/>
              </w:rPr>
            </w:pPr>
            <w:r>
              <w:rPr>
                <w:b/>
                <w:bCs/>
                <w:sz w:val="18"/>
                <w:szCs w:val="18"/>
              </w:rPr>
              <w:t>23</w:t>
            </w:r>
          </w:p>
        </w:tc>
        <w:tc>
          <w:tcPr>
            <w:tcW w:w="508" w:type="dxa"/>
            <w:tcMar>
              <w:top w:w="28" w:type="dxa"/>
              <w:left w:w="57" w:type="dxa"/>
              <w:bottom w:w="28" w:type="dxa"/>
              <w:right w:w="57" w:type="dxa"/>
            </w:tcMar>
            <w:vAlign w:val="center"/>
          </w:tcPr>
          <w:p w14:paraId="2A8E5E43">
            <w:pPr>
              <w:overflowPunct w:val="0"/>
              <w:autoSpaceDE w:val="0"/>
              <w:autoSpaceDN w:val="0"/>
              <w:adjustRightInd w:val="0"/>
              <w:snapToGrid w:val="0"/>
              <w:jc w:val="center"/>
              <w:rPr>
                <w:rFonts w:eastAsia="宋体"/>
                <w:b/>
                <w:bCs/>
                <w:sz w:val="18"/>
                <w:szCs w:val="18"/>
              </w:rPr>
            </w:pPr>
            <w:r>
              <w:rPr>
                <w:b/>
                <w:bCs/>
                <w:sz w:val="18"/>
                <w:szCs w:val="18"/>
              </w:rPr>
              <w:t>24</w:t>
            </w:r>
          </w:p>
        </w:tc>
        <w:tc>
          <w:tcPr>
            <w:tcW w:w="508" w:type="dxa"/>
            <w:tcMar>
              <w:top w:w="28" w:type="dxa"/>
              <w:left w:w="57" w:type="dxa"/>
              <w:bottom w:w="28" w:type="dxa"/>
              <w:right w:w="57" w:type="dxa"/>
            </w:tcMar>
            <w:vAlign w:val="center"/>
          </w:tcPr>
          <w:p w14:paraId="32C2F02E">
            <w:pPr>
              <w:overflowPunct w:val="0"/>
              <w:autoSpaceDE w:val="0"/>
              <w:autoSpaceDN w:val="0"/>
              <w:adjustRightInd w:val="0"/>
              <w:snapToGrid w:val="0"/>
              <w:jc w:val="center"/>
              <w:rPr>
                <w:rFonts w:eastAsia="宋体"/>
                <w:b/>
                <w:bCs/>
                <w:sz w:val="18"/>
                <w:szCs w:val="18"/>
              </w:rPr>
            </w:pPr>
            <w:r>
              <w:rPr>
                <w:b/>
                <w:bCs/>
                <w:sz w:val="18"/>
                <w:szCs w:val="18"/>
              </w:rPr>
              <w:t>25</w:t>
            </w:r>
          </w:p>
        </w:tc>
        <w:tc>
          <w:tcPr>
            <w:tcW w:w="508" w:type="dxa"/>
            <w:tcMar>
              <w:top w:w="28" w:type="dxa"/>
              <w:left w:w="57" w:type="dxa"/>
              <w:bottom w:w="28" w:type="dxa"/>
              <w:right w:w="57" w:type="dxa"/>
            </w:tcMar>
            <w:vAlign w:val="center"/>
          </w:tcPr>
          <w:p w14:paraId="7B84E541">
            <w:pPr>
              <w:overflowPunct w:val="0"/>
              <w:autoSpaceDE w:val="0"/>
              <w:autoSpaceDN w:val="0"/>
              <w:adjustRightInd w:val="0"/>
              <w:snapToGrid w:val="0"/>
              <w:jc w:val="center"/>
              <w:rPr>
                <w:rFonts w:eastAsia="宋体"/>
                <w:b/>
                <w:bCs/>
                <w:sz w:val="18"/>
                <w:szCs w:val="18"/>
              </w:rPr>
            </w:pPr>
            <w:r>
              <w:rPr>
                <w:b/>
                <w:bCs/>
                <w:sz w:val="18"/>
                <w:szCs w:val="18"/>
              </w:rPr>
              <w:t>26</w:t>
            </w:r>
          </w:p>
        </w:tc>
        <w:tc>
          <w:tcPr>
            <w:tcW w:w="508" w:type="dxa"/>
            <w:tcMar>
              <w:top w:w="28" w:type="dxa"/>
              <w:left w:w="57" w:type="dxa"/>
              <w:bottom w:w="28" w:type="dxa"/>
              <w:right w:w="57" w:type="dxa"/>
            </w:tcMar>
            <w:vAlign w:val="center"/>
          </w:tcPr>
          <w:p w14:paraId="345BF8EF">
            <w:pPr>
              <w:overflowPunct w:val="0"/>
              <w:autoSpaceDE w:val="0"/>
              <w:autoSpaceDN w:val="0"/>
              <w:adjustRightInd w:val="0"/>
              <w:snapToGrid w:val="0"/>
              <w:jc w:val="center"/>
              <w:rPr>
                <w:rFonts w:eastAsia="宋体"/>
                <w:b/>
                <w:bCs/>
                <w:sz w:val="18"/>
                <w:szCs w:val="18"/>
              </w:rPr>
            </w:pPr>
            <w:r>
              <w:rPr>
                <w:b/>
                <w:bCs/>
                <w:sz w:val="18"/>
                <w:szCs w:val="18"/>
              </w:rPr>
              <w:t>27</w:t>
            </w:r>
          </w:p>
        </w:tc>
        <w:tc>
          <w:tcPr>
            <w:tcW w:w="818" w:type="dxa"/>
            <w:tcMar>
              <w:top w:w="28" w:type="dxa"/>
              <w:left w:w="57" w:type="dxa"/>
              <w:bottom w:w="28" w:type="dxa"/>
              <w:right w:w="57" w:type="dxa"/>
            </w:tcMar>
            <w:vAlign w:val="center"/>
          </w:tcPr>
          <w:p w14:paraId="4769A84A">
            <w:pPr>
              <w:overflowPunct w:val="0"/>
              <w:autoSpaceDE w:val="0"/>
              <w:autoSpaceDN w:val="0"/>
              <w:adjustRightInd w:val="0"/>
              <w:snapToGrid w:val="0"/>
              <w:jc w:val="center"/>
              <w:rPr>
                <w:rFonts w:eastAsia="宋体"/>
                <w:b/>
                <w:bCs/>
                <w:sz w:val="18"/>
                <w:szCs w:val="18"/>
              </w:rPr>
            </w:pPr>
            <w:r>
              <w:rPr>
                <w:b/>
                <w:bCs/>
                <w:sz w:val="18"/>
                <w:szCs w:val="18"/>
              </w:rPr>
              <w:t>28</w:t>
            </w:r>
          </w:p>
        </w:tc>
      </w:tr>
      <w:tr w14:paraId="37F38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blHeader/>
        </w:trPr>
        <w:tc>
          <w:tcPr>
            <w:tcW w:w="2405" w:type="dxa"/>
            <w:tcMar>
              <w:top w:w="28" w:type="dxa"/>
              <w:left w:w="57" w:type="dxa"/>
              <w:bottom w:w="28" w:type="dxa"/>
              <w:right w:w="57" w:type="dxa"/>
            </w:tcMar>
            <w:vAlign w:val="center"/>
          </w:tcPr>
          <w:p w14:paraId="6A9A4CD6">
            <w:pPr>
              <w:overflowPunct w:val="0"/>
              <w:autoSpaceDE w:val="0"/>
              <w:autoSpaceDN w:val="0"/>
              <w:adjustRightInd w:val="0"/>
              <w:snapToGrid w:val="0"/>
              <w:jc w:val="center"/>
              <w:rPr>
                <w:rFonts w:eastAsia="宋体"/>
                <w:b/>
                <w:bCs/>
                <w:sz w:val="18"/>
                <w:szCs w:val="18"/>
              </w:rPr>
            </w:pPr>
            <w:r>
              <w:rPr>
                <w:b/>
                <w:bCs/>
                <w:sz w:val="18"/>
                <w:szCs w:val="18"/>
              </w:rPr>
              <w:t>Visit (day)</w:t>
            </w:r>
          </w:p>
        </w:tc>
        <w:tc>
          <w:tcPr>
            <w:tcW w:w="582" w:type="dxa"/>
            <w:shd w:val="clear" w:color="auto" w:fill="auto"/>
            <w:tcMar>
              <w:top w:w="28" w:type="dxa"/>
              <w:left w:w="57" w:type="dxa"/>
              <w:bottom w:w="28" w:type="dxa"/>
              <w:right w:w="57" w:type="dxa"/>
            </w:tcMar>
            <w:vAlign w:val="center"/>
          </w:tcPr>
          <w:p w14:paraId="3C82918C">
            <w:pPr>
              <w:overflowPunct w:val="0"/>
              <w:autoSpaceDE w:val="0"/>
              <w:autoSpaceDN w:val="0"/>
              <w:adjustRightInd w:val="0"/>
              <w:snapToGrid w:val="0"/>
              <w:jc w:val="center"/>
              <w:rPr>
                <w:rFonts w:eastAsia="宋体"/>
                <w:b/>
                <w:bCs/>
                <w:sz w:val="18"/>
                <w:szCs w:val="18"/>
              </w:rPr>
            </w:pPr>
            <w:r>
              <w:rPr>
                <w:b/>
                <w:bCs/>
                <w:sz w:val="18"/>
                <w:szCs w:val="18"/>
              </w:rPr>
              <w:t>−14 to −2</w:t>
            </w:r>
          </w:p>
        </w:tc>
        <w:tc>
          <w:tcPr>
            <w:tcW w:w="425" w:type="dxa"/>
            <w:shd w:val="clear" w:color="auto" w:fill="auto"/>
            <w:tcMar>
              <w:top w:w="28" w:type="dxa"/>
              <w:left w:w="57" w:type="dxa"/>
              <w:bottom w:w="28" w:type="dxa"/>
              <w:right w:w="57" w:type="dxa"/>
            </w:tcMar>
            <w:vAlign w:val="center"/>
          </w:tcPr>
          <w:p w14:paraId="78167F99">
            <w:pPr>
              <w:overflowPunct w:val="0"/>
              <w:autoSpaceDE w:val="0"/>
              <w:autoSpaceDN w:val="0"/>
              <w:adjustRightInd w:val="0"/>
              <w:snapToGrid w:val="0"/>
              <w:jc w:val="center"/>
              <w:rPr>
                <w:rFonts w:eastAsia="宋体"/>
                <w:b/>
                <w:bCs/>
                <w:sz w:val="18"/>
                <w:szCs w:val="18"/>
              </w:rPr>
            </w:pPr>
            <w:r>
              <w:rPr>
                <w:b/>
                <w:bCs/>
                <w:sz w:val="18"/>
                <w:szCs w:val="18"/>
              </w:rPr>
              <w:t>−1</w:t>
            </w:r>
          </w:p>
        </w:tc>
        <w:tc>
          <w:tcPr>
            <w:tcW w:w="443" w:type="dxa"/>
            <w:shd w:val="clear" w:color="auto" w:fill="F1F1F1" w:themeFill="background1" w:themeFillShade="F2"/>
            <w:tcMar>
              <w:top w:w="28" w:type="dxa"/>
              <w:left w:w="57" w:type="dxa"/>
              <w:bottom w:w="28" w:type="dxa"/>
              <w:right w:w="57" w:type="dxa"/>
            </w:tcMar>
            <w:vAlign w:val="center"/>
          </w:tcPr>
          <w:p w14:paraId="122A0553">
            <w:pPr>
              <w:overflowPunct w:val="0"/>
              <w:autoSpaceDE w:val="0"/>
              <w:autoSpaceDN w:val="0"/>
              <w:adjustRightInd w:val="0"/>
              <w:snapToGrid w:val="0"/>
              <w:jc w:val="center"/>
              <w:rPr>
                <w:rFonts w:eastAsia="宋体"/>
                <w:b/>
                <w:bCs/>
                <w:sz w:val="18"/>
                <w:szCs w:val="18"/>
              </w:rPr>
            </w:pPr>
            <w:r>
              <w:rPr>
                <w:b/>
                <w:bCs/>
                <w:sz w:val="18"/>
                <w:szCs w:val="18"/>
              </w:rPr>
              <w:t>0</w:t>
            </w:r>
          </w:p>
        </w:tc>
        <w:tc>
          <w:tcPr>
            <w:tcW w:w="443" w:type="dxa"/>
            <w:shd w:val="clear" w:color="auto" w:fill="F1F1F1" w:themeFill="background1" w:themeFillShade="F2"/>
            <w:tcMar>
              <w:top w:w="28" w:type="dxa"/>
              <w:left w:w="57" w:type="dxa"/>
              <w:bottom w:w="28" w:type="dxa"/>
              <w:right w:w="57" w:type="dxa"/>
            </w:tcMar>
            <w:vAlign w:val="center"/>
          </w:tcPr>
          <w:p w14:paraId="711AF4A0">
            <w:pPr>
              <w:overflowPunct w:val="0"/>
              <w:autoSpaceDE w:val="0"/>
              <w:autoSpaceDN w:val="0"/>
              <w:adjustRightInd w:val="0"/>
              <w:snapToGrid w:val="0"/>
              <w:jc w:val="center"/>
              <w:rPr>
                <w:rFonts w:eastAsia="宋体"/>
                <w:b/>
                <w:bCs/>
                <w:sz w:val="18"/>
                <w:szCs w:val="18"/>
              </w:rPr>
            </w:pPr>
            <w:r>
              <w:rPr>
                <w:b/>
                <w:bCs/>
                <w:sz w:val="18"/>
                <w:szCs w:val="18"/>
              </w:rPr>
              <w:t>14</w:t>
            </w:r>
          </w:p>
        </w:tc>
        <w:tc>
          <w:tcPr>
            <w:tcW w:w="443" w:type="dxa"/>
            <w:shd w:val="clear" w:color="auto" w:fill="F1F1F1" w:themeFill="background1" w:themeFillShade="F2"/>
            <w:tcMar>
              <w:top w:w="28" w:type="dxa"/>
              <w:left w:w="57" w:type="dxa"/>
              <w:bottom w:w="28" w:type="dxa"/>
              <w:right w:w="57" w:type="dxa"/>
            </w:tcMar>
            <w:vAlign w:val="center"/>
          </w:tcPr>
          <w:p w14:paraId="32279629">
            <w:pPr>
              <w:overflowPunct w:val="0"/>
              <w:autoSpaceDE w:val="0"/>
              <w:autoSpaceDN w:val="0"/>
              <w:adjustRightInd w:val="0"/>
              <w:snapToGrid w:val="0"/>
              <w:jc w:val="center"/>
              <w:rPr>
                <w:rFonts w:eastAsia="宋体"/>
                <w:b/>
                <w:bCs/>
                <w:sz w:val="18"/>
                <w:szCs w:val="18"/>
              </w:rPr>
            </w:pPr>
            <w:r>
              <w:rPr>
                <w:b/>
                <w:bCs/>
                <w:sz w:val="18"/>
                <w:szCs w:val="18"/>
              </w:rPr>
              <w:t>28</w:t>
            </w:r>
          </w:p>
        </w:tc>
        <w:tc>
          <w:tcPr>
            <w:tcW w:w="443" w:type="dxa"/>
            <w:shd w:val="clear" w:color="auto" w:fill="F1F1F1" w:themeFill="background1" w:themeFillShade="F2"/>
            <w:tcMar>
              <w:top w:w="28" w:type="dxa"/>
              <w:left w:w="57" w:type="dxa"/>
              <w:bottom w:w="28" w:type="dxa"/>
              <w:right w:w="57" w:type="dxa"/>
            </w:tcMar>
            <w:vAlign w:val="center"/>
          </w:tcPr>
          <w:p w14:paraId="33B87C6F">
            <w:pPr>
              <w:overflowPunct w:val="0"/>
              <w:autoSpaceDE w:val="0"/>
              <w:autoSpaceDN w:val="0"/>
              <w:adjustRightInd w:val="0"/>
              <w:snapToGrid w:val="0"/>
              <w:jc w:val="center"/>
              <w:rPr>
                <w:rFonts w:eastAsia="宋体"/>
                <w:b/>
                <w:bCs/>
                <w:sz w:val="18"/>
                <w:szCs w:val="18"/>
              </w:rPr>
            </w:pPr>
            <w:r>
              <w:rPr>
                <w:b/>
                <w:bCs/>
                <w:sz w:val="18"/>
                <w:szCs w:val="18"/>
              </w:rPr>
              <w:t>42</w:t>
            </w:r>
          </w:p>
        </w:tc>
        <w:tc>
          <w:tcPr>
            <w:tcW w:w="443" w:type="dxa"/>
            <w:shd w:val="clear" w:color="auto" w:fill="F1F1F1" w:themeFill="background1" w:themeFillShade="F2"/>
            <w:tcMar>
              <w:top w:w="28" w:type="dxa"/>
              <w:left w:w="57" w:type="dxa"/>
              <w:bottom w:w="28" w:type="dxa"/>
              <w:right w:w="57" w:type="dxa"/>
            </w:tcMar>
            <w:vAlign w:val="center"/>
          </w:tcPr>
          <w:p w14:paraId="478A8A7C">
            <w:pPr>
              <w:overflowPunct w:val="0"/>
              <w:autoSpaceDE w:val="0"/>
              <w:autoSpaceDN w:val="0"/>
              <w:adjustRightInd w:val="0"/>
              <w:snapToGrid w:val="0"/>
              <w:jc w:val="center"/>
              <w:rPr>
                <w:rFonts w:eastAsia="宋体"/>
                <w:b/>
                <w:bCs/>
                <w:sz w:val="18"/>
                <w:szCs w:val="18"/>
              </w:rPr>
            </w:pPr>
            <w:r>
              <w:rPr>
                <w:b/>
                <w:bCs/>
                <w:sz w:val="18"/>
                <w:szCs w:val="18"/>
              </w:rPr>
              <w:t>56</w:t>
            </w:r>
          </w:p>
        </w:tc>
        <w:tc>
          <w:tcPr>
            <w:tcW w:w="443" w:type="dxa"/>
            <w:shd w:val="clear" w:color="auto" w:fill="F1F1F1" w:themeFill="background1" w:themeFillShade="F2"/>
            <w:tcMar>
              <w:top w:w="28" w:type="dxa"/>
              <w:left w:w="57" w:type="dxa"/>
              <w:bottom w:w="28" w:type="dxa"/>
              <w:right w:w="57" w:type="dxa"/>
            </w:tcMar>
            <w:vAlign w:val="center"/>
          </w:tcPr>
          <w:p w14:paraId="28EFA0EC">
            <w:pPr>
              <w:overflowPunct w:val="0"/>
              <w:autoSpaceDE w:val="0"/>
              <w:autoSpaceDN w:val="0"/>
              <w:adjustRightInd w:val="0"/>
              <w:snapToGrid w:val="0"/>
              <w:jc w:val="center"/>
              <w:rPr>
                <w:rFonts w:eastAsia="宋体"/>
                <w:b/>
                <w:bCs/>
                <w:sz w:val="18"/>
                <w:szCs w:val="18"/>
              </w:rPr>
            </w:pPr>
            <w:r>
              <w:rPr>
                <w:b/>
                <w:bCs/>
                <w:sz w:val="18"/>
                <w:szCs w:val="18"/>
              </w:rPr>
              <w:t>70</w:t>
            </w:r>
          </w:p>
        </w:tc>
        <w:tc>
          <w:tcPr>
            <w:tcW w:w="443" w:type="dxa"/>
            <w:shd w:val="clear" w:color="auto" w:fill="F2F2F2" w:themeFill="background2" w:themeFillTint="33"/>
            <w:tcMar>
              <w:top w:w="28" w:type="dxa"/>
              <w:left w:w="57" w:type="dxa"/>
              <w:bottom w:w="28" w:type="dxa"/>
              <w:right w:w="57" w:type="dxa"/>
            </w:tcMar>
            <w:vAlign w:val="center"/>
          </w:tcPr>
          <w:p w14:paraId="0BFD4A77">
            <w:pPr>
              <w:overflowPunct w:val="0"/>
              <w:autoSpaceDE w:val="0"/>
              <w:autoSpaceDN w:val="0"/>
              <w:adjustRightInd w:val="0"/>
              <w:snapToGrid w:val="0"/>
              <w:jc w:val="center"/>
              <w:rPr>
                <w:rFonts w:eastAsia="宋体"/>
                <w:b/>
                <w:bCs/>
                <w:sz w:val="18"/>
                <w:szCs w:val="18"/>
              </w:rPr>
            </w:pPr>
            <w:r>
              <w:rPr>
                <w:b/>
                <w:bCs/>
                <w:sz w:val="18"/>
                <w:szCs w:val="18"/>
              </w:rPr>
              <w:t>84</w:t>
            </w:r>
          </w:p>
        </w:tc>
        <w:tc>
          <w:tcPr>
            <w:tcW w:w="443" w:type="dxa"/>
            <w:shd w:val="clear" w:color="auto" w:fill="F2F2F2" w:themeFill="background2" w:themeFillTint="33"/>
            <w:tcMar>
              <w:top w:w="28" w:type="dxa"/>
              <w:left w:w="57" w:type="dxa"/>
              <w:bottom w:w="28" w:type="dxa"/>
              <w:right w:w="57" w:type="dxa"/>
            </w:tcMar>
            <w:vAlign w:val="center"/>
          </w:tcPr>
          <w:p w14:paraId="0F1E6AB6">
            <w:pPr>
              <w:overflowPunct w:val="0"/>
              <w:autoSpaceDE w:val="0"/>
              <w:autoSpaceDN w:val="0"/>
              <w:adjustRightInd w:val="0"/>
              <w:snapToGrid w:val="0"/>
              <w:jc w:val="center"/>
              <w:rPr>
                <w:rFonts w:eastAsia="宋体"/>
                <w:b/>
                <w:bCs/>
                <w:sz w:val="18"/>
                <w:szCs w:val="18"/>
              </w:rPr>
            </w:pPr>
            <w:r>
              <w:rPr>
                <w:b/>
                <w:bCs/>
                <w:sz w:val="18"/>
                <w:szCs w:val="18"/>
              </w:rPr>
              <w:t>98</w:t>
            </w:r>
          </w:p>
        </w:tc>
        <w:tc>
          <w:tcPr>
            <w:tcW w:w="507" w:type="dxa"/>
            <w:shd w:val="clear" w:color="auto" w:fill="F2F2F2" w:themeFill="background2" w:themeFillTint="33"/>
            <w:tcMar>
              <w:top w:w="28" w:type="dxa"/>
              <w:left w:w="57" w:type="dxa"/>
              <w:bottom w:w="28" w:type="dxa"/>
              <w:right w:w="57" w:type="dxa"/>
            </w:tcMar>
            <w:vAlign w:val="center"/>
          </w:tcPr>
          <w:p w14:paraId="1CF0736E">
            <w:pPr>
              <w:overflowPunct w:val="0"/>
              <w:autoSpaceDE w:val="0"/>
              <w:autoSpaceDN w:val="0"/>
              <w:adjustRightInd w:val="0"/>
              <w:snapToGrid w:val="0"/>
              <w:jc w:val="center"/>
              <w:rPr>
                <w:rFonts w:eastAsia="宋体"/>
                <w:b/>
                <w:bCs/>
                <w:sz w:val="18"/>
                <w:szCs w:val="18"/>
              </w:rPr>
            </w:pPr>
            <w:r>
              <w:rPr>
                <w:b/>
                <w:bCs/>
                <w:sz w:val="18"/>
                <w:szCs w:val="18"/>
              </w:rPr>
              <w:t>112</w:t>
            </w:r>
          </w:p>
        </w:tc>
        <w:tc>
          <w:tcPr>
            <w:tcW w:w="508" w:type="dxa"/>
            <w:shd w:val="clear" w:color="auto" w:fill="F2F2F2" w:themeFill="background2" w:themeFillTint="33"/>
            <w:tcMar>
              <w:top w:w="28" w:type="dxa"/>
              <w:left w:w="57" w:type="dxa"/>
              <w:bottom w:w="28" w:type="dxa"/>
              <w:right w:w="57" w:type="dxa"/>
            </w:tcMar>
            <w:vAlign w:val="center"/>
          </w:tcPr>
          <w:p w14:paraId="4F88F5FD">
            <w:pPr>
              <w:overflowPunct w:val="0"/>
              <w:autoSpaceDE w:val="0"/>
              <w:autoSpaceDN w:val="0"/>
              <w:adjustRightInd w:val="0"/>
              <w:snapToGrid w:val="0"/>
              <w:jc w:val="center"/>
              <w:rPr>
                <w:rFonts w:eastAsia="宋体"/>
                <w:b/>
                <w:bCs/>
                <w:sz w:val="18"/>
                <w:szCs w:val="18"/>
              </w:rPr>
            </w:pPr>
            <w:r>
              <w:rPr>
                <w:b/>
                <w:bCs/>
                <w:sz w:val="18"/>
                <w:szCs w:val="18"/>
              </w:rPr>
              <w:t>126</w:t>
            </w:r>
          </w:p>
        </w:tc>
        <w:tc>
          <w:tcPr>
            <w:tcW w:w="508" w:type="dxa"/>
            <w:shd w:val="clear" w:color="auto" w:fill="F2F2F2" w:themeFill="background2" w:themeFillTint="33"/>
            <w:tcMar>
              <w:top w:w="28" w:type="dxa"/>
              <w:left w:w="57" w:type="dxa"/>
              <w:bottom w:w="28" w:type="dxa"/>
              <w:right w:w="57" w:type="dxa"/>
            </w:tcMar>
            <w:vAlign w:val="center"/>
          </w:tcPr>
          <w:p w14:paraId="5451B922">
            <w:pPr>
              <w:overflowPunct w:val="0"/>
              <w:autoSpaceDE w:val="0"/>
              <w:autoSpaceDN w:val="0"/>
              <w:adjustRightInd w:val="0"/>
              <w:snapToGrid w:val="0"/>
              <w:jc w:val="center"/>
              <w:rPr>
                <w:rFonts w:eastAsia="宋体"/>
                <w:b/>
                <w:bCs/>
                <w:sz w:val="18"/>
                <w:szCs w:val="18"/>
              </w:rPr>
            </w:pPr>
            <w:r>
              <w:rPr>
                <w:b/>
                <w:bCs/>
                <w:sz w:val="18"/>
                <w:szCs w:val="18"/>
              </w:rPr>
              <w:t>140</w:t>
            </w:r>
          </w:p>
        </w:tc>
        <w:tc>
          <w:tcPr>
            <w:tcW w:w="508" w:type="dxa"/>
            <w:shd w:val="clear" w:color="auto" w:fill="F2F2F2" w:themeFill="background2" w:themeFillTint="33"/>
            <w:tcMar>
              <w:top w:w="28" w:type="dxa"/>
              <w:left w:w="57" w:type="dxa"/>
              <w:bottom w:w="28" w:type="dxa"/>
              <w:right w:w="57" w:type="dxa"/>
            </w:tcMar>
            <w:vAlign w:val="center"/>
          </w:tcPr>
          <w:p w14:paraId="5E383F77">
            <w:pPr>
              <w:overflowPunct w:val="0"/>
              <w:autoSpaceDE w:val="0"/>
              <w:autoSpaceDN w:val="0"/>
              <w:adjustRightInd w:val="0"/>
              <w:snapToGrid w:val="0"/>
              <w:jc w:val="center"/>
              <w:rPr>
                <w:rFonts w:eastAsia="宋体"/>
                <w:b/>
                <w:bCs/>
                <w:sz w:val="18"/>
                <w:szCs w:val="18"/>
              </w:rPr>
            </w:pPr>
            <w:r>
              <w:rPr>
                <w:b/>
                <w:bCs/>
                <w:sz w:val="18"/>
                <w:szCs w:val="18"/>
              </w:rPr>
              <w:t>154</w:t>
            </w:r>
          </w:p>
        </w:tc>
        <w:tc>
          <w:tcPr>
            <w:tcW w:w="508" w:type="dxa"/>
            <w:tcMar>
              <w:top w:w="28" w:type="dxa"/>
              <w:left w:w="57" w:type="dxa"/>
              <w:bottom w:w="28" w:type="dxa"/>
              <w:right w:w="57" w:type="dxa"/>
            </w:tcMar>
            <w:vAlign w:val="center"/>
          </w:tcPr>
          <w:p w14:paraId="2EE7AA93">
            <w:pPr>
              <w:overflowPunct w:val="0"/>
              <w:autoSpaceDE w:val="0"/>
              <w:autoSpaceDN w:val="0"/>
              <w:adjustRightInd w:val="0"/>
              <w:snapToGrid w:val="0"/>
              <w:jc w:val="center"/>
              <w:rPr>
                <w:rFonts w:eastAsia="宋体"/>
                <w:b/>
                <w:bCs/>
                <w:sz w:val="18"/>
                <w:szCs w:val="18"/>
              </w:rPr>
            </w:pPr>
            <w:r>
              <w:rPr>
                <w:b/>
                <w:bCs/>
                <w:sz w:val="18"/>
                <w:szCs w:val="18"/>
              </w:rPr>
              <w:t>155</w:t>
            </w:r>
          </w:p>
        </w:tc>
        <w:tc>
          <w:tcPr>
            <w:tcW w:w="508" w:type="dxa"/>
            <w:tcMar>
              <w:top w:w="28" w:type="dxa"/>
              <w:left w:w="57" w:type="dxa"/>
              <w:bottom w:w="28" w:type="dxa"/>
              <w:right w:w="57" w:type="dxa"/>
            </w:tcMar>
            <w:vAlign w:val="center"/>
          </w:tcPr>
          <w:p w14:paraId="3EEF85E5">
            <w:pPr>
              <w:overflowPunct w:val="0"/>
              <w:autoSpaceDE w:val="0"/>
              <w:autoSpaceDN w:val="0"/>
              <w:adjustRightInd w:val="0"/>
              <w:snapToGrid w:val="0"/>
              <w:jc w:val="center"/>
              <w:rPr>
                <w:rFonts w:eastAsia="宋体"/>
                <w:b/>
                <w:bCs/>
                <w:sz w:val="18"/>
                <w:szCs w:val="18"/>
              </w:rPr>
            </w:pPr>
            <w:r>
              <w:rPr>
                <w:b/>
                <w:bCs/>
                <w:sz w:val="18"/>
                <w:szCs w:val="18"/>
              </w:rPr>
              <w:t>156</w:t>
            </w:r>
          </w:p>
        </w:tc>
        <w:tc>
          <w:tcPr>
            <w:tcW w:w="508" w:type="dxa"/>
            <w:tcMar>
              <w:top w:w="28" w:type="dxa"/>
              <w:left w:w="57" w:type="dxa"/>
              <w:bottom w:w="28" w:type="dxa"/>
              <w:right w:w="57" w:type="dxa"/>
            </w:tcMar>
            <w:vAlign w:val="center"/>
          </w:tcPr>
          <w:p w14:paraId="088783ED">
            <w:pPr>
              <w:overflowPunct w:val="0"/>
              <w:autoSpaceDE w:val="0"/>
              <w:autoSpaceDN w:val="0"/>
              <w:adjustRightInd w:val="0"/>
              <w:snapToGrid w:val="0"/>
              <w:jc w:val="center"/>
              <w:rPr>
                <w:rFonts w:eastAsia="宋体"/>
                <w:b/>
                <w:bCs/>
                <w:sz w:val="18"/>
                <w:szCs w:val="18"/>
              </w:rPr>
            </w:pPr>
            <w:r>
              <w:rPr>
                <w:b/>
                <w:bCs/>
                <w:sz w:val="18"/>
                <w:szCs w:val="18"/>
              </w:rPr>
              <w:t>157</w:t>
            </w:r>
          </w:p>
        </w:tc>
        <w:tc>
          <w:tcPr>
            <w:tcW w:w="508" w:type="dxa"/>
            <w:tcMar>
              <w:top w:w="28" w:type="dxa"/>
              <w:left w:w="57" w:type="dxa"/>
              <w:bottom w:w="28" w:type="dxa"/>
              <w:right w:w="57" w:type="dxa"/>
            </w:tcMar>
            <w:vAlign w:val="center"/>
          </w:tcPr>
          <w:p w14:paraId="51DCC941">
            <w:pPr>
              <w:overflowPunct w:val="0"/>
              <w:autoSpaceDE w:val="0"/>
              <w:autoSpaceDN w:val="0"/>
              <w:adjustRightInd w:val="0"/>
              <w:snapToGrid w:val="0"/>
              <w:jc w:val="center"/>
              <w:rPr>
                <w:rFonts w:eastAsia="宋体"/>
                <w:b/>
                <w:bCs/>
                <w:sz w:val="18"/>
                <w:szCs w:val="18"/>
              </w:rPr>
            </w:pPr>
            <w:r>
              <w:rPr>
                <w:b/>
                <w:bCs/>
                <w:sz w:val="18"/>
                <w:szCs w:val="18"/>
              </w:rPr>
              <w:t>161</w:t>
            </w:r>
          </w:p>
        </w:tc>
        <w:tc>
          <w:tcPr>
            <w:tcW w:w="508" w:type="dxa"/>
            <w:tcMar>
              <w:top w:w="28" w:type="dxa"/>
              <w:left w:w="57" w:type="dxa"/>
              <w:bottom w:w="28" w:type="dxa"/>
              <w:right w:w="57" w:type="dxa"/>
            </w:tcMar>
            <w:vAlign w:val="center"/>
          </w:tcPr>
          <w:p w14:paraId="1E219842">
            <w:pPr>
              <w:overflowPunct w:val="0"/>
              <w:autoSpaceDE w:val="0"/>
              <w:autoSpaceDN w:val="0"/>
              <w:adjustRightInd w:val="0"/>
              <w:snapToGrid w:val="0"/>
              <w:jc w:val="center"/>
              <w:rPr>
                <w:rFonts w:eastAsia="宋体"/>
                <w:b/>
                <w:bCs/>
                <w:sz w:val="18"/>
                <w:szCs w:val="18"/>
              </w:rPr>
            </w:pPr>
            <w:r>
              <w:rPr>
                <w:b/>
                <w:bCs/>
                <w:sz w:val="18"/>
                <w:szCs w:val="18"/>
              </w:rPr>
              <w:t>164</w:t>
            </w:r>
          </w:p>
        </w:tc>
        <w:tc>
          <w:tcPr>
            <w:tcW w:w="508" w:type="dxa"/>
            <w:tcMar>
              <w:top w:w="28" w:type="dxa"/>
              <w:left w:w="57" w:type="dxa"/>
              <w:bottom w:w="28" w:type="dxa"/>
              <w:right w:w="57" w:type="dxa"/>
            </w:tcMar>
            <w:vAlign w:val="center"/>
          </w:tcPr>
          <w:p w14:paraId="09DAE70F">
            <w:pPr>
              <w:overflowPunct w:val="0"/>
              <w:autoSpaceDE w:val="0"/>
              <w:autoSpaceDN w:val="0"/>
              <w:adjustRightInd w:val="0"/>
              <w:snapToGrid w:val="0"/>
              <w:jc w:val="center"/>
              <w:rPr>
                <w:rFonts w:eastAsia="宋体"/>
                <w:b/>
                <w:bCs/>
                <w:sz w:val="18"/>
                <w:szCs w:val="18"/>
              </w:rPr>
            </w:pPr>
            <w:r>
              <w:rPr>
                <w:b/>
                <w:bCs/>
                <w:sz w:val="18"/>
                <w:szCs w:val="18"/>
              </w:rPr>
              <w:t>168</w:t>
            </w:r>
          </w:p>
        </w:tc>
        <w:tc>
          <w:tcPr>
            <w:tcW w:w="508" w:type="dxa"/>
            <w:tcMar>
              <w:top w:w="28" w:type="dxa"/>
              <w:left w:w="57" w:type="dxa"/>
              <w:bottom w:w="28" w:type="dxa"/>
              <w:right w:w="57" w:type="dxa"/>
            </w:tcMar>
            <w:vAlign w:val="center"/>
          </w:tcPr>
          <w:p w14:paraId="2DDEDE14">
            <w:pPr>
              <w:overflowPunct w:val="0"/>
              <w:autoSpaceDE w:val="0"/>
              <w:autoSpaceDN w:val="0"/>
              <w:adjustRightInd w:val="0"/>
              <w:snapToGrid w:val="0"/>
              <w:rPr>
                <w:rFonts w:eastAsia="宋体"/>
                <w:b/>
                <w:bCs/>
                <w:sz w:val="18"/>
                <w:szCs w:val="18"/>
              </w:rPr>
            </w:pPr>
            <w:r>
              <w:rPr>
                <w:b/>
                <w:bCs/>
                <w:sz w:val="18"/>
                <w:szCs w:val="18"/>
              </w:rPr>
              <w:t>175</w:t>
            </w:r>
          </w:p>
        </w:tc>
        <w:tc>
          <w:tcPr>
            <w:tcW w:w="508" w:type="dxa"/>
            <w:tcMar>
              <w:top w:w="28" w:type="dxa"/>
              <w:left w:w="57" w:type="dxa"/>
              <w:bottom w:w="28" w:type="dxa"/>
              <w:right w:w="57" w:type="dxa"/>
            </w:tcMar>
            <w:vAlign w:val="center"/>
          </w:tcPr>
          <w:p w14:paraId="59FA5E82">
            <w:pPr>
              <w:overflowPunct w:val="0"/>
              <w:autoSpaceDE w:val="0"/>
              <w:autoSpaceDN w:val="0"/>
              <w:adjustRightInd w:val="0"/>
              <w:snapToGrid w:val="0"/>
              <w:jc w:val="center"/>
              <w:rPr>
                <w:rFonts w:eastAsia="宋体"/>
                <w:b/>
                <w:bCs/>
                <w:sz w:val="18"/>
                <w:szCs w:val="18"/>
              </w:rPr>
            </w:pPr>
            <w:r>
              <w:rPr>
                <w:b/>
                <w:bCs/>
                <w:sz w:val="18"/>
                <w:szCs w:val="18"/>
              </w:rPr>
              <w:t>182</w:t>
            </w:r>
          </w:p>
        </w:tc>
        <w:tc>
          <w:tcPr>
            <w:tcW w:w="508" w:type="dxa"/>
            <w:tcMar>
              <w:top w:w="28" w:type="dxa"/>
              <w:left w:w="57" w:type="dxa"/>
              <w:bottom w:w="28" w:type="dxa"/>
              <w:right w:w="57" w:type="dxa"/>
            </w:tcMar>
            <w:vAlign w:val="center"/>
          </w:tcPr>
          <w:p w14:paraId="750898BC">
            <w:pPr>
              <w:overflowPunct w:val="0"/>
              <w:autoSpaceDE w:val="0"/>
              <w:autoSpaceDN w:val="0"/>
              <w:adjustRightInd w:val="0"/>
              <w:snapToGrid w:val="0"/>
              <w:jc w:val="center"/>
              <w:rPr>
                <w:rFonts w:eastAsia="宋体"/>
                <w:b/>
                <w:bCs/>
                <w:sz w:val="18"/>
                <w:szCs w:val="18"/>
              </w:rPr>
            </w:pPr>
            <w:r>
              <w:rPr>
                <w:b/>
                <w:bCs/>
                <w:sz w:val="18"/>
                <w:szCs w:val="18"/>
              </w:rPr>
              <w:t>189</w:t>
            </w:r>
          </w:p>
        </w:tc>
        <w:tc>
          <w:tcPr>
            <w:tcW w:w="818" w:type="dxa"/>
            <w:tcMar>
              <w:top w:w="28" w:type="dxa"/>
              <w:left w:w="57" w:type="dxa"/>
              <w:bottom w:w="28" w:type="dxa"/>
              <w:right w:w="57" w:type="dxa"/>
            </w:tcMar>
            <w:vAlign w:val="center"/>
          </w:tcPr>
          <w:p w14:paraId="65D859A2">
            <w:pPr>
              <w:overflowPunct w:val="0"/>
              <w:autoSpaceDE w:val="0"/>
              <w:autoSpaceDN w:val="0"/>
              <w:adjustRightInd w:val="0"/>
              <w:snapToGrid w:val="0"/>
              <w:jc w:val="center"/>
              <w:rPr>
                <w:rFonts w:eastAsia="宋体"/>
                <w:b/>
                <w:bCs/>
                <w:sz w:val="18"/>
                <w:szCs w:val="18"/>
              </w:rPr>
            </w:pPr>
            <w:r>
              <w:rPr>
                <w:b/>
                <w:bCs/>
                <w:sz w:val="18"/>
                <w:szCs w:val="18"/>
              </w:rPr>
              <w:t>196/early withdrawal</w:t>
            </w:r>
            <w:r>
              <w:rPr>
                <w:b/>
                <w:bCs/>
                <w:sz w:val="18"/>
                <w:szCs w:val="18"/>
                <w:vertAlign w:val="superscript"/>
              </w:rPr>
              <w:t>2</w:t>
            </w:r>
          </w:p>
        </w:tc>
      </w:tr>
      <w:tr w14:paraId="43771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blHeader/>
        </w:trPr>
        <w:tc>
          <w:tcPr>
            <w:tcW w:w="2405" w:type="dxa"/>
            <w:tcMar>
              <w:top w:w="28" w:type="dxa"/>
              <w:left w:w="57" w:type="dxa"/>
              <w:bottom w:w="28" w:type="dxa"/>
              <w:right w:w="57" w:type="dxa"/>
            </w:tcMar>
            <w:vAlign w:val="center"/>
          </w:tcPr>
          <w:p w14:paraId="1491BAF9">
            <w:pPr>
              <w:overflowPunct w:val="0"/>
              <w:autoSpaceDE w:val="0"/>
              <w:autoSpaceDN w:val="0"/>
              <w:adjustRightInd w:val="0"/>
              <w:snapToGrid w:val="0"/>
              <w:jc w:val="center"/>
              <w:rPr>
                <w:rFonts w:eastAsia="宋体"/>
                <w:b/>
                <w:bCs/>
                <w:sz w:val="18"/>
                <w:szCs w:val="18"/>
              </w:rPr>
            </w:pPr>
            <w:r>
              <w:rPr>
                <w:b/>
                <w:bCs/>
                <w:sz w:val="18"/>
                <w:szCs w:val="18"/>
              </w:rPr>
              <w:t>Time window (day)</w:t>
            </w:r>
          </w:p>
        </w:tc>
        <w:tc>
          <w:tcPr>
            <w:tcW w:w="582" w:type="dxa"/>
            <w:shd w:val="clear" w:color="auto" w:fill="auto"/>
            <w:tcMar>
              <w:top w:w="28" w:type="dxa"/>
              <w:left w:w="57" w:type="dxa"/>
              <w:bottom w:w="28" w:type="dxa"/>
              <w:right w:w="57" w:type="dxa"/>
            </w:tcMar>
            <w:vAlign w:val="center"/>
          </w:tcPr>
          <w:p w14:paraId="35BE987B">
            <w:pPr>
              <w:overflowPunct w:val="0"/>
              <w:autoSpaceDE w:val="0"/>
              <w:autoSpaceDN w:val="0"/>
              <w:adjustRightInd w:val="0"/>
              <w:snapToGrid w:val="0"/>
              <w:jc w:val="center"/>
              <w:rPr>
                <w:rFonts w:eastAsia="宋体"/>
                <w:b/>
                <w:bCs/>
                <w:sz w:val="18"/>
                <w:szCs w:val="18"/>
              </w:rPr>
            </w:pPr>
            <w:r>
              <w:rPr>
                <w:b/>
                <w:bCs/>
                <w:sz w:val="18"/>
                <w:szCs w:val="18"/>
              </w:rPr>
              <w:t>\</w:t>
            </w:r>
          </w:p>
        </w:tc>
        <w:tc>
          <w:tcPr>
            <w:tcW w:w="425" w:type="dxa"/>
            <w:shd w:val="clear" w:color="auto" w:fill="auto"/>
            <w:tcMar>
              <w:top w:w="28" w:type="dxa"/>
              <w:left w:w="57" w:type="dxa"/>
              <w:bottom w:w="28" w:type="dxa"/>
              <w:right w:w="57" w:type="dxa"/>
            </w:tcMar>
            <w:vAlign w:val="center"/>
          </w:tcPr>
          <w:p w14:paraId="6BEC7F19">
            <w:pPr>
              <w:overflowPunct w:val="0"/>
              <w:autoSpaceDE w:val="0"/>
              <w:autoSpaceDN w:val="0"/>
              <w:adjustRightInd w:val="0"/>
              <w:snapToGrid w:val="0"/>
              <w:jc w:val="center"/>
              <w:rPr>
                <w:rFonts w:eastAsia="宋体"/>
                <w:b/>
                <w:bCs/>
                <w:sz w:val="18"/>
                <w:szCs w:val="18"/>
              </w:rPr>
            </w:pPr>
            <w:r>
              <w:rPr>
                <w:b/>
                <w:bCs/>
                <w:sz w:val="18"/>
                <w:szCs w:val="18"/>
              </w:rPr>
              <w:t>\</w:t>
            </w:r>
          </w:p>
        </w:tc>
        <w:tc>
          <w:tcPr>
            <w:tcW w:w="443" w:type="dxa"/>
            <w:shd w:val="clear" w:color="auto" w:fill="F1F1F1" w:themeFill="background1" w:themeFillShade="F2"/>
            <w:tcMar>
              <w:top w:w="28" w:type="dxa"/>
              <w:left w:w="57" w:type="dxa"/>
              <w:bottom w:w="28" w:type="dxa"/>
              <w:right w:w="57" w:type="dxa"/>
            </w:tcMar>
            <w:vAlign w:val="center"/>
          </w:tcPr>
          <w:p w14:paraId="6AD4C8CE">
            <w:pPr>
              <w:overflowPunct w:val="0"/>
              <w:autoSpaceDE w:val="0"/>
              <w:autoSpaceDN w:val="0"/>
              <w:adjustRightInd w:val="0"/>
              <w:snapToGrid w:val="0"/>
              <w:jc w:val="center"/>
              <w:rPr>
                <w:rFonts w:eastAsia="宋体"/>
                <w:b/>
                <w:bCs/>
                <w:sz w:val="18"/>
                <w:szCs w:val="18"/>
              </w:rPr>
            </w:pPr>
            <w:r>
              <w:rPr>
                <w:b/>
                <w:bCs/>
                <w:sz w:val="18"/>
                <w:szCs w:val="18"/>
              </w:rPr>
              <w:t>\</w:t>
            </w:r>
          </w:p>
        </w:tc>
        <w:tc>
          <w:tcPr>
            <w:tcW w:w="443" w:type="dxa"/>
            <w:shd w:val="clear" w:color="auto" w:fill="F1F1F1" w:themeFill="background1" w:themeFillShade="F2"/>
            <w:tcMar>
              <w:top w:w="28" w:type="dxa"/>
              <w:left w:w="57" w:type="dxa"/>
              <w:bottom w:w="28" w:type="dxa"/>
              <w:right w:w="57" w:type="dxa"/>
            </w:tcMar>
            <w:vAlign w:val="center"/>
          </w:tcPr>
          <w:p w14:paraId="0028883E">
            <w:pPr>
              <w:overflowPunct w:val="0"/>
              <w:autoSpaceDE w:val="0"/>
              <w:autoSpaceDN w:val="0"/>
              <w:adjustRightInd w:val="0"/>
              <w:snapToGrid w:val="0"/>
              <w:jc w:val="center"/>
              <w:rPr>
                <w:rFonts w:eastAsia="宋体"/>
                <w:b/>
                <w:bCs/>
                <w:sz w:val="18"/>
                <w:szCs w:val="18"/>
              </w:rPr>
            </w:pPr>
            <w:r>
              <w:rPr>
                <w:b/>
                <w:bCs/>
                <w:sz w:val="18"/>
                <w:szCs w:val="18"/>
              </w:rPr>
              <w:t>± 3</w:t>
            </w:r>
          </w:p>
        </w:tc>
        <w:tc>
          <w:tcPr>
            <w:tcW w:w="443" w:type="dxa"/>
            <w:shd w:val="clear" w:color="auto" w:fill="F1F1F1" w:themeFill="background1" w:themeFillShade="F2"/>
            <w:tcMar>
              <w:top w:w="28" w:type="dxa"/>
              <w:left w:w="57" w:type="dxa"/>
              <w:bottom w:w="28" w:type="dxa"/>
              <w:right w:w="57" w:type="dxa"/>
            </w:tcMar>
            <w:vAlign w:val="center"/>
          </w:tcPr>
          <w:p w14:paraId="2DFF5A50">
            <w:pPr>
              <w:overflowPunct w:val="0"/>
              <w:autoSpaceDE w:val="0"/>
              <w:autoSpaceDN w:val="0"/>
              <w:adjustRightInd w:val="0"/>
              <w:snapToGrid w:val="0"/>
              <w:jc w:val="center"/>
              <w:rPr>
                <w:rFonts w:eastAsia="宋体"/>
                <w:b/>
                <w:bCs/>
                <w:sz w:val="18"/>
                <w:szCs w:val="18"/>
              </w:rPr>
            </w:pPr>
            <w:r>
              <w:rPr>
                <w:b/>
                <w:bCs/>
                <w:sz w:val="18"/>
                <w:szCs w:val="18"/>
              </w:rPr>
              <w:t>± 3</w:t>
            </w:r>
          </w:p>
        </w:tc>
        <w:tc>
          <w:tcPr>
            <w:tcW w:w="443" w:type="dxa"/>
            <w:shd w:val="clear" w:color="auto" w:fill="F1F1F1" w:themeFill="background1" w:themeFillShade="F2"/>
            <w:tcMar>
              <w:top w:w="28" w:type="dxa"/>
              <w:left w:w="57" w:type="dxa"/>
              <w:bottom w:w="28" w:type="dxa"/>
              <w:right w:w="57" w:type="dxa"/>
            </w:tcMar>
            <w:vAlign w:val="center"/>
          </w:tcPr>
          <w:p w14:paraId="383873D9">
            <w:pPr>
              <w:overflowPunct w:val="0"/>
              <w:autoSpaceDE w:val="0"/>
              <w:autoSpaceDN w:val="0"/>
              <w:adjustRightInd w:val="0"/>
              <w:snapToGrid w:val="0"/>
              <w:jc w:val="center"/>
              <w:rPr>
                <w:rFonts w:eastAsia="宋体"/>
                <w:b/>
                <w:bCs/>
                <w:sz w:val="18"/>
                <w:szCs w:val="18"/>
              </w:rPr>
            </w:pPr>
            <w:r>
              <w:rPr>
                <w:b/>
                <w:bCs/>
                <w:sz w:val="18"/>
                <w:szCs w:val="18"/>
              </w:rPr>
              <w:t>± 3</w:t>
            </w:r>
          </w:p>
        </w:tc>
        <w:tc>
          <w:tcPr>
            <w:tcW w:w="443" w:type="dxa"/>
            <w:shd w:val="clear" w:color="auto" w:fill="F1F1F1" w:themeFill="background1" w:themeFillShade="F2"/>
            <w:tcMar>
              <w:top w:w="28" w:type="dxa"/>
              <w:left w:w="57" w:type="dxa"/>
              <w:bottom w:w="28" w:type="dxa"/>
              <w:right w:w="57" w:type="dxa"/>
            </w:tcMar>
            <w:vAlign w:val="center"/>
          </w:tcPr>
          <w:p w14:paraId="68C12A50">
            <w:pPr>
              <w:overflowPunct w:val="0"/>
              <w:autoSpaceDE w:val="0"/>
              <w:autoSpaceDN w:val="0"/>
              <w:adjustRightInd w:val="0"/>
              <w:snapToGrid w:val="0"/>
              <w:jc w:val="center"/>
              <w:rPr>
                <w:rFonts w:eastAsia="宋体"/>
                <w:b/>
                <w:bCs/>
                <w:sz w:val="18"/>
                <w:szCs w:val="18"/>
              </w:rPr>
            </w:pPr>
            <w:r>
              <w:rPr>
                <w:b/>
                <w:bCs/>
                <w:sz w:val="18"/>
                <w:szCs w:val="18"/>
              </w:rPr>
              <w:t>± 3</w:t>
            </w:r>
          </w:p>
        </w:tc>
        <w:tc>
          <w:tcPr>
            <w:tcW w:w="443" w:type="dxa"/>
            <w:shd w:val="clear" w:color="auto" w:fill="F1F1F1" w:themeFill="background1" w:themeFillShade="F2"/>
            <w:tcMar>
              <w:top w:w="28" w:type="dxa"/>
              <w:left w:w="57" w:type="dxa"/>
              <w:bottom w:w="28" w:type="dxa"/>
              <w:right w:w="57" w:type="dxa"/>
            </w:tcMar>
            <w:vAlign w:val="center"/>
          </w:tcPr>
          <w:p w14:paraId="55814123">
            <w:pPr>
              <w:overflowPunct w:val="0"/>
              <w:autoSpaceDE w:val="0"/>
              <w:autoSpaceDN w:val="0"/>
              <w:adjustRightInd w:val="0"/>
              <w:snapToGrid w:val="0"/>
              <w:jc w:val="center"/>
              <w:rPr>
                <w:rFonts w:eastAsia="宋体"/>
                <w:b/>
                <w:bCs/>
                <w:sz w:val="18"/>
                <w:szCs w:val="18"/>
              </w:rPr>
            </w:pPr>
            <w:r>
              <w:rPr>
                <w:b/>
                <w:bCs/>
                <w:sz w:val="18"/>
                <w:szCs w:val="18"/>
              </w:rPr>
              <w:t>± 3</w:t>
            </w:r>
          </w:p>
        </w:tc>
        <w:tc>
          <w:tcPr>
            <w:tcW w:w="443" w:type="dxa"/>
            <w:shd w:val="clear" w:color="auto" w:fill="F2F2F2" w:themeFill="background2" w:themeFillTint="33"/>
            <w:tcMar>
              <w:top w:w="28" w:type="dxa"/>
              <w:left w:w="57" w:type="dxa"/>
              <w:bottom w:w="28" w:type="dxa"/>
              <w:right w:w="57" w:type="dxa"/>
            </w:tcMar>
            <w:vAlign w:val="center"/>
          </w:tcPr>
          <w:p w14:paraId="5AACC224">
            <w:pPr>
              <w:overflowPunct w:val="0"/>
              <w:autoSpaceDE w:val="0"/>
              <w:autoSpaceDN w:val="0"/>
              <w:adjustRightInd w:val="0"/>
              <w:snapToGrid w:val="0"/>
              <w:jc w:val="center"/>
              <w:rPr>
                <w:rFonts w:eastAsia="宋体"/>
                <w:b/>
                <w:bCs/>
                <w:sz w:val="18"/>
                <w:szCs w:val="18"/>
              </w:rPr>
            </w:pPr>
            <w:r>
              <w:rPr>
                <w:b/>
                <w:bCs/>
                <w:sz w:val="18"/>
                <w:szCs w:val="18"/>
              </w:rPr>
              <w:t>± 3</w:t>
            </w:r>
          </w:p>
        </w:tc>
        <w:tc>
          <w:tcPr>
            <w:tcW w:w="443" w:type="dxa"/>
            <w:shd w:val="clear" w:color="auto" w:fill="F2F2F2" w:themeFill="background2" w:themeFillTint="33"/>
            <w:tcMar>
              <w:top w:w="28" w:type="dxa"/>
              <w:left w:w="57" w:type="dxa"/>
              <w:bottom w:w="28" w:type="dxa"/>
              <w:right w:w="57" w:type="dxa"/>
            </w:tcMar>
            <w:vAlign w:val="center"/>
          </w:tcPr>
          <w:p w14:paraId="30A0C488">
            <w:pPr>
              <w:overflowPunct w:val="0"/>
              <w:autoSpaceDE w:val="0"/>
              <w:autoSpaceDN w:val="0"/>
              <w:adjustRightInd w:val="0"/>
              <w:snapToGrid w:val="0"/>
              <w:jc w:val="center"/>
              <w:rPr>
                <w:rFonts w:eastAsia="宋体"/>
                <w:b/>
                <w:bCs/>
                <w:sz w:val="18"/>
                <w:szCs w:val="18"/>
              </w:rPr>
            </w:pPr>
            <w:r>
              <w:rPr>
                <w:b/>
                <w:bCs/>
                <w:sz w:val="18"/>
                <w:szCs w:val="18"/>
              </w:rPr>
              <w:t>± 3</w:t>
            </w:r>
          </w:p>
        </w:tc>
        <w:tc>
          <w:tcPr>
            <w:tcW w:w="507" w:type="dxa"/>
            <w:shd w:val="clear" w:color="auto" w:fill="F2F2F2" w:themeFill="background2" w:themeFillTint="33"/>
            <w:tcMar>
              <w:top w:w="28" w:type="dxa"/>
              <w:left w:w="57" w:type="dxa"/>
              <w:bottom w:w="28" w:type="dxa"/>
              <w:right w:w="57" w:type="dxa"/>
            </w:tcMar>
            <w:vAlign w:val="center"/>
          </w:tcPr>
          <w:p w14:paraId="22A06D00">
            <w:pPr>
              <w:overflowPunct w:val="0"/>
              <w:autoSpaceDE w:val="0"/>
              <w:autoSpaceDN w:val="0"/>
              <w:adjustRightInd w:val="0"/>
              <w:snapToGrid w:val="0"/>
              <w:jc w:val="center"/>
              <w:rPr>
                <w:rFonts w:eastAsia="宋体"/>
                <w:b/>
                <w:bCs/>
                <w:sz w:val="18"/>
                <w:szCs w:val="18"/>
              </w:rPr>
            </w:pPr>
            <w:r>
              <w:rPr>
                <w:b/>
                <w:bCs/>
                <w:sz w:val="18"/>
                <w:szCs w:val="18"/>
              </w:rPr>
              <w:t>± 3</w:t>
            </w:r>
          </w:p>
        </w:tc>
        <w:tc>
          <w:tcPr>
            <w:tcW w:w="508" w:type="dxa"/>
            <w:shd w:val="clear" w:color="auto" w:fill="F2F2F2" w:themeFill="background2" w:themeFillTint="33"/>
            <w:tcMar>
              <w:top w:w="28" w:type="dxa"/>
              <w:left w:w="57" w:type="dxa"/>
              <w:bottom w:w="28" w:type="dxa"/>
              <w:right w:w="57" w:type="dxa"/>
            </w:tcMar>
            <w:vAlign w:val="center"/>
          </w:tcPr>
          <w:p w14:paraId="7F82596F">
            <w:pPr>
              <w:overflowPunct w:val="0"/>
              <w:autoSpaceDE w:val="0"/>
              <w:autoSpaceDN w:val="0"/>
              <w:adjustRightInd w:val="0"/>
              <w:snapToGrid w:val="0"/>
              <w:jc w:val="center"/>
              <w:rPr>
                <w:rFonts w:eastAsia="宋体"/>
                <w:b/>
                <w:bCs/>
                <w:sz w:val="18"/>
                <w:szCs w:val="18"/>
              </w:rPr>
            </w:pPr>
            <w:r>
              <w:rPr>
                <w:b/>
                <w:bCs/>
                <w:sz w:val="18"/>
                <w:szCs w:val="18"/>
              </w:rPr>
              <w:t>± 3</w:t>
            </w:r>
          </w:p>
        </w:tc>
        <w:tc>
          <w:tcPr>
            <w:tcW w:w="508" w:type="dxa"/>
            <w:shd w:val="clear" w:color="auto" w:fill="F2F2F2" w:themeFill="background2" w:themeFillTint="33"/>
            <w:tcMar>
              <w:top w:w="28" w:type="dxa"/>
              <w:left w:w="57" w:type="dxa"/>
              <w:bottom w:w="28" w:type="dxa"/>
              <w:right w:w="57" w:type="dxa"/>
            </w:tcMar>
            <w:vAlign w:val="center"/>
          </w:tcPr>
          <w:p w14:paraId="46ADFF9E">
            <w:pPr>
              <w:overflowPunct w:val="0"/>
              <w:autoSpaceDE w:val="0"/>
              <w:autoSpaceDN w:val="0"/>
              <w:adjustRightInd w:val="0"/>
              <w:snapToGrid w:val="0"/>
              <w:jc w:val="center"/>
              <w:rPr>
                <w:rFonts w:eastAsia="宋体"/>
                <w:b/>
                <w:bCs/>
                <w:sz w:val="18"/>
                <w:szCs w:val="18"/>
              </w:rPr>
            </w:pPr>
            <w:r>
              <w:rPr>
                <w:b/>
                <w:bCs/>
                <w:sz w:val="18"/>
                <w:szCs w:val="18"/>
              </w:rPr>
              <w:t>± 3</w:t>
            </w:r>
          </w:p>
        </w:tc>
        <w:tc>
          <w:tcPr>
            <w:tcW w:w="508" w:type="dxa"/>
            <w:shd w:val="clear" w:color="auto" w:fill="F2F2F2" w:themeFill="background2" w:themeFillTint="33"/>
            <w:tcMar>
              <w:top w:w="28" w:type="dxa"/>
              <w:left w:w="57" w:type="dxa"/>
              <w:bottom w:w="28" w:type="dxa"/>
              <w:right w:w="57" w:type="dxa"/>
            </w:tcMar>
            <w:vAlign w:val="center"/>
          </w:tcPr>
          <w:p w14:paraId="1C3439D3">
            <w:pPr>
              <w:overflowPunct w:val="0"/>
              <w:autoSpaceDE w:val="0"/>
              <w:autoSpaceDN w:val="0"/>
              <w:adjustRightInd w:val="0"/>
              <w:snapToGrid w:val="0"/>
              <w:jc w:val="center"/>
              <w:rPr>
                <w:rFonts w:eastAsia="宋体"/>
                <w:b/>
                <w:bCs/>
                <w:sz w:val="18"/>
                <w:szCs w:val="18"/>
              </w:rPr>
            </w:pPr>
            <w:r>
              <w:rPr>
                <w:b/>
                <w:bCs/>
                <w:sz w:val="18"/>
                <w:szCs w:val="18"/>
              </w:rPr>
              <w:t>± 3</w:t>
            </w:r>
          </w:p>
        </w:tc>
        <w:tc>
          <w:tcPr>
            <w:tcW w:w="508" w:type="dxa"/>
            <w:tcMar>
              <w:top w:w="28" w:type="dxa"/>
              <w:left w:w="57" w:type="dxa"/>
              <w:bottom w:w="28" w:type="dxa"/>
              <w:right w:w="57" w:type="dxa"/>
            </w:tcMar>
            <w:vAlign w:val="center"/>
          </w:tcPr>
          <w:p w14:paraId="1A9B1CEF">
            <w:pPr>
              <w:overflowPunct w:val="0"/>
              <w:autoSpaceDE w:val="0"/>
              <w:autoSpaceDN w:val="0"/>
              <w:adjustRightInd w:val="0"/>
              <w:snapToGrid w:val="0"/>
              <w:jc w:val="center"/>
              <w:rPr>
                <w:rFonts w:eastAsia="宋体"/>
                <w:b/>
                <w:bCs/>
                <w:sz w:val="18"/>
                <w:szCs w:val="18"/>
              </w:rPr>
            </w:pPr>
            <w:r>
              <w:rPr>
                <w:b/>
                <w:bCs/>
                <w:sz w:val="18"/>
                <w:szCs w:val="18"/>
              </w:rPr>
              <w:t>± 3</w:t>
            </w:r>
          </w:p>
        </w:tc>
        <w:tc>
          <w:tcPr>
            <w:tcW w:w="508" w:type="dxa"/>
            <w:tcMar>
              <w:top w:w="28" w:type="dxa"/>
              <w:left w:w="57" w:type="dxa"/>
              <w:bottom w:w="28" w:type="dxa"/>
              <w:right w:w="57" w:type="dxa"/>
            </w:tcMar>
            <w:vAlign w:val="center"/>
          </w:tcPr>
          <w:p w14:paraId="7817C1EA">
            <w:pPr>
              <w:overflowPunct w:val="0"/>
              <w:autoSpaceDE w:val="0"/>
              <w:autoSpaceDN w:val="0"/>
              <w:adjustRightInd w:val="0"/>
              <w:snapToGrid w:val="0"/>
              <w:jc w:val="center"/>
              <w:rPr>
                <w:rFonts w:eastAsia="宋体"/>
                <w:b/>
                <w:bCs/>
                <w:sz w:val="18"/>
                <w:szCs w:val="18"/>
              </w:rPr>
            </w:pPr>
            <w:r>
              <w:rPr>
                <w:b/>
                <w:bCs/>
                <w:sz w:val="18"/>
                <w:szCs w:val="18"/>
              </w:rPr>
              <w:t>± 3</w:t>
            </w:r>
          </w:p>
        </w:tc>
        <w:tc>
          <w:tcPr>
            <w:tcW w:w="508" w:type="dxa"/>
            <w:tcMar>
              <w:top w:w="28" w:type="dxa"/>
              <w:left w:w="57" w:type="dxa"/>
              <w:bottom w:w="28" w:type="dxa"/>
              <w:right w:w="57" w:type="dxa"/>
            </w:tcMar>
            <w:vAlign w:val="center"/>
          </w:tcPr>
          <w:p w14:paraId="4BB1C907">
            <w:pPr>
              <w:overflowPunct w:val="0"/>
              <w:autoSpaceDE w:val="0"/>
              <w:autoSpaceDN w:val="0"/>
              <w:adjustRightInd w:val="0"/>
              <w:snapToGrid w:val="0"/>
              <w:jc w:val="center"/>
              <w:rPr>
                <w:rFonts w:eastAsia="宋体"/>
                <w:b/>
                <w:bCs/>
                <w:sz w:val="18"/>
                <w:szCs w:val="18"/>
              </w:rPr>
            </w:pPr>
            <w:r>
              <w:rPr>
                <w:b/>
                <w:bCs/>
                <w:sz w:val="18"/>
                <w:szCs w:val="18"/>
              </w:rPr>
              <w:t>± 3</w:t>
            </w:r>
          </w:p>
        </w:tc>
        <w:tc>
          <w:tcPr>
            <w:tcW w:w="508" w:type="dxa"/>
            <w:tcMar>
              <w:top w:w="28" w:type="dxa"/>
              <w:left w:w="57" w:type="dxa"/>
              <w:bottom w:w="28" w:type="dxa"/>
              <w:right w:w="57" w:type="dxa"/>
            </w:tcMar>
            <w:vAlign w:val="center"/>
          </w:tcPr>
          <w:p w14:paraId="7E79E0F7">
            <w:pPr>
              <w:overflowPunct w:val="0"/>
              <w:autoSpaceDE w:val="0"/>
              <w:autoSpaceDN w:val="0"/>
              <w:adjustRightInd w:val="0"/>
              <w:snapToGrid w:val="0"/>
              <w:jc w:val="center"/>
              <w:rPr>
                <w:rFonts w:eastAsia="宋体"/>
                <w:b/>
                <w:bCs/>
                <w:sz w:val="18"/>
                <w:szCs w:val="18"/>
              </w:rPr>
            </w:pPr>
            <w:r>
              <w:rPr>
                <w:b/>
                <w:bCs/>
                <w:sz w:val="18"/>
                <w:szCs w:val="18"/>
              </w:rPr>
              <w:t>± 3</w:t>
            </w:r>
          </w:p>
        </w:tc>
        <w:tc>
          <w:tcPr>
            <w:tcW w:w="508" w:type="dxa"/>
            <w:tcMar>
              <w:top w:w="28" w:type="dxa"/>
              <w:left w:w="57" w:type="dxa"/>
              <w:bottom w:w="28" w:type="dxa"/>
              <w:right w:w="57" w:type="dxa"/>
            </w:tcMar>
            <w:vAlign w:val="center"/>
          </w:tcPr>
          <w:p w14:paraId="24B85240">
            <w:pPr>
              <w:overflowPunct w:val="0"/>
              <w:autoSpaceDE w:val="0"/>
              <w:autoSpaceDN w:val="0"/>
              <w:adjustRightInd w:val="0"/>
              <w:snapToGrid w:val="0"/>
              <w:jc w:val="center"/>
              <w:rPr>
                <w:rFonts w:eastAsia="宋体"/>
                <w:b/>
                <w:bCs/>
                <w:sz w:val="18"/>
                <w:szCs w:val="18"/>
              </w:rPr>
            </w:pPr>
            <w:r>
              <w:rPr>
                <w:b/>
                <w:bCs/>
                <w:sz w:val="18"/>
                <w:szCs w:val="18"/>
              </w:rPr>
              <w:t>± 3</w:t>
            </w:r>
          </w:p>
        </w:tc>
        <w:tc>
          <w:tcPr>
            <w:tcW w:w="508" w:type="dxa"/>
            <w:tcMar>
              <w:top w:w="28" w:type="dxa"/>
              <w:left w:w="57" w:type="dxa"/>
              <w:bottom w:w="28" w:type="dxa"/>
              <w:right w:w="57" w:type="dxa"/>
            </w:tcMar>
            <w:vAlign w:val="center"/>
          </w:tcPr>
          <w:p w14:paraId="4E383817">
            <w:pPr>
              <w:overflowPunct w:val="0"/>
              <w:autoSpaceDE w:val="0"/>
              <w:autoSpaceDN w:val="0"/>
              <w:adjustRightInd w:val="0"/>
              <w:snapToGrid w:val="0"/>
              <w:jc w:val="center"/>
              <w:rPr>
                <w:rFonts w:eastAsia="宋体"/>
                <w:b/>
                <w:bCs/>
                <w:sz w:val="18"/>
                <w:szCs w:val="18"/>
              </w:rPr>
            </w:pPr>
            <w:r>
              <w:rPr>
                <w:b/>
                <w:bCs/>
                <w:sz w:val="18"/>
                <w:szCs w:val="18"/>
              </w:rPr>
              <w:t>± 3</w:t>
            </w:r>
          </w:p>
        </w:tc>
        <w:tc>
          <w:tcPr>
            <w:tcW w:w="508" w:type="dxa"/>
            <w:tcMar>
              <w:top w:w="28" w:type="dxa"/>
              <w:left w:w="57" w:type="dxa"/>
              <w:bottom w:w="28" w:type="dxa"/>
              <w:right w:w="57" w:type="dxa"/>
            </w:tcMar>
            <w:vAlign w:val="center"/>
          </w:tcPr>
          <w:p w14:paraId="5DCCB833">
            <w:pPr>
              <w:overflowPunct w:val="0"/>
              <w:autoSpaceDE w:val="0"/>
              <w:autoSpaceDN w:val="0"/>
              <w:adjustRightInd w:val="0"/>
              <w:snapToGrid w:val="0"/>
              <w:jc w:val="center"/>
              <w:rPr>
                <w:rFonts w:eastAsia="宋体"/>
                <w:b/>
                <w:bCs/>
                <w:sz w:val="18"/>
                <w:szCs w:val="18"/>
              </w:rPr>
            </w:pPr>
            <w:r>
              <w:rPr>
                <w:b/>
                <w:bCs/>
                <w:sz w:val="18"/>
                <w:szCs w:val="18"/>
              </w:rPr>
              <w:t>± 3</w:t>
            </w:r>
          </w:p>
        </w:tc>
        <w:tc>
          <w:tcPr>
            <w:tcW w:w="508" w:type="dxa"/>
            <w:tcMar>
              <w:top w:w="28" w:type="dxa"/>
              <w:left w:w="57" w:type="dxa"/>
              <w:bottom w:w="28" w:type="dxa"/>
              <w:right w:w="57" w:type="dxa"/>
            </w:tcMar>
            <w:vAlign w:val="center"/>
          </w:tcPr>
          <w:p w14:paraId="11C3614F">
            <w:pPr>
              <w:overflowPunct w:val="0"/>
              <w:autoSpaceDE w:val="0"/>
              <w:autoSpaceDN w:val="0"/>
              <w:adjustRightInd w:val="0"/>
              <w:snapToGrid w:val="0"/>
              <w:jc w:val="center"/>
              <w:rPr>
                <w:rFonts w:eastAsia="宋体"/>
                <w:b/>
                <w:bCs/>
                <w:sz w:val="18"/>
                <w:szCs w:val="18"/>
              </w:rPr>
            </w:pPr>
            <w:r>
              <w:rPr>
                <w:b/>
                <w:bCs/>
                <w:sz w:val="18"/>
                <w:szCs w:val="18"/>
              </w:rPr>
              <w:t>± 3</w:t>
            </w:r>
          </w:p>
        </w:tc>
        <w:tc>
          <w:tcPr>
            <w:tcW w:w="508" w:type="dxa"/>
            <w:tcMar>
              <w:top w:w="28" w:type="dxa"/>
              <w:left w:w="57" w:type="dxa"/>
              <w:bottom w:w="28" w:type="dxa"/>
              <w:right w:w="57" w:type="dxa"/>
            </w:tcMar>
            <w:vAlign w:val="center"/>
          </w:tcPr>
          <w:p w14:paraId="0F78D2F1">
            <w:pPr>
              <w:overflowPunct w:val="0"/>
              <w:autoSpaceDE w:val="0"/>
              <w:autoSpaceDN w:val="0"/>
              <w:adjustRightInd w:val="0"/>
              <w:snapToGrid w:val="0"/>
              <w:jc w:val="center"/>
              <w:rPr>
                <w:rFonts w:eastAsia="宋体"/>
                <w:b/>
                <w:bCs/>
                <w:sz w:val="18"/>
                <w:szCs w:val="18"/>
              </w:rPr>
            </w:pPr>
            <w:r>
              <w:rPr>
                <w:b/>
                <w:bCs/>
                <w:sz w:val="18"/>
                <w:szCs w:val="18"/>
              </w:rPr>
              <w:t>± 3</w:t>
            </w:r>
          </w:p>
        </w:tc>
        <w:tc>
          <w:tcPr>
            <w:tcW w:w="818" w:type="dxa"/>
            <w:tcMar>
              <w:top w:w="28" w:type="dxa"/>
              <w:left w:w="57" w:type="dxa"/>
              <w:bottom w:w="28" w:type="dxa"/>
              <w:right w:w="57" w:type="dxa"/>
            </w:tcMar>
            <w:vAlign w:val="center"/>
          </w:tcPr>
          <w:p w14:paraId="294126B8">
            <w:pPr>
              <w:overflowPunct w:val="0"/>
              <w:autoSpaceDE w:val="0"/>
              <w:autoSpaceDN w:val="0"/>
              <w:adjustRightInd w:val="0"/>
              <w:snapToGrid w:val="0"/>
              <w:jc w:val="center"/>
              <w:rPr>
                <w:rFonts w:eastAsia="宋体"/>
                <w:b/>
                <w:bCs/>
                <w:sz w:val="18"/>
                <w:szCs w:val="18"/>
              </w:rPr>
            </w:pPr>
            <w:r>
              <w:rPr>
                <w:b/>
                <w:bCs/>
                <w:sz w:val="18"/>
                <w:szCs w:val="18"/>
              </w:rPr>
              <w:t>± 3</w:t>
            </w:r>
          </w:p>
        </w:tc>
      </w:tr>
      <w:tr w14:paraId="71409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blHeader/>
        </w:trPr>
        <w:tc>
          <w:tcPr>
            <w:tcW w:w="2405" w:type="dxa"/>
            <w:tcMar>
              <w:top w:w="28" w:type="dxa"/>
              <w:left w:w="57" w:type="dxa"/>
              <w:bottom w:w="28" w:type="dxa"/>
              <w:right w:w="57" w:type="dxa"/>
            </w:tcMar>
            <w:vAlign w:val="center"/>
          </w:tcPr>
          <w:p w14:paraId="4B087750">
            <w:pPr>
              <w:overflowPunct w:val="0"/>
              <w:autoSpaceDE w:val="0"/>
              <w:autoSpaceDN w:val="0"/>
              <w:adjustRightInd w:val="0"/>
              <w:snapToGrid w:val="0"/>
              <w:jc w:val="center"/>
              <w:rPr>
                <w:rFonts w:eastAsia="宋体"/>
                <w:b/>
                <w:bCs/>
                <w:sz w:val="18"/>
                <w:szCs w:val="18"/>
              </w:rPr>
            </w:pPr>
            <w:r>
              <w:rPr>
                <w:b/>
                <w:bCs/>
                <w:sz w:val="18"/>
                <w:szCs w:val="18"/>
              </w:rPr>
              <w:t>Subcutaneous administration of RAY1225</w:t>
            </w:r>
          </w:p>
        </w:tc>
        <w:tc>
          <w:tcPr>
            <w:tcW w:w="582" w:type="dxa"/>
            <w:shd w:val="clear" w:color="auto" w:fill="auto"/>
            <w:tcMar>
              <w:top w:w="28" w:type="dxa"/>
              <w:left w:w="57" w:type="dxa"/>
              <w:bottom w:w="28" w:type="dxa"/>
              <w:right w:w="57" w:type="dxa"/>
            </w:tcMar>
            <w:vAlign w:val="center"/>
          </w:tcPr>
          <w:p w14:paraId="1ED61A5F">
            <w:pPr>
              <w:overflowPunct w:val="0"/>
              <w:autoSpaceDE w:val="0"/>
              <w:autoSpaceDN w:val="0"/>
              <w:adjustRightInd w:val="0"/>
              <w:snapToGrid w:val="0"/>
              <w:jc w:val="center"/>
              <w:rPr>
                <w:rFonts w:eastAsia="宋体"/>
                <w:b/>
                <w:bCs/>
                <w:sz w:val="18"/>
                <w:szCs w:val="18"/>
                <w:lang w:eastAsia="zh-CN"/>
              </w:rPr>
            </w:pPr>
          </w:p>
        </w:tc>
        <w:tc>
          <w:tcPr>
            <w:tcW w:w="425" w:type="dxa"/>
            <w:shd w:val="clear" w:color="auto" w:fill="auto"/>
            <w:tcMar>
              <w:top w:w="28" w:type="dxa"/>
              <w:left w:w="57" w:type="dxa"/>
              <w:bottom w:w="28" w:type="dxa"/>
              <w:right w:w="57" w:type="dxa"/>
            </w:tcMar>
            <w:vAlign w:val="center"/>
          </w:tcPr>
          <w:p w14:paraId="16BE6DFB">
            <w:pPr>
              <w:overflowPunct w:val="0"/>
              <w:autoSpaceDE w:val="0"/>
              <w:autoSpaceDN w:val="0"/>
              <w:adjustRightInd w:val="0"/>
              <w:snapToGrid w:val="0"/>
              <w:jc w:val="center"/>
              <w:rPr>
                <w:rFonts w:eastAsia="宋体"/>
                <w:b/>
                <w:bCs/>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228DE3E4">
            <w:pPr>
              <w:overflowPunct w:val="0"/>
              <w:autoSpaceDE w:val="0"/>
              <w:autoSpaceDN w:val="0"/>
              <w:adjustRightInd w:val="0"/>
              <w:snapToGrid w:val="0"/>
              <w:jc w:val="center"/>
              <w:rPr>
                <w:rFonts w:eastAsia="宋体"/>
                <w:b/>
                <w:bCs/>
                <w:sz w:val="18"/>
                <w:szCs w:val="18"/>
              </w:rPr>
            </w:pPr>
            <w:r>
              <w:rPr>
                <w:sz w:val="18"/>
                <w:szCs w:val="18"/>
              </w:rPr>
              <w:t>1</w:t>
            </w:r>
            <w:r>
              <w:rPr>
                <w:sz w:val="18"/>
                <w:szCs w:val="18"/>
                <w:vertAlign w:val="superscript"/>
              </w:rPr>
              <w:t>st</w:t>
            </w:r>
          </w:p>
        </w:tc>
        <w:tc>
          <w:tcPr>
            <w:tcW w:w="443" w:type="dxa"/>
            <w:shd w:val="clear" w:color="auto" w:fill="F1F1F1" w:themeFill="background1" w:themeFillShade="F2"/>
            <w:tcMar>
              <w:top w:w="28" w:type="dxa"/>
              <w:left w:w="57" w:type="dxa"/>
              <w:bottom w:w="28" w:type="dxa"/>
              <w:right w:w="57" w:type="dxa"/>
            </w:tcMar>
            <w:vAlign w:val="center"/>
          </w:tcPr>
          <w:p w14:paraId="386C7406">
            <w:pPr>
              <w:overflowPunct w:val="0"/>
              <w:autoSpaceDE w:val="0"/>
              <w:autoSpaceDN w:val="0"/>
              <w:adjustRightInd w:val="0"/>
              <w:snapToGrid w:val="0"/>
              <w:jc w:val="center"/>
              <w:rPr>
                <w:rFonts w:eastAsia="宋体"/>
                <w:b/>
                <w:bCs/>
                <w:sz w:val="18"/>
                <w:szCs w:val="18"/>
              </w:rPr>
            </w:pPr>
            <w:r>
              <w:rPr>
                <w:sz w:val="18"/>
                <w:szCs w:val="18"/>
              </w:rPr>
              <w:t>2</w:t>
            </w:r>
            <w:r>
              <w:rPr>
                <w:sz w:val="18"/>
                <w:szCs w:val="18"/>
                <w:vertAlign w:val="superscript"/>
              </w:rPr>
              <w:t>nd</w:t>
            </w:r>
          </w:p>
        </w:tc>
        <w:tc>
          <w:tcPr>
            <w:tcW w:w="443" w:type="dxa"/>
            <w:shd w:val="clear" w:color="auto" w:fill="F1F1F1" w:themeFill="background1" w:themeFillShade="F2"/>
            <w:tcMar>
              <w:top w:w="28" w:type="dxa"/>
              <w:left w:w="57" w:type="dxa"/>
              <w:bottom w:w="28" w:type="dxa"/>
              <w:right w:w="57" w:type="dxa"/>
            </w:tcMar>
            <w:vAlign w:val="center"/>
          </w:tcPr>
          <w:p w14:paraId="33ABEDFC">
            <w:pPr>
              <w:overflowPunct w:val="0"/>
              <w:autoSpaceDE w:val="0"/>
              <w:autoSpaceDN w:val="0"/>
              <w:adjustRightInd w:val="0"/>
              <w:snapToGrid w:val="0"/>
              <w:jc w:val="center"/>
              <w:rPr>
                <w:rFonts w:eastAsia="宋体"/>
                <w:b/>
                <w:bCs/>
                <w:sz w:val="18"/>
                <w:szCs w:val="18"/>
              </w:rPr>
            </w:pPr>
            <w:r>
              <w:rPr>
                <w:sz w:val="18"/>
                <w:szCs w:val="18"/>
              </w:rPr>
              <w:t>3</w:t>
            </w:r>
            <w:r>
              <w:rPr>
                <w:sz w:val="18"/>
                <w:szCs w:val="18"/>
                <w:vertAlign w:val="superscript"/>
              </w:rPr>
              <w:t>rd</w:t>
            </w:r>
          </w:p>
        </w:tc>
        <w:tc>
          <w:tcPr>
            <w:tcW w:w="443" w:type="dxa"/>
            <w:shd w:val="clear" w:color="auto" w:fill="F1F1F1" w:themeFill="background1" w:themeFillShade="F2"/>
            <w:tcMar>
              <w:top w:w="28" w:type="dxa"/>
              <w:left w:w="57" w:type="dxa"/>
              <w:bottom w:w="28" w:type="dxa"/>
              <w:right w:w="57" w:type="dxa"/>
            </w:tcMar>
            <w:vAlign w:val="center"/>
          </w:tcPr>
          <w:p w14:paraId="65D5B449">
            <w:pPr>
              <w:overflowPunct w:val="0"/>
              <w:autoSpaceDE w:val="0"/>
              <w:autoSpaceDN w:val="0"/>
              <w:adjustRightInd w:val="0"/>
              <w:snapToGrid w:val="0"/>
              <w:jc w:val="center"/>
              <w:rPr>
                <w:rFonts w:eastAsia="宋体"/>
                <w:b/>
                <w:bCs/>
                <w:sz w:val="18"/>
                <w:szCs w:val="18"/>
              </w:rPr>
            </w:pPr>
            <w:r>
              <w:rPr>
                <w:sz w:val="18"/>
                <w:szCs w:val="18"/>
              </w:rPr>
              <w:t>4</w:t>
            </w:r>
            <w:r>
              <w:rPr>
                <w:sz w:val="18"/>
                <w:szCs w:val="18"/>
                <w:vertAlign w:val="superscript"/>
              </w:rPr>
              <w:t>th</w:t>
            </w:r>
          </w:p>
        </w:tc>
        <w:tc>
          <w:tcPr>
            <w:tcW w:w="443" w:type="dxa"/>
            <w:shd w:val="clear" w:color="auto" w:fill="F1F1F1" w:themeFill="background1" w:themeFillShade="F2"/>
            <w:tcMar>
              <w:top w:w="28" w:type="dxa"/>
              <w:left w:w="57" w:type="dxa"/>
              <w:bottom w:w="28" w:type="dxa"/>
              <w:right w:w="57" w:type="dxa"/>
            </w:tcMar>
            <w:vAlign w:val="center"/>
          </w:tcPr>
          <w:p w14:paraId="52724942">
            <w:pPr>
              <w:overflowPunct w:val="0"/>
              <w:autoSpaceDE w:val="0"/>
              <w:autoSpaceDN w:val="0"/>
              <w:adjustRightInd w:val="0"/>
              <w:snapToGrid w:val="0"/>
              <w:jc w:val="center"/>
              <w:rPr>
                <w:rFonts w:eastAsia="宋体"/>
                <w:b/>
                <w:bCs/>
                <w:sz w:val="18"/>
                <w:szCs w:val="18"/>
              </w:rPr>
            </w:pPr>
            <w:r>
              <w:rPr>
                <w:sz w:val="18"/>
                <w:szCs w:val="18"/>
              </w:rPr>
              <w:t>5</w:t>
            </w:r>
            <w:r>
              <w:rPr>
                <w:sz w:val="18"/>
                <w:szCs w:val="18"/>
                <w:vertAlign w:val="superscript"/>
              </w:rPr>
              <w:t>th</w:t>
            </w:r>
          </w:p>
        </w:tc>
        <w:tc>
          <w:tcPr>
            <w:tcW w:w="443" w:type="dxa"/>
            <w:shd w:val="clear" w:color="auto" w:fill="F1F1F1" w:themeFill="background1" w:themeFillShade="F2"/>
            <w:tcMar>
              <w:top w:w="28" w:type="dxa"/>
              <w:left w:w="57" w:type="dxa"/>
              <w:bottom w:w="28" w:type="dxa"/>
              <w:right w:w="57" w:type="dxa"/>
            </w:tcMar>
            <w:vAlign w:val="center"/>
          </w:tcPr>
          <w:p w14:paraId="057142AB">
            <w:pPr>
              <w:overflowPunct w:val="0"/>
              <w:autoSpaceDE w:val="0"/>
              <w:autoSpaceDN w:val="0"/>
              <w:adjustRightInd w:val="0"/>
              <w:snapToGrid w:val="0"/>
              <w:jc w:val="center"/>
              <w:rPr>
                <w:rFonts w:eastAsia="宋体"/>
                <w:b/>
                <w:bCs/>
                <w:sz w:val="18"/>
                <w:szCs w:val="18"/>
              </w:rPr>
            </w:pPr>
            <w:r>
              <w:rPr>
                <w:sz w:val="18"/>
                <w:szCs w:val="18"/>
              </w:rPr>
              <w:t>6</w:t>
            </w:r>
            <w:r>
              <w:rPr>
                <w:sz w:val="18"/>
                <w:szCs w:val="18"/>
                <w:vertAlign w:val="superscript"/>
              </w:rPr>
              <w:t>th</w:t>
            </w:r>
          </w:p>
        </w:tc>
        <w:tc>
          <w:tcPr>
            <w:tcW w:w="443" w:type="dxa"/>
            <w:shd w:val="clear" w:color="auto" w:fill="F2F2F2" w:themeFill="background2" w:themeFillTint="33"/>
            <w:tcMar>
              <w:top w:w="28" w:type="dxa"/>
              <w:left w:w="57" w:type="dxa"/>
              <w:bottom w:w="28" w:type="dxa"/>
              <w:right w:w="57" w:type="dxa"/>
            </w:tcMar>
            <w:vAlign w:val="center"/>
          </w:tcPr>
          <w:p w14:paraId="65175DDB">
            <w:pPr>
              <w:overflowPunct w:val="0"/>
              <w:autoSpaceDE w:val="0"/>
              <w:autoSpaceDN w:val="0"/>
              <w:adjustRightInd w:val="0"/>
              <w:snapToGrid w:val="0"/>
              <w:jc w:val="center"/>
              <w:rPr>
                <w:rFonts w:eastAsia="宋体"/>
                <w:sz w:val="18"/>
                <w:szCs w:val="18"/>
              </w:rPr>
            </w:pPr>
            <w:r>
              <w:rPr>
                <w:sz w:val="18"/>
                <w:szCs w:val="18"/>
              </w:rPr>
              <w:t>7</w:t>
            </w:r>
            <w:r>
              <w:rPr>
                <w:sz w:val="18"/>
                <w:szCs w:val="18"/>
                <w:vertAlign w:val="superscript"/>
              </w:rPr>
              <w:t>th</w:t>
            </w:r>
          </w:p>
        </w:tc>
        <w:tc>
          <w:tcPr>
            <w:tcW w:w="443" w:type="dxa"/>
            <w:shd w:val="clear" w:color="auto" w:fill="F2F2F2" w:themeFill="background2" w:themeFillTint="33"/>
            <w:tcMar>
              <w:top w:w="28" w:type="dxa"/>
              <w:left w:w="57" w:type="dxa"/>
              <w:bottom w:w="28" w:type="dxa"/>
              <w:right w:w="57" w:type="dxa"/>
            </w:tcMar>
            <w:vAlign w:val="center"/>
          </w:tcPr>
          <w:p w14:paraId="4C787C31">
            <w:pPr>
              <w:overflowPunct w:val="0"/>
              <w:autoSpaceDE w:val="0"/>
              <w:autoSpaceDN w:val="0"/>
              <w:adjustRightInd w:val="0"/>
              <w:snapToGrid w:val="0"/>
              <w:jc w:val="center"/>
              <w:rPr>
                <w:rFonts w:eastAsia="宋体"/>
                <w:sz w:val="18"/>
                <w:szCs w:val="18"/>
              </w:rPr>
            </w:pPr>
            <w:r>
              <w:rPr>
                <w:sz w:val="18"/>
                <w:szCs w:val="18"/>
              </w:rPr>
              <w:t>8</w:t>
            </w:r>
            <w:r>
              <w:rPr>
                <w:sz w:val="18"/>
                <w:szCs w:val="18"/>
                <w:vertAlign w:val="superscript"/>
              </w:rPr>
              <w:t>th</w:t>
            </w:r>
          </w:p>
        </w:tc>
        <w:tc>
          <w:tcPr>
            <w:tcW w:w="507" w:type="dxa"/>
            <w:shd w:val="clear" w:color="auto" w:fill="F2F2F2" w:themeFill="background2" w:themeFillTint="33"/>
            <w:tcMar>
              <w:top w:w="28" w:type="dxa"/>
              <w:left w:w="57" w:type="dxa"/>
              <w:bottom w:w="28" w:type="dxa"/>
              <w:right w:w="57" w:type="dxa"/>
            </w:tcMar>
            <w:vAlign w:val="center"/>
          </w:tcPr>
          <w:p w14:paraId="45413147">
            <w:pPr>
              <w:overflowPunct w:val="0"/>
              <w:autoSpaceDE w:val="0"/>
              <w:autoSpaceDN w:val="0"/>
              <w:adjustRightInd w:val="0"/>
              <w:snapToGrid w:val="0"/>
              <w:jc w:val="center"/>
              <w:rPr>
                <w:rFonts w:eastAsia="宋体"/>
                <w:sz w:val="18"/>
                <w:szCs w:val="18"/>
              </w:rPr>
            </w:pPr>
            <w:r>
              <w:rPr>
                <w:sz w:val="18"/>
                <w:szCs w:val="18"/>
              </w:rPr>
              <w:t>9</w:t>
            </w:r>
            <w:r>
              <w:rPr>
                <w:sz w:val="18"/>
                <w:szCs w:val="18"/>
                <w:vertAlign w:val="superscript"/>
              </w:rPr>
              <w:t>th</w:t>
            </w:r>
          </w:p>
        </w:tc>
        <w:tc>
          <w:tcPr>
            <w:tcW w:w="508" w:type="dxa"/>
            <w:shd w:val="clear" w:color="auto" w:fill="F2F2F2" w:themeFill="background2" w:themeFillTint="33"/>
            <w:tcMar>
              <w:top w:w="28" w:type="dxa"/>
              <w:left w:w="57" w:type="dxa"/>
              <w:bottom w:w="28" w:type="dxa"/>
              <w:right w:w="57" w:type="dxa"/>
            </w:tcMar>
            <w:vAlign w:val="center"/>
          </w:tcPr>
          <w:p w14:paraId="710C4396">
            <w:pPr>
              <w:overflowPunct w:val="0"/>
              <w:autoSpaceDE w:val="0"/>
              <w:autoSpaceDN w:val="0"/>
              <w:adjustRightInd w:val="0"/>
              <w:snapToGrid w:val="0"/>
              <w:jc w:val="center"/>
              <w:rPr>
                <w:rFonts w:eastAsia="宋体"/>
                <w:sz w:val="18"/>
                <w:szCs w:val="18"/>
              </w:rPr>
            </w:pPr>
            <w:r>
              <w:rPr>
                <w:sz w:val="18"/>
                <w:szCs w:val="18"/>
              </w:rPr>
              <w:t>10</w:t>
            </w:r>
            <w:r>
              <w:rPr>
                <w:sz w:val="18"/>
                <w:szCs w:val="18"/>
                <w:vertAlign w:val="superscript"/>
              </w:rPr>
              <w:t>th</w:t>
            </w:r>
          </w:p>
        </w:tc>
        <w:tc>
          <w:tcPr>
            <w:tcW w:w="508" w:type="dxa"/>
            <w:shd w:val="clear" w:color="auto" w:fill="F2F2F2" w:themeFill="background2" w:themeFillTint="33"/>
            <w:tcMar>
              <w:top w:w="28" w:type="dxa"/>
              <w:left w:w="57" w:type="dxa"/>
              <w:bottom w:w="28" w:type="dxa"/>
              <w:right w:w="57" w:type="dxa"/>
            </w:tcMar>
            <w:vAlign w:val="center"/>
          </w:tcPr>
          <w:p w14:paraId="7E89C6AD">
            <w:pPr>
              <w:overflowPunct w:val="0"/>
              <w:autoSpaceDE w:val="0"/>
              <w:autoSpaceDN w:val="0"/>
              <w:adjustRightInd w:val="0"/>
              <w:snapToGrid w:val="0"/>
              <w:jc w:val="center"/>
              <w:rPr>
                <w:rFonts w:eastAsia="宋体"/>
                <w:sz w:val="18"/>
                <w:szCs w:val="18"/>
              </w:rPr>
            </w:pPr>
            <w:r>
              <w:rPr>
                <w:sz w:val="18"/>
                <w:szCs w:val="18"/>
              </w:rPr>
              <w:t>11</w:t>
            </w:r>
            <w:r>
              <w:rPr>
                <w:sz w:val="18"/>
                <w:szCs w:val="18"/>
                <w:vertAlign w:val="superscript"/>
              </w:rPr>
              <w:t>th</w:t>
            </w:r>
          </w:p>
        </w:tc>
        <w:tc>
          <w:tcPr>
            <w:tcW w:w="508" w:type="dxa"/>
            <w:shd w:val="clear" w:color="auto" w:fill="F2F2F2" w:themeFill="background2" w:themeFillTint="33"/>
            <w:tcMar>
              <w:top w:w="28" w:type="dxa"/>
              <w:left w:w="57" w:type="dxa"/>
              <w:bottom w:w="28" w:type="dxa"/>
              <w:right w:w="57" w:type="dxa"/>
            </w:tcMar>
            <w:vAlign w:val="center"/>
          </w:tcPr>
          <w:p w14:paraId="0697DE5A">
            <w:pPr>
              <w:overflowPunct w:val="0"/>
              <w:autoSpaceDE w:val="0"/>
              <w:autoSpaceDN w:val="0"/>
              <w:adjustRightInd w:val="0"/>
              <w:snapToGrid w:val="0"/>
              <w:jc w:val="center"/>
              <w:rPr>
                <w:rFonts w:eastAsia="宋体"/>
                <w:b/>
                <w:bCs/>
                <w:sz w:val="18"/>
                <w:szCs w:val="18"/>
              </w:rPr>
            </w:pPr>
            <w:r>
              <w:rPr>
                <w:sz w:val="18"/>
                <w:szCs w:val="18"/>
              </w:rPr>
              <w:t>12</w:t>
            </w:r>
            <w:r>
              <w:rPr>
                <w:sz w:val="18"/>
                <w:szCs w:val="18"/>
                <w:vertAlign w:val="superscript"/>
              </w:rPr>
              <w:t>th</w:t>
            </w:r>
          </w:p>
        </w:tc>
        <w:tc>
          <w:tcPr>
            <w:tcW w:w="508" w:type="dxa"/>
            <w:tcMar>
              <w:top w:w="28" w:type="dxa"/>
              <w:left w:w="57" w:type="dxa"/>
              <w:bottom w:w="28" w:type="dxa"/>
              <w:right w:w="57" w:type="dxa"/>
            </w:tcMar>
            <w:vAlign w:val="center"/>
          </w:tcPr>
          <w:p w14:paraId="0B39CDC8">
            <w:pPr>
              <w:overflowPunct w:val="0"/>
              <w:autoSpaceDE w:val="0"/>
              <w:autoSpaceDN w:val="0"/>
              <w:adjustRightInd w:val="0"/>
              <w:snapToGrid w:val="0"/>
              <w:jc w:val="center"/>
              <w:rPr>
                <w:rFonts w:eastAsia="宋体"/>
                <w:b/>
                <w:bCs/>
                <w:sz w:val="18"/>
                <w:szCs w:val="18"/>
                <w:lang w:eastAsia="zh-CN"/>
              </w:rPr>
            </w:pPr>
          </w:p>
        </w:tc>
        <w:tc>
          <w:tcPr>
            <w:tcW w:w="508" w:type="dxa"/>
            <w:tcMar>
              <w:top w:w="28" w:type="dxa"/>
              <w:left w:w="57" w:type="dxa"/>
              <w:bottom w:w="28" w:type="dxa"/>
              <w:right w:w="57" w:type="dxa"/>
            </w:tcMar>
          </w:tcPr>
          <w:p w14:paraId="71AA79FC">
            <w:pPr>
              <w:overflowPunct w:val="0"/>
              <w:autoSpaceDE w:val="0"/>
              <w:autoSpaceDN w:val="0"/>
              <w:adjustRightInd w:val="0"/>
              <w:snapToGrid w:val="0"/>
              <w:jc w:val="center"/>
              <w:rPr>
                <w:rFonts w:eastAsia="宋体"/>
                <w:b/>
                <w:bCs/>
                <w:sz w:val="18"/>
                <w:szCs w:val="18"/>
                <w:lang w:eastAsia="zh-CN"/>
              </w:rPr>
            </w:pPr>
          </w:p>
        </w:tc>
        <w:tc>
          <w:tcPr>
            <w:tcW w:w="508" w:type="dxa"/>
            <w:tcMar>
              <w:top w:w="28" w:type="dxa"/>
              <w:left w:w="57" w:type="dxa"/>
              <w:bottom w:w="28" w:type="dxa"/>
              <w:right w:w="57" w:type="dxa"/>
            </w:tcMar>
            <w:vAlign w:val="center"/>
          </w:tcPr>
          <w:p w14:paraId="43983624">
            <w:pPr>
              <w:overflowPunct w:val="0"/>
              <w:autoSpaceDE w:val="0"/>
              <w:autoSpaceDN w:val="0"/>
              <w:adjustRightInd w:val="0"/>
              <w:snapToGrid w:val="0"/>
              <w:jc w:val="center"/>
              <w:rPr>
                <w:rFonts w:eastAsia="宋体"/>
                <w:b/>
                <w:bCs/>
                <w:sz w:val="18"/>
                <w:szCs w:val="18"/>
                <w:lang w:eastAsia="zh-CN"/>
              </w:rPr>
            </w:pPr>
          </w:p>
        </w:tc>
        <w:tc>
          <w:tcPr>
            <w:tcW w:w="508" w:type="dxa"/>
            <w:tcMar>
              <w:top w:w="28" w:type="dxa"/>
              <w:left w:w="57" w:type="dxa"/>
              <w:bottom w:w="28" w:type="dxa"/>
              <w:right w:w="57" w:type="dxa"/>
            </w:tcMar>
            <w:vAlign w:val="center"/>
          </w:tcPr>
          <w:p w14:paraId="4161DDAB">
            <w:pPr>
              <w:overflowPunct w:val="0"/>
              <w:autoSpaceDE w:val="0"/>
              <w:autoSpaceDN w:val="0"/>
              <w:adjustRightInd w:val="0"/>
              <w:snapToGrid w:val="0"/>
              <w:jc w:val="center"/>
              <w:rPr>
                <w:rFonts w:eastAsia="宋体"/>
                <w:b/>
                <w:bCs/>
                <w:sz w:val="18"/>
                <w:szCs w:val="18"/>
                <w:lang w:eastAsia="zh-CN"/>
              </w:rPr>
            </w:pPr>
          </w:p>
        </w:tc>
        <w:tc>
          <w:tcPr>
            <w:tcW w:w="508" w:type="dxa"/>
            <w:tcMar>
              <w:top w:w="28" w:type="dxa"/>
              <w:left w:w="57" w:type="dxa"/>
              <w:bottom w:w="28" w:type="dxa"/>
              <w:right w:w="57" w:type="dxa"/>
            </w:tcMar>
            <w:vAlign w:val="center"/>
          </w:tcPr>
          <w:p w14:paraId="6281B3BF">
            <w:pPr>
              <w:overflowPunct w:val="0"/>
              <w:autoSpaceDE w:val="0"/>
              <w:autoSpaceDN w:val="0"/>
              <w:adjustRightInd w:val="0"/>
              <w:snapToGrid w:val="0"/>
              <w:jc w:val="center"/>
              <w:rPr>
                <w:rFonts w:eastAsia="宋体"/>
                <w:b/>
                <w:bCs/>
                <w:sz w:val="18"/>
                <w:szCs w:val="18"/>
                <w:lang w:eastAsia="zh-CN"/>
              </w:rPr>
            </w:pPr>
          </w:p>
        </w:tc>
        <w:tc>
          <w:tcPr>
            <w:tcW w:w="508" w:type="dxa"/>
            <w:tcMar>
              <w:top w:w="28" w:type="dxa"/>
              <w:left w:w="57" w:type="dxa"/>
              <w:bottom w:w="28" w:type="dxa"/>
              <w:right w:w="57" w:type="dxa"/>
            </w:tcMar>
            <w:vAlign w:val="center"/>
          </w:tcPr>
          <w:p w14:paraId="24D9A34B">
            <w:pPr>
              <w:overflowPunct w:val="0"/>
              <w:autoSpaceDE w:val="0"/>
              <w:autoSpaceDN w:val="0"/>
              <w:adjustRightInd w:val="0"/>
              <w:snapToGrid w:val="0"/>
              <w:jc w:val="center"/>
              <w:rPr>
                <w:rFonts w:eastAsia="宋体"/>
                <w:b/>
                <w:bCs/>
                <w:sz w:val="18"/>
                <w:szCs w:val="18"/>
                <w:lang w:eastAsia="zh-CN"/>
              </w:rPr>
            </w:pPr>
          </w:p>
        </w:tc>
        <w:tc>
          <w:tcPr>
            <w:tcW w:w="508" w:type="dxa"/>
            <w:tcMar>
              <w:top w:w="28" w:type="dxa"/>
              <w:left w:w="57" w:type="dxa"/>
              <w:bottom w:w="28" w:type="dxa"/>
              <w:right w:w="57" w:type="dxa"/>
            </w:tcMar>
            <w:vAlign w:val="center"/>
          </w:tcPr>
          <w:p w14:paraId="4C5A4638">
            <w:pPr>
              <w:overflowPunct w:val="0"/>
              <w:autoSpaceDE w:val="0"/>
              <w:autoSpaceDN w:val="0"/>
              <w:adjustRightInd w:val="0"/>
              <w:snapToGrid w:val="0"/>
              <w:jc w:val="center"/>
              <w:rPr>
                <w:rFonts w:eastAsia="宋体"/>
                <w:b/>
                <w:bCs/>
                <w:sz w:val="18"/>
                <w:szCs w:val="18"/>
                <w:lang w:eastAsia="zh-CN"/>
              </w:rPr>
            </w:pPr>
          </w:p>
        </w:tc>
        <w:tc>
          <w:tcPr>
            <w:tcW w:w="508" w:type="dxa"/>
            <w:tcMar>
              <w:top w:w="28" w:type="dxa"/>
              <w:left w:w="57" w:type="dxa"/>
              <w:bottom w:w="28" w:type="dxa"/>
              <w:right w:w="57" w:type="dxa"/>
            </w:tcMar>
            <w:vAlign w:val="center"/>
          </w:tcPr>
          <w:p w14:paraId="3E44A13E">
            <w:pPr>
              <w:overflowPunct w:val="0"/>
              <w:autoSpaceDE w:val="0"/>
              <w:autoSpaceDN w:val="0"/>
              <w:adjustRightInd w:val="0"/>
              <w:snapToGrid w:val="0"/>
              <w:jc w:val="center"/>
              <w:rPr>
                <w:rFonts w:eastAsia="宋体"/>
                <w:b/>
                <w:bCs/>
                <w:sz w:val="18"/>
                <w:szCs w:val="18"/>
                <w:lang w:eastAsia="zh-CN"/>
              </w:rPr>
            </w:pPr>
          </w:p>
        </w:tc>
        <w:tc>
          <w:tcPr>
            <w:tcW w:w="508" w:type="dxa"/>
            <w:tcMar>
              <w:top w:w="28" w:type="dxa"/>
              <w:left w:w="57" w:type="dxa"/>
              <w:bottom w:w="28" w:type="dxa"/>
              <w:right w:w="57" w:type="dxa"/>
            </w:tcMar>
            <w:vAlign w:val="center"/>
          </w:tcPr>
          <w:p w14:paraId="69EAABA0">
            <w:pPr>
              <w:overflowPunct w:val="0"/>
              <w:autoSpaceDE w:val="0"/>
              <w:autoSpaceDN w:val="0"/>
              <w:adjustRightInd w:val="0"/>
              <w:snapToGrid w:val="0"/>
              <w:jc w:val="center"/>
              <w:rPr>
                <w:rFonts w:eastAsia="宋体"/>
                <w:b/>
                <w:bCs/>
                <w:sz w:val="18"/>
                <w:szCs w:val="18"/>
                <w:lang w:eastAsia="zh-CN"/>
              </w:rPr>
            </w:pPr>
          </w:p>
        </w:tc>
        <w:tc>
          <w:tcPr>
            <w:tcW w:w="818" w:type="dxa"/>
            <w:tcMar>
              <w:top w:w="28" w:type="dxa"/>
              <w:left w:w="57" w:type="dxa"/>
              <w:bottom w:w="28" w:type="dxa"/>
              <w:right w:w="57" w:type="dxa"/>
            </w:tcMar>
            <w:vAlign w:val="center"/>
          </w:tcPr>
          <w:p w14:paraId="6AC70CBD">
            <w:pPr>
              <w:overflowPunct w:val="0"/>
              <w:autoSpaceDE w:val="0"/>
              <w:autoSpaceDN w:val="0"/>
              <w:adjustRightInd w:val="0"/>
              <w:snapToGrid w:val="0"/>
              <w:jc w:val="center"/>
              <w:rPr>
                <w:rFonts w:eastAsia="宋体"/>
                <w:b/>
                <w:bCs/>
                <w:sz w:val="18"/>
                <w:szCs w:val="18"/>
                <w:lang w:eastAsia="zh-CN"/>
              </w:rPr>
            </w:pPr>
          </w:p>
        </w:tc>
      </w:tr>
      <w:tr w14:paraId="03C28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5550F658">
            <w:pPr>
              <w:overflowPunct w:val="0"/>
              <w:autoSpaceDE w:val="0"/>
              <w:autoSpaceDN w:val="0"/>
              <w:adjustRightInd w:val="0"/>
              <w:snapToGrid w:val="0"/>
              <w:jc w:val="center"/>
              <w:rPr>
                <w:rFonts w:eastAsia="宋体"/>
                <w:sz w:val="18"/>
                <w:szCs w:val="18"/>
              </w:rPr>
            </w:pPr>
            <w:r>
              <w:rPr>
                <w:sz w:val="18"/>
                <w:szCs w:val="18"/>
              </w:rPr>
              <w:t>Signing of ICF</w:t>
            </w:r>
          </w:p>
        </w:tc>
        <w:tc>
          <w:tcPr>
            <w:tcW w:w="582" w:type="dxa"/>
            <w:shd w:val="clear" w:color="auto" w:fill="auto"/>
            <w:tcMar>
              <w:top w:w="28" w:type="dxa"/>
              <w:left w:w="57" w:type="dxa"/>
              <w:bottom w:w="28" w:type="dxa"/>
              <w:right w:w="57" w:type="dxa"/>
            </w:tcMar>
            <w:vAlign w:val="center"/>
          </w:tcPr>
          <w:p w14:paraId="1E0777FF">
            <w:pPr>
              <w:overflowPunct w:val="0"/>
              <w:autoSpaceDE w:val="0"/>
              <w:autoSpaceDN w:val="0"/>
              <w:adjustRightInd w:val="0"/>
              <w:snapToGrid w:val="0"/>
              <w:jc w:val="center"/>
              <w:rPr>
                <w:rFonts w:eastAsia="宋体"/>
                <w:sz w:val="18"/>
                <w:szCs w:val="18"/>
              </w:rPr>
            </w:pPr>
            <w:r>
              <w:rPr>
                <w:sz w:val="18"/>
                <w:szCs w:val="18"/>
              </w:rPr>
              <w:t>X</w:t>
            </w:r>
          </w:p>
        </w:tc>
        <w:tc>
          <w:tcPr>
            <w:tcW w:w="425" w:type="dxa"/>
            <w:shd w:val="clear" w:color="auto" w:fill="auto"/>
            <w:tcMar>
              <w:top w:w="28" w:type="dxa"/>
              <w:left w:w="57" w:type="dxa"/>
              <w:bottom w:w="28" w:type="dxa"/>
              <w:right w:w="57" w:type="dxa"/>
            </w:tcMar>
            <w:vAlign w:val="center"/>
          </w:tcPr>
          <w:p w14:paraId="1F9325F0">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6B2339C8">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416CA671">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003A0F67">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4E6D876F">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5AF17CD3">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7D4E8829">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48CA811C">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1BC7DE86">
            <w:pPr>
              <w:overflowPunct w:val="0"/>
              <w:autoSpaceDE w:val="0"/>
              <w:autoSpaceDN w:val="0"/>
              <w:adjustRightInd w:val="0"/>
              <w:snapToGrid w:val="0"/>
              <w:jc w:val="center"/>
              <w:rPr>
                <w:rFonts w:eastAsia="宋体"/>
                <w:sz w:val="18"/>
                <w:szCs w:val="18"/>
                <w:lang w:eastAsia="zh-CN"/>
              </w:rPr>
            </w:pPr>
          </w:p>
        </w:tc>
        <w:tc>
          <w:tcPr>
            <w:tcW w:w="507" w:type="dxa"/>
            <w:shd w:val="clear" w:color="auto" w:fill="F2F2F2" w:themeFill="background2" w:themeFillTint="33"/>
            <w:tcMar>
              <w:top w:w="28" w:type="dxa"/>
              <w:left w:w="57" w:type="dxa"/>
              <w:bottom w:w="28" w:type="dxa"/>
              <w:right w:w="57" w:type="dxa"/>
            </w:tcMar>
            <w:vAlign w:val="center"/>
          </w:tcPr>
          <w:p w14:paraId="5DB07BDE">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568CCE89">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72DC4445">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0733F77E">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6FAA49F4">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tcPr>
          <w:p w14:paraId="64562B1E">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72E403C8">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30721076">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2EE3BA3">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8729B9B">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4FC85669">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3A7D076">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67F5224B">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423198DF">
            <w:pPr>
              <w:overflowPunct w:val="0"/>
              <w:autoSpaceDE w:val="0"/>
              <w:autoSpaceDN w:val="0"/>
              <w:adjustRightInd w:val="0"/>
              <w:snapToGrid w:val="0"/>
              <w:jc w:val="center"/>
              <w:rPr>
                <w:rFonts w:eastAsia="宋体"/>
                <w:sz w:val="18"/>
                <w:szCs w:val="18"/>
                <w:lang w:eastAsia="zh-CN"/>
              </w:rPr>
            </w:pPr>
          </w:p>
        </w:tc>
      </w:tr>
      <w:tr w14:paraId="3D8B5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589B3917">
            <w:pPr>
              <w:overflowPunct w:val="0"/>
              <w:autoSpaceDE w:val="0"/>
              <w:autoSpaceDN w:val="0"/>
              <w:adjustRightInd w:val="0"/>
              <w:snapToGrid w:val="0"/>
              <w:jc w:val="center"/>
              <w:rPr>
                <w:rFonts w:eastAsia="宋体"/>
                <w:sz w:val="18"/>
                <w:szCs w:val="18"/>
              </w:rPr>
            </w:pPr>
            <w:r>
              <w:rPr>
                <w:sz w:val="18"/>
                <w:szCs w:val="18"/>
              </w:rPr>
              <w:t>Demographic information</w:t>
            </w:r>
          </w:p>
        </w:tc>
        <w:tc>
          <w:tcPr>
            <w:tcW w:w="582" w:type="dxa"/>
            <w:shd w:val="clear" w:color="auto" w:fill="auto"/>
            <w:tcMar>
              <w:top w:w="28" w:type="dxa"/>
              <w:left w:w="57" w:type="dxa"/>
              <w:bottom w:w="28" w:type="dxa"/>
              <w:right w:w="57" w:type="dxa"/>
            </w:tcMar>
            <w:vAlign w:val="center"/>
          </w:tcPr>
          <w:p w14:paraId="55E9FCB3">
            <w:pPr>
              <w:overflowPunct w:val="0"/>
              <w:autoSpaceDE w:val="0"/>
              <w:autoSpaceDN w:val="0"/>
              <w:adjustRightInd w:val="0"/>
              <w:snapToGrid w:val="0"/>
              <w:jc w:val="center"/>
              <w:rPr>
                <w:rFonts w:eastAsia="宋体"/>
                <w:sz w:val="18"/>
                <w:szCs w:val="18"/>
              </w:rPr>
            </w:pPr>
            <w:r>
              <w:rPr>
                <w:sz w:val="18"/>
                <w:szCs w:val="18"/>
              </w:rPr>
              <w:t>X</w:t>
            </w:r>
          </w:p>
        </w:tc>
        <w:tc>
          <w:tcPr>
            <w:tcW w:w="425" w:type="dxa"/>
            <w:shd w:val="clear" w:color="auto" w:fill="auto"/>
            <w:tcMar>
              <w:top w:w="28" w:type="dxa"/>
              <w:left w:w="57" w:type="dxa"/>
              <w:bottom w:w="28" w:type="dxa"/>
              <w:right w:w="57" w:type="dxa"/>
            </w:tcMar>
            <w:vAlign w:val="center"/>
          </w:tcPr>
          <w:p w14:paraId="0C903499">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133E95B2">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63018569">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4C67EC61">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49E419E8">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4EC2BCDC">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1FD42D20">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29D3D900">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3F38AD91">
            <w:pPr>
              <w:overflowPunct w:val="0"/>
              <w:autoSpaceDE w:val="0"/>
              <w:autoSpaceDN w:val="0"/>
              <w:adjustRightInd w:val="0"/>
              <w:snapToGrid w:val="0"/>
              <w:jc w:val="center"/>
              <w:rPr>
                <w:rFonts w:eastAsia="宋体"/>
                <w:sz w:val="18"/>
                <w:szCs w:val="18"/>
                <w:lang w:eastAsia="zh-CN"/>
              </w:rPr>
            </w:pPr>
          </w:p>
        </w:tc>
        <w:tc>
          <w:tcPr>
            <w:tcW w:w="507" w:type="dxa"/>
            <w:shd w:val="clear" w:color="auto" w:fill="F2F2F2" w:themeFill="background2" w:themeFillTint="33"/>
            <w:tcMar>
              <w:top w:w="28" w:type="dxa"/>
              <w:left w:w="57" w:type="dxa"/>
              <w:bottom w:w="28" w:type="dxa"/>
              <w:right w:w="57" w:type="dxa"/>
            </w:tcMar>
            <w:vAlign w:val="center"/>
          </w:tcPr>
          <w:p w14:paraId="7C6761F9">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2526868B">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52044A5A">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09A53FF5">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39344A4">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tcPr>
          <w:p w14:paraId="7F42EFF0">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63BD089D">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66006259">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37C9DF14">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67FC793">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7F182CEA">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D7FF708">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1134C8A6">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31023A82">
            <w:pPr>
              <w:overflowPunct w:val="0"/>
              <w:autoSpaceDE w:val="0"/>
              <w:autoSpaceDN w:val="0"/>
              <w:adjustRightInd w:val="0"/>
              <w:snapToGrid w:val="0"/>
              <w:jc w:val="center"/>
              <w:rPr>
                <w:rFonts w:eastAsia="宋体"/>
                <w:sz w:val="18"/>
                <w:szCs w:val="18"/>
                <w:lang w:eastAsia="zh-CN"/>
              </w:rPr>
            </w:pPr>
          </w:p>
        </w:tc>
      </w:tr>
      <w:tr w14:paraId="3C9C1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26431CC4">
            <w:pPr>
              <w:overflowPunct w:val="0"/>
              <w:autoSpaceDE w:val="0"/>
              <w:autoSpaceDN w:val="0"/>
              <w:adjustRightInd w:val="0"/>
              <w:snapToGrid w:val="0"/>
              <w:jc w:val="center"/>
              <w:rPr>
                <w:rFonts w:eastAsia="宋体"/>
                <w:sz w:val="18"/>
                <w:szCs w:val="18"/>
              </w:rPr>
            </w:pPr>
            <w:r>
              <w:rPr>
                <w:sz w:val="18"/>
                <w:szCs w:val="18"/>
              </w:rPr>
              <w:t>Medical history and personal history</w:t>
            </w:r>
          </w:p>
        </w:tc>
        <w:tc>
          <w:tcPr>
            <w:tcW w:w="582" w:type="dxa"/>
            <w:shd w:val="clear" w:color="auto" w:fill="auto"/>
            <w:tcMar>
              <w:top w:w="28" w:type="dxa"/>
              <w:left w:w="57" w:type="dxa"/>
              <w:bottom w:w="28" w:type="dxa"/>
              <w:right w:w="57" w:type="dxa"/>
            </w:tcMar>
            <w:vAlign w:val="center"/>
          </w:tcPr>
          <w:p w14:paraId="77B3530E">
            <w:pPr>
              <w:overflowPunct w:val="0"/>
              <w:autoSpaceDE w:val="0"/>
              <w:autoSpaceDN w:val="0"/>
              <w:adjustRightInd w:val="0"/>
              <w:snapToGrid w:val="0"/>
              <w:jc w:val="center"/>
              <w:rPr>
                <w:rFonts w:eastAsia="宋体"/>
                <w:sz w:val="18"/>
                <w:szCs w:val="18"/>
              </w:rPr>
            </w:pPr>
            <w:r>
              <w:rPr>
                <w:sz w:val="18"/>
                <w:szCs w:val="18"/>
              </w:rPr>
              <w:t>X</w:t>
            </w:r>
          </w:p>
        </w:tc>
        <w:tc>
          <w:tcPr>
            <w:tcW w:w="425" w:type="dxa"/>
            <w:shd w:val="clear" w:color="auto" w:fill="auto"/>
            <w:tcMar>
              <w:top w:w="28" w:type="dxa"/>
              <w:left w:w="57" w:type="dxa"/>
              <w:bottom w:w="28" w:type="dxa"/>
              <w:right w:w="57" w:type="dxa"/>
            </w:tcMar>
            <w:vAlign w:val="center"/>
          </w:tcPr>
          <w:p w14:paraId="358647B5">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7B79BBE6">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082A5BE5">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5C14250D">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0BDE3ACB">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678233C4">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0908E4FC">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354557E9">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404A609C">
            <w:pPr>
              <w:overflowPunct w:val="0"/>
              <w:autoSpaceDE w:val="0"/>
              <w:autoSpaceDN w:val="0"/>
              <w:adjustRightInd w:val="0"/>
              <w:snapToGrid w:val="0"/>
              <w:jc w:val="center"/>
              <w:rPr>
                <w:rFonts w:eastAsia="宋体"/>
                <w:sz w:val="18"/>
                <w:szCs w:val="18"/>
                <w:lang w:eastAsia="zh-CN"/>
              </w:rPr>
            </w:pPr>
          </w:p>
        </w:tc>
        <w:tc>
          <w:tcPr>
            <w:tcW w:w="507" w:type="dxa"/>
            <w:shd w:val="clear" w:color="auto" w:fill="F2F2F2" w:themeFill="background2" w:themeFillTint="33"/>
            <w:tcMar>
              <w:top w:w="28" w:type="dxa"/>
              <w:left w:w="57" w:type="dxa"/>
              <w:bottom w:w="28" w:type="dxa"/>
              <w:right w:w="57" w:type="dxa"/>
            </w:tcMar>
            <w:vAlign w:val="center"/>
          </w:tcPr>
          <w:p w14:paraId="006907C8">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585C4598">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66E6AC10">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3A63D3DB">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2C33D92">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tcPr>
          <w:p w14:paraId="68BE026B">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371DC8AE">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CA88F5C">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39906F39">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7507BD63">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44F97D72">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324E4945">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05DA128">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22FC1AC7">
            <w:pPr>
              <w:overflowPunct w:val="0"/>
              <w:autoSpaceDE w:val="0"/>
              <w:autoSpaceDN w:val="0"/>
              <w:adjustRightInd w:val="0"/>
              <w:snapToGrid w:val="0"/>
              <w:jc w:val="center"/>
              <w:rPr>
                <w:rFonts w:eastAsia="宋体"/>
                <w:sz w:val="18"/>
                <w:szCs w:val="18"/>
                <w:lang w:eastAsia="zh-CN"/>
              </w:rPr>
            </w:pPr>
          </w:p>
        </w:tc>
      </w:tr>
      <w:tr w14:paraId="0535F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4AC44F5A">
            <w:pPr>
              <w:overflowPunct w:val="0"/>
              <w:autoSpaceDE w:val="0"/>
              <w:autoSpaceDN w:val="0"/>
              <w:adjustRightInd w:val="0"/>
              <w:snapToGrid w:val="0"/>
              <w:jc w:val="center"/>
              <w:rPr>
                <w:rFonts w:eastAsia="宋体"/>
                <w:sz w:val="18"/>
                <w:szCs w:val="18"/>
              </w:rPr>
            </w:pPr>
            <w:r>
              <w:rPr>
                <w:sz w:val="18"/>
                <w:szCs w:val="18"/>
              </w:rPr>
              <w:t>Physical examination</w:t>
            </w:r>
          </w:p>
        </w:tc>
        <w:tc>
          <w:tcPr>
            <w:tcW w:w="582" w:type="dxa"/>
            <w:shd w:val="clear" w:color="auto" w:fill="auto"/>
            <w:tcMar>
              <w:top w:w="28" w:type="dxa"/>
              <w:left w:w="57" w:type="dxa"/>
              <w:bottom w:w="28" w:type="dxa"/>
              <w:right w:w="57" w:type="dxa"/>
            </w:tcMar>
            <w:vAlign w:val="center"/>
          </w:tcPr>
          <w:p w14:paraId="6825070F">
            <w:pPr>
              <w:overflowPunct w:val="0"/>
              <w:autoSpaceDE w:val="0"/>
              <w:autoSpaceDN w:val="0"/>
              <w:adjustRightInd w:val="0"/>
              <w:snapToGrid w:val="0"/>
              <w:jc w:val="center"/>
              <w:rPr>
                <w:rFonts w:eastAsia="宋体"/>
                <w:sz w:val="18"/>
                <w:szCs w:val="18"/>
              </w:rPr>
            </w:pPr>
            <w:r>
              <w:rPr>
                <w:sz w:val="18"/>
                <w:szCs w:val="18"/>
              </w:rPr>
              <w:t>X</w:t>
            </w:r>
          </w:p>
        </w:tc>
        <w:tc>
          <w:tcPr>
            <w:tcW w:w="425" w:type="dxa"/>
            <w:shd w:val="clear" w:color="auto" w:fill="auto"/>
            <w:tcMar>
              <w:top w:w="28" w:type="dxa"/>
              <w:left w:w="57" w:type="dxa"/>
              <w:bottom w:w="28" w:type="dxa"/>
              <w:right w:w="57" w:type="dxa"/>
            </w:tcMar>
            <w:vAlign w:val="center"/>
          </w:tcPr>
          <w:p w14:paraId="6F8CC2B5">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0616880D">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296E1C96">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004B735F">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6995C4EC">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31B08188">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5B660091">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7330A36C">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vAlign w:val="center"/>
          </w:tcPr>
          <w:p w14:paraId="2BFA63E4">
            <w:pPr>
              <w:overflowPunct w:val="0"/>
              <w:autoSpaceDE w:val="0"/>
              <w:autoSpaceDN w:val="0"/>
              <w:adjustRightInd w:val="0"/>
              <w:snapToGrid w:val="0"/>
              <w:jc w:val="center"/>
              <w:rPr>
                <w:rFonts w:eastAsia="宋体"/>
                <w:sz w:val="18"/>
                <w:szCs w:val="18"/>
              </w:rPr>
            </w:pPr>
            <w:r>
              <w:rPr>
                <w:sz w:val="18"/>
                <w:szCs w:val="18"/>
              </w:rPr>
              <w:t>X</w:t>
            </w:r>
          </w:p>
        </w:tc>
        <w:tc>
          <w:tcPr>
            <w:tcW w:w="507" w:type="dxa"/>
            <w:shd w:val="clear" w:color="auto" w:fill="F2F2F2" w:themeFill="background2" w:themeFillTint="33"/>
            <w:tcMar>
              <w:top w:w="28" w:type="dxa"/>
              <w:left w:w="57" w:type="dxa"/>
              <w:bottom w:w="28" w:type="dxa"/>
              <w:right w:w="57" w:type="dxa"/>
            </w:tcMar>
            <w:vAlign w:val="center"/>
          </w:tcPr>
          <w:p w14:paraId="3FD6ECD5">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33487A67">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7E8C7EC8">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6EE8B5CA">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7092FF64">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tcPr>
          <w:p w14:paraId="44EF34D8">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25C86A7">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42A6A117">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D7EC2D4">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304FFD4">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01D7466E">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3AB59858">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63A22C27">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5F84D03F">
            <w:pPr>
              <w:overflowPunct w:val="0"/>
              <w:autoSpaceDE w:val="0"/>
              <w:autoSpaceDN w:val="0"/>
              <w:adjustRightInd w:val="0"/>
              <w:snapToGrid w:val="0"/>
              <w:jc w:val="center"/>
              <w:rPr>
                <w:rFonts w:eastAsia="宋体"/>
                <w:sz w:val="18"/>
                <w:szCs w:val="18"/>
              </w:rPr>
            </w:pPr>
            <w:r>
              <w:rPr>
                <w:sz w:val="18"/>
                <w:szCs w:val="18"/>
              </w:rPr>
              <w:t>X</w:t>
            </w:r>
          </w:p>
        </w:tc>
      </w:tr>
      <w:tr w14:paraId="552EA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02A9AE7B">
            <w:pPr>
              <w:overflowPunct w:val="0"/>
              <w:autoSpaceDE w:val="0"/>
              <w:autoSpaceDN w:val="0"/>
              <w:adjustRightInd w:val="0"/>
              <w:snapToGrid w:val="0"/>
              <w:jc w:val="center"/>
              <w:rPr>
                <w:rFonts w:eastAsia="宋体"/>
                <w:sz w:val="18"/>
                <w:szCs w:val="18"/>
              </w:rPr>
            </w:pPr>
            <w:r>
              <w:rPr>
                <w:sz w:val="18"/>
                <w:szCs w:val="18"/>
              </w:rPr>
              <w:t>Body weight and height</w:t>
            </w:r>
            <w:r>
              <w:rPr>
                <w:sz w:val="18"/>
                <w:szCs w:val="18"/>
                <w:vertAlign w:val="superscript"/>
              </w:rPr>
              <w:t>3</w:t>
            </w:r>
          </w:p>
        </w:tc>
        <w:tc>
          <w:tcPr>
            <w:tcW w:w="582" w:type="dxa"/>
            <w:shd w:val="clear" w:color="auto" w:fill="auto"/>
            <w:tcMar>
              <w:top w:w="28" w:type="dxa"/>
              <w:left w:w="57" w:type="dxa"/>
              <w:bottom w:w="28" w:type="dxa"/>
              <w:right w:w="57" w:type="dxa"/>
            </w:tcMar>
            <w:vAlign w:val="center"/>
          </w:tcPr>
          <w:p w14:paraId="42975E4E">
            <w:pPr>
              <w:overflowPunct w:val="0"/>
              <w:autoSpaceDE w:val="0"/>
              <w:autoSpaceDN w:val="0"/>
              <w:adjustRightInd w:val="0"/>
              <w:snapToGrid w:val="0"/>
              <w:jc w:val="center"/>
              <w:rPr>
                <w:rFonts w:eastAsia="宋体"/>
                <w:sz w:val="18"/>
                <w:szCs w:val="18"/>
              </w:rPr>
            </w:pPr>
            <w:r>
              <w:rPr>
                <w:sz w:val="18"/>
                <w:szCs w:val="18"/>
              </w:rPr>
              <w:t>X</w:t>
            </w:r>
          </w:p>
        </w:tc>
        <w:tc>
          <w:tcPr>
            <w:tcW w:w="425" w:type="dxa"/>
            <w:shd w:val="clear" w:color="auto" w:fill="auto"/>
            <w:tcMar>
              <w:top w:w="28" w:type="dxa"/>
              <w:left w:w="57" w:type="dxa"/>
              <w:bottom w:w="28" w:type="dxa"/>
              <w:right w:w="57" w:type="dxa"/>
            </w:tcMar>
            <w:vAlign w:val="center"/>
          </w:tcPr>
          <w:p w14:paraId="4409A3F7">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40E40C1A">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07B12554">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31F1BFDD">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225A4B8B">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7D10C731">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07B6AFBF">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0680D921">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vAlign w:val="center"/>
          </w:tcPr>
          <w:p w14:paraId="181676F2">
            <w:pPr>
              <w:overflowPunct w:val="0"/>
              <w:autoSpaceDE w:val="0"/>
              <w:autoSpaceDN w:val="0"/>
              <w:adjustRightInd w:val="0"/>
              <w:snapToGrid w:val="0"/>
              <w:jc w:val="center"/>
              <w:rPr>
                <w:rFonts w:eastAsia="宋体"/>
                <w:sz w:val="18"/>
                <w:szCs w:val="18"/>
                <w:lang w:eastAsia="zh-CN"/>
              </w:rPr>
            </w:pPr>
          </w:p>
        </w:tc>
        <w:tc>
          <w:tcPr>
            <w:tcW w:w="507" w:type="dxa"/>
            <w:shd w:val="clear" w:color="auto" w:fill="F2F2F2" w:themeFill="background2" w:themeFillTint="33"/>
            <w:tcMar>
              <w:top w:w="28" w:type="dxa"/>
              <w:left w:w="57" w:type="dxa"/>
              <w:bottom w:w="28" w:type="dxa"/>
              <w:right w:w="57" w:type="dxa"/>
            </w:tcMar>
            <w:vAlign w:val="center"/>
          </w:tcPr>
          <w:p w14:paraId="30DDDEFB">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4AC01E72">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475CDE65">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50CCA082">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55367092">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tcPr>
          <w:p w14:paraId="360134C3">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489669C">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463232C8">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ED300C5">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4FD13E70">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2955235C">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423A3DA3">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4F5B7F6A">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0433E040">
            <w:pPr>
              <w:overflowPunct w:val="0"/>
              <w:autoSpaceDE w:val="0"/>
              <w:autoSpaceDN w:val="0"/>
              <w:adjustRightInd w:val="0"/>
              <w:snapToGrid w:val="0"/>
              <w:jc w:val="center"/>
              <w:rPr>
                <w:rFonts w:eastAsia="宋体"/>
                <w:sz w:val="18"/>
                <w:szCs w:val="18"/>
              </w:rPr>
            </w:pPr>
            <w:r>
              <w:rPr>
                <w:sz w:val="18"/>
                <w:szCs w:val="18"/>
              </w:rPr>
              <w:t>X</w:t>
            </w:r>
          </w:p>
        </w:tc>
      </w:tr>
      <w:tr w14:paraId="2C6BA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7A279570">
            <w:pPr>
              <w:overflowPunct w:val="0"/>
              <w:autoSpaceDE w:val="0"/>
              <w:autoSpaceDN w:val="0"/>
              <w:adjustRightInd w:val="0"/>
              <w:snapToGrid w:val="0"/>
              <w:jc w:val="center"/>
              <w:rPr>
                <w:rFonts w:eastAsia="宋体"/>
                <w:sz w:val="18"/>
                <w:szCs w:val="18"/>
              </w:rPr>
            </w:pPr>
            <w:r>
              <w:rPr>
                <w:sz w:val="18"/>
                <w:szCs w:val="18"/>
              </w:rPr>
              <w:t>Waist and hip circumference</w:t>
            </w:r>
          </w:p>
        </w:tc>
        <w:tc>
          <w:tcPr>
            <w:tcW w:w="582" w:type="dxa"/>
            <w:shd w:val="clear" w:color="auto" w:fill="auto"/>
            <w:tcMar>
              <w:top w:w="28" w:type="dxa"/>
              <w:left w:w="57" w:type="dxa"/>
              <w:bottom w:w="28" w:type="dxa"/>
              <w:right w:w="57" w:type="dxa"/>
            </w:tcMar>
            <w:vAlign w:val="center"/>
          </w:tcPr>
          <w:p w14:paraId="5B9CE2C5">
            <w:pPr>
              <w:overflowPunct w:val="0"/>
              <w:autoSpaceDE w:val="0"/>
              <w:autoSpaceDN w:val="0"/>
              <w:adjustRightInd w:val="0"/>
              <w:snapToGrid w:val="0"/>
              <w:jc w:val="center"/>
              <w:rPr>
                <w:rFonts w:eastAsia="宋体"/>
                <w:sz w:val="18"/>
                <w:szCs w:val="18"/>
                <w:lang w:eastAsia="zh-CN"/>
              </w:rPr>
            </w:pPr>
          </w:p>
        </w:tc>
        <w:tc>
          <w:tcPr>
            <w:tcW w:w="425" w:type="dxa"/>
            <w:shd w:val="clear" w:color="auto" w:fill="auto"/>
            <w:tcMar>
              <w:top w:w="28" w:type="dxa"/>
              <w:left w:w="57" w:type="dxa"/>
              <w:bottom w:w="28" w:type="dxa"/>
              <w:right w:w="57" w:type="dxa"/>
            </w:tcMar>
            <w:vAlign w:val="center"/>
          </w:tcPr>
          <w:p w14:paraId="2CB48DCA">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25B03947">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749229CA">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265A11C9">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686918F8">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22EFD0D7">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652B8D6A">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52DCF605">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vAlign w:val="center"/>
          </w:tcPr>
          <w:p w14:paraId="01D707D8">
            <w:pPr>
              <w:overflowPunct w:val="0"/>
              <w:autoSpaceDE w:val="0"/>
              <w:autoSpaceDN w:val="0"/>
              <w:adjustRightInd w:val="0"/>
              <w:snapToGrid w:val="0"/>
              <w:jc w:val="center"/>
              <w:rPr>
                <w:rFonts w:eastAsia="宋体"/>
                <w:sz w:val="18"/>
                <w:szCs w:val="18"/>
                <w:lang w:eastAsia="zh-CN"/>
              </w:rPr>
            </w:pPr>
          </w:p>
        </w:tc>
        <w:tc>
          <w:tcPr>
            <w:tcW w:w="507" w:type="dxa"/>
            <w:shd w:val="clear" w:color="auto" w:fill="F2F2F2" w:themeFill="background2" w:themeFillTint="33"/>
            <w:tcMar>
              <w:top w:w="28" w:type="dxa"/>
              <w:left w:w="57" w:type="dxa"/>
              <w:bottom w:w="28" w:type="dxa"/>
              <w:right w:w="57" w:type="dxa"/>
            </w:tcMar>
            <w:vAlign w:val="center"/>
          </w:tcPr>
          <w:p w14:paraId="31549DC5">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1635602B">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18B714AF">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42A146DB">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40280BC3">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tcPr>
          <w:p w14:paraId="4A7A9089">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B580743">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B1B83DC">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499E65B0">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CAFF7D0">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65C2CF76">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7D9DC718">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28EBCCC5">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791B6E84">
            <w:pPr>
              <w:overflowPunct w:val="0"/>
              <w:autoSpaceDE w:val="0"/>
              <w:autoSpaceDN w:val="0"/>
              <w:adjustRightInd w:val="0"/>
              <w:snapToGrid w:val="0"/>
              <w:jc w:val="center"/>
              <w:rPr>
                <w:rFonts w:eastAsia="宋体"/>
                <w:sz w:val="18"/>
                <w:szCs w:val="18"/>
              </w:rPr>
            </w:pPr>
            <w:r>
              <w:rPr>
                <w:sz w:val="18"/>
                <w:szCs w:val="18"/>
              </w:rPr>
              <w:t>X</w:t>
            </w:r>
          </w:p>
        </w:tc>
      </w:tr>
      <w:tr w14:paraId="2A09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39CD147D">
            <w:pPr>
              <w:overflowPunct w:val="0"/>
              <w:autoSpaceDE w:val="0"/>
              <w:autoSpaceDN w:val="0"/>
              <w:adjustRightInd w:val="0"/>
              <w:snapToGrid w:val="0"/>
              <w:jc w:val="center"/>
              <w:rPr>
                <w:rFonts w:eastAsia="宋体"/>
                <w:sz w:val="18"/>
                <w:szCs w:val="18"/>
              </w:rPr>
            </w:pPr>
            <w:r>
              <w:rPr>
                <w:sz w:val="18"/>
                <w:szCs w:val="18"/>
              </w:rPr>
              <w:t>Vital signs</w:t>
            </w:r>
            <w:r>
              <w:rPr>
                <w:sz w:val="18"/>
                <w:szCs w:val="18"/>
                <w:vertAlign w:val="superscript"/>
              </w:rPr>
              <w:t>4</w:t>
            </w:r>
          </w:p>
        </w:tc>
        <w:tc>
          <w:tcPr>
            <w:tcW w:w="582" w:type="dxa"/>
            <w:shd w:val="clear" w:color="auto" w:fill="auto"/>
            <w:tcMar>
              <w:top w:w="28" w:type="dxa"/>
              <w:left w:w="57" w:type="dxa"/>
              <w:bottom w:w="28" w:type="dxa"/>
              <w:right w:w="57" w:type="dxa"/>
            </w:tcMar>
            <w:vAlign w:val="center"/>
          </w:tcPr>
          <w:p w14:paraId="0B97C180">
            <w:pPr>
              <w:overflowPunct w:val="0"/>
              <w:autoSpaceDE w:val="0"/>
              <w:autoSpaceDN w:val="0"/>
              <w:adjustRightInd w:val="0"/>
              <w:snapToGrid w:val="0"/>
              <w:jc w:val="center"/>
              <w:rPr>
                <w:rFonts w:eastAsia="宋体"/>
                <w:sz w:val="18"/>
                <w:szCs w:val="18"/>
              </w:rPr>
            </w:pPr>
            <w:r>
              <w:rPr>
                <w:sz w:val="18"/>
                <w:szCs w:val="18"/>
              </w:rPr>
              <w:t>X</w:t>
            </w:r>
          </w:p>
        </w:tc>
        <w:tc>
          <w:tcPr>
            <w:tcW w:w="425" w:type="dxa"/>
            <w:shd w:val="clear" w:color="auto" w:fill="auto"/>
            <w:tcMar>
              <w:top w:w="28" w:type="dxa"/>
              <w:left w:w="57" w:type="dxa"/>
              <w:bottom w:w="28" w:type="dxa"/>
              <w:right w:w="57" w:type="dxa"/>
            </w:tcMar>
            <w:vAlign w:val="center"/>
          </w:tcPr>
          <w:p w14:paraId="57E706EB">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550140C8">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2C1F2993">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428ABBFA">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5F5A3BE9">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23B94E89">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17069F09">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vAlign w:val="center"/>
          </w:tcPr>
          <w:p w14:paraId="740FD7C2">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vAlign w:val="center"/>
          </w:tcPr>
          <w:p w14:paraId="1ED53639">
            <w:pPr>
              <w:overflowPunct w:val="0"/>
              <w:autoSpaceDE w:val="0"/>
              <w:autoSpaceDN w:val="0"/>
              <w:adjustRightInd w:val="0"/>
              <w:snapToGrid w:val="0"/>
              <w:jc w:val="center"/>
              <w:rPr>
                <w:rFonts w:eastAsia="宋体"/>
                <w:sz w:val="18"/>
                <w:szCs w:val="18"/>
              </w:rPr>
            </w:pPr>
            <w:r>
              <w:rPr>
                <w:sz w:val="18"/>
                <w:szCs w:val="18"/>
              </w:rPr>
              <w:t>X</w:t>
            </w:r>
          </w:p>
        </w:tc>
        <w:tc>
          <w:tcPr>
            <w:tcW w:w="507" w:type="dxa"/>
            <w:shd w:val="clear" w:color="auto" w:fill="F2F2F2" w:themeFill="background2" w:themeFillTint="33"/>
            <w:tcMar>
              <w:top w:w="28" w:type="dxa"/>
              <w:left w:w="57" w:type="dxa"/>
              <w:bottom w:w="28" w:type="dxa"/>
              <w:right w:w="57" w:type="dxa"/>
            </w:tcMar>
            <w:vAlign w:val="center"/>
          </w:tcPr>
          <w:p w14:paraId="748DEF36">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041EE7E7">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30B33102">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656BD405">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74B1A9CA">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50AE656C">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5ECBB2C0">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47956011">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489350BB">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568CE6A1">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7678A060">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0CAD86AD">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781461CD">
            <w:pPr>
              <w:overflowPunct w:val="0"/>
              <w:autoSpaceDE w:val="0"/>
              <w:autoSpaceDN w:val="0"/>
              <w:adjustRightInd w:val="0"/>
              <w:snapToGrid w:val="0"/>
              <w:jc w:val="center"/>
              <w:rPr>
                <w:rFonts w:eastAsia="宋体"/>
                <w:sz w:val="18"/>
                <w:szCs w:val="18"/>
              </w:rPr>
            </w:pPr>
            <w:r>
              <w:rPr>
                <w:sz w:val="18"/>
                <w:szCs w:val="18"/>
              </w:rPr>
              <w:t>X</w:t>
            </w:r>
          </w:p>
        </w:tc>
        <w:tc>
          <w:tcPr>
            <w:tcW w:w="818" w:type="dxa"/>
            <w:tcMar>
              <w:top w:w="28" w:type="dxa"/>
              <w:left w:w="57" w:type="dxa"/>
              <w:bottom w:w="28" w:type="dxa"/>
              <w:right w:w="57" w:type="dxa"/>
            </w:tcMar>
            <w:vAlign w:val="center"/>
          </w:tcPr>
          <w:p w14:paraId="40F8F633">
            <w:pPr>
              <w:overflowPunct w:val="0"/>
              <w:autoSpaceDE w:val="0"/>
              <w:autoSpaceDN w:val="0"/>
              <w:adjustRightInd w:val="0"/>
              <w:snapToGrid w:val="0"/>
              <w:jc w:val="center"/>
              <w:rPr>
                <w:rFonts w:eastAsia="宋体"/>
                <w:sz w:val="18"/>
                <w:szCs w:val="18"/>
              </w:rPr>
            </w:pPr>
            <w:r>
              <w:rPr>
                <w:sz w:val="18"/>
                <w:szCs w:val="18"/>
              </w:rPr>
              <w:t>X</w:t>
            </w:r>
          </w:p>
        </w:tc>
      </w:tr>
      <w:tr w14:paraId="6D742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57B3CFAE">
            <w:pPr>
              <w:overflowPunct w:val="0"/>
              <w:autoSpaceDE w:val="0"/>
              <w:autoSpaceDN w:val="0"/>
              <w:adjustRightInd w:val="0"/>
              <w:snapToGrid w:val="0"/>
              <w:jc w:val="center"/>
              <w:rPr>
                <w:rFonts w:eastAsia="宋体"/>
                <w:sz w:val="18"/>
                <w:szCs w:val="18"/>
              </w:rPr>
            </w:pPr>
            <w:r>
              <w:rPr>
                <w:sz w:val="18"/>
                <w:szCs w:val="18"/>
              </w:rPr>
              <w:t xml:space="preserve">12-lead ECG </w:t>
            </w:r>
            <w:r>
              <w:rPr>
                <w:sz w:val="18"/>
                <w:szCs w:val="18"/>
                <w:vertAlign w:val="superscript"/>
              </w:rPr>
              <w:t>5</w:t>
            </w:r>
          </w:p>
        </w:tc>
        <w:tc>
          <w:tcPr>
            <w:tcW w:w="582" w:type="dxa"/>
            <w:shd w:val="clear" w:color="auto" w:fill="auto"/>
            <w:tcMar>
              <w:top w:w="28" w:type="dxa"/>
              <w:left w:w="57" w:type="dxa"/>
              <w:bottom w:w="28" w:type="dxa"/>
              <w:right w:w="57" w:type="dxa"/>
            </w:tcMar>
            <w:vAlign w:val="center"/>
          </w:tcPr>
          <w:p w14:paraId="2833352E">
            <w:pPr>
              <w:overflowPunct w:val="0"/>
              <w:autoSpaceDE w:val="0"/>
              <w:autoSpaceDN w:val="0"/>
              <w:adjustRightInd w:val="0"/>
              <w:snapToGrid w:val="0"/>
              <w:jc w:val="center"/>
              <w:rPr>
                <w:rFonts w:eastAsia="宋体"/>
                <w:sz w:val="18"/>
                <w:szCs w:val="18"/>
              </w:rPr>
            </w:pPr>
            <w:r>
              <w:rPr>
                <w:sz w:val="18"/>
                <w:szCs w:val="18"/>
              </w:rPr>
              <w:t>X</w:t>
            </w:r>
          </w:p>
        </w:tc>
        <w:tc>
          <w:tcPr>
            <w:tcW w:w="425" w:type="dxa"/>
            <w:shd w:val="clear" w:color="auto" w:fill="auto"/>
            <w:tcMar>
              <w:top w:w="28" w:type="dxa"/>
              <w:left w:w="57" w:type="dxa"/>
              <w:bottom w:w="28" w:type="dxa"/>
              <w:right w:w="57" w:type="dxa"/>
            </w:tcMar>
            <w:vAlign w:val="center"/>
          </w:tcPr>
          <w:p w14:paraId="4F8BFFED">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48E5F53F">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38FE5D09">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1143F25F">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76B5E0A7">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3A786513">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37CA4DDD">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tcPr>
          <w:p w14:paraId="6719E775">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tcPr>
          <w:p w14:paraId="67D15AFA">
            <w:pPr>
              <w:overflowPunct w:val="0"/>
              <w:autoSpaceDE w:val="0"/>
              <w:autoSpaceDN w:val="0"/>
              <w:adjustRightInd w:val="0"/>
              <w:snapToGrid w:val="0"/>
              <w:jc w:val="center"/>
              <w:rPr>
                <w:rFonts w:eastAsia="宋体"/>
                <w:sz w:val="18"/>
                <w:szCs w:val="18"/>
              </w:rPr>
            </w:pPr>
            <w:r>
              <w:rPr>
                <w:sz w:val="18"/>
                <w:szCs w:val="18"/>
              </w:rPr>
              <w:t>X</w:t>
            </w:r>
          </w:p>
        </w:tc>
        <w:tc>
          <w:tcPr>
            <w:tcW w:w="507" w:type="dxa"/>
            <w:shd w:val="clear" w:color="auto" w:fill="F2F2F2" w:themeFill="background2" w:themeFillTint="33"/>
            <w:tcMar>
              <w:top w:w="28" w:type="dxa"/>
              <w:left w:w="57" w:type="dxa"/>
              <w:bottom w:w="28" w:type="dxa"/>
              <w:right w:w="57" w:type="dxa"/>
            </w:tcMar>
          </w:tcPr>
          <w:p w14:paraId="659C231A">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tcPr>
          <w:p w14:paraId="31FB8712">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tcPr>
          <w:p w14:paraId="1979833A">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65ABF8B2">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1170C073">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38A6DA1E">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2D93B1F4">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161E9DA2">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2F9207F9">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1048B72C">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50A7D30C">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515858D0">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4553FB27">
            <w:pPr>
              <w:overflowPunct w:val="0"/>
              <w:autoSpaceDE w:val="0"/>
              <w:autoSpaceDN w:val="0"/>
              <w:adjustRightInd w:val="0"/>
              <w:snapToGrid w:val="0"/>
              <w:jc w:val="center"/>
              <w:rPr>
                <w:rFonts w:eastAsia="宋体"/>
                <w:sz w:val="18"/>
                <w:szCs w:val="18"/>
              </w:rPr>
            </w:pPr>
            <w:r>
              <w:rPr>
                <w:sz w:val="18"/>
                <w:szCs w:val="18"/>
              </w:rPr>
              <w:t>X</w:t>
            </w:r>
          </w:p>
        </w:tc>
        <w:tc>
          <w:tcPr>
            <w:tcW w:w="818" w:type="dxa"/>
            <w:tcMar>
              <w:top w:w="28" w:type="dxa"/>
              <w:left w:w="57" w:type="dxa"/>
              <w:bottom w:w="28" w:type="dxa"/>
              <w:right w:w="57" w:type="dxa"/>
            </w:tcMar>
            <w:vAlign w:val="center"/>
          </w:tcPr>
          <w:p w14:paraId="41D6EDF8">
            <w:pPr>
              <w:overflowPunct w:val="0"/>
              <w:autoSpaceDE w:val="0"/>
              <w:autoSpaceDN w:val="0"/>
              <w:adjustRightInd w:val="0"/>
              <w:snapToGrid w:val="0"/>
              <w:jc w:val="center"/>
              <w:rPr>
                <w:rFonts w:eastAsia="宋体"/>
                <w:sz w:val="18"/>
                <w:szCs w:val="18"/>
              </w:rPr>
            </w:pPr>
            <w:r>
              <w:rPr>
                <w:sz w:val="18"/>
                <w:szCs w:val="18"/>
              </w:rPr>
              <w:t>X</w:t>
            </w:r>
          </w:p>
        </w:tc>
      </w:tr>
      <w:tr w14:paraId="366C0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1BBD4088">
            <w:pPr>
              <w:overflowPunct w:val="0"/>
              <w:autoSpaceDE w:val="0"/>
              <w:autoSpaceDN w:val="0"/>
              <w:adjustRightInd w:val="0"/>
              <w:snapToGrid w:val="0"/>
              <w:jc w:val="center"/>
              <w:rPr>
                <w:rFonts w:eastAsia="宋体"/>
                <w:sz w:val="18"/>
                <w:szCs w:val="18"/>
              </w:rPr>
            </w:pPr>
            <w:r>
              <w:rPr>
                <w:sz w:val="18"/>
                <w:szCs w:val="18"/>
              </w:rPr>
              <w:t>Chest X-ray (anteroposterior and lateral)</w:t>
            </w:r>
          </w:p>
        </w:tc>
        <w:tc>
          <w:tcPr>
            <w:tcW w:w="582" w:type="dxa"/>
            <w:shd w:val="clear" w:color="auto" w:fill="auto"/>
            <w:tcMar>
              <w:top w:w="28" w:type="dxa"/>
              <w:left w:w="57" w:type="dxa"/>
              <w:bottom w:w="28" w:type="dxa"/>
              <w:right w:w="57" w:type="dxa"/>
            </w:tcMar>
            <w:vAlign w:val="center"/>
          </w:tcPr>
          <w:p w14:paraId="466163DE">
            <w:pPr>
              <w:overflowPunct w:val="0"/>
              <w:autoSpaceDE w:val="0"/>
              <w:autoSpaceDN w:val="0"/>
              <w:adjustRightInd w:val="0"/>
              <w:snapToGrid w:val="0"/>
              <w:jc w:val="center"/>
              <w:rPr>
                <w:rFonts w:eastAsia="宋体"/>
                <w:sz w:val="18"/>
                <w:szCs w:val="18"/>
              </w:rPr>
            </w:pPr>
            <w:r>
              <w:rPr>
                <w:sz w:val="18"/>
                <w:szCs w:val="18"/>
              </w:rPr>
              <w:t>X</w:t>
            </w:r>
            <w:r>
              <w:rPr>
                <w:sz w:val="18"/>
                <w:szCs w:val="18"/>
                <w:vertAlign w:val="superscript"/>
              </w:rPr>
              <w:t>6</w:t>
            </w:r>
          </w:p>
        </w:tc>
        <w:tc>
          <w:tcPr>
            <w:tcW w:w="425" w:type="dxa"/>
            <w:shd w:val="clear" w:color="auto" w:fill="auto"/>
            <w:tcMar>
              <w:top w:w="28" w:type="dxa"/>
              <w:left w:w="57" w:type="dxa"/>
              <w:bottom w:w="28" w:type="dxa"/>
              <w:right w:w="57" w:type="dxa"/>
            </w:tcMar>
            <w:vAlign w:val="center"/>
          </w:tcPr>
          <w:p w14:paraId="214119E9">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598BC673">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62491C91">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29D9CB02">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234DC785">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79EC1134">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705CFA90">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3A055E20">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7AF8B62E">
            <w:pPr>
              <w:overflowPunct w:val="0"/>
              <w:autoSpaceDE w:val="0"/>
              <w:autoSpaceDN w:val="0"/>
              <w:adjustRightInd w:val="0"/>
              <w:snapToGrid w:val="0"/>
              <w:jc w:val="center"/>
              <w:rPr>
                <w:rFonts w:eastAsia="宋体"/>
                <w:sz w:val="18"/>
                <w:szCs w:val="18"/>
                <w:lang w:eastAsia="zh-CN"/>
              </w:rPr>
            </w:pPr>
          </w:p>
        </w:tc>
        <w:tc>
          <w:tcPr>
            <w:tcW w:w="507" w:type="dxa"/>
            <w:shd w:val="clear" w:color="auto" w:fill="F2F2F2" w:themeFill="background2" w:themeFillTint="33"/>
            <w:tcMar>
              <w:top w:w="28" w:type="dxa"/>
              <w:left w:w="57" w:type="dxa"/>
              <w:bottom w:w="28" w:type="dxa"/>
              <w:right w:w="57" w:type="dxa"/>
            </w:tcMar>
            <w:vAlign w:val="center"/>
          </w:tcPr>
          <w:p w14:paraId="32720AA2">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5C0EAF82">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3A6FF315">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73CD32D5">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2241D27">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tcPr>
          <w:p w14:paraId="532BA9D3">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E7F19BD">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4D0B46D2">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44A8B3FD">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170DD89D">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93BC180">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47B0365">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E3E26DE">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0165B8B7">
            <w:pPr>
              <w:overflowPunct w:val="0"/>
              <w:autoSpaceDE w:val="0"/>
              <w:autoSpaceDN w:val="0"/>
              <w:adjustRightInd w:val="0"/>
              <w:snapToGrid w:val="0"/>
              <w:jc w:val="center"/>
              <w:rPr>
                <w:rFonts w:eastAsia="宋体"/>
                <w:sz w:val="18"/>
                <w:szCs w:val="18"/>
                <w:lang w:eastAsia="zh-CN"/>
              </w:rPr>
            </w:pPr>
          </w:p>
        </w:tc>
      </w:tr>
      <w:tr w14:paraId="5DD6E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0E97F4C9">
            <w:pPr>
              <w:overflowPunct w:val="0"/>
              <w:autoSpaceDE w:val="0"/>
              <w:autoSpaceDN w:val="0"/>
              <w:adjustRightInd w:val="0"/>
              <w:snapToGrid w:val="0"/>
              <w:jc w:val="center"/>
              <w:rPr>
                <w:rFonts w:eastAsia="宋体"/>
                <w:sz w:val="18"/>
                <w:szCs w:val="18"/>
              </w:rPr>
            </w:pPr>
            <w:r>
              <w:rPr>
                <w:sz w:val="18"/>
                <w:szCs w:val="18"/>
              </w:rPr>
              <w:t>Fundoscopy</w:t>
            </w:r>
          </w:p>
        </w:tc>
        <w:tc>
          <w:tcPr>
            <w:tcW w:w="582" w:type="dxa"/>
            <w:shd w:val="clear" w:color="auto" w:fill="auto"/>
            <w:tcMar>
              <w:top w:w="28" w:type="dxa"/>
              <w:left w:w="57" w:type="dxa"/>
              <w:bottom w:w="28" w:type="dxa"/>
              <w:right w:w="57" w:type="dxa"/>
            </w:tcMar>
            <w:vAlign w:val="center"/>
          </w:tcPr>
          <w:p w14:paraId="76968780">
            <w:pPr>
              <w:overflowPunct w:val="0"/>
              <w:autoSpaceDE w:val="0"/>
              <w:autoSpaceDN w:val="0"/>
              <w:adjustRightInd w:val="0"/>
              <w:snapToGrid w:val="0"/>
              <w:jc w:val="center"/>
              <w:rPr>
                <w:rFonts w:eastAsia="宋体"/>
                <w:sz w:val="18"/>
                <w:szCs w:val="18"/>
              </w:rPr>
            </w:pPr>
            <w:r>
              <w:rPr>
                <w:sz w:val="18"/>
                <w:szCs w:val="18"/>
              </w:rPr>
              <w:t>X</w:t>
            </w:r>
            <w:r>
              <w:rPr>
                <w:sz w:val="18"/>
                <w:szCs w:val="18"/>
                <w:vertAlign w:val="superscript"/>
              </w:rPr>
              <w:t>6</w:t>
            </w:r>
          </w:p>
        </w:tc>
        <w:tc>
          <w:tcPr>
            <w:tcW w:w="425" w:type="dxa"/>
            <w:shd w:val="clear" w:color="auto" w:fill="auto"/>
            <w:tcMar>
              <w:top w:w="28" w:type="dxa"/>
              <w:left w:w="57" w:type="dxa"/>
              <w:bottom w:w="28" w:type="dxa"/>
              <w:right w:w="57" w:type="dxa"/>
            </w:tcMar>
            <w:vAlign w:val="center"/>
          </w:tcPr>
          <w:p w14:paraId="07D93A75">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33A43ED8">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3F0BC1FB">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411D8809">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24F8908C">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6ECE0513">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70A5AF46">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1F41F68F">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409C959B">
            <w:pPr>
              <w:overflowPunct w:val="0"/>
              <w:autoSpaceDE w:val="0"/>
              <w:autoSpaceDN w:val="0"/>
              <w:adjustRightInd w:val="0"/>
              <w:snapToGrid w:val="0"/>
              <w:jc w:val="center"/>
              <w:rPr>
                <w:rFonts w:eastAsia="宋体"/>
                <w:sz w:val="18"/>
                <w:szCs w:val="18"/>
                <w:lang w:eastAsia="zh-CN"/>
              </w:rPr>
            </w:pPr>
          </w:p>
        </w:tc>
        <w:tc>
          <w:tcPr>
            <w:tcW w:w="507" w:type="dxa"/>
            <w:shd w:val="clear" w:color="auto" w:fill="F2F2F2" w:themeFill="background2" w:themeFillTint="33"/>
            <w:tcMar>
              <w:top w:w="28" w:type="dxa"/>
              <w:left w:w="57" w:type="dxa"/>
              <w:bottom w:w="28" w:type="dxa"/>
              <w:right w:w="57" w:type="dxa"/>
            </w:tcMar>
            <w:vAlign w:val="center"/>
          </w:tcPr>
          <w:p w14:paraId="522423FD">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4F858217">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4FDC9CBF">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5D7636E8">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1B255539">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tcPr>
          <w:p w14:paraId="20DCE7E5">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243379D">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67B93595">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47499422">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6CC4C89F">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45167A8">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2028773">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46132470">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6769B879">
            <w:pPr>
              <w:overflowPunct w:val="0"/>
              <w:autoSpaceDE w:val="0"/>
              <w:autoSpaceDN w:val="0"/>
              <w:adjustRightInd w:val="0"/>
              <w:snapToGrid w:val="0"/>
              <w:jc w:val="center"/>
              <w:rPr>
                <w:rFonts w:eastAsia="宋体"/>
                <w:sz w:val="18"/>
                <w:szCs w:val="18"/>
              </w:rPr>
            </w:pPr>
            <w:r>
              <w:rPr>
                <w:sz w:val="18"/>
                <w:szCs w:val="18"/>
              </w:rPr>
              <w:t>X</w:t>
            </w:r>
          </w:p>
        </w:tc>
      </w:tr>
      <w:tr w14:paraId="32087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45AAEEC5">
            <w:pPr>
              <w:overflowPunct w:val="0"/>
              <w:autoSpaceDE w:val="0"/>
              <w:autoSpaceDN w:val="0"/>
              <w:adjustRightInd w:val="0"/>
              <w:snapToGrid w:val="0"/>
              <w:jc w:val="center"/>
              <w:rPr>
                <w:rFonts w:eastAsia="宋体"/>
                <w:sz w:val="18"/>
                <w:szCs w:val="18"/>
              </w:rPr>
            </w:pPr>
            <w:r>
              <w:rPr>
                <w:sz w:val="18"/>
                <w:szCs w:val="18"/>
              </w:rPr>
              <w:t>PHQ9 questionnaire</w:t>
            </w:r>
          </w:p>
        </w:tc>
        <w:tc>
          <w:tcPr>
            <w:tcW w:w="582" w:type="dxa"/>
            <w:shd w:val="clear" w:color="auto" w:fill="auto"/>
            <w:tcMar>
              <w:top w:w="28" w:type="dxa"/>
              <w:left w:w="57" w:type="dxa"/>
              <w:bottom w:w="28" w:type="dxa"/>
              <w:right w:w="57" w:type="dxa"/>
            </w:tcMar>
            <w:vAlign w:val="center"/>
          </w:tcPr>
          <w:p w14:paraId="4996DA33">
            <w:pPr>
              <w:overflowPunct w:val="0"/>
              <w:autoSpaceDE w:val="0"/>
              <w:autoSpaceDN w:val="0"/>
              <w:adjustRightInd w:val="0"/>
              <w:snapToGrid w:val="0"/>
              <w:jc w:val="center"/>
              <w:rPr>
                <w:rFonts w:eastAsia="宋体"/>
                <w:sz w:val="18"/>
                <w:szCs w:val="18"/>
              </w:rPr>
            </w:pPr>
            <w:r>
              <w:rPr>
                <w:sz w:val="18"/>
                <w:szCs w:val="18"/>
              </w:rPr>
              <w:t>X</w:t>
            </w:r>
          </w:p>
        </w:tc>
        <w:tc>
          <w:tcPr>
            <w:tcW w:w="425" w:type="dxa"/>
            <w:shd w:val="clear" w:color="auto" w:fill="auto"/>
            <w:tcMar>
              <w:top w:w="28" w:type="dxa"/>
              <w:left w:w="57" w:type="dxa"/>
              <w:bottom w:w="28" w:type="dxa"/>
              <w:right w:w="57" w:type="dxa"/>
            </w:tcMar>
            <w:vAlign w:val="center"/>
          </w:tcPr>
          <w:p w14:paraId="3B3DC02D">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4B025C88">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34A4B39C">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2D8B3839">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50F8A04C">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6D2A6949">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0F160205">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5A582DE4">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03E566E3">
            <w:pPr>
              <w:overflowPunct w:val="0"/>
              <w:autoSpaceDE w:val="0"/>
              <w:autoSpaceDN w:val="0"/>
              <w:adjustRightInd w:val="0"/>
              <w:snapToGrid w:val="0"/>
              <w:jc w:val="center"/>
              <w:rPr>
                <w:rFonts w:eastAsia="宋体"/>
                <w:sz w:val="18"/>
                <w:szCs w:val="18"/>
                <w:lang w:eastAsia="zh-CN"/>
              </w:rPr>
            </w:pPr>
          </w:p>
        </w:tc>
        <w:tc>
          <w:tcPr>
            <w:tcW w:w="507" w:type="dxa"/>
            <w:shd w:val="clear" w:color="auto" w:fill="F2F2F2" w:themeFill="background2" w:themeFillTint="33"/>
            <w:tcMar>
              <w:top w:w="28" w:type="dxa"/>
              <w:left w:w="57" w:type="dxa"/>
              <w:bottom w:w="28" w:type="dxa"/>
              <w:right w:w="57" w:type="dxa"/>
            </w:tcMar>
            <w:vAlign w:val="center"/>
          </w:tcPr>
          <w:p w14:paraId="12A8CAE4">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707C37AF">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687130E1">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596D0EC3">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47DC45AD">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tcPr>
          <w:p w14:paraId="3564670D">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6869DAD5">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3FFD072E">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69093578">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1551A8E">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8E88AE2">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6C24DD03">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D3F9EEB">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6CC08DB0">
            <w:pPr>
              <w:overflowPunct w:val="0"/>
              <w:autoSpaceDE w:val="0"/>
              <w:autoSpaceDN w:val="0"/>
              <w:adjustRightInd w:val="0"/>
              <w:snapToGrid w:val="0"/>
              <w:jc w:val="center"/>
              <w:rPr>
                <w:rFonts w:eastAsia="宋体"/>
                <w:sz w:val="18"/>
                <w:szCs w:val="18"/>
              </w:rPr>
            </w:pPr>
            <w:r>
              <w:rPr>
                <w:sz w:val="18"/>
                <w:szCs w:val="18"/>
              </w:rPr>
              <w:t>X</w:t>
            </w:r>
          </w:p>
        </w:tc>
      </w:tr>
      <w:tr w14:paraId="2E96E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08507A4B">
            <w:pPr>
              <w:overflowPunct w:val="0"/>
              <w:autoSpaceDE w:val="0"/>
              <w:autoSpaceDN w:val="0"/>
              <w:adjustRightInd w:val="0"/>
              <w:snapToGrid w:val="0"/>
              <w:jc w:val="center"/>
              <w:rPr>
                <w:rFonts w:eastAsia="宋体"/>
                <w:sz w:val="18"/>
                <w:szCs w:val="18"/>
                <w:vertAlign w:val="superscript"/>
              </w:rPr>
            </w:pPr>
            <w:r>
              <w:rPr>
                <w:sz w:val="18"/>
                <w:szCs w:val="18"/>
              </w:rPr>
              <w:t>Infectious disease examination</w:t>
            </w:r>
          </w:p>
        </w:tc>
        <w:tc>
          <w:tcPr>
            <w:tcW w:w="582" w:type="dxa"/>
            <w:shd w:val="clear" w:color="auto" w:fill="auto"/>
            <w:tcMar>
              <w:top w:w="28" w:type="dxa"/>
              <w:left w:w="57" w:type="dxa"/>
              <w:bottom w:w="28" w:type="dxa"/>
              <w:right w:w="57" w:type="dxa"/>
            </w:tcMar>
            <w:vAlign w:val="center"/>
          </w:tcPr>
          <w:p w14:paraId="12704E1D">
            <w:pPr>
              <w:overflowPunct w:val="0"/>
              <w:autoSpaceDE w:val="0"/>
              <w:autoSpaceDN w:val="0"/>
              <w:adjustRightInd w:val="0"/>
              <w:snapToGrid w:val="0"/>
              <w:jc w:val="center"/>
              <w:rPr>
                <w:rFonts w:eastAsia="宋体"/>
                <w:sz w:val="18"/>
                <w:szCs w:val="18"/>
              </w:rPr>
            </w:pPr>
            <w:r>
              <w:rPr>
                <w:sz w:val="18"/>
                <w:szCs w:val="18"/>
              </w:rPr>
              <w:t>X</w:t>
            </w:r>
            <w:r>
              <w:rPr>
                <w:sz w:val="18"/>
                <w:szCs w:val="18"/>
                <w:vertAlign w:val="superscript"/>
              </w:rPr>
              <w:t>6</w:t>
            </w:r>
          </w:p>
        </w:tc>
        <w:tc>
          <w:tcPr>
            <w:tcW w:w="425" w:type="dxa"/>
            <w:shd w:val="clear" w:color="auto" w:fill="auto"/>
            <w:tcMar>
              <w:top w:w="28" w:type="dxa"/>
              <w:left w:w="57" w:type="dxa"/>
              <w:bottom w:w="28" w:type="dxa"/>
              <w:right w:w="57" w:type="dxa"/>
            </w:tcMar>
            <w:vAlign w:val="center"/>
          </w:tcPr>
          <w:p w14:paraId="79717138">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10116483">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0649B01D">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53F5F6B1">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1E05B9F2">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5CBB43FE">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172C4144">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17D086F3">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35D5E96D">
            <w:pPr>
              <w:overflowPunct w:val="0"/>
              <w:autoSpaceDE w:val="0"/>
              <w:autoSpaceDN w:val="0"/>
              <w:adjustRightInd w:val="0"/>
              <w:snapToGrid w:val="0"/>
              <w:jc w:val="center"/>
              <w:rPr>
                <w:rFonts w:eastAsia="宋体"/>
                <w:sz w:val="18"/>
                <w:szCs w:val="18"/>
                <w:lang w:eastAsia="zh-CN"/>
              </w:rPr>
            </w:pPr>
          </w:p>
        </w:tc>
        <w:tc>
          <w:tcPr>
            <w:tcW w:w="507" w:type="dxa"/>
            <w:shd w:val="clear" w:color="auto" w:fill="F2F2F2" w:themeFill="background2" w:themeFillTint="33"/>
            <w:tcMar>
              <w:top w:w="28" w:type="dxa"/>
              <w:left w:w="57" w:type="dxa"/>
              <w:bottom w:w="28" w:type="dxa"/>
              <w:right w:w="57" w:type="dxa"/>
            </w:tcMar>
            <w:vAlign w:val="center"/>
          </w:tcPr>
          <w:p w14:paraId="6A68C992">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5109D11C">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00A80EAB">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4A477463">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3248D1A2">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tcPr>
          <w:p w14:paraId="02889095">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E9F06B9">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5D1BD00">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7A4C8203">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6424A533">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6CE275F5">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46D42F71">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52CCA35">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32562A06">
            <w:pPr>
              <w:overflowPunct w:val="0"/>
              <w:autoSpaceDE w:val="0"/>
              <w:autoSpaceDN w:val="0"/>
              <w:adjustRightInd w:val="0"/>
              <w:snapToGrid w:val="0"/>
              <w:jc w:val="center"/>
              <w:rPr>
                <w:rFonts w:eastAsia="宋体"/>
                <w:sz w:val="18"/>
                <w:szCs w:val="18"/>
                <w:lang w:eastAsia="zh-CN"/>
              </w:rPr>
            </w:pPr>
          </w:p>
        </w:tc>
      </w:tr>
      <w:tr w14:paraId="3A787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6E69B733">
            <w:pPr>
              <w:overflowPunct w:val="0"/>
              <w:autoSpaceDE w:val="0"/>
              <w:autoSpaceDN w:val="0"/>
              <w:adjustRightInd w:val="0"/>
              <w:snapToGrid w:val="0"/>
              <w:jc w:val="center"/>
              <w:rPr>
                <w:rFonts w:eastAsia="宋体"/>
                <w:sz w:val="18"/>
                <w:szCs w:val="18"/>
              </w:rPr>
            </w:pPr>
            <w:r>
              <w:rPr>
                <w:bCs/>
                <w:sz w:val="18"/>
                <w:szCs w:val="18"/>
              </w:rPr>
              <w:t>Serum calcitonin</w:t>
            </w:r>
          </w:p>
        </w:tc>
        <w:tc>
          <w:tcPr>
            <w:tcW w:w="582" w:type="dxa"/>
            <w:shd w:val="clear" w:color="auto" w:fill="auto"/>
            <w:tcMar>
              <w:top w:w="28" w:type="dxa"/>
              <w:left w:w="57" w:type="dxa"/>
              <w:bottom w:w="28" w:type="dxa"/>
              <w:right w:w="57" w:type="dxa"/>
            </w:tcMar>
            <w:vAlign w:val="center"/>
          </w:tcPr>
          <w:p w14:paraId="68A604C1">
            <w:pPr>
              <w:overflowPunct w:val="0"/>
              <w:autoSpaceDE w:val="0"/>
              <w:autoSpaceDN w:val="0"/>
              <w:adjustRightInd w:val="0"/>
              <w:snapToGrid w:val="0"/>
              <w:jc w:val="center"/>
              <w:rPr>
                <w:rFonts w:eastAsia="宋体"/>
                <w:sz w:val="18"/>
                <w:szCs w:val="18"/>
              </w:rPr>
            </w:pPr>
            <w:r>
              <w:rPr>
                <w:sz w:val="18"/>
                <w:szCs w:val="18"/>
              </w:rPr>
              <w:t>X</w:t>
            </w:r>
          </w:p>
        </w:tc>
        <w:tc>
          <w:tcPr>
            <w:tcW w:w="425" w:type="dxa"/>
            <w:shd w:val="clear" w:color="auto" w:fill="auto"/>
            <w:tcMar>
              <w:top w:w="28" w:type="dxa"/>
              <w:left w:w="57" w:type="dxa"/>
              <w:bottom w:w="28" w:type="dxa"/>
              <w:right w:w="57" w:type="dxa"/>
            </w:tcMar>
            <w:vAlign w:val="center"/>
          </w:tcPr>
          <w:p w14:paraId="4411493D">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66337CEE">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604C9325">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74B5E6BA">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01616A2E">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11331CE3">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70E7F074">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0D007C21">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66A6C219">
            <w:pPr>
              <w:overflowPunct w:val="0"/>
              <w:autoSpaceDE w:val="0"/>
              <w:autoSpaceDN w:val="0"/>
              <w:adjustRightInd w:val="0"/>
              <w:snapToGrid w:val="0"/>
              <w:jc w:val="center"/>
              <w:rPr>
                <w:rFonts w:eastAsia="宋体"/>
                <w:sz w:val="18"/>
                <w:szCs w:val="18"/>
                <w:lang w:eastAsia="zh-CN"/>
              </w:rPr>
            </w:pPr>
          </w:p>
        </w:tc>
        <w:tc>
          <w:tcPr>
            <w:tcW w:w="507" w:type="dxa"/>
            <w:shd w:val="clear" w:color="auto" w:fill="F2F2F2" w:themeFill="background2" w:themeFillTint="33"/>
            <w:tcMar>
              <w:top w:w="28" w:type="dxa"/>
              <w:left w:w="57" w:type="dxa"/>
              <w:bottom w:w="28" w:type="dxa"/>
              <w:right w:w="57" w:type="dxa"/>
            </w:tcMar>
            <w:vAlign w:val="center"/>
          </w:tcPr>
          <w:p w14:paraId="26711732">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5B939209">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475637F0">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51ACD5C4">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6E91A966">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tcPr>
          <w:p w14:paraId="66AD86CB">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651CAF27">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18786A2D">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E8DEF40">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6205F38">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2F18937">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729BA5B">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6DEF174">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31E1B20E">
            <w:pPr>
              <w:overflowPunct w:val="0"/>
              <w:autoSpaceDE w:val="0"/>
              <w:autoSpaceDN w:val="0"/>
              <w:adjustRightInd w:val="0"/>
              <w:snapToGrid w:val="0"/>
              <w:jc w:val="center"/>
              <w:rPr>
                <w:rFonts w:eastAsia="宋体"/>
                <w:sz w:val="18"/>
                <w:szCs w:val="18"/>
              </w:rPr>
            </w:pPr>
            <w:r>
              <w:rPr>
                <w:sz w:val="18"/>
                <w:szCs w:val="18"/>
              </w:rPr>
              <w:t>X</w:t>
            </w:r>
          </w:p>
        </w:tc>
      </w:tr>
      <w:tr w14:paraId="61A28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3B971668">
            <w:pPr>
              <w:overflowPunct w:val="0"/>
              <w:autoSpaceDE w:val="0"/>
              <w:autoSpaceDN w:val="0"/>
              <w:adjustRightInd w:val="0"/>
              <w:snapToGrid w:val="0"/>
              <w:jc w:val="center"/>
              <w:rPr>
                <w:rFonts w:eastAsia="宋体"/>
                <w:sz w:val="18"/>
                <w:szCs w:val="18"/>
              </w:rPr>
            </w:pPr>
            <w:r>
              <w:rPr>
                <w:sz w:val="18"/>
                <w:szCs w:val="18"/>
              </w:rPr>
              <w:t>T-lymphocyte subsets</w:t>
            </w:r>
          </w:p>
        </w:tc>
        <w:tc>
          <w:tcPr>
            <w:tcW w:w="582" w:type="dxa"/>
            <w:shd w:val="clear" w:color="auto" w:fill="auto"/>
            <w:tcMar>
              <w:top w:w="28" w:type="dxa"/>
              <w:left w:w="57" w:type="dxa"/>
              <w:bottom w:w="28" w:type="dxa"/>
              <w:right w:w="57" w:type="dxa"/>
            </w:tcMar>
            <w:vAlign w:val="center"/>
          </w:tcPr>
          <w:p w14:paraId="2E436275">
            <w:pPr>
              <w:overflowPunct w:val="0"/>
              <w:autoSpaceDE w:val="0"/>
              <w:autoSpaceDN w:val="0"/>
              <w:adjustRightInd w:val="0"/>
              <w:snapToGrid w:val="0"/>
              <w:jc w:val="center"/>
              <w:rPr>
                <w:rFonts w:eastAsia="宋体"/>
                <w:sz w:val="18"/>
                <w:szCs w:val="18"/>
              </w:rPr>
            </w:pPr>
            <w:r>
              <w:rPr>
                <w:sz w:val="18"/>
                <w:szCs w:val="18"/>
              </w:rPr>
              <w:t>X</w:t>
            </w:r>
          </w:p>
        </w:tc>
        <w:tc>
          <w:tcPr>
            <w:tcW w:w="425" w:type="dxa"/>
            <w:shd w:val="clear" w:color="auto" w:fill="auto"/>
            <w:tcMar>
              <w:top w:w="28" w:type="dxa"/>
              <w:left w:w="57" w:type="dxa"/>
              <w:bottom w:w="28" w:type="dxa"/>
              <w:right w:w="57" w:type="dxa"/>
            </w:tcMar>
            <w:vAlign w:val="center"/>
          </w:tcPr>
          <w:p w14:paraId="6A24F1B3">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26596002">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4DC4E97E">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163E6C87">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73D64424">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7E0115C1">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0AAC96E9">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1A261D9F">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434B2059">
            <w:pPr>
              <w:overflowPunct w:val="0"/>
              <w:autoSpaceDE w:val="0"/>
              <w:autoSpaceDN w:val="0"/>
              <w:adjustRightInd w:val="0"/>
              <w:snapToGrid w:val="0"/>
              <w:jc w:val="center"/>
              <w:rPr>
                <w:rFonts w:eastAsia="宋体"/>
                <w:sz w:val="18"/>
                <w:szCs w:val="18"/>
                <w:lang w:eastAsia="zh-CN"/>
              </w:rPr>
            </w:pPr>
          </w:p>
        </w:tc>
        <w:tc>
          <w:tcPr>
            <w:tcW w:w="507" w:type="dxa"/>
            <w:shd w:val="clear" w:color="auto" w:fill="F2F2F2" w:themeFill="background2" w:themeFillTint="33"/>
            <w:tcMar>
              <w:top w:w="28" w:type="dxa"/>
              <w:left w:w="57" w:type="dxa"/>
              <w:bottom w:w="28" w:type="dxa"/>
              <w:right w:w="57" w:type="dxa"/>
            </w:tcMar>
            <w:vAlign w:val="center"/>
          </w:tcPr>
          <w:p w14:paraId="3424CA07">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02674444">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4EB29063">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3359FBD6">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1E1F115E">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tcPr>
          <w:p w14:paraId="2019700C">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8EA07B6">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35368C50">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8B19F93">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1437AF5">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34D0D774">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4AE65DCC">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2A94117">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3232CB00">
            <w:pPr>
              <w:overflowPunct w:val="0"/>
              <w:autoSpaceDE w:val="0"/>
              <w:autoSpaceDN w:val="0"/>
              <w:adjustRightInd w:val="0"/>
              <w:snapToGrid w:val="0"/>
              <w:jc w:val="center"/>
              <w:rPr>
                <w:rFonts w:eastAsia="宋体"/>
                <w:sz w:val="18"/>
                <w:szCs w:val="18"/>
              </w:rPr>
            </w:pPr>
            <w:r>
              <w:rPr>
                <w:sz w:val="18"/>
                <w:szCs w:val="18"/>
              </w:rPr>
              <w:t>X</w:t>
            </w:r>
          </w:p>
        </w:tc>
      </w:tr>
      <w:tr w14:paraId="20560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336CF433">
            <w:pPr>
              <w:overflowPunct w:val="0"/>
              <w:autoSpaceDE w:val="0"/>
              <w:autoSpaceDN w:val="0"/>
              <w:adjustRightInd w:val="0"/>
              <w:snapToGrid w:val="0"/>
              <w:jc w:val="center"/>
              <w:rPr>
                <w:rFonts w:eastAsia="宋体"/>
                <w:sz w:val="18"/>
                <w:szCs w:val="18"/>
              </w:rPr>
            </w:pPr>
            <w:r>
              <w:rPr>
                <w:sz w:val="18"/>
                <w:szCs w:val="18"/>
              </w:rPr>
              <w:t>Five tests of thyroid function</w:t>
            </w:r>
          </w:p>
        </w:tc>
        <w:tc>
          <w:tcPr>
            <w:tcW w:w="582" w:type="dxa"/>
            <w:shd w:val="clear" w:color="auto" w:fill="auto"/>
            <w:tcMar>
              <w:top w:w="28" w:type="dxa"/>
              <w:left w:w="57" w:type="dxa"/>
              <w:bottom w:w="28" w:type="dxa"/>
              <w:right w:w="57" w:type="dxa"/>
            </w:tcMar>
            <w:vAlign w:val="center"/>
          </w:tcPr>
          <w:p w14:paraId="75E11028">
            <w:pPr>
              <w:overflowPunct w:val="0"/>
              <w:autoSpaceDE w:val="0"/>
              <w:autoSpaceDN w:val="0"/>
              <w:adjustRightInd w:val="0"/>
              <w:snapToGrid w:val="0"/>
              <w:jc w:val="center"/>
              <w:rPr>
                <w:rFonts w:eastAsia="宋体"/>
                <w:sz w:val="18"/>
                <w:szCs w:val="18"/>
              </w:rPr>
            </w:pPr>
            <w:r>
              <w:rPr>
                <w:sz w:val="18"/>
                <w:szCs w:val="18"/>
              </w:rPr>
              <w:t>X</w:t>
            </w:r>
          </w:p>
        </w:tc>
        <w:tc>
          <w:tcPr>
            <w:tcW w:w="425" w:type="dxa"/>
            <w:shd w:val="clear" w:color="auto" w:fill="auto"/>
            <w:tcMar>
              <w:top w:w="28" w:type="dxa"/>
              <w:left w:w="57" w:type="dxa"/>
              <w:bottom w:w="28" w:type="dxa"/>
              <w:right w:w="57" w:type="dxa"/>
            </w:tcMar>
            <w:vAlign w:val="center"/>
          </w:tcPr>
          <w:p w14:paraId="5635C13F">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67436B52">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20791609">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604F2AAA">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58249BF7">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0F803544">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44881FB6">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353550D3">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596A81F9">
            <w:pPr>
              <w:overflowPunct w:val="0"/>
              <w:autoSpaceDE w:val="0"/>
              <w:autoSpaceDN w:val="0"/>
              <w:adjustRightInd w:val="0"/>
              <w:snapToGrid w:val="0"/>
              <w:jc w:val="center"/>
              <w:rPr>
                <w:rFonts w:eastAsia="宋体"/>
                <w:sz w:val="18"/>
                <w:szCs w:val="18"/>
                <w:lang w:eastAsia="zh-CN"/>
              </w:rPr>
            </w:pPr>
          </w:p>
        </w:tc>
        <w:tc>
          <w:tcPr>
            <w:tcW w:w="507" w:type="dxa"/>
            <w:shd w:val="clear" w:color="auto" w:fill="F2F2F2" w:themeFill="background2" w:themeFillTint="33"/>
            <w:tcMar>
              <w:top w:w="28" w:type="dxa"/>
              <w:left w:w="57" w:type="dxa"/>
              <w:bottom w:w="28" w:type="dxa"/>
              <w:right w:w="57" w:type="dxa"/>
            </w:tcMar>
            <w:vAlign w:val="center"/>
          </w:tcPr>
          <w:p w14:paraId="660906B2">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0352C152">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18CF146C">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5B4F3E77">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A1C33CD">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tcPr>
          <w:p w14:paraId="234FC6C5">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76FBE768">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38E979DE">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6FF50181">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547931F">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45E3DD69">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1B1D41E">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E236DF9">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203EB297">
            <w:pPr>
              <w:overflowPunct w:val="0"/>
              <w:autoSpaceDE w:val="0"/>
              <w:autoSpaceDN w:val="0"/>
              <w:adjustRightInd w:val="0"/>
              <w:snapToGrid w:val="0"/>
              <w:jc w:val="center"/>
              <w:rPr>
                <w:rFonts w:eastAsia="宋体"/>
                <w:sz w:val="18"/>
                <w:szCs w:val="18"/>
              </w:rPr>
            </w:pPr>
            <w:r>
              <w:rPr>
                <w:sz w:val="18"/>
                <w:szCs w:val="18"/>
              </w:rPr>
              <w:t>X</w:t>
            </w:r>
          </w:p>
        </w:tc>
      </w:tr>
      <w:tr w14:paraId="35A5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1FA8C1EE">
            <w:pPr>
              <w:overflowPunct w:val="0"/>
              <w:autoSpaceDE w:val="0"/>
              <w:autoSpaceDN w:val="0"/>
              <w:adjustRightInd w:val="0"/>
              <w:snapToGrid w:val="0"/>
              <w:jc w:val="center"/>
              <w:rPr>
                <w:rFonts w:eastAsia="宋体"/>
                <w:sz w:val="18"/>
                <w:szCs w:val="18"/>
              </w:rPr>
            </w:pPr>
            <w:r>
              <w:rPr>
                <w:sz w:val="18"/>
                <w:szCs w:val="18"/>
              </w:rPr>
              <w:t>Urine drug screening</w:t>
            </w:r>
          </w:p>
        </w:tc>
        <w:tc>
          <w:tcPr>
            <w:tcW w:w="582" w:type="dxa"/>
            <w:shd w:val="clear" w:color="auto" w:fill="auto"/>
            <w:tcMar>
              <w:top w:w="28" w:type="dxa"/>
              <w:left w:w="57" w:type="dxa"/>
              <w:bottom w:w="28" w:type="dxa"/>
              <w:right w:w="57" w:type="dxa"/>
            </w:tcMar>
            <w:vAlign w:val="center"/>
          </w:tcPr>
          <w:p w14:paraId="28248EDF">
            <w:pPr>
              <w:overflowPunct w:val="0"/>
              <w:autoSpaceDE w:val="0"/>
              <w:autoSpaceDN w:val="0"/>
              <w:adjustRightInd w:val="0"/>
              <w:snapToGrid w:val="0"/>
              <w:jc w:val="center"/>
              <w:rPr>
                <w:rFonts w:eastAsia="宋体"/>
                <w:sz w:val="18"/>
                <w:szCs w:val="18"/>
                <w:lang w:eastAsia="zh-CN"/>
              </w:rPr>
            </w:pPr>
          </w:p>
        </w:tc>
        <w:tc>
          <w:tcPr>
            <w:tcW w:w="425" w:type="dxa"/>
            <w:shd w:val="clear" w:color="auto" w:fill="auto"/>
            <w:tcMar>
              <w:top w:w="28" w:type="dxa"/>
              <w:left w:w="57" w:type="dxa"/>
              <w:bottom w:w="28" w:type="dxa"/>
              <w:right w:w="57" w:type="dxa"/>
            </w:tcMar>
            <w:vAlign w:val="center"/>
          </w:tcPr>
          <w:p w14:paraId="1D89B876">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47764A3A">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200A783A">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4CB304CA">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0ACB8A4F">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3D85B2C5">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4D2800A3">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12AD5B96">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1F9F5253">
            <w:pPr>
              <w:overflowPunct w:val="0"/>
              <w:autoSpaceDE w:val="0"/>
              <w:autoSpaceDN w:val="0"/>
              <w:adjustRightInd w:val="0"/>
              <w:snapToGrid w:val="0"/>
              <w:jc w:val="center"/>
              <w:rPr>
                <w:rFonts w:eastAsia="宋体"/>
                <w:sz w:val="18"/>
                <w:szCs w:val="18"/>
                <w:lang w:eastAsia="zh-CN"/>
              </w:rPr>
            </w:pPr>
          </w:p>
        </w:tc>
        <w:tc>
          <w:tcPr>
            <w:tcW w:w="507" w:type="dxa"/>
            <w:shd w:val="clear" w:color="auto" w:fill="F2F2F2" w:themeFill="background2" w:themeFillTint="33"/>
            <w:tcMar>
              <w:top w:w="28" w:type="dxa"/>
              <w:left w:w="57" w:type="dxa"/>
              <w:bottom w:w="28" w:type="dxa"/>
              <w:right w:w="57" w:type="dxa"/>
            </w:tcMar>
            <w:vAlign w:val="center"/>
          </w:tcPr>
          <w:p w14:paraId="3E2602E8">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534A666E">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6848763B">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3EECA155">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16F602F0">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tcPr>
          <w:p w14:paraId="169D4351">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76DB687B">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A4438D5">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64530DA">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76FDD22">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9833533">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99CA2D3">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91F1C18">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19859B57">
            <w:pPr>
              <w:overflowPunct w:val="0"/>
              <w:autoSpaceDE w:val="0"/>
              <w:autoSpaceDN w:val="0"/>
              <w:adjustRightInd w:val="0"/>
              <w:snapToGrid w:val="0"/>
              <w:jc w:val="center"/>
              <w:rPr>
                <w:rFonts w:eastAsia="宋体"/>
                <w:sz w:val="18"/>
                <w:szCs w:val="18"/>
                <w:lang w:eastAsia="zh-CN"/>
              </w:rPr>
            </w:pPr>
          </w:p>
        </w:tc>
      </w:tr>
      <w:tr w14:paraId="61CC3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17AAD4DB">
            <w:pPr>
              <w:overflowPunct w:val="0"/>
              <w:autoSpaceDE w:val="0"/>
              <w:autoSpaceDN w:val="0"/>
              <w:adjustRightInd w:val="0"/>
              <w:snapToGrid w:val="0"/>
              <w:jc w:val="center"/>
              <w:rPr>
                <w:rFonts w:eastAsia="宋体"/>
                <w:sz w:val="18"/>
                <w:szCs w:val="18"/>
              </w:rPr>
            </w:pPr>
            <w:r>
              <w:rPr>
                <w:sz w:val="18"/>
                <w:szCs w:val="18"/>
              </w:rPr>
              <w:t>Breath alcohol test</w:t>
            </w:r>
          </w:p>
        </w:tc>
        <w:tc>
          <w:tcPr>
            <w:tcW w:w="582" w:type="dxa"/>
            <w:shd w:val="clear" w:color="auto" w:fill="auto"/>
            <w:tcMar>
              <w:top w:w="28" w:type="dxa"/>
              <w:left w:w="57" w:type="dxa"/>
              <w:bottom w:w="28" w:type="dxa"/>
              <w:right w:w="57" w:type="dxa"/>
            </w:tcMar>
            <w:vAlign w:val="center"/>
          </w:tcPr>
          <w:p w14:paraId="0FB493AD">
            <w:pPr>
              <w:overflowPunct w:val="0"/>
              <w:autoSpaceDE w:val="0"/>
              <w:autoSpaceDN w:val="0"/>
              <w:adjustRightInd w:val="0"/>
              <w:snapToGrid w:val="0"/>
              <w:jc w:val="center"/>
              <w:rPr>
                <w:rFonts w:eastAsia="宋体"/>
                <w:sz w:val="18"/>
                <w:szCs w:val="18"/>
                <w:lang w:eastAsia="zh-CN"/>
              </w:rPr>
            </w:pPr>
          </w:p>
        </w:tc>
        <w:tc>
          <w:tcPr>
            <w:tcW w:w="425" w:type="dxa"/>
            <w:shd w:val="clear" w:color="auto" w:fill="auto"/>
            <w:tcMar>
              <w:top w:w="28" w:type="dxa"/>
              <w:left w:w="57" w:type="dxa"/>
              <w:bottom w:w="28" w:type="dxa"/>
              <w:right w:w="57" w:type="dxa"/>
            </w:tcMar>
            <w:vAlign w:val="center"/>
          </w:tcPr>
          <w:p w14:paraId="1D921D94">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0985866B">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62826D91">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40B24471">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11F88B0E">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06FB5010">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723B1D39">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60DD0260">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19B101A8">
            <w:pPr>
              <w:overflowPunct w:val="0"/>
              <w:autoSpaceDE w:val="0"/>
              <w:autoSpaceDN w:val="0"/>
              <w:adjustRightInd w:val="0"/>
              <w:snapToGrid w:val="0"/>
              <w:jc w:val="center"/>
              <w:rPr>
                <w:rFonts w:eastAsia="宋体"/>
                <w:sz w:val="18"/>
                <w:szCs w:val="18"/>
                <w:lang w:eastAsia="zh-CN"/>
              </w:rPr>
            </w:pPr>
          </w:p>
        </w:tc>
        <w:tc>
          <w:tcPr>
            <w:tcW w:w="507" w:type="dxa"/>
            <w:shd w:val="clear" w:color="auto" w:fill="F2F2F2" w:themeFill="background2" w:themeFillTint="33"/>
            <w:tcMar>
              <w:top w:w="28" w:type="dxa"/>
              <w:left w:w="57" w:type="dxa"/>
              <w:bottom w:w="28" w:type="dxa"/>
              <w:right w:w="57" w:type="dxa"/>
            </w:tcMar>
            <w:vAlign w:val="center"/>
          </w:tcPr>
          <w:p w14:paraId="36994946">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319CC198">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65BBC2C7">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6F2C2EF9">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D12E8C4">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tcPr>
          <w:p w14:paraId="7EEF05CC">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97866AB">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B078232">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3A1A63FF">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17B1172">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958F3CC">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348D811F">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339F5BF4">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03976361">
            <w:pPr>
              <w:overflowPunct w:val="0"/>
              <w:autoSpaceDE w:val="0"/>
              <w:autoSpaceDN w:val="0"/>
              <w:adjustRightInd w:val="0"/>
              <w:snapToGrid w:val="0"/>
              <w:jc w:val="center"/>
              <w:rPr>
                <w:rFonts w:eastAsia="宋体"/>
                <w:sz w:val="18"/>
                <w:szCs w:val="18"/>
                <w:lang w:eastAsia="zh-CN"/>
              </w:rPr>
            </w:pPr>
          </w:p>
        </w:tc>
      </w:tr>
      <w:tr w14:paraId="4A432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7313B7B3">
            <w:pPr>
              <w:overflowPunct w:val="0"/>
              <w:autoSpaceDE w:val="0"/>
              <w:autoSpaceDN w:val="0"/>
              <w:adjustRightInd w:val="0"/>
              <w:snapToGrid w:val="0"/>
              <w:jc w:val="center"/>
              <w:rPr>
                <w:rFonts w:eastAsia="宋体"/>
                <w:sz w:val="18"/>
                <w:szCs w:val="18"/>
              </w:rPr>
            </w:pPr>
            <w:r>
              <w:rPr>
                <w:sz w:val="18"/>
                <w:szCs w:val="18"/>
              </w:rPr>
              <w:t>Blood pregnancy test</w:t>
            </w:r>
            <w:r>
              <w:rPr>
                <w:sz w:val="18"/>
                <w:szCs w:val="18"/>
                <w:vertAlign w:val="superscript"/>
              </w:rPr>
              <w:t>7</w:t>
            </w:r>
          </w:p>
        </w:tc>
        <w:tc>
          <w:tcPr>
            <w:tcW w:w="582" w:type="dxa"/>
            <w:shd w:val="clear" w:color="auto" w:fill="auto"/>
            <w:tcMar>
              <w:top w:w="28" w:type="dxa"/>
              <w:left w:w="57" w:type="dxa"/>
              <w:bottom w:w="28" w:type="dxa"/>
              <w:right w:w="57" w:type="dxa"/>
            </w:tcMar>
            <w:vAlign w:val="center"/>
          </w:tcPr>
          <w:p w14:paraId="567B472F">
            <w:pPr>
              <w:overflowPunct w:val="0"/>
              <w:autoSpaceDE w:val="0"/>
              <w:autoSpaceDN w:val="0"/>
              <w:adjustRightInd w:val="0"/>
              <w:snapToGrid w:val="0"/>
              <w:jc w:val="center"/>
              <w:rPr>
                <w:rFonts w:eastAsia="宋体"/>
                <w:sz w:val="18"/>
                <w:szCs w:val="18"/>
              </w:rPr>
            </w:pPr>
            <w:r>
              <w:rPr>
                <w:sz w:val="18"/>
                <w:szCs w:val="18"/>
              </w:rPr>
              <w:t>X</w:t>
            </w:r>
          </w:p>
        </w:tc>
        <w:tc>
          <w:tcPr>
            <w:tcW w:w="425" w:type="dxa"/>
            <w:shd w:val="clear" w:color="auto" w:fill="auto"/>
            <w:tcMar>
              <w:top w:w="28" w:type="dxa"/>
              <w:left w:w="57" w:type="dxa"/>
              <w:bottom w:w="28" w:type="dxa"/>
              <w:right w:w="57" w:type="dxa"/>
            </w:tcMar>
            <w:vAlign w:val="center"/>
          </w:tcPr>
          <w:p w14:paraId="5266CB56">
            <w:pPr>
              <w:overflowPunct w:val="0"/>
              <w:autoSpaceDE w:val="0"/>
              <w:autoSpaceDN w:val="0"/>
              <w:adjustRightInd w:val="0"/>
              <w:snapToGrid w:val="0"/>
              <w:jc w:val="center"/>
              <w:rPr>
                <w:rFonts w:eastAsia="宋体"/>
                <w:sz w:val="18"/>
                <w:szCs w:val="18"/>
                <w:vertAlign w:val="superscript"/>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4C938659">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5295D195">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58962562">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1324FBCB">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0CDC5066">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7B050EA0">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tcPr>
          <w:p w14:paraId="0C0F0B76">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tcPr>
          <w:p w14:paraId="383760BF">
            <w:pPr>
              <w:overflowPunct w:val="0"/>
              <w:autoSpaceDE w:val="0"/>
              <w:autoSpaceDN w:val="0"/>
              <w:adjustRightInd w:val="0"/>
              <w:snapToGrid w:val="0"/>
              <w:jc w:val="center"/>
              <w:rPr>
                <w:rFonts w:eastAsia="宋体"/>
                <w:sz w:val="18"/>
                <w:szCs w:val="18"/>
              </w:rPr>
            </w:pPr>
            <w:r>
              <w:rPr>
                <w:sz w:val="18"/>
                <w:szCs w:val="18"/>
              </w:rPr>
              <w:t>X</w:t>
            </w:r>
          </w:p>
        </w:tc>
        <w:tc>
          <w:tcPr>
            <w:tcW w:w="507" w:type="dxa"/>
            <w:shd w:val="clear" w:color="auto" w:fill="F2F2F2" w:themeFill="background2" w:themeFillTint="33"/>
            <w:tcMar>
              <w:top w:w="28" w:type="dxa"/>
              <w:left w:w="57" w:type="dxa"/>
              <w:bottom w:w="28" w:type="dxa"/>
              <w:right w:w="57" w:type="dxa"/>
            </w:tcMar>
          </w:tcPr>
          <w:p w14:paraId="3F873FAD">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tcPr>
          <w:p w14:paraId="42A2A3D8">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tcPr>
          <w:p w14:paraId="747460B2">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2FAE7497">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52BB9C4C">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4D7BDFCE">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267E87A">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674E5421">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42FE5E97">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337FA737">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433EB316">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7691F1E">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76DBB0B7">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65174F1E">
            <w:pPr>
              <w:overflowPunct w:val="0"/>
              <w:autoSpaceDE w:val="0"/>
              <w:autoSpaceDN w:val="0"/>
              <w:adjustRightInd w:val="0"/>
              <w:snapToGrid w:val="0"/>
              <w:jc w:val="center"/>
              <w:rPr>
                <w:rFonts w:eastAsia="宋体"/>
                <w:sz w:val="18"/>
                <w:szCs w:val="18"/>
              </w:rPr>
            </w:pPr>
            <w:r>
              <w:rPr>
                <w:sz w:val="18"/>
                <w:szCs w:val="18"/>
              </w:rPr>
              <w:t>X</w:t>
            </w:r>
          </w:p>
        </w:tc>
      </w:tr>
      <w:tr w14:paraId="70C72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0E6766D0">
            <w:pPr>
              <w:overflowPunct w:val="0"/>
              <w:autoSpaceDE w:val="0"/>
              <w:autoSpaceDN w:val="0"/>
              <w:adjustRightInd w:val="0"/>
              <w:snapToGrid w:val="0"/>
              <w:jc w:val="center"/>
              <w:rPr>
                <w:rFonts w:eastAsia="宋体"/>
                <w:sz w:val="18"/>
                <w:szCs w:val="18"/>
              </w:rPr>
            </w:pPr>
            <w:r>
              <w:rPr>
                <w:sz w:val="18"/>
                <w:szCs w:val="18"/>
              </w:rPr>
              <w:t>Follicle-stimulating hormone test (as needed)</w:t>
            </w:r>
            <w:r>
              <w:rPr>
                <w:sz w:val="18"/>
                <w:szCs w:val="18"/>
                <w:vertAlign w:val="superscript"/>
              </w:rPr>
              <w:t>8</w:t>
            </w:r>
          </w:p>
        </w:tc>
        <w:tc>
          <w:tcPr>
            <w:tcW w:w="582" w:type="dxa"/>
            <w:shd w:val="clear" w:color="auto" w:fill="auto"/>
            <w:tcMar>
              <w:top w:w="28" w:type="dxa"/>
              <w:left w:w="57" w:type="dxa"/>
              <w:bottom w:w="28" w:type="dxa"/>
              <w:right w:w="57" w:type="dxa"/>
            </w:tcMar>
            <w:vAlign w:val="center"/>
          </w:tcPr>
          <w:p w14:paraId="2FDFE21A">
            <w:pPr>
              <w:overflowPunct w:val="0"/>
              <w:autoSpaceDE w:val="0"/>
              <w:autoSpaceDN w:val="0"/>
              <w:adjustRightInd w:val="0"/>
              <w:snapToGrid w:val="0"/>
              <w:jc w:val="center"/>
              <w:rPr>
                <w:rFonts w:eastAsia="宋体"/>
                <w:sz w:val="18"/>
                <w:szCs w:val="18"/>
              </w:rPr>
            </w:pPr>
            <w:r>
              <w:rPr>
                <w:sz w:val="18"/>
                <w:szCs w:val="18"/>
              </w:rPr>
              <w:t>X</w:t>
            </w:r>
          </w:p>
        </w:tc>
        <w:tc>
          <w:tcPr>
            <w:tcW w:w="425" w:type="dxa"/>
            <w:shd w:val="clear" w:color="auto" w:fill="auto"/>
            <w:tcMar>
              <w:top w:w="28" w:type="dxa"/>
              <w:left w:w="57" w:type="dxa"/>
              <w:bottom w:w="28" w:type="dxa"/>
              <w:right w:w="57" w:type="dxa"/>
            </w:tcMar>
            <w:vAlign w:val="center"/>
          </w:tcPr>
          <w:p w14:paraId="3AF1BD30">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66F3A7B0">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2C74EF31">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1D0905FE">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7E3796EB">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35A5B7AC">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31841687">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3361191A">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2F0CCF0A">
            <w:pPr>
              <w:overflowPunct w:val="0"/>
              <w:autoSpaceDE w:val="0"/>
              <w:autoSpaceDN w:val="0"/>
              <w:adjustRightInd w:val="0"/>
              <w:snapToGrid w:val="0"/>
              <w:jc w:val="center"/>
              <w:rPr>
                <w:rFonts w:eastAsia="宋体"/>
                <w:sz w:val="18"/>
                <w:szCs w:val="18"/>
                <w:lang w:eastAsia="zh-CN"/>
              </w:rPr>
            </w:pPr>
          </w:p>
        </w:tc>
        <w:tc>
          <w:tcPr>
            <w:tcW w:w="507" w:type="dxa"/>
            <w:shd w:val="clear" w:color="auto" w:fill="F2F2F2" w:themeFill="background2" w:themeFillTint="33"/>
            <w:tcMar>
              <w:top w:w="28" w:type="dxa"/>
              <w:left w:w="57" w:type="dxa"/>
              <w:bottom w:w="28" w:type="dxa"/>
              <w:right w:w="57" w:type="dxa"/>
            </w:tcMar>
            <w:vAlign w:val="center"/>
          </w:tcPr>
          <w:p w14:paraId="196F8F3F">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67D72AD7">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44937AD5">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68DC1977">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EC9CD22">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3FB397A">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7ECF888F">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7AB6D5C6">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33408A3">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E3C2ADC">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35450500">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33DDAAFD">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9F58B84">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3BF63E77">
            <w:pPr>
              <w:overflowPunct w:val="0"/>
              <w:autoSpaceDE w:val="0"/>
              <w:autoSpaceDN w:val="0"/>
              <w:adjustRightInd w:val="0"/>
              <w:snapToGrid w:val="0"/>
              <w:jc w:val="center"/>
              <w:rPr>
                <w:rFonts w:eastAsia="宋体"/>
                <w:sz w:val="18"/>
                <w:szCs w:val="18"/>
                <w:lang w:eastAsia="zh-CN"/>
              </w:rPr>
            </w:pPr>
          </w:p>
        </w:tc>
      </w:tr>
      <w:tr w14:paraId="52591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23AAF7F7">
            <w:pPr>
              <w:overflowPunct w:val="0"/>
              <w:autoSpaceDE w:val="0"/>
              <w:autoSpaceDN w:val="0"/>
              <w:adjustRightInd w:val="0"/>
              <w:snapToGrid w:val="0"/>
              <w:jc w:val="center"/>
              <w:rPr>
                <w:rFonts w:eastAsia="宋体"/>
                <w:sz w:val="18"/>
                <w:szCs w:val="18"/>
              </w:rPr>
            </w:pPr>
            <w:r>
              <w:rPr>
                <w:sz w:val="18"/>
                <w:szCs w:val="18"/>
              </w:rPr>
              <w:t>Routine hematology + Ret, blood chemistry, coagulation test, and urinalysis</w:t>
            </w:r>
            <w:r>
              <w:rPr>
                <w:sz w:val="18"/>
                <w:szCs w:val="18"/>
                <w:vertAlign w:val="superscript"/>
              </w:rPr>
              <w:t>9</w:t>
            </w:r>
          </w:p>
        </w:tc>
        <w:tc>
          <w:tcPr>
            <w:tcW w:w="582" w:type="dxa"/>
            <w:shd w:val="clear" w:color="auto" w:fill="auto"/>
            <w:tcMar>
              <w:top w:w="28" w:type="dxa"/>
              <w:left w:w="57" w:type="dxa"/>
              <w:bottom w:w="28" w:type="dxa"/>
              <w:right w:w="57" w:type="dxa"/>
            </w:tcMar>
            <w:vAlign w:val="center"/>
          </w:tcPr>
          <w:p w14:paraId="70F787EF">
            <w:pPr>
              <w:overflowPunct w:val="0"/>
              <w:autoSpaceDE w:val="0"/>
              <w:autoSpaceDN w:val="0"/>
              <w:adjustRightInd w:val="0"/>
              <w:snapToGrid w:val="0"/>
              <w:jc w:val="center"/>
              <w:rPr>
                <w:rFonts w:eastAsia="宋体"/>
                <w:sz w:val="18"/>
                <w:szCs w:val="18"/>
              </w:rPr>
            </w:pPr>
            <w:r>
              <w:rPr>
                <w:sz w:val="18"/>
                <w:szCs w:val="18"/>
              </w:rPr>
              <w:t>X</w:t>
            </w:r>
          </w:p>
        </w:tc>
        <w:tc>
          <w:tcPr>
            <w:tcW w:w="425" w:type="dxa"/>
            <w:shd w:val="clear" w:color="auto" w:fill="auto"/>
            <w:tcMar>
              <w:top w:w="28" w:type="dxa"/>
              <w:left w:w="57" w:type="dxa"/>
              <w:bottom w:w="28" w:type="dxa"/>
              <w:right w:w="57" w:type="dxa"/>
            </w:tcMar>
            <w:vAlign w:val="center"/>
          </w:tcPr>
          <w:p w14:paraId="6326C76B">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61BD4DC7">
            <w:pPr>
              <w:overflowPunct w:val="0"/>
              <w:autoSpaceDE w:val="0"/>
              <w:autoSpaceDN w:val="0"/>
              <w:adjustRightInd w:val="0"/>
              <w:snapToGrid w:val="0"/>
              <w:jc w:val="center"/>
              <w:rPr>
                <w:rFonts w:eastAsia="宋体"/>
                <w:sz w:val="18"/>
                <w:szCs w:val="18"/>
              </w:rPr>
            </w:pPr>
            <w:r>
              <w:rPr>
                <w:sz w:val="18"/>
                <w:szCs w:val="18"/>
              </w:rPr>
              <w:t>X</w:t>
            </w:r>
            <w:r>
              <w:rPr>
                <w:sz w:val="18"/>
                <w:szCs w:val="18"/>
                <w:vertAlign w:val="superscript"/>
              </w:rPr>
              <w:t>10</w:t>
            </w:r>
          </w:p>
        </w:tc>
        <w:tc>
          <w:tcPr>
            <w:tcW w:w="443" w:type="dxa"/>
            <w:shd w:val="clear" w:color="auto" w:fill="F1F1F1" w:themeFill="background1" w:themeFillShade="F2"/>
            <w:tcMar>
              <w:top w:w="28" w:type="dxa"/>
              <w:left w:w="57" w:type="dxa"/>
              <w:bottom w:w="28" w:type="dxa"/>
              <w:right w:w="57" w:type="dxa"/>
            </w:tcMar>
            <w:vAlign w:val="center"/>
          </w:tcPr>
          <w:p w14:paraId="365DB970">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449FD7FA">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432D66F0">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3FD2EC37">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19BCCA75">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vAlign w:val="center"/>
          </w:tcPr>
          <w:p w14:paraId="7AAFA120">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vAlign w:val="center"/>
          </w:tcPr>
          <w:p w14:paraId="3EC5326D">
            <w:pPr>
              <w:overflowPunct w:val="0"/>
              <w:autoSpaceDE w:val="0"/>
              <w:autoSpaceDN w:val="0"/>
              <w:adjustRightInd w:val="0"/>
              <w:snapToGrid w:val="0"/>
              <w:jc w:val="center"/>
              <w:rPr>
                <w:rFonts w:eastAsia="宋体"/>
                <w:sz w:val="18"/>
                <w:szCs w:val="18"/>
              </w:rPr>
            </w:pPr>
            <w:r>
              <w:rPr>
                <w:sz w:val="18"/>
                <w:szCs w:val="18"/>
              </w:rPr>
              <w:t>X</w:t>
            </w:r>
          </w:p>
        </w:tc>
        <w:tc>
          <w:tcPr>
            <w:tcW w:w="507" w:type="dxa"/>
            <w:shd w:val="clear" w:color="auto" w:fill="F2F2F2" w:themeFill="background2" w:themeFillTint="33"/>
            <w:tcMar>
              <w:top w:w="28" w:type="dxa"/>
              <w:left w:w="57" w:type="dxa"/>
              <w:bottom w:w="28" w:type="dxa"/>
              <w:right w:w="57" w:type="dxa"/>
            </w:tcMar>
            <w:vAlign w:val="center"/>
          </w:tcPr>
          <w:p w14:paraId="2E2C455B">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736D9204">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4D879B1D">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66568485">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2026CC1E">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tcPr>
          <w:p w14:paraId="50F49D68">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B7160A9">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1795EAFE">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6D64E391">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27B34F3">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5BAB311B">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187C90D">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6138D54E">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5C5C0C84">
            <w:pPr>
              <w:overflowPunct w:val="0"/>
              <w:autoSpaceDE w:val="0"/>
              <w:autoSpaceDN w:val="0"/>
              <w:adjustRightInd w:val="0"/>
              <w:snapToGrid w:val="0"/>
              <w:jc w:val="center"/>
              <w:rPr>
                <w:rFonts w:eastAsia="宋体"/>
                <w:sz w:val="18"/>
                <w:szCs w:val="18"/>
              </w:rPr>
            </w:pPr>
            <w:r>
              <w:rPr>
                <w:sz w:val="18"/>
                <w:szCs w:val="18"/>
              </w:rPr>
              <w:t>X</w:t>
            </w:r>
          </w:p>
        </w:tc>
      </w:tr>
      <w:tr w14:paraId="2588F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3E997D8D">
            <w:pPr>
              <w:overflowPunct w:val="0"/>
              <w:autoSpaceDE w:val="0"/>
              <w:autoSpaceDN w:val="0"/>
              <w:adjustRightInd w:val="0"/>
              <w:snapToGrid w:val="0"/>
              <w:jc w:val="center"/>
              <w:rPr>
                <w:rFonts w:eastAsia="宋体"/>
                <w:sz w:val="18"/>
                <w:szCs w:val="18"/>
              </w:rPr>
            </w:pPr>
            <w:r>
              <w:rPr>
                <w:bCs/>
                <w:sz w:val="18"/>
                <w:szCs w:val="18"/>
              </w:rPr>
              <w:t>Urine albumin-creatinine ratio</w:t>
            </w:r>
          </w:p>
        </w:tc>
        <w:tc>
          <w:tcPr>
            <w:tcW w:w="582" w:type="dxa"/>
            <w:shd w:val="clear" w:color="auto" w:fill="auto"/>
            <w:tcMar>
              <w:top w:w="28" w:type="dxa"/>
              <w:left w:w="57" w:type="dxa"/>
              <w:bottom w:w="28" w:type="dxa"/>
              <w:right w:w="57" w:type="dxa"/>
            </w:tcMar>
            <w:vAlign w:val="center"/>
          </w:tcPr>
          <w:p w14:paraId="217265B6">
            <w:pPr>
              <w:overflowPunct w:val="0"/>
              <w:autoSpaceDE w:val="0"/>
              <w:autoSpaceDN w:val="0"/>
              <w:adjustRightInd w:val="0"/>
              <w:snapToGrid w:val="0"/>
              <w:jc w:val="center"/>
              <w:rPr>
                <w:rFonts w:eastAsia="宋体"/>
                <w:sz w:val="18"/>
                <w:szCs w:val="18"/>
              </w:rPr>
            </w:pPr>
            <w:r>
              <w:rPr>
                <w:sz w:val="18"/>
                <w:szCs w:val="18"/>
              </w:rPr>
              <w:t>X</w:t>
            </w:r>
          </w:p>
        </w:tc>
        <w:tc>
          <w:tcPr>
            <w:tcW w:w="425" w:type="dxa"/>
            <w:shd w:val="clear" w:color="auto" w:fill="auto"/>
            <w:tcMar>
              <w:top w:w="28" w:type="dxa"/>
              <w:left w:w="57" w:type="dxa"/>
              <w:bottom w:w="28" w:type="dxa"/>
              <w:right w:w="57" w:type="dxa"/>
            </w:tcMar>
            <w:vAlign w:val="center"/>
          </w:tcPr>
          <w:p w14:paraId="3CB4C8A4">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7E820707">
            <w:pPr>
              <w:overflowPunct w:val="0"/>
              <w:autoSpaceDE w:val="0"/>
              <w:autoSpaceDN w:val="0"/>
              <w:adjustRightInd w:val="0"/>
              <w:snapToGrid w:val="0"/>
              <w:jc w:val="center"/>
              <w:rPr>
                <w:rFonts w:eastAsia="宋体"/>
                <w:sz w:val="18"/>
                <w:szCs w:val="18"/>
              </w:rPr>
            </w:pPr>
            <w:r>
              <w:rPr>
                <w:sz w:val="18"/>
                <w:szCs w:val="18"/>
              </w:rPr>
              <w:t>X</w:t>
            </w:r>
            <w:r>
              <w:rPr>
                <w:sz w:val="18"/>
                <w:szCs w:val="18"/>
                <w:vertAlign w:val="superscript"/>
              </w:rPr>
              <w:t>10</w:t>
            </w:r>
          </w:p>
        </w:tc>
        <w:tc>
          <w:tcPr>
            <w:tcW w:w="443" w:type="dxa"/>
            <w:shd w:val="clear" w:color="auto" w:fill="F1F1F1" w:themeFill="background1" w:themeFillShade="F2"/>
            <w:tcMar>
              <w:top w:w="28" w:type="dxa"/>
              <w:left w:w="57" w:type="dxa"/>
              <w:bottom w:w="28" w:type="dxa"/>
              <w:right w:w="57" w:type="dxa"/>
            </w:tcMar>
            <w:vAlign w:val="center"/>
          </w:tcPr>
          <w:p w14:paraId="5D54945F">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10CCF208">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216DD781">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0DF124FE">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7724CF6E">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vAlign w:val="center"/>
          </w:tcPr>
          <w:p w14:paraId="5A36A0C7">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vAlign w:val="center"/>
          </w:tcPr>
          <w:p w14:paraId="7CC2C8D5">
            <w:pPr>
              <w:overflowPunct w:val="0"/>
              <w:autoSpaceDE w:val="0"/>
              <w:autoSpaceDN w:val="0"/>
              <w:adjustRightInd w:val="0"/>
              <w:snapToGrid w:val="0"/>
              <w:jc w:val="center"/>
              <w:rPr>
                <w:rFonts w:eastAsia="宋体"/>
                <w:sz w:val="18"/>
                <w:szCs w:val="18"/>
              </w:rPr>
            </w:pPr>
            <w:r>
              <w:rPr>
                <w:sz w:val="18"/>
                <w:szCs w:val="18"/>
              </w:rPr>
              <w:t>X</w:t>
            </w:r>
          </w:p>
        </w:tc>
        <w:tc>
          <w:tcPr>
            <w:tcW w:w="507" w:type="dxa"/>
            <w:shd w:val="clear" w:color="auto" w:fill="F2F2F2" w:themeFill="background2" w:themeFillTint="33"/>
            <w:tcMar>
              <w:top w:w="28" w:type="dxa"/>
              <w:left w:w="57" w:type="dxa"/>
              <w:bottom w:w="28" w:type="dxa"/>
              <w:right w:w="57" w:type="dxa"/>
            </w:tcMar>
            <w:vAlign w:val="center"/>
          </w:tcPr>
          <w:p w14:paraId="579F8BB6">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1EBFBA88">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3C63BF16">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59A67400">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61BD0900">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tcPr>
          <w:p w14:paraId="7A412288">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C0F3F82">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60043764">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1CCDD704">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1FBE6635">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6663CA1B">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1D4D5942">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3B65FE96">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52E49084">
            <w:pPr>
              <w:overflowPunct w:val="0"/>
              <w:autoSpaceDE w:val="0"/>
              <w:autoSpaceDN w:val="0"/>
              <w:adjustRightInd w:val="0"/>
              <w:snapToGrid w:val="0"/>
              <w:jc w:val="center"/>
              <w:rPr>
                <w:rFonts w:eastAsia="宋体"/>
                <w:sz w:val="18"/>
                <w:szCs w:val="18"/>
              </w:rPr>
            </w:pPr>
            <w:r>
              <w:rPr>
                <w:sz w:val="18"/>
                <w:szCs w:val="18"/>
              </w:rPr>
              <w:t>X</w:t>
            </w:r>
          </w:p>
        </w:tc>
      </w:tr>
      <w:tr w14:paraId="10B01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11A54AF0">
            <w:pPr>
              <w:overflowPunct w:val="0"/>
              <w:autoSpaceDE w:val="0"/>
              <w:autoSpaceDN w:val="0"/>
              <w:adjustRightInd w:val="0"/>
              <w:snapToGrid w:val="0"/>
              <w:jc w:val="center"/>
              <w:rPr>
                <w:rFonts w:eastAsia="宋体"/>
                <w:sz w:val="18"/>
                <w:szCs w:val="18"/>
              </w:rPr>
            </w:pPr>
            <w:r>
              <w:rPr>
                <w:sz w:val="18"/>
                <w:szCs w:val="18"/>
              </w:rPr>
              <w:t>HbA1c</w:t>
            </w:r>
            <w:r>
              <w:rPr>
                <w:sz w:val="18"/>
                <w:szCs w:val="18"/>
                <w:vertAlign w:val="superscript"/>
              </w:rPr>
              <w:t>11</w:t>
            </w:r>
          </w:p>
        </w:tc>
        <w:tc>
          <w:tcPr>
            <w:tcW w:w="582" w:type="dxa"/>
            <w:shd w:val="clear" w:color="auto" w:fill="auto"/>
            <w:tcMar>
              <w:top w:w="28" w:type="dxa"/>
              <w:left w:w="57" w:type="dxa"/>
              <w:bottom w:w="28" w:type="dxa"/>
              <w:right w:w="57" w:type="dxa"/>
            </w:tcMar>
            <w:vAlign w:val="center"/>
          </w:tcPr>
          <w:p w14:paraId="0D389CB4">
            <w:pPr>
              <w:overflowPunct w:val="0"/>
              <w:autoSpaceDE w:val="0"/>
              <w:autoSpaceDN w:val="0"/>
              <w:adjustRightInd w:val="0"/>
              <w:snapToGrid w:val="0"/>
              <w:jc w:val="center"/>
              <w:rPr>
                <w:rFonts w:eastAsia="宋体"/>
                <w:sz w:val="18"/>
                <w:szCs w:val="18"/>
              </w:rPr>
            </w:pPr>
            <w:r>
              <w:rPr>
                <w:sz w:val="18"/>
                <w:szCs w:val="18"/>
              </w:rPr>
              <w:t>X</w:t>
            </w:r>
          </w:p>
        </w:tc>
        <w:tc>
          <w:tcPr>
            <w:tcW w:w="425" w:type="dxa"/>
            <w:shd w:val="clear" w:color="auto" w:fill="auto"/>
            <w:tcMar>
              <w:top w:w="28" w:type="dxa"/>
              <w:left w:w="57" w:type="dxa"/>
              <w:bottom w:w="28" w:type="dxa"/>
              <w:right w:w="57" w:type="dxa"/>
            </w:tcMar>
            <w:vAlign w:val="center"/>
          </w:tcPr>
          <w:p w14:paraId="4FE04BC1">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6AC704F3">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7015D64F">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10CB949B">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6D10B42E">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34DD398E">
            <w:pPr>
              <w:overflowPunct w:val="0"/>
              <w:autoSpaceDE w:val="0"/>
              <w:autoSpaceDN w:val="0"/>
              <w:adjustRightInd w:val="0"/>
              <w:snapToGrid w:val="0"/>
              <w:jc w:val="center"/>
              <w:rPr>
                <w:rFonts w:eastAsia="宋体"/>
                <w:sz w:val="18"/>
                <w:szCs w:val="18"/>
              </w:rPr>
            </w:pPr>
            <w:r>
              <w:rPr>
                <w:sz w:val="18"/>
                <w:szCs w:val="18"/>
              </w:rPr>
              <w:t xml:space="preserve">X </w:t>
            </w:r>
          </w:p>
        </w:tc>
        <w:tc>
          <w:tcPr>
            <w:tcW w:w="443" w:type="dxa"/>
            <w:shd w:val="clear" w:color="auto" w:fill="F1F1F1" w:themeFill="background1" w:themeFillShade="F2"/>
            <w:tcMar>
              <w:top w:w="28" w:type="dxa"/>
              <w:left w:w="57" w:type="dxa"/>
              <w:bottom w:w="28" w:type="dxa"/>
              <w:right w:w="57" w:type="dxa"/>
            </w:tcMar>
            <w:vAlign w:val="center"/>
          </w:tcPr>
          <w:p w14:paraId="25F5C558">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60A082C1">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vAlign w:val="center"/>
          </w:tcPr>
          <w:p w14:paraId="08C51263">
            <w:pPr>
              <w:overflowPunct w:val="0"/>
              <w:autoSpaceDE w:val="0"/>
              <w:autoSpaceDN w:val="0"/>
              <w:adjustRightInd w:val="0"/>
              <w:snapToGrid w:val="0"/>
              <w:jc w:val="center"/>
              <w:rPr>
                <w:rFonts w:eastAsia="宋体"/>
                <w:sz w:val="18"/>
                <w:szCs w:val="18"/>
                <w:lang w:eastAsia="zh-CN"/>
              </w:rPr>
            </w:pPr>
          </w:p>
        </w:tc>
        <w:tc>
          <w:tcPr>
            <w:tcW w:w="507" w:type="dxa"/>
            <w:shd w:val="clear" w:color="auto" w:fill="F2F2F2" w:themeFill="background2" w:themeFillTint="33"/>
            <w:tcMar>
              <w:top w:w="28" w:type="dxa"/>
              <w:left w:w="57" w:type="dxa"/>
              <w:bottom w:w="28" w:type="dxa"/>
              <w:right w:w="57" w:type="dxa"/>
            </w:tcMar>
            <w:vAlign w:val="center"/>
          </w:tcPr>
          <w:p w14:paraId="0B5F2580">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5C2E688E">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7B6DED3E">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433365AD">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5D064F5">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tcPr>
          <w:p w14:paraId="59DCF8F4">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46BDCCF1">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7A6C0D64">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1E4ABF59">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349B834A">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4D086C13">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726E599">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A43107A">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49DBCF64">
            <w:pPr>
              <w:overflowPunct w:val="0"/>
              <w:autoSpaceDE w:val="0"/>
              <w:autoSpaceDN w:val="0"/>
              <w:adjustRightInd w:val="0"/>
              <w:snapToGrid w:val="0"/>
              <w:jc w:val="center"/>
              <w:rPr>
                <w:rFonts w:eastAsia="宋体"/>
                <w:sz w:val="18"/>
                <w:szCs w:val="18"/>
              </w:rPr>
            </w:pPr>
            <w:r>
              <w:rPr>
                <w:sz w:val="18"/>
                <w:szCs w:val="18"/>
              </w:rPr>
              <w:t>X</w:t>
            </w:r>
          </w:p>
        </w:tc>
      </w:tr>
      <w:tr w14:paraId="596B8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1DF3A4F6">
            <w:pPr>
              <w:overflowPunct w:val="0"/>
              <w:autoSpaceDE w:val="0"/>
              <w:autoSpaceDN w:val="0"/>
              <w:adjustRightInd w:val="0"/>
              <w:snapToGrid w:val="0"/>
              <w:jc w:val="center"/>
              <w:rPr>
                <w:rFonts w:eastAsia="宋体"/>
                <w:sz w:val="18"/>
                <w:szCs w:val="18"/>
              </w:rPr>
            </w:pPr>
            <w:r>
              <w:rPr>
                <w:sz w:val="18"/>
                <w:szCs w:val="18"/>
              </w:rPr>
              <w:t>Verification against eligibility criteria</w:t>
            </w:r>
            <w:r>
              <w:rPr>
                <w:sz w:val="18"/>
                <w:szCs w:val="18"/>
                <w:vertAlign w:val="superscript"/>
              </w:rPr>
              <w:t>12</w:t>
            </w:r>
          </w:p>
        </w:tc>
        <w:tc>
          <w:tcPr>
            <w:tcW w:w="582" w:type="dxa"/>
            <w:shd w:val="clear" w:color="auto" w:fill="auto"/>
            <w:tcMar>
              <w:top w:w="28" w:type="dxa"/>
              <w:left w:w="57" w:type="dxa"/>
              <w:bottom w:w="28" w:type="dxa"/>
              <w:right w:w="57" w:type="dxa"/>
            </w:tcMar>
            <w:vAlign w:val="center"/>
          </w:tcPr>
          <w:p w14:paraId="270C261E">
            <w:pPr>
              <w:overflowPunct w:val="0"/>
              <w:autoSpaceDE w:val="0"/>
              <w:autoSpaceDN w:val="0"/>
              <w:adjustRightInd w:val="0"/>
              <w:snapToGrid w:val="0"/>
              <w:jc w:val="center"/>
              <w:rPr>
                <w:rFonts w:eastAsia="宋体"/>
                <w:sz w:val="18"/>
                <w:szCs w:val="18"/>
              </w:rPr>
            </w:pPr>
            <w:r>
              <w:rPr>
                <w:sz w:val="18"/>
                <w:szCs w:val="18"/>
              </w:rPr>
              <w:t>X</w:t>
            </w:r>
          </w:p>
        </w:tc>
        <w:tc>
          <w:tcPr>
            <w:tcW w:w="425" w:type="dxa"/>
            <w:shd w:val="clear" w:color="auto" w:fill="auto"/>
            <w:tcMar>
              <w:top w:w="28" w:type="dxa"/>
              <w:left w:w="57" w:type="dxa"/>
              <w:bottom w:w="28" w:type="dxa"/>
              <w:right w:w="57" w:type="dxa"/>
            </w:tcMar>
            <w:vAlign w:val="center"/>
          </w:tcPr>
          <w:p w14:paraId="181F21F2">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7D65FA9B">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4C4C0744">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1BBF9864">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20460241">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38D14DDB">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50A4A705">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57A84A33">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6E336921">
            <w:pPr>
              <w:overflowPunct w:val="0"/>
              <w:autoSpaceDE w:val="0"/>
              <w:autoSpaceDN w:val="0"/>
              <w:adjustRightInd w:val="0"/>
              <w:snapToGrid w:val="0"/>
              <w:jc w:val="center"/>
              <w:rPr>
                <w:rFonts w:eastAsia="宋体"/>
                <w:sz w:val="18"/>
                <w:szCs w:val="18"/>
                <w:lang w:eastAsia="zh-CN"/>
              </w:rPr>
            </w:pPr>
          </w:p>
        </w:tc>
        <w:tc>
          <w:tcPr>
            <w:tcW w:w="507" w:type="dxa"/>
            <w:shd w:val="clear" w:color="auto" w:fill="F2F2F2" w:themeFill="background2" w:themeFillTint="33"/>
            <w:tcMar>
              <w:top w:w="28" w:type="dxa"/>
              <w:left w:w="57" w:type="dxa"/>
              <w:bottom w:w="28" w:type="dxa"/>
              <w:right w:w="57" w:type="dxa"/>
            </w:tcMar>
            <w:vAlign w:val="center"/>
          </w:tcPr>
          <w:p w14:paraId="455518B0">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6CA101F5">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77D51507">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4494A5A7">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15A3D81B">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tcPr>
          <w:p w14:paraId="242A1746">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49A62E84">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7536C54">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66F74FC">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1CE7B04E">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7F63621F">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2B82B89">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E6AEC62">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36FB1543">
            <w:pPr>
              <w:overflowPunct w:val="0"/>
              <w:autoSpaceDE w:val="0"/>
              <w:autoSpaceDN w:val="0"/>
              <w:adjustRightInd w:val="0"/>
              <w:snapToGrid w:val="0"/>
              <w:jc w:val="center"/>
              <w:rPr>
                <w:rFonts w:eastAsia="宋体"/>
                <w:sz w:val="18"/>
                <w:szCs w:val="18"/>
                <w:lang w:eastAsia="zh-CN"/>
              </w:rPr>
            </w:pPr>
          </w:p>
        </w:tc>
      </w:tr>
      <w:tr w14:paraId="20CFB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0CD587E7">
            <w:pPr>
              <w:overflowPunct w:val="0"/>
              <w:autoSpaceDE w:val="0"/>
              <w:autoSpaceDN w:val="0"/>
              <w:adjustRightInd w:val="0"/>
              <w:snapToGrid w:val="0"/>
              <w:jc w:val="center"/>
              <w:rPr>
                <w:rFonts w:eastAsia="宋体"/>
                <w:sz w:val="18"/>
                <w:szCs w:val="18"/>
              </w:rPr>
            </w:pPr>
            <w:r>
              <w:rPr>
                <w:sz w:val="18"/>
                <w:szCs w:val="18"/>
              </w:rPr>
              <w:t>Randomization</w:t>
            </w:r>
            <w:r>
              <w:rPr>
                <w:sz w:val="18"/>
                <w:szCs w:val="18"/>
                <w:vertAlign w:val="superscript"/>
              </w:rPr>
              <w:t>12</w:t>
            </w:r>
          </w:p>
        </w:tc>
        <w:tc>
          <w:tcPr>
            <w:tcW w:w="582" w:type="dxa"/>
            <w:shd w:val="clear" w:color="auto" w:fill="auto"/>
            <w:tcMar>
              <w:top w:w="28" w:type="dxa"/>
              <w:left w:w="57" w:type="dxa"/>
              <w:bottom w:w="28" w:type="dxa"/>
              <w:right w:w="57" w:type="dxa"/>
            </w:tcMar>
            <w:vAlign w:val="center"/>
          </w:tcPr>
          <w:p w14:paraId="76CB6C6D">
            <w:pPr>
              <w:overflowPunct w:val="0"/>
              <w:autoSpaceDE w:val="0"/>
              <w:autoSpaceDN w:val="0"/>
              <w:adjustRightInd w:val="0"/>
              <w:snapToGrid w:val="0"/>
              <w:jc w:val="center"/>
              <w:rPr>
                <w:rFonts w:eastAsia="宋体"/>
                <w:sz w:val="18"/>
                <w:szCs w:val="18"/>
                <w:lang w:eastAsia="zh-CN"/>
              </w:rPr>
            </w:pPr>
          </w:p>
        </w:tc>
        <w:tc>
          <w:tcPr>
            <w:tcW w:w="425" w:type="dxa"/>
            <w:shd w:val="clear" w:color="auto" w:fill="auto"/>
            <w:tcMar>
              <w:top w:w="28" w:type="dxa"/>
              <w:left w:w="57" w:type="dxa"/>
              <w:bottom w:w="28" w:type="dxa"/>
              <w:right w:w="57" w:type="dxa"/>
            </w:tcMar>
            <w:vAlign w:val="center"/>
          </w:tcPr>
          <w:p w14:paraId="750B84AF">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55EE2DC7">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2D5EFD0B">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301E48FE">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14E30261">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63DF0F5D">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7F5D519A">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3A107396">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242F1809">
            <w:pPr>
              <w:overflowPunct w:val="0"/>
              <w:autoSpaceDE w:val="0"/>
              <w:autoSpaceDN w:val="0"/>
              <w:adjustRightInd w:val="0"/>
              <w:snapToGrid w:val="0"/>
              <w:jc w:val="center"/>
              <w:rPr>
                <w:rFonts w:eastAsia="宋体"/>
                <w:sz w:val="18"/>
                <w:szCs w:val="18"/>
                <w:lang w:eastAsia="zh-CN"/>
              </w:rPr>
            </w:pPr>
          </w:p>
        </w:tc>
        <w:tc>
          <w:tcPr>
            <w:tcW w:w="507" w:type="dxa"/>
            <w:shd w:val="clear" w:color="auto" w:fill="F2F2F2" w:themeFill="background2" w:themeFillTint="33"/>
            <w:tcMar>
              <w:top w:w="28" w:type="dxa"/>
              <w:left w:w="57" w:type="dxa"/>
              <w:bottom w:w="28" w:type="dxa"/>
              <w:right w:w="57" w:type="dxa"/>
            </w:tcMar>
            <w:vAlign w:val="center"/>
          </w:tcPr>
          <w:p w14:paraId="3DB9E33E">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1F4F906D">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4A646357">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0843CDDC">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C3D2ED0">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tcPr>
          <w:p w14:paraId="0669A1F2">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4239BCC0">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3C0AEDC3">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A502DC8">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40F90043">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B8BE36E">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30A0CBAD">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3B28816">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131B7E79">
            <w:pPr>
              <w:overflowPunct w:val="0"/>
              <w:autoSpaceDE w:val="0"/>
              <w:autoSpaceDN w:val="0"/>
              <w:adjustRightInd w:val="0"/>
              <w:snapToGrid w:val="0"/>
              <w:jc w:val="center"/>
              <w:rPr>
                <w:rFonts w:eastAsia="宋体"/>
                <w:sz w:val="18"/>
                <w:szCs w:val="18"/>
                <w:lang w:eastAsia="zh-CN"/>
              </w:rPr>
            </w:pPr>
          </w:p>
        </w:tc>
      </w:tr>
      <w:tr w14:paraId="7FC47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5AB55E86">
            <w:pPr>
              <w:overflowPunct w:val="0"/>
              <w:autoSpaceDE w:val="0"/>
              <w:autoSpaceDN w:val="0"/>
              <w:adjustRightInd w:val="0"/>
              <w:snapToGrid w:val="0"/>
              <w:jc w:val="center"/>
              <w:rPr>
                <w:rFonts w:eastAsia="宋体"/>
                <w:sz w:val="18"/>
                <w:szCs w:val="18"/>
              </w:rPr>
            </w:pPr>
            <w:r>
              <w:rPr>
                <w:sz w:val="18"/>
                <w:szCs w:val="18"/>
              </w:rPr>
              <w:t>Oral administration of acetaminophen</w:t>
            </w:r>
            <w:r>
              <w:rPr>
                <w:sz w:val="18"/>
                <w:szCs w:val="18"/>
                <w:vertAlign w:val="superscript"/>
              </w:rPr>
              <w:t>13</w:t>
            </w:r>
          </w:p>
        </w:tc>
        <w:tc>
          <w:tcPr>
            <w:tcW w:w="582" w:type="dxa"/>
            <w:shd w:val="clear" w:color="auto" w:fill="auto"/>
            <w:tcMar>
              <w:top w:w="28" w:type="dxa"/>
              <w:left w:w="57" w:type="dxa"/>
              <w:bottom w:w="28" w:type="dxa"/>
              <w:right w:w="57" w:type="dxa"/>
            </w:tcMar>
            <w:vAlign w:val="center"/>
          </w:tcPr>
          <w:p w14:paraId="7AF82F31">
            <w:pPr>
              <w:overflowPunct w:val="0"/>
              <w:autoSpaceDE w:val="0"/>
              <w:autoSpaceDN w:val="0"/>
              <w:adjustRightInd w:val="0"/>
              <w:snapToGrid w:val="0"/>
              <w:jc w:val="center"/>
              <w:rPr>
                <w:rFonts w:eastAsia="宋体"/>
                <w:sz w:val="18"/>
                <w:szCs w:val="18"/>
                <w:lang w:eastAsia="zh-CN"/>
              </w:rPr>
            </w:pPr>
          </w:p>
        </w:tc>
        <w:tc>
          <w:tcPr>
            <w:tcW w:w="425" w:type="dxa"/>
            <w:shd w:val="clear" w:color="auto" w:fill="auto"/>
            <w:tcMar>
              <w:top w:w="28" w:type="dxa"/>
              <w:left w:w="57" w:type="dxa"/>
              <w:bottom w:w="28" w:type="dxa"/>
              <w:right w:w="57" w:type="dxa"/>
            </w:tcMar>
            <w:vAlign w:val="center"/>
          </w:tcPr>
          <w:p w14:paraId="1E3755F3">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4BE91B86">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48D1D220">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3476E56D">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504C4B3B">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19EEFEF6">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00B7E5C2">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vAlign w:val="center"/>
          </w:tcPr>
          <w:p w14:paraId="29F5F468">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5BAE04B6">
            <w:pPr>
              <w:overflowPunct w:val="0"/>
              <w:autoSpaceDE w:val="0"/>
              <w:autoSpaceDN w:val="0"/>
              <w:adjustRightInd w:val="0"/>
              <w:snapToGrid w:val="0"/>
              <w:jc w:val="center"/>
              <w:rPr>
                <w:rFonts w:eastAsia="宋体"/>
                <w:sz w:val="18"/>
                <w:szCs w:val="18"/>
                <w:lang w:eastAsia="zh-CN"/>
              </w:rPr>
            </w:pPr>
          </w:p>
        </w:tc>
        <w:tc>
          <w:tcPr>
            <w:tcW w:w="507" w:type="dxa"/>
            <w:shd w:val="clear" w:color="auto" w:fill="F2F2F2" w:themeFill="background2" w:themeFillTint="33"/>
            <w:tcMar>
              <w:top w:w="28" w:type="dxa"/>
              <w:left w:w="57" w:type="dxa"/>
              <w:bottom w:w="28" w:type="dxa"/>
              <w:right w:w="57" w:type="dxa"/>
            </w:tcMar>
            <w:vAlign w:val="center"/>
          </w:tcPr>
          <w:p w14:paraId="3DF791AC">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5D9C43A8">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4EDC6B82">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79152E25">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3C982C11">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tcPr>
          <w:p w14:paraId="658124CF">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34DF4DEF">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75BDA7C8">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7DA9B52">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68854F69">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D4458F1">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21501AD">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1AEE0172">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37BA43B6">
            <w:pPr>
              <w:overflowPunct w:val="0"/>
              <w:autoSpaceDE w:val="0"/>
              <w:autoSpaceDN w:val="0"/>
              <w:adjustRightInd w:val="0"/>
              <w:snapToGrid w:val="0"/>
              <w:jc w:val="center"/>
              <w:rPr>
                <w:rFonts w:eastAsia="宋体"/>
                <w:sz w:val="18"/>
                <w:szCs w:val="18"/>
                <w:lang w:eastAsia="zh-CN"/>
              </w:rPr>
            </w:pPr>
          </w:p>
        </w:tc>
      </w:tr>
      <w:tr w14:paraId="28D9E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05" w:type="dxa"/>
            <w:shd w:val="clear" w:color="auto" w:fill="auto"/>
            <w:tcMar>
              <w:top w:w="28" w:type="dxa"/>
              <w:left w:w="57" w:type="dxa"/>
              <w:bottom w:w="28" w:type="dxa"/>
              <w:right w:w="57" w:type="dxa"/>
            </w:tcMar>
            <w:vAlign w:val="center"/>
          </w:tcPr>
          <w:p w14:paraId="2F8A4160">
            <w:pPr>
              <w:overflowPunct w:val="0"/>
              <w:autoSpaceDE w:val="0"/>
              <w:autoSpaceDN w:val="0"/>
              <w:adjustRightInd w:val="0"/>
              <w:snapToGrid w:val="0"/>
              <w:jc w:val="center"/>
              <w:rPr>
                <w:rFonts w:eastAsia="宋体"/>
                <w:sz w:val="18"/>
                <w:szCs w:val="18"/>
              </w:rPr>
            </w:pPr>
            <w:r>
              <w:rPr>
                <w:sz w:val="18"/>
                <w:szCs w:val="18"/>
              </w:rPr>
              <w:t>Acetaminophen PK sample collection</w:t>
            </w:r>
            <w:r>
              <w:rPr>
                <w:sz w:val="18"/>
                <w:szCs w:val="18"/>
                <w:vertAlign w:val="superscript"/>
              </w:rPr>
              <w:t>14</w:t>
            </w:r>
          </w:p>
        </w:tc>
        <w:tc>
          <w:tcPr>
            <w:tcW w:w="582" w:type="dxa"/>
            <w:shd w:val="clear" w:color="auto" w:fill="auto"/>
            <w:tcMar>
              <w:top w:w="28" w:type="dxa"/>
              <w:left w:w="57" w:type="dxa"/>
              <w:bottom w:w="28" w:type="dxa"/>
              <w:right w:w="57" w:type="dxa"/>
            </w:tcMar>
            <w:vAlign w:val="center"/>
          </w:tcPr>
          <w:p w14:paraId="65FAC9D4">
            <w:pPr>
              <w:overflowPunct w:val="0"/>
              <w:autoSpaceDE w:val="0"/>
              <w:autoSpaceDN w:val="0"/>
              <w:adjustRightInd w:val="0"/>
              <w:snapToGrid w:val="0"/>
              <w:jc w:val="center"/>
              <w:rPr>
                <w:rFonts w:eastAsia="宋体"/>
                <w:sz w:val="18"/>
                <w:szCs w:val="18"/>
                <w:lang w:eastAsia="zh-CN"/>
              </w:rPr>
            </w:pPr>
          </w:p>
        </w:tc>
        <w:tc>
          <w:tcPr>
            <w:tcW w:w="425" w:type="dxa"/>
            <w:shd w:val="clear" w:color="auto" w:fill="auto"/>
            <w:tcMar>
              <w:top w:w="28" w:type="dxa"/>
              <w:left w:w="57" w:type="dxa"/>
              <w:bottom w:w="28" w:type="dxa"/>
              <w:right w:w="57" w:type="dxa"/>
            </w:tcMar>
            <w:vAlign w:val="center"/>
          </w:tcPr>
          <w:p w14:paraId="611DAE91">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4ABEE7BD">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18CD0931">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0CE653E0">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7B2C7F41">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751ADA5E">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22384ECC">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vAlign w:val="center"/>
          </w:tcPr>
          <w:p w14:paraId="6533AB51">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0A404002">
            <w:pPr>
              <w:overflowPunct w:val="0"/>
              <w:autoSpaceDE w:val="0"/>
              <w:autoSpaceDN w:val="0"/>
              <w:adjustRightInd w:val="0"/>
              <w:snapToGrid w:val="0"/>
              <w:jc w:val="center"/>
              <w:rPr>
                <w:rFonts w:eastAsia="宋体"/>
                <w:sz w:val="18"/>
                <w:szCs w:val="18"/>
                <w:lang w:eastAsia="zh-CN"/>
              </w:rPr>
            </w:pPr>
          </w:p>
        </w:tc>
        <w:tc>
          <w:tcPr>
            <w:tcW w:w="507" w:type="dxa"/>
            <w:shd w:val="clear" w:color="auto" w:fill="F2F2F2" w:themeFill="background2" w:themeFillTint="33"/>
            <w:tcMar>
              <w:top w:w="28" w:type="dxa"/>
              <w:left w:w="57" w:type="dxa"/>
              <w:bottom w:w="28" w:type="dxa"/>
              <w:right w:w="57" w:type="dxa"/>
            </w:tcMar>
            <w:vAlign w:val="center"/>
          </w:tcPr>
          <w:p w14:paraId="5DE450AF">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1AF8401D">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40C059A6">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2E3C093A">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03ABA54">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tcPr>
          <w:p w14:paraId="633F963C">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780B148F">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C20AF4E">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6CF218D4">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1EAF6086">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4916B08C">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67FC9B9">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6F6A7008">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6158DB17">
            <w:pPr>
              <w:overflowPunct w:val="0"/>
              <w:autoSpaceDE w:val="0"/>
              <w:autoSpaceDN w:val="0"/>
              <w:adjustRightInd w:val="0"/>
              <w:snapToGrid w:val="0"/>
              <w:jc w:val="center"/>
              <w:rPr>
                <w:rFonts w:eastAsia="宋体"/>
                <w:sz w:val="18"/>
                <w:szCs w:val="18"/>
                <w:lang w:eastAsia="zh-CN"/>
              </w:rPr>
            </w:pPr>
          </w:p>
        </w:tc>
      </w:tr>
      <w:tr w14:paraId="6768A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4AC0478F">
            <w:pPr>
              <w:overflowPunct w:val="0"/>
              <w:autoSpaceDE w:val="0"/>
              <w:autoSpaceDN w:val="0"/>
              <w:adjustRightInd w:val="0"/>
              <w:snapToGrid w:val="0"/>
              <w:jc w:val="center"/>
              <w:rPr>
                <w:rFonts w:eastAsia="宋体"/>
                <w:b/>
                <w:bCs/>
                <w:sz w:val="18"/>
                <w:szCs w:val="18"/>
              </w:rPr>
            </w:pPr>
            <w:r>
              <w:rPr>
                <w:sz w:val="18"/>
                <w:szCs w:val="18"/>
              </w:rPr>
              <w:t>RAY1225 PK sample collection</w:t>
            </w:r>
            <w:r>
              <w:rPr>
                <w:sz w:val="18"/>
                <w:szCs w:val="18"/>
                <w:vertAlign w:val="superscript"/>
              </w:rPr>
              <w:t>15</w:t>
            </w:r>
          </w:p>
        </w:tc>
        <w:tc>
          <w:tcPr>
            <w:tcW w:w="582" w:type="dxa"/>
            <w:shd w:val="clear" w:color="auto" w:fill="auto"/>
            <w:tcMar>
              <w:top w:w="28" w:type="dxa"/>
              <w:left w:w="57" w:type="dxa"/>
              <w:bottom w:w="28" w:type="dxa"/>
              <w:right w:w="57" w:type="dxa"/>
            </w:tcMar>
            <w:vAlign w:val="center"/>
          </w:tcPr>
          <w:p w14:paraId="4D860573">
            <w:pPr>
              <w:overflowPunct w:val="0"/>
              <w:autoSpaceDE w:val="0"/>
              <w:autoSpaceDN w:val="0"/>
              <w:adjustRightInd w:val="0"/>
              <w:snapToGrid w:val="0"/>
              <w:jc w:val="center"/>
              <w:rPr>
                <w:rFonts w:eastAsia="宋体"/>
                <w:sz w:val="18"/>
                <w:szCs w:val="18"/>
                <w:lang w:eastAsia="zh-CN"/>
              </w:rPr>
            </w:pPr>
          </w:p>
        </w:tc>
        <w:tc>
          <w:tcPr>
            <w:tcW w:w="425" w:type="dxa"/>
            <w:shd w:val="clear" w:color="auto" w:fill="auto"/>
            <w:tcMar>
              <w:top w:w="28" w:type="dxa"/>
              <w:left w:w="57" w:type="dxa"/>
              <w:bottom w:w="28" w:type="dxa"/>
              <w:right w:w="57" w:type="dxa"/>
            </w:tcMar>
            <w:vAlign w:val="center"/>
          </w:tcPr>
          <w:p w14:paraId="298BF814">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79B8CEEF">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41E7A574">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6EC32C14">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507EEC68">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30403669">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2A7431D0">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46A7BFF8">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vAlign w:val="center"/>
          </w:tcPr>
          <w:p w14:paraId="2C7C6AE8">
            <w:pPr>
              <w:overflowPunct w:val="0"/>
              <w:autoSpaceDE w:val="0"/>
              <w:autoSpaceDN w:val="0"/>
              <w:adjustRightInd w:val="0"/>
              <w:snapToGrid w:val="0"/>
              <w:jc w:val="center"/>
              <w:rPr>
                <w:rFonts w:eastAsia="宋体"/>
                <w:sz w:val="18"/>
                <w:szCs w:val="18"/>
                <w:lang w:eastAsia="zh-CN"/>
              </w:rPr>
            </w:pPr>
          </w:p>
        </w:tc>
        <w:tc>
          <w:tcPr>
            <w:tcW w:w="507" w:type="dxa"/>
            <w:shd w:val="clear" w:color="auto" w:fill="F2F2F2" w:themeFill="background2" w:themeFillTint="33"/>
            <w:tcMar>
              <w:top w:w="28" w:type="dxa"/>
              <w:left w:w="57" w:type="dxa"/>
              <w:bottom w:w="28" w:type="dxa"/>
              <w:right w:w="57" w:type="dxa"/>
            </w:tcMar>
            <w:vAlign w:val="center"/>
          </w:tcPr>
          <w:p w14:paraId="3C1E09A4">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6764BDBB">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1ECF9104">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1BFB1761">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0ABC9E50">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tcPr>
          <w:p w14:paraId="7A35CE09">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01120DC7">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2CA72CF0">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2473BC05">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0700E014">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47A10956">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07F014EE">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205FA0D1">
            <w:pPr>
              <w:overflowPunct w:val="0"/>
              <w:autoSpaceDE w:val="0"/>
              <w:autoSpaceDN w:val="0"/>
              <w:adjustRightInd w:val="0"/>
              <w:snapToGrid w:val="0"/>
              <w:jc w:val="center"/>
              <w:rPr>
                <w:rFonts w:eastAsia="宋体"/>
                <w:sz w:val="18"/>
                <w:szCs w:val="18"/>
              </w:rPr>
            </w:pPr>
            <w:r>
              <w:rPr>
                <w:sz w:val="18"/>
                <w:szCs w:val="18"/>
              </w:rPr>
              <w:t>X</w:t>
            </w:r>
          </w:p>
        </w:tc>
        <w:tc>
          <w:tcPr>
            <w:tcW w:w="818" w:type="dxa"/>
            <w:tcMar>
              <w:top w:w="28" w:type="dxa"/>
              <w:left w:w="57" w:type="dxa"/>
              <w:bottom w:w="28" w:type="dxa"/>
              <w:right w:w="57" w:type="dxa"/>
            </w:tcMar>
            <w:vAlign w:val="center"/>
          </w:tcPr>
          <w:p w14:paraId="0FA927CD">
            <w:pPr>
              <w:overflowPunct w:val="0"/>
              <w:autoSpaceDE w:val="0"/>
              <w:autoSpaceDN w:val="0"/>
              <w:adjustRightInd w:val="0"/>
              <w:snapToGrid w:val="0"/>
              <w:jc w:val="center"/>
              <w:rPr>
                <w:rFonts w:eastAsia="宋体"/>
                <w:sz w:val="18"/>
                <w:szCs w:val="18"/>
              </w:rPr>
            </w:pPr>
            <w:r>
              <w:rPr>
                <w:sz w:val="18"/>
                <w:szCs w:val="18"/>
              </w:rPr>
              <w:t>X</w:t>
            </w:r>
          </w:p>
        </w:tc>
      </w:tr>
      <w:tr w14:paraId="1320D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35E6323F">
            <w:pPr>
              <w:overflowPunct w:val="0"/>
              <w:autoSpaceDE w:val="0"/>
              <w:autoSpaceDN w:val="0"/>
              <w:adjustRightInd w:val="0"/>
              <w:snapToGrid w:val="0"/>
              <w:jc w:val="center"/>
              <w:rPr>
                <w:rFonts w:eastAsia="宋体"/>
                <w:sz w:val="18"/>
                <w:szCs w:val="18"/>
              </w:rPr>
            </w:pPr>
            <w:r>
              <w:rPr>
                <w:sz w:val="18"/>
                <w:szCs w:val="18"/>
              </w:rPr>
              <w:t>Immunogenicity test</w:t>
            </w:r>
            <w:r>
              <w:rPr>
                <w:sz w:val="18"/>
                <w:szCs w:val="18"/>
                <w:vertAlign w:val="superscript"/>
              </w:rPr>
              <w:t>16</w:t>
            </w:r>
          </w:p>
        </w:tc>
        <w:tc>
          <w:tcPr>
            <w:tcW w:w="582" w:type="dxa"/>
            <w:shd w:val="clear" w:color="auto" w:fill="auto"/>
            <w:tcMar>
              <w:top w:w="28" w:type="dxa"/>
              <w:left w:w="57" w:type="dxa"/>
              <w:bottom w:w="28" w:type="dxa"/>
              <w:right w:w="57" w:type="dxa"/>
            </w:tcMar>
            <w:vAlign w:val="center"/>
          </w:tcPr>
          <w:p w14:paraId="5B227519">
            <w:pPr>
              <w:overflowPunct w:val="0"/>
              <w:autoSpaceDE w:val="0"/>
              <w:autoSpaceDN w:val="0"/>
              <w:adjustRightInd w:val="0"/>
              <w:snapToGrid w:val="0"/>
              <w:jc w:val="center"/>
              <w:rPr>
                <w:rFonts w:eastAsia="宋体"/>
                <w:sz w:val="18"/>
                <w:szCs w:val="18"/>
                <w:lang w:eastAsia="zh-CN"/>
              </w:rPr>
            </w:pPr>
          </w:p>
        </w:tc>
        <w:tc>
          <w:tcPr>
            <w:tcW w:w="425" w:type="dxa"/>
            <w:shd w:val="clear" w:color="auto" w:fill="auto"/>
            <w:tcMar>
              <w:top w:w="28" w:type="dxa"/>
              <w:left w:w="57" w:type="dxa"/>
              <w:bottom w:w="28" w:type="dxa"/>
              <w:right w:w="57" w:type="dxa"/>
            </w:tcMar>
            <w:vAlign w:val="center"/>
          </w:tcPr>
          <w:p w14:paraId="53F33498">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3435965E">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06D66440">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69D0A564">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0465EBBC">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55114F2E">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14178748">
            <w:pPr>
              <w:overflowPunct w:val="0"/>
              <w:autoSpaceDE w:val="0"/>
              <w:autoSpaceDN w:val="0"/>
              <w:adjustRightInd w:val="0"/>
              <w:snapToGrid w:val="0"/>
              <w:jc w:val="center"/>
              <w:rPr>
                <w:rFonts w:eastAsia="宋体"/>
                <w:sz w:val="18"/>
                <w:szCs w:val="18"/>
                <w:lang w:eastAsia="zh-CN"/>
              </w:rPr>
            </w:pPr>
          </w:p>
        </w:tc>
        <w:tc>
          <w:tcPr>
            <w:tcW w:w="443" w:type="dxa"/>
            <w:shd w:val="clear" w:color="auto" w:fill="F2F2F2" w:themeFill="background2" w:themeFillTint="33"/>
            <w:tcMar>
              <w:top w:w="28" w:type="dxa"/>
              <w:left w:w="57" w:type="dxa"/>
              <w:bottom w:w="28" w:type="dxa"/>
              <w:right w:w="57" w:type="dxa"/>
            </w:tcMar>
            <w:vAlign w:val="center"/>
          </w:tcPr>
          <w:p w14:paraId="65AD9A63">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vAlign w:val="center"/>
          </w:tcPr>
          <w:p w14:paraId="5008C1DF">
            <w:pPr>
              <w:overflowPunct w:val="0"/>
              <w:autoSpaceDE w:val="0"/>
              <w:autoSpaceDN w:val="0"/>
              <w:adjustRightInd w:val="0"/>
              <w:snapToGrid w:val="0"/>
              <w:jc w:val="center"/>
              <w:rPr>
                <w:rFonts w:eastAsia="宋体"/>
                <w:sz w:val="18"/>
                <w:szCs w:val="18"/>
                <w:lang w:eastAsia="zh-CN"/>
              </w:rPr>
            </w:pPr>
          </w:p>
        </w:tc>
        <w:tc>
          <w:tcPr>
            <w:tcW w:w="507" w:type="dxa"/>
            <w:shd w:val="clear" w:color="auto" w:fill="F2F2F2" w:themeFill="background2" w:themeFillTint="33"/>
            <w:tcMar>
              <w:top w:w="28" w:type="dxa"/>
              <w:left w:w="57" w:type="dxa"/>
              <w:bottom w:w="28" w:type="dxa"/>
              <w:right w:w="57" w:type="dxa"/>
            </w:tcMar>
            <w:vAlign w:val="center"/>
          </w:tcPr>
          <w:p w14:paraId="7B027627">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287BB6D2">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2D216B7C">
            <w:pPr>
              <w:overflowPunct w:val="0"/>
              <w:autoSpaceDE w:val="0"/>
              <w:autoSpaceDN w:val="0"/>
              <w:adjustRightInd w:val="0"/>
              <w:snapToGrid w:val="0"/>
              <w:jc w:val="center"/>
              <w:rPr>
                <w:rFonts w:eastAsia="宋体"/>
                <w:sz w:val="18"/>
                <w:szCs w:val="18"/>
                <w:lang w:eastAsia="zh-CN"/>
              </w:rPr>
            </w:pPr>
          </w:p>
        </w:tc>
        <w:tc>
          <w:tcPr>
            <w:tcW w:w="508" w:type="dxa"/>
            <w:shd w:val="clear" w:color="auto" w:fill="F2F2F2" w:themeFill="background2" w:themeFillTint="33"/>
            <w:tcMar>
              <w:top w:w="28" w:type="dxa"/>
              <w:left w:w="57" w:type="dxa"/>
              <w:bottom w:w="28" w:type="dxa"/>
              <w:right w:w="57" w:type="dxa"/>
            </w:tcMar>
            <w:vAlign w:val="center"/>
          </w:tcPr>
          <w:p w14:paraId="76253BAD">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0D6F4E91">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tcPr>
          <w:p w14:paraId="70D17BD6">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225C7C1">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7E6CD7A1">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30993540">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09CA91A">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150FFD8D">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217EB90E">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158E2139">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089D3C59">
            <w:pPr>
              <w:overflowPunct w:val="0"/>
              <w:autoSpaceDE w:val="0"/>
              <w:autoSpaceDN w:val="0"/>
              <w:adjustRightInd w:val="0"/>
              <w:snapToGrid w:val="0"/>
              <w:jc w:val="center"/>
              <w:rPr>
                <w:rFonts w:eastAsia="宋体"/>
                <w:sz w:val="18"/>
                <w:szCs w:val="18"/>
              </w:rPr>
            </w:pPr>
            <w:r>
              <w:rPr>
                <w:sz w:val="18"/>
                <w:szCs w:val="18"/>
              </w:rPr>
              <w:t>X</w:t>
            </w:r>
          </w:p>
        </w:tc>
      </w:tr>
      <w:tr w14:paraId="7BA4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6E4E2114">
            <w:pPr>
              <w:overflowPunct w:val="0"/>
              <w:autoSpaceDE w:val="0"/>
              <w:autoSpaceDN w:val="0"/>
              <w:adjustRightInd w:val="0"/>
              <w:snapToGrid w:val="0"/>
              <w:jc w:val="center"/>
              <w:rPr>
                <w:rFonts w:eastAsia="宋体"/>
                <w:sz w:val="18"/>
                <w:szCs w:val="18"/>
              </w:rPr>
            </w:pPr>
            <w:r>
              <w:rPr>
                <w:sz w:val="18"/>
                <w:szCs w:val="18"/>
              </w:rPr>
              <w:t>Assessment of injection site reaction</w:t>
            </w:r>
          </w:p>
        </w:tc>
        <w:tc>
          <w:tcPr>
            <w:tcW w:w="582" w:type="dxa"/>
            <w:shd w:val="clear" w:color="auto" w:fill="auto"/>
            <w:tcMar>
              <w:top w:w="28" w:type="dxa"/>
              <w:left w:w="57" w:type="dxa"/>
              <w:bottom w:w="28" w:type="dxa"/>
              <w:right w:w="57" w:type="dxa"/>
            </w:tcMar>
            <w:vAlign w:val="center"/>
          </w:tcPr>
          <w:p w14:paraId="4657F6A9">
            <w:pPr>
              <w:overflowPunct w:val="0"/>
              <w:autoSpaceDE w:val="0"/>
              <w:autoSpaceDN w:val="0"/>
              <w:adjustRightInd w:val="0"/>
              <w:snapToGrid w:val="0"/>
              <w:jc w:val="center"/>
              <w:rPr>
                <w:rFonts w:eastAsia="宋体"/>
                <w:sz w:val="18"/>
                <w:szCs w:val="18"/>
                <w:lang w:eastAsia="zh-CN"/>
              </w:rPr>
            </w:pPr>
          </w:p>
        </w:tc>
        <w:tc>
          <w:tcPr>
            <w:tcW w:w="425" w:type="dxa"/>
            <w:shd w:val="clear" w:color="auto" w:fill="auto"/>
            <w:tcMar>
              <w:top w:w="28" w:type="dxa"/>
              <w:left w:w="57" w:type="dxa"/>
              <w:bottom w:w="28" w:type="dxa"/>
              <w:right w:w="57" w:type="dxa"/>
            </w:tcMar>
            <w:vAlign w:val="center"/>
          </w:tcPr>
          <w:p w14:paraId="379E9354">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5986C080">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2193D72D">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3FB2A9AC">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4423FA89">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334F2573">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7E5C71C8">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tcPr>
          <w:p w14:paraId="3B861106">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tcPr>
          <w:p w14:paraId="2147E754">
            <w:pPr>
              <w:overflowPunct w:val="0"/>
              <w:autoSpaceDE w:val="0"/>
              <w:autoSpaceDN w:val="0"/>
              <w:adjustRightInd w:val="0"/>
              <w:snapToGrid w:val="0"/>
              <w:jc w:val="center"/>
              <w:rPr>
                <w:rFonts w:eastAsia="宋体"/>
                <w:sz w:val="18"/>
                <w:szCs w:val="18"/>
              </w:rPr>
            </w:pPr>
            <w:r>
              <w:rPr>
                <w:sz w:val="18"/>
                <w:szCs w:val="18"/>
              </w:rPr>
              <w:t>X</w:t>
            </w:r>
          </w:p>
        </w:tc>
        <w:tc>
          <w:tcPr>
            <w:tcW w:w="507" w:type="dxa"/>
            <w:shd w:val="clear" w:color="auto" w:fill="F2F2F2" w:themeFill="background2" w:themeFillTint="33"/>
            <w:tcMar>
              <w:top w:w="28" w:type="dxa"/>
              <w:left w:w="57" w:type="dxa"/>
              <w:bottom w:w="28" w:type="dxa"/>
              <w:right w:w="57" w:type="dxa"/>
            </w:tcMar>
          </w:tcPr>
          <w:p w14:paraId="5E823451">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tcPr>
          <w:p w14:paraId="441DE71C">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tcPr>
          <w:p w14:paraId="4A37F54A">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5FC9E2BC">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5F0C31BE">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tcPr>
          <w:p w14:paraId="2D394BD5">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71DD31FE">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4DD3D3A9">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526BD3EF">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DAE53FD">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73D8D46B">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6059FFF6">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77BD5A34">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363A74ED">
            <w:pPr>
              <w:overflowPunct w:val="0"/>
              <w:autoSpaceDE w:val="0"/>
              <w:autoSpaceDN w:val="0"/>
              <w:adjustRightInd w:val="0"/>
              <w:snapToGrid w:val="0"/>
              <w:jc w:val="center"/>
              <w:rPr>
                <w:rFonts w:eastAsia="宋体"/>
                <w:sz w:val="18"/>
                <w:szCs w:val="18"/>
                <w:lang w:eastAsia="zh-CN"/>
              </w:rPr>
            </w:pPr>
          </w:p>
        </w:tc>
      </w:tr>
      <w:tr w14:paraId="1D12F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710E2660">
            <w:pPr>
              <w:overflowPunct w:val="0"/>
              <w:autoSpaceDE w:val="0"/>
              <w:autoSpaceDN w:val="0"/>
              <w:adjustRightInd w:val="0"/>
              <w:snapToGrid w:val="0"/>
              <w:jc w:val="center"/>
              <w:rPr>
                <w:rFonts w:eastAsia="宋体"/>
                <w:sz w:val="18"/>
                <w:szCs w:val="18"/>
              </w:rPr>
            </w:pPr>
            <w:r>
              <w:rPr>
                <w:sz w:val="18"/>
                <w:szCs w:val="18"/>
              </w:rPr>
              <w:t>Distribution of diary card</w:t>
            </w:r>
          </w:p>
        </w:tc>
        <w:tc>
          <w:tcPr>
            <w:tcW w:w="582" w:type="dxa"/>
            <w:shd w:val="clear" w:color="auto" w:fill="auto"/>
            <w:tcMar>
              <w:top w:w="28" w:type="dxa"/>
              <w:left w:w="57" w:type="dxa"/>
              <w:bottom w:w="28" w:type="dxa"/>
              <w:right w:w="57" w:type="dxa"/>
            </w:tcMar>
            <w:vAlign w:val="center"/>
          </w:tcPr>
          <w:p w14:paraId="46E31AE6">
            <w:pPr>
              <w:overflowPunct w:val="0"/>
              <w:autoSpaceDE w:val="0"/>
              <w:autoSpaceDN w:val="0"/>
              <w:adjustRightInd w:val="0"/>
              <w:snapToGrid w:val="0"/>
              <w:jc w:val="center"/>
              <w:rPr>
                <w:rFonts w:eastAsia="宋体"/>
                <w:sz w:val="18"/>
                <w:szCs w:val="18"/>
                <w:lang w:eastAsia="zh-CN"/>
              </w:rPr>
            </w:pPr>
          </w:p>
        </w:tc>
        <w:tc>
          <w:tcPr>
            <w:tcW w:w="425" w:type="dxa"/>
            <w:shd w:val="clear" w:color="auto" w:fill="auto"/>
            <w:tcMar>
              <w:top w:w="28" w:type="dxa"/>
              <w:left w:w="57" w:type="dxa"/>
              <w:bottom w:w="28" w:type="dxa"/>
              <w:right w:w="57" w:type="dxa"/>
            </w:tcMar>
            <w:vAlign w:val="center"/>
          </w:tcPr>
          <w:p w14:paraId="118BC44C">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39F649D0">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387A7EDD">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4E61B701">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15B68F96">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17AF2863">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35AD2EF7">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tcPr>
          <w:p w14:paraId="4FEF7AC5">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tcPr>
          <w:p w14:paraId="3145A485">
            <w:pPr>
              <w:overflowPunct w:val="0"/>
              <w:autoSpaceDE w:val="0"/>
              <w:autoSpaceDN w:val="0"/>
              <w:adjustRightInd w:val="0"/>
              <w:snapToGrid w:val="0"/>
              <w:jc w:val="center"/>
              <w:rPr>
                <w:rFonts w:eastAsia="宋体"/>
                <w:sz w:val="18"/>
                <w:szCs w:val="18"/>
              </w:rPr>
            </w:pPr>
            <w:r>
              <w:rPr>
                <w:sz w:val="18"/>
                <w:szCs w:val="18"/>
              </w:rPr>
              <w:t>X</w:t>
            </w:r>
          </w:p>
        </w:tc>
        <w:tc>
          <w:tcPr>
            <w:tcW w:w="507" w:type="dxa"/>
            <w:shd w:val="clear" w:color="auto" w:fill="F2F2F2" w:themeFill="background2" w:themeFillTint="33"/>
            <w:tcMar>
              <w:top w:w="28" w:type="dxa"/>
              <w:left w:w="57" w:type="dxa"/>
              <w:bottom w:w="28" w:type="dxa"/>
              <w:right w:w="57" w:type="dxa"/>
            </w:tcMar>
          </w:tcPr>
          <w:p w14:paraId="57C54AB2">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tcPr>
          <w:p w14:paraId="46CF7A56">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tcPr>
          <w:p w14:paraId="20950FC2">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118A4924">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01249E62">
            <w:pPr>
              <w:overflowPunct w:val="0"/>
              <w:autoSpaceDE w:val="0"/>
              <w:autoSpaceDN w:val="0"/>
              <w:adjustRightInd w:val="0"/>
              <w:snapToGrid w:val="0"/>
              <w:jc w:val="center"/>
              <w:rPr>
                <w:rFonts w:eastAsia="宋体"/>
                <w:sz w:val="18"/>
                <w:szCs w:val="18"/>
              </w:rPr>
            </w:pPr>
          </w:p>
        </w:tc>
        <w:tc>
          <w:tcPr>
            <w:tcW w:w="508" w:type="dxa"/>
            <w:tcMar>
              <w:top w:w="28" w:type="dxa"/>
              <w:left w:w="57" w:type="dxa"/>
              <w:bottom w:w="28" w:type="dxa"/>
              <w:right w:w="57" w:type="dxa"/>
            </w:tcMar>
          </w:tcPr>
          <w:p w14:paraId="62FA49A0">
            <w:pPr>
              <w:overflowPunct w:val="0"/>
              <w:autoSpaceDE w:val="0"/>
              <w:autoSpaceDN w:val="0"/>
              <w:adjustRightInd w:val="0"/>
              <w:snapToGrid w:val="0"/>
              <w:jc w:val="center"/>
              <w:rPr>
                <w:rFonts w:eastAsia="宋体"/>
                <w:sz w:val="18"/>
                <w:szCs w:val="18"/>
              </w:rPr>
            </w:pPr>
          </w:p>
        </w:tc>
        <w:tc>
          <w:tcPr>
            <w:tcW w:w="508" w:type="dxa"/>
            <w:tcMar>
              <w:top w:w="28" w:type="dxa"/>
              <w:left w:w="57" w:type="dxa"/>
              <w:bottom w:w="28" w:type="dxa"/>
              <w:right w:w="57" w:type="dxa"/>
            </w:tcMar>
            <w:vAlign w:val="center"/>
          </w:tcPr>
          <w:p w14:paraId="74DCC0D5">
            <w:pPr>
              <w:overflowPunct w:val="0"/>
              <w:autoSpaceDE w:val="0"/>
              <w:autoSpaceDN w:val="0"/>
              <w:adjustRightInd w:val="0"/>
              <w:snapToGrid w:val="0"/>
              <w:jc w:val="center"/>
              <w:rPr>
                <w:rFonts w:eastAsia="宋体"/>
                <w:sz w:val="18"/>
                <w:szCs w:val="18"/>
              </w:rPr>
            </w:pPr>
          </w:p>
        </w:tc>
        <w:tc>
          <w:tcPr>
            <w:tcW w:w="508" w:type="dxa"/>
            <w:tcMar>
              <w:top w:w="28" w:type="dxa"/>
              <w:left w:w="57" w:type="dxa"/>
              <w:bottom w:w="28" w:type="dxa"/>
              <w:right w:w="57" w:type="dxa"/>
            </w:tcMar>
            <w:vAlign w:val="center"/>
          </w:tcPr>
          <w:p w14:paraId="53DEA42A">
            <w:pPr>
              <w:overflowPunct w:val="0"/>
              <w:autoSpaceDE w:val="0"/>
              <w:autoSpaceDN w:val="0"/>
              <w:adjustRightInd w:val="0"/>
              <w:snapToGrid w:val="0"/>
              <w:jc w:val="center"/>
              <w:rPr>
                <w:rFonts w:eastAsia="宋体"/>
                <w:sz w:val="18"/>
                <w:szCs w:val="18"/>
              </w:rPr>
            </w:pPr>
          </w:p>
        </w:tc>
        <w:tc>
          <w:tcPr>
            <w:tcW w:w="508" w:type="dxa"/>
            <w:tcMar>
              <w:top w:w="28" w:type="dxa"/>
              <w:left w:w="57" w:type="dxa"/>
              <w:bottom w:w="28" w:type="dxa"/>
              <w:right w:w="57" w:type="dxa"/>
            </w:tcMar>
            <w:vAlign w:val="center"/>
          </w:tcPr>
          <w:p w14:paraId="1F4CBD25">
            <w:pPr>
              <w:overflowPunct w:val="0"/>
              <w:autoSpaceDE w:val="0"/>
              <w:autoSpaceDN w:val="0"/>
              <w:adjustRightInd w:val="0"/>
              <w:snapToGrid w:val="0"/>
              <w:jc w:val="center"/>
              <w:rPr>
                <w:rFonts w:eastAsia="宋体"/>
                <w:sz w:val="18"/>
                <w:szCs w:val="18"/>
              </w:rPr>
            </w:pPr>
          </w:p>
        </w:tc>
        <w:tc>
          <w:tcPr>
            <w:tcW w:w="508" w:type="dxa"/>
            <w:tcMar>
              <w:top w:w="28" w:type="dxa"/>
              <w:left w:w="57" w:type="dxa"/>
              <w:bottom w:w="28" w:type="dxa"/>
              <w:right w:w="57" w:type="dxa"/>
            </w:tcMar>
            <w:vAlign w:val="center"/>
          </w:tcPr>
          <w:p w14:paraId="5E00FEC5">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673AAC99">
            <w:pPr>
              <w:overflowPunct w:val="0"/>
              <w:autoSpaceDE w:val="0"/>
              <w:autoSpaceDN w:val="0"/>
              <w:adjustRightInd w:val="0"/>
              <w:snapToGrid w:val="0"/>
              <w:jc w:val="center"/>
              <w:rPr>
                <w:rFonts w:eastAsia="宋体"/>
                <w:sz w:val="18"/>
                <w:szCs w:val="18"/>
              </w:rPr>
            </w:pPr>
          </w:p>
        </w:tc>
        <w:tc>
          <w:tcPr>
            <w:tcW w:w="508" w:type="dxa"/>
            <w:tcMar>
              <w:top w:w="28" w:type="dxa"/>
              <w:left w:w="57" w:type="dxa"/>
              <w:bottom w:w="28" w:type="dxa"/>
              <w:right w:w="57" w:type="dxa"/>
            </w:tcMar>
            <w:vAlign w:val="center"/>
          </w:tcPr>
          <w:p w14:paraId="50FC4C09">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79FDE908">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1CE1CA19">
            <w:pPr>
              <w:overflowPunct w:val="0"/>
              <w:autoSpaceDE w:val="0"/>
              <w:autoSpaceDN w:val="0"/>
              <w:adjustRightInd w:val="0"/>
              <w:snapToGrid w:val="0"/>
              <w:jc w:val="center"/>
              <w:rPr>
                <w:rFonts w:eastAsia="宋体"/>
                <w:sz w:val="18"/>
                <w:szCs w:val="18"/>
                <w:lang w:eastAsia="zh-CN"/>
              </w:rPr>
            </w:pPr>
          </w:p>
        </w:tc>
      </w:tr>
      <w:tr w14:paraId="0D362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7B288D4D">
            <w:pPr>
              <w:overflowPunct w:val="0"/>
              <w:autoSpaceDE w:val="0"/>
              <w:autoSpaceDN w:val="0"/>
              <w:adjustRightInd w:val="0"/>
              <w:snapToGrid w:val="0"/>
              <w:jc w:val="center"/>
              <w:rPr>
                <w:rFonts w:eastAsia="宋体"/>
                <w:sz w:val="18"/>
                <w:szCs w:val="18"/>
              </w:rPr>
            </w:pPr>
            <w:r>
              <w:rPr>
                <w:sz w:val="18"/>
                <w:szCs w:val="18"/>
              </w:rPr>
              <w:t>Collection of diary card</w:t>
            </w:r>
          </w:p>
        </w:tc>
        <w:tc>
          <w:tcPr>
            <w:tcW w:w="582" w:type="dxa"/>
            <w:shd w:val="clear" w:color="auto" w:fill="auto"/>
            <w:tcMar>
              <w:top w:w="28" w:type="dxa"/>
              <w:left w:w="57" w:type="dxa"/>
              <w:bottom w:w="28" w:type="dxa"/>
              <w:right w:w="57" w:type="dxa"/>
            </w:tcMar>
            <w:vAlign w:val="center"/>
          </w:tcPr>
          <w:p w14:paraId="5DC1BE3A">
            <w:pPr>
              <w:overflowPunct w:val="0"/>
              <w:autoSpaceDE w:val="0"/>
              <w:autoSpaceDN w:val="0"/>
              <w:adjustRightInd w:val="0"/>
              <w:snapToGrid w:val="0"/>
              <w:jc w:val="center"/>
              <w:rPr>
                <w:rFonts w:eastAsia="宋体"/>
                <w:sz w:val="18"/>
                <w:szCs w:val="18"/>
                <w:lang w:eastAsia="zh-CN"/>
              </w:rPr>
            </w:pPr>
          </w:p>
        </w:tc>
        <w:tc>
          <w:tcPr>
            <w:tcW w:w="425" w:type="dxa"/>
            <w:shd w:val="clear" w:color="auto" w:fill="auto"/>
            <w:tcMar>
              <w:top w:w="28" w:type="dxa"/>
              <w:left w:w="57" w:type="dxa"/>
              <w:bottom w:w="28" w:type="dxa"/>
              <w:right w:w="57" w:type="dxa"/>
            </w:tcMar>
            <w:vAlign w:val="center"/>
          </w:tcPr>
          <w:p w14:paraId="6CABAFA1">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117D974C">
            <w:pPr>
              <w:overflowPunct w:val="0"/>
              <w:autoSpaceDE w:val="0"/>
              <w:autoSpaceDN w:val="0"/>
              <w:adjustRightInd w:val="0"/>
              <w:snapToGrid w:val="0"/>
              <w:jc w:val="center"/>
              <w:rPr>
                <w:rFonts w:eastAsia="宋体"/>
                <w:sz w:val="18"/>
                <w:szCs w:val="18"/>
                <w:lang w:eastAsia="zh-CN"/>
              </w:rPr>
            </w:pPr>
          </w:p>
        </w:tc>
        <w:tc>
          <w:tcPr>
            <w:tcW w:w="443" w:type="dxa"/>
            <w:shd w:val="clear" w:color="auto" w:fill="F1F1F1" w:themeFill="background1" w:themeFillShade="F2"/>
            <w:tcMar>
              <w:top w:w="28" w:type="dxa"/>
              <w:left w:w="57" w:type="dxa"/>
              <w:bottom w:w="28" w:type="dxa"/>
              <w:right w:w="57" w:type="dxa"/>
            </w:tcMar>
            <w:vAlign w:val="center"/>
          </w:tcPr>
          <w:p w14:paraId="1A21EFFD">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23008B4A">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66EC4935">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11C1605B">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429A3E54">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tcPr>
          <w:p w14:paraId="3255E9FE">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tcPr>
          <w:p w14:paraId="24FE8812">
            <w:pPr>
              <w:overflowPunct w:val="0"/>
              <w:autoSpaceDE w:val="0"/>
              <w:autoSpaceDN w:val="0"/>
              <w:adjustRightInd w:val="0"/>
              <w:snapToGrid w:val="0"/>
              <w:jc w:val="center"/>
              <w:rPr>
                <w:rFonts w:eastAsia="宋体"/>
                <w:sz w:val="18"/>
                <w:szCs w:val="18"/>
              </w:rPr>
            </w:pPr>
            <w:r>
              <w:rPr>
                <w:sz w:val="18"/>
                <w:szCs w:val="18"/>
              </w:rPr>
              <w:t>X</w:t>
            </w:r>
          </w:p>
        </w:tc>
        <w:tc>
          <w:tcPr>
            <w:tcW w:w="507" w:type="dxa"/>
            <w:shd w:val="clear" w:color="auto" w:fill="F2F2F2" w:themeFill="background2" w:themeFillTint="33"/>
            <w:tcMar>
              <w:top w:w="28" w:type="dxa"/>
              <w:left w:w="57" w:type="dxa"/>
              <w:bottom w:w="28" w:type="dxa"/>
              <w:right w:w="57" w:type="dxa"/>
            </w:tcMar>
          </w:tcPr>
          <w:p w14:paraId="53B6E95D">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tcPr>
          <w:p w14:paraId="2B2371EC">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tcPr>
          <w:p w14:paraId="09D63C1C">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7ACCBBAF">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1B492DA6">
            <w:pPr>
              <w:overflowPunct w:val="0"/>
              <w:autoSpaceDE w:val="0"/>
              <w:autoSpaceDN w:val="0"/>
              <w:adjustRightInd w:val="0"/>
              <w:snapToGrid w:val="0"/>
              <w:jc w:val="center"/>
              <w:rPr>
                <w:rFonts w:eastAsia="宋体"/>
                <w:sz w:val="18"/>
                <w:szCs w:val="18"/>
              </w:rPr>
            </w:pPr>
          </w:p>
        </w:tc>
        <w:tc>
          <w:tcPr>
            <w:tcW w:w="508" w:type="dxa"/>
            <w:tcMar>
              <w:top w:w="28" w:type="dxa"/>
              <w:left w:w="57" w:type="dxa"/>
              <w:bottom w:w="28" w:type="dxa"/>
              <w:right w:w="57" w:type="dxa"/>
            </w:tcMar>
          </w:tcPr>
          <w:p w14:paraId="6821014D">
            <w:pPr>
              <w:overflowPunct w:val="0"/>
              <w:autoSpaceDE w:val="0"/>
              <w:autoSpaceDN w:val="0"/>
              <w:adjustRightInd w:val="0"/>
              <w:snapToGrid w:val="0"/>
              <w:jc w:val="center"/>
              <w:rPr>
                <w:rFonts w:eastAsia="宋体"/>
                <w:sz w:val="18"/>
                <w:szCs w:val="18"/>
              </w:rPr>
            </w:pPr>
          </w:p>
        </w:tc>
        <w:tc>
          <w:tcPr>
            <w:tcW w:w="508" w:type="dxa"/>
            <w:tcMar>
              <w:top w:w="28" w:type="dxa"/>
              <w:left w:w="57" w:type="dxa"/>
              <w:bottom w:w="28" w:type="dxa"/>
              <w:right w:w="57" w:type="dxa"/>
            </w:tcMar>
            <w:vAlign w:val="center"/>
          </w:tcPr>
          <w:p w14:paraId="6169038F">
            <w:pPr>
              <w:overflowPunct w:val="0"/>
              <w:autoSpaceDE w:val="0"/>
              <w:autoSpaceDN w:val="0"/>
              <w:adjustRightInd w:val="0"/>
              <w:snapToGrid w:val="0"/>
              <w:jc w:val="center"/>
              <w:rPr>
                <w:rFonts w:eastAsia="宋体"/>
                <w:sz w:val="18"/>
                <w:szCs w:val="18"/>
              </w:rPr>
            </w:pPr>
          </w:p>
        </w:tc>
        <w:tc>
          <w:tcPr>
            <w:tcW w:w="508" w:type="dxa"/>
            <w:tcMar>
              <w:top w:w="28" w:type="dxa"/>
              <w:left w:w="57" w:type="dxa"/>
              <w:bottom w:w="28" w:type="dxa"/>
              <w:right w:w="57" w:type="dxa"/>
            </w:tcMar>
            <w:vAlign w:val="center"/>
          </w:tcPr>
          <w:p w14:paraId="14BA5F04">
            <w:pPr>
              <w:overflowPunct w:val="0"/>
              <w:autoSpaceDE w:val="0"/>
              <w:autoSpaceDN w:val="0"/>
              <w:adjustRightInd w:val="0"/>
              <w:snapToGrid w:val="0"/>
              <w:jc w:val="center"/>
              <w:rPr>
                <w:rFonts w:eastAsia="宋体"/>
                <w:sz w:val="18"/>
                <w:szCs w:val="18"/>
              </w:rPr>
            </w:pPr>
          </w:p>
        </w:tc>
        <w:tc>
          <w:tcPr>
            <w:tcW w:w="508" w:type="dxa"/>
            <w:tcMar>
              <w:top w:w="28" w:type="dxa"/>
              <w:left w:w="57" w:type="dxa"/>
              <w:bottom w:w="28" w:type="dxa"/>
              <w:right w:w="57" w:type="dxa"/>
            </w:tcMar>
            <w:vAlign w:val="center"/>
          </w:tcPr>
          <w:p w14:paraId="4CDBDCAB">
            <w:pPr>
              <w:overflowPunct w:val="0"/>
              <w:autoSpaceDE w:val="0"/>
              <w:autoSpaceDN w:val="0"/>
              <w:adjustRightInd w:val="0"/>
              <w:snapToGrid w:val="0"/>
              <w:jc w:val="center"/>
              <w:rPr>
                <w:rFonts w:eastAsia="宋体"/>
                <w:sz w:val="18"/>
                <w:szCs w:val="18"/>
              </w:rPr>
            </w:pPr>
          </w:p>
        </w:tc>
        <w:tc>
          <w:tcPr>
            <w:tcW w:w="508" w:type="dxa"/>
            <w:tcMar>
              <w:top w:w="28" w:type="dxa"/>
              <w:left w:w="57" w:type="dxa"/>
              <w:bottom w:w="28" w:type="dxa"/>
              <w:right w:w="57" w:type="dxa"/>
            </w:tcMar>
            <w:vAlign w:val="center"/>
          </w:tcPr>
          <w:p w14:paraId="29AD5926">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7A41D627">
            <w:pPr>
              <w:overflowPunct w:val="0"/>
              <w:autoSpaceDE w:val="0"/>
              <w:autoSpaceDN w:val="0"/>
              <w:adjustRightInd w:val="0"/>
              <w:snapToGrid w:val="0"/>
              <w:jc w:val="center"/>
              <w:rPr>
                <w:rFonts w:eastAsia="宋体"/>
                <w:sz w:val="18"/>
                <w:szCs w:val="18"/>
              </w:rPr>
            </w:pPr>
          </w:p>
        </w:tc>
        <w:tc>
          <w:tcPr>
            <w:tcW w:w="508" w:type="dxa"/>
            <w:tcMar>
              <w:top w:w="28" w:type="dxa"/>
              <w:left w:w="57" w:type="dxa"/>
              <w:bottom w:w="28" w:type="dxa"/>
              <w:right w:w="57" w:type="dxa"/>
            </w:tcMar>
            <w:vAlign w:val="center"/>
          </w:tcPr>
          <w:p w14:paraId="4AC17DB8">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7C00D6E1">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47406A2D">
            <w:pPr>
              <w:overflowPunct w:val="0"/>
              <w:autoSpaceDE w:val="0"/>
              <w:autoSpaceDN w:val="0"/>
              <w:adjustRightInd w:val="0"/>
              <w:snapToGrid w:val="0"/>
              <w:jc w:val="center"/>
              <w:rPr>
                <w:rFonts w:eastAsia="宋体"/>
                <w:sz w:val="18"/>
                <w:szCs w:val="18"/>
              </w:rPr>
            </w:pPr>
            <w:r>
              <w:rPr>
                <w:sz w:val="18"/>
                <w:szCs w:val="18"/>
              </w:rPr>
              <w:t>X</w:t>
            </w:r>
          </w:p>
        </w:tc>
      </w:tr>
      <w:tr w14:paraId="67FB9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7129E300">
            <w:pPr>
              <w:overflowPunct w:val="0"/>
              <w:autoSpaceDE w:val="0"/>
              <w:autoSpaceDN w:val="0"/>
              <w:adjustRightInd w:val="0"/>
              <w:snapToGrid w:val="0"/>
              <w:jc w:val="center"/>
              <w:rPr>
                <w:rFonts w:eastAsia="宋体"/>
                <w:sz w:val="18"/>
                <w:szCs w:val="18"/>
              </w:rPr>
            </w:pPr>
            <w:r>
              <w:rPr>
                <w:sz w:val="18"/>
                <w:szCs w:val="18"/>
              </w:rPr>
              <w:t>Diet and exercise guidance</w:t>
            </w:r>
          </w:p>
        </w:tc>
        <w:tc>
          <w:tcPr>
            <w:tcW w:w="582" w:type="dxa"/>
            <w:shd w:val="clear" w:color="auto" w:fill="auto"/>
            <w:tcMar>
              <w:top w:w="28" w:type="dxa"/>
              <w:left w:w="57" w:type="dxa"/>
              <w:bottom w:w="28" w:type="dxa"/>
              <w:right w:w="57" w:type="dxa"/>
            </w:tcMar>
            <w:vAlign w:val="center"/>
          </w:tcPr>
          <w:p w14:paraId="6EF67540">
            <w:pPr>
              <w:overflowPunct w:val="0"/>
              <w:autoSpaceDE w:val="0"/>
              <w:autoSpaceDN w:val="0"/>
              <w:adjustRightInd w:val="0"/>
              <w:snapToGrid w:val="0"/>
              <w:jc w:val="center"/>
              <w:rPr>
                <w:rFonts w:eastAsia="宋体"/>
                <w:sz w:val="18"/>
                <w:szCs w:val="18"/>
              </w:rPr>
            </w:pPr>
            <w:r>
              <w:rPr>
                <w:sz w:val="18"/>
                <w:szCs w:val="18"/>
              </w:rPr>
              <w:t>X</w:t>
            </w:r>
          </w:p>
        </w:tc>
        <w:tc>
          <w:tcPr>
            <w:tcW w:w="425" w:type="dxa"/>
            <w:shd w:val="clear" w:color="auto" w:fill="auto"/>
            <w:tcMar>
              <w:top w:w="28" w:type="dxa"/>
              <w:left w:w="57" w:type="dxa"/>
              <w:bottom w:w="28" w:type="dxa"/>
              <w:right w:w="57" w:type="dxa"/>
            </w:tcMar>
            <w:vAlign w:val="center"/>
          </w:tcPr>
          <w:p w14:paraId="7FFD1AFF">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2C01A77E">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5683542E">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07414686">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6E3B460A">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72FAD2C9">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1B754B41">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vAlign w:val="center"/>
          </w:tcPr>
          <w:p w14:paraId="7DD4B52E">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vAlign w:val="center"/>
          </w:tcPr>
          <w:p w14:paraId="6437AB3B">
            <w:pPr>
              <w:overflowPunct w:val="0"/>
              <w:autoSpaceDE w:val="0"/>
              <w:autoSpaceDN w:val="0"/>
              <w:adjustRightInd w:val="0"/>
              <w:snapToGrid w:val="0"/>
              <w:jc w:val="center"/>
              <w:rPr>
                <w:rFonts w:eastAsia="宋体"/>
                <w:sz w:val="18"/>
                <w:szCs w:val="18"/>
              </w:rPr>
            </w:pPr>
            <w:r>
              <w:rPr>
                <w:sz w:val="18"/>
                <w:szCs w:val="18"/>
              </w:rPr>
              <w:t>X</w:t>
            </w:r>
          </w:p>
        </w:tc>
        <w:tc>
          <w:tcPr>
            <w:tcW w:w="507" w:type="dxa"/>
            <w:shd w:val="clear" w:color="auto" w:fill="F2F2F2" w:themeFill="background2" w:themeFillTint="33"/>
            <w:tcMar>
              <w:top w:w="28" w:type="dxa"/>
              <w:left w:w="57" w:type="dxa"/>
              <w:bottom w:w="28" w:type="dxa"/>
              <w:right w:w="57" w:type="dxa"/>
            </w:tcMar>
            <w:vAlign w:val="center"/>
          </w:tcPr>
          <w:p w14:paraId="46B0EAA6">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0C26B195">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43775B59">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54F84457">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5362A3BB">
            <w:pPr>
              <w:overflowPunct w:val="0"/>
              <w:autoSpaceDE w:val="0"/>
              <w:autoSpaceDN w:val="0"/>
              <w:adjustRightInd w:val="0"/>
              <w:snapToGrid w:val="0"/>
              <w:jc w:val="center"/>
              <w:rPr>
                <w:rFonts w:eastAsia="宋体"/>
                <w:sz w:val="18"/>
                <w:szCs w:val="18"/>
              </w:rPr>
            </w:pPr>
          </w:p>
        </w:tc>
        <w:tc>
          <w:tcPr>
            <w:tcW w:w="508" w:type="dxa"/>
            <w:tcMar>
              <w:top w:w="28" w:type="dxa"/>
              <w:left w:w="57" w:type="dxa"/>
              <w:bottom w:w="28" w:type="dxa"/>
              <w:right w:w="57" w:type="dxa"/>
            </w:tcMar>
          </w:tcPr>
          <w:p w14:paraId="726EC591">
            <w:pPr>
              <w:overflowPunct w:val="0"/>
              <w:autoSpaceDE w:val="0"/>
              <w:autoSpaceDN w:val="0"/>
              <w:adjustRightInd w:val="0"/>
              <w:snapToGrid w:val="0"/>
              <w:jc w:val="center"/>
              <w:rPr>
                <w:rFonts w:eastAsia="宋体"/>
                <w:sz w:val="18"/>
                <w:szCs w:val="18"/>
                <w:lang w:eastAsia="zh-CN"/>
              </w:rPr>
            </w:pPr>
          </w:p>
        </w:tc>
        <w:tc>
          <w:tcPr>
            <w:tcW w:w="508" w:type="dxa"/>
            <w:tcMar>
              <w:top w:w="28" w:type="dxa"/>
              <w:left w:w="57" w:type="dxa"/>
              <w:bottom w:w="28" w:type="dxa"/>
              <w:right w:w="57" w:type="dxa"/>
            </w:tcMar>
            <w:vAlign w:val="center"/>
          </w:tcPr>
          <w:p w14:paraId="0A302CE1">
            <w:pPr>
              <w:overflowPunct w:val="0"/>
              <w:autoSpaceDE w:val="0"/>
              <w:autoSpaceDN w:val="0"/>
              <w:adjustRightInd w:val="0"/>
              <w:snapToGrid w:val="0"/>
              <w:jc w:val="center"/>
              <w:rPr>
                <w:rFonts w:eastAsia="宋体"/>
                <w:sz w:val="18"/>
                <w:szCs w:val="18"/>
              </w:rPr>
            </w:pPr>
          </w:p>
        </w:tc>
        <w:tc>
          <w:tcPr>
            <w:tcW w:w="508" w:type="dxa"/>
            <w:tcMar>
              <w:top w:w="28" w:type="dxa"/>
              <w:left w:w="57" w:type="dxa"/>
              <w:bottom w:w="28" w:type="dxa"/>
              <w:right w:w="57" w:type="dxa"/>
            </w:tcMar>
            <w:vAlign w:val="center"/>
          </w:tcPr>
          <w:p w14:paraId="75367573">
            <w:pPr>
              <w:overflowPunct w:val="0"/>
              <w:autoSpaceDE w:val="0"/>
              <w:autoSpaceDN w:val="0"/>
              <w:adjustRightInd w:val="0"/>
              <w:snapToGrid w:val="0"/>
              <w:jc w:val="center"/>
              <w:rPr>
                <w:rFonts w:eastAsia="宋体"/>
                <w:sz w:val="18"/>
                <w:szCs w:val="18"/>
              </w:rPr>
            </w:pPr>
          </w:p>
        </w:tc>
        <w:tc>
          <w:tcPr>
            <w:tcW w:w="508" w:type="dxa"/>
            <w:tcMar>
              <w:top w:w="28" w:type="dxa"/>
              <w:left w:w="57" w:type="dxa"/>
              <w:bottom w:w="28" w:type="dxa"/>
              <w:right w:w="57" w:type="dxa"/>
            </w:tcMar>
            <w:vAlign w:val="center"/>
          </w:tcPr>
          <w:p w14:paraId="4544A215">
            <w:pPr>
              <w:overflowPunct w:val="0"/>
              <w:autoSpaceDE w:val="0"/>
              <w:autoSpaceDN w:val="0"/>
              <w:adjustRightInd w:val="0"/>
              <w:snapToGrid w:val="0"/>
              <w:jc w:val="center"/>
              <w:rPr>
                <w:rFonts w:eastAsia="宋体"/>
                <w:sz w:val="18"/>
                <w:szCs w:val="18"/>
              </w:rPr>
            </w:pPr>
          </w:p>
        </w:tc>
        <w:tc>
          <w:tcPr>
            <w:tcW w:w="508" w:type="dxa"/>
            <w:tcMar>
              <w:top w:w="28" w:type="dxa"/>
              <w:left w:w="57" w:type="dxa"/>
              <w:bottom w:w="28" w:type="dxa"/>
              <w:right w:w="57" w:type="dxa"/>
            </w:tcMar>
            <w:vAlign w:val="center"/>
          </w:tcPr>
          <w:p w14:paraId="750AC948">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39D8BE33">
            <w:pPr>
              <w:overflowPunct w:val="0"/>
              <w:autoSpaceDE w:val="0"/>
              <w:autoSpaceDN w:val="0"/>
              <w:adjustRightInd w:val="0"/>
              <w:snapToGrid w:val="0"/>
              <w:jc w:val="center"/>
              <w:rPr>
                <w:rFonts w:eastAsia="宋体"/>
                <w:sz w:val="18"/>
                <w:szCs w:val="18"/>
              </w:rPr>
            </w:pPr>
          </w:p>
        </w:tc>
        <w:tc>
          <w:tcPr>
            <w:tcW w:w="508" w:type="dxa"/>
            <w:tcMar>
              <w:top w:w="28" w:type="dxa"/>
              <w:left w:w="57" w:type="dxa"/>
              <w:bottom w:w="28" w:type="dxa"/>
              <w:right w:w="57" w:type="dxa"/>
            </w:tcMar>
            <w:vAlign w:val="center"/>
          </w:tcPr>
          <w:p w14:paraId="4B058BDC">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2ED34EE4">
            <w:pPr>
              <w:overflowPunct w:val="0"/>
              <w:autoSpaceDE w:val="0"/>
              <w:autoSpaceDN w:val="0"/>
              <w:adjustRightInd w:val="0"/>
              <w:snapToGrid w:val="0"/>
              <w:jc w:val="center"/>
              <w:rPr>
                <w:rFonts w:eastAsia="宋体"/>
                <w:sz w:val="18"/>
                <w:szCs w:val="18"/>
                <w:lang w:eastAsia="zh-CN"/>
              </w:rPr>
            </w:pPr>
          </w:p>
        </w:tc>
        <w:tc>
          <w:tcPr>
            <w:tcW w:w="818" w:type="dxa"/>
            <w:tcMar>
              <w:top w:w="28" w:type="dxa"/>
              <w:left w:w="57" w:type="dxa"/>
              <w:bottom w:w="28" w:type="dxa"/>
              <w:right w:w="57" w:type="dxa"/>
            </w:tcMar>
            <w:vAlign w:val="center"/>
          </w:tcPr>
          <w:p w14:paraId="7B863DBE">
            <w:pPr>
              <w:overflowPunct w:val="0"/>
              <w:autoSpaceDE w:val="0"/>
              <w:autoSpaceDN w:val="0"/>
              <w:adjustRightInd w:val="0"/>
              <w:snapToGrid w:val="0"/>
              <w:jc w:val="center"/>
              <w:rPr>
                <w:rFonts w:eastAsia="宋体"/>
                <w:sz w:val="18"/>
                <w:szCs w:val="18"/>
              </w:rPr>
            </w:pPr>
            <w:r>
              <w:rPr>
                <w:sz w:val="18"/>
                <w:szCs w:val="18"/>
              </w:rPr>
              <w:t>X</w:t>
            </w:r>
          </w:p>
        </w:tc>
      </w:tr>
      <w:tr w14:paraId="376E5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39AB5257">
            <w:pPr>
              <w:overflowPunct w:val="0"/>
              <w:autoSpaceDE w:val="0"/>
              <w:autoSpaceDN w:val="0"/>
              <w:adjustRightInd w:val="0"/>
              <w:snapToGrid w:val="0"/>
              <w:jc w:val="center"/>
              <w:rPr>
                <w:rFonts w:eastAsia="宋体"/>
                <w:sz w:val="18"/>
                <w:szCs w:val="18"/>
              </w:rPr>
            </w:pPr>
            <w:r>
              <w:rPr>
                <w:sz w:val="18"/>
                <w:szCs w:val="18"/>
              </w:rPr>
              <w:t>AE monitoring and recording</w:t>
            </w:r>
          </w:p>
        </w:tc>
        <w:tc>
          <w:tcPr>
            <w:tcW w:w="582" w:type="dxa"/>
            <w:shd w:val="clear" w:color="auto" w:fill="auto"/>
            <w:tcMar>
              <w:top w:w="28" w:type="dxa"/>
              <w:left w:w="57" w:type="dxa"/>
              <w:bottom w:w="28" w:type="dxa"/>
              <w:right w:w="57" w:type="dxa"/>
            </w:tcMar>
            <w:vAlign w:val="center"/>
          </w:tcPr>
          <w:p w14:paraId="7C82AAAB">
            <w:pPr>
              <w:overflowPunct w:val="0"/>
              <w:autoSpaceDE w:val="0"/>
              <w:autoSpaceDN w:val="0"/>
              <w:adjustRightInd w:val="0"/>
              <w:snapToGrid w:val="0"/>
              <w:jc w:val="center"/>
              <w:rPr>
                <w:rFonts w:eastAsia="宋体"/>
                <w:sz w:val="18"/>
                <w:szCs w:val="18"/>
              </w:rPr>
            </w:pPr>
            <w:r>
              <w:rPr>
                <w:sz w:val="18"/>
                <w:szCs w:val="18"/>
              </w:rPr>
              <w:t>X</w:t>
            </w:r>
          </w:p>
        </w:tc>
        <w:tc>
          <w:tcPr>
            <w:tcW w:w="425" w:type="dxa"/>
            <w:shd w:val="clear" w:color="auto" w:fill="auto"/>
            <w:tcMar>
              <w:top w:w="28" w:type="dxa"/>
              <w:left w:w="57" w:type="dxa"/>
              <w:bottom w:w="28" w:type="dxa"/>
              <w:right w:w="57" w:type="dxa"/>
            </w:tcMar>
            <w:vAlign w:val="center"/>
          </w:tcPr>
          <w:p w14:paraId="3BDA64DF">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445C9781">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2F2CF732">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6B141001">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7BB6E434">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325DAA2F">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4E569A53">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tcPr>
          <w:p w14:paraId="6B6B4667">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tcPr>
          <w:p w14:paraId="0D78DEF9">
            <w:pPr>
              <w:overflowPunct w:val="0"/>
              <w:autoSpaceDE w:val="0"/>
              <w:autoSpaceDN w:val="0"/>
              <w:adjustRightInd w:val="0"/>
              <w:snapToGrid w:val="0"/>
              <w:jc w:val="center"/>
              <w:rPr>
                <w:rFonts w:eastAsia="宋体"/>
                <w:sz w:val="18"/>
                <w:szCs w:val="18"/>
              </w:rPr>
            </w:pPr>
            <w:r>
              <w:rPr>
                <w:sz w:val="18"/>
                <w:szCs w:val="18"/>
              </w:rPr>
              <w:t>X</w:t>
            </w:r>
          </w:p>
        </w:tc>
        <w:tc>
          <w:tcPr>
            <w:tcW w:w="507" w:type="dxa"/>
            <w:shd w:val="clear" w:color="auto" w:fill="F2F2F2" w:themeFill="background2" w:themeFillTint="33"/>
            <w:tcMar>
              <w:top w:w="28" w:type="dxa"/>
              <w:left w:w="57" w:type="dxa"/>
              <w:bottom w:w="28" w:type="dxa"/>
              <w:right w:w="57" w:type="dxa"/>
            </w:tcMar>
          </w:tcPr>
          <w:p w14:paraId="710EAC2E">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tcPr>
          <w:p w14:paraId="5AF0439D">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tcPr>
          <w:p w14:paraId="4E5ED53F">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2727AB5A">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37E570E4">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35F7D4C5">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7828A275">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49ED5538">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30EB22C8">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47A2198A">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30BA9687">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012D9941">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4D5D0EC8">
            <w:pPr>
              <w:overflowPunct w:val="0"/>
              <w:autoSpaceDE w:val="0"/>
              <w:autoSpaceDN w:val="0"/>
              <w:adjustRightInd w:val="0"/>
              <w:snapToGrid w:val="0"/>
              <w:jc w:val="center"/>
              <w:rPr>
                <w:rFonts w:eastAsia="宋体"/>
                <w:sz w:val="18"/>
                <w:szCs w:val="18"/>
              </w:rPr>
            </w:pPr>
            <w:r>
              <w:rPr>
                <w:sz w:val="18"/>
                <w:szCs w:val="18"/>
              </w:rPr>
              <w:t>X</w:t>
            </w:r>
          </w:p>
        </w:tc>
        <w:tc>
          <w:tcPr>
            <w:tcW w:w="818" w:type="dxa"/>
            <w:tcMar>
              <w:top w:w="28" w:type="dxa"/>
              <w:left w:w="57" w:type="dxa"/>
              <w:bottom w:w="28" w:type="dxa"/>
              <w:right w:w="57" w:type="dxa"/>
            </w:tcMar>
            <w:vAlign w:val="center"/>
          </w:tcPr>
          <w:p w14:paraId="060CE308">
            <w:pPr>
              <w:overflowPunct w:val="0"/>
              <w:autoSpaceDE w:val="0"/>
              <w:autoSpaceDN w:val="0"/>
              <w:adjustRightInd w:val="0"/>
              <w:snapToGrid w:val="0"/>
              <w:jc w:val="center"/>
              <w:rPr>
                <w:rFonts w:eastAsia="宋体"/>
                <w:sz w:val="18"/>
                <w:szCs w:val="18"/>
              </w:rPr>
            </w:pPr>
            <w:r>
              <w:rPr>
                <w:sz w:val="18"/>
                <w:szCs w:val="18"/>
              </w:rPr>
              <w:t>X</w:t>
            </w:r>
          </w:p>
        </w:tc>
      </w:tr>
      <w:tr w14:paraId="18C02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405" w:type="dxa"/>
            <w:shd w:val="clear" w:color="auto" w:fill="auto"/>
            <w:tcMar>
              <w:top w:w="28" w:type="dxa"/>
              <w:left w:w="57" w:type="dxa"/>
              <w:bottom w:w="28" w:type="dxa"/>
              <w:right w:w="57" w:type="dxa"/>
            </w:tcMar>
            <w:vAlign w:val="center"/>
          </w:tcPr>
          <w:p w14:paraId="1F0175C9">
            <w:pPr>
              <w:overflowPunct w:val="0"/>
              <w:autoSpaceDE w:val="0"/>
              <w:autoSpaceDN w:val="0"/>
              <w:adjustRightInd w:val="0"/>
              <w:snapToGrid w:val="0"/>
              <w:jc w:val="center"/>
              <w:rPr>
                <w:rFonts w:eastAsia="宋体"/>
                <w:sz w:val="18"/>
                <w:szCs w:val="18"/>
              </w:rPr>
            </w:pPr>
            <w:r>
              <w:rPr>
                <w:sz w:val="18"/>
                <w:szCs w:val="18"/>
              </w:rPr>
              <w:t>Collection of concomitant medication/treatment</w:t>
            </w:r>
          </w:p>
        </w:tc>
        <w:tc>
          <w:tcPr>
            <w:tcW w:w="582" w:type="dxa"/>
            <w:shd w:val="clear" w:color="auto" w:fill="auto"/>
            <w:tcMar>
              <w:top w:w="28" w:type="dxa"/>
              <w:left w:w="57" w:type="dxa"/>
              <w:bottom w:w="28" w:type="dxa"/>
              <w:right w:w="57" w:type="dxa"/>
            </w:tcMar>
            <w:vAlign w:val="center"/>
          </w:tcPr>
          <w:p w14:paraId="1610688E">
            <w:pPr>
              <w:overflowPunct w:val="0"/>
              <w:autoSpaceDE w:val="0"/>
              <w:autoSpaceDN w:val="0"/>
              <w:adjustRightInd w:val="0"/>
              <w:snapToGrid w:val="0"/>
              <w:jc w:val="center"/>
              <w:rPr>
                <w:rFonts w:eastAsia="宋体"/>
                <w:sz w:val="18"/>
                <w:szCs w:val="18"/>
              </w:rPr>
            </w:pPr>
            <w:r>
              <w:rPr>
                <w:sz w:val="18"/>
                <w:szCs w:val="18"/>
              </w:rPr>
              <w:t>X</w:t>
            </w:r>
          </w:p>
        </w:tc>
        <w:tc>
          <w:tcPr>
            <w:tcW w:w="425" w:type="dxa"/>
            <w:shd w:val="clear" w:color="auto" w:fill="auto"/>
            <w:tcMar>
              <w:top w:w="28" w:type="dxa"/>
              <w:left w:w="57" w:type="dxa"/>
              <w:bottom w:w="28" w:type="dxa"/>
              <w:right w:w="57" w:type="dxa"/>
            </w:tcMar>
            <w:vAlign w:val="center"/>
          </w:tcPr>
          <w:p w14:paraId="0E87BC79">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085619DE">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6A2B1E0E">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132CF912">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3F5BF64A">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46044B0D">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1F1F1" w:themeFill="background1" w:themeFillShade="F2"/>
            <w:tcMar>
              <w:top w:w="28" w:type="dxa"/>
              <w:left w:w="57" w:type="dxa"/>
              <w:bottom w:w="28" w:type="dxa"/>
              <w:right w:w="57" w:type="dxa"/>
            </w:tcMar>
            <w:vAlign w:val="center"/>
          </w:tcPr>
          <w:p w14:paraId="2DC00738">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tcPr>
          <w:p w14:paraId="3AE1AC7C">
            <w:pPr>
              <w:overflowPunct w:val="0"/>
              <w:autoSpaceDE w:val="0"/>
              <w:autoSpaceDN w:val="0"/>
              <w:adjustRightInd w:val="0"/>
              <w:snapToGrid w:val="0"/>
              <w:jc w:val="center"/>
              <w:rPr>
                <w:rFonts w:eastAsia="宋体"/>
                <w:sz w:val="18"/>
                <w:szCs w:val="18"/>
              </w:rPr>
            </w:pPr>
            <w:r>
              <w:rPr>
                <w:sz w:val="18"/>
                <w:szCs w:val="18"/>
              </w:rPr>
              <w:t>X</w:t>
            </w:r>
          </w:p>
        </w:tc>
        <w:tc>
          <w:tcPr>
            <w:tcW w:w="443" w:type="dxa"/>
            <w:shd w:val="clear" w:color="auto" w:fill="F2F2F2" w:themeFill="background2" w:themeFillTint="33"/>
            <w:tcMar>
              <w:top w:w="28" w:type="dxa"/>
              <w:left w:w="57" w:type="dxa"/>
              <w:bottom w:w="28" w:type="dxa"/>
              <w:right w:w="57" w:type="dxa"/>
            </w:tcMar>
          </w:tcPr>
          <w:p w14:paraId="7EA2F346">
            <w:pPr>
              <w:overflowPunct w:val="0"/>
              <w:autoSpaceDE w:val="0"/>
              <w:autoSpaceDN w:val="0"/>
              <w:adjustRightInd w:val="0"/>
              <w:snapToGrid w:val="0"/>
              <w:jc w:val="center"/>
              <w:rPr>
                <w:rFonts w:eastAsia="宋体"/>
                <w:sz w:val="18"/>
                <w:szCs w:val="18"/>
              </w:rPr>
            </w:pPr>
            <w:r>
              <w:rPr>
                <w:sz w:val="18"/>
                <w:szCs w:val="18"/>
              </w:rPr>
              <w:t>X</w:t>
            </w:r>
          </w:p>
        </w:tc>
        <w:tc>
          <w:tcPr>
            <w:tcW w:w="507" w:type="dxa"/>
            <w:shd w:val="clear" w:color="auto" w:fill="F2F2F2" w:themeFill="background2" w:themeFillTint="33"/>
            <w:tcMar>
              <w:top w:w="28" w:type="dxa"/>
              <w:left w:w="57" w:type="dxa"/>
              <w:bottom w:w="28" w:type="dxa"/>
              <w:right w:w="57" w:type="dxa"/>
            </w:tcMar>
          </w:tcPr>
          <w:p w14:paraId="4C5BC9A7">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tcPr>
          <w:p w14:paraId="7853E401">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tcPr>
          <w:p w14:paraId="455F007C">
            <w:pPr>
              <w:overflowPunct w:val="0"/>
              <w:autoSpaceDE w:val="0"/>
              <w:autoSpaceDN w:val="0"/>
              <w:adjustRightInd w:val="0"/>
              <w:snapToGrid w:val="0"/>
              <w:jc w:val="center"/>
              <w:rPr>
                <w:rFonts w:eastAsia="宋体"/>
                <w:sz w:val="18"/>
                <w:szCs w:val="18"/>
              </w:rPr>
            </w:pPr>
            <w:r>
              <w:rPr>
                <w:sz w:val="18"/>
                <w:szCs w:val="18"/>
              </w:rPr>
              <w:t>X</w:t>
            </w:r>
          </w:p>
        </w:tc>
        <w:tc>
          <w:tcPr>
            <w:tcW w:w="508" w:type="dxa"/>
            <w:shd w:val="clear" w:color="auto" w:fill="F2F2F2" w:themeFill="background2" w:themeFillTint="33"/>
            <w:tcMar>
              <w:top w:w="28" w:type="dxa"/>
              <w:left w:w="57" w:type="dxa"/>
              <w:bottom w:w="28" w:type="dxa"/>
              <w:right w:w="57" w:type="dxa"/>
            </w:tcMar>
            <w:vAlign w:val="center"/>
          </w:tcPr>
          <w:p w14:paraId="68A27447">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3B53C2D3">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45C00972">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1765FC3C">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3E8A4CA2">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5AAABD97">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6338226B">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7B8D5788">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7863F57D">
            <w:pPr>
              <w:overflowPunct w:val="0"/>
              <w:autoSpaceDE w:val="0"/>
              <w:autoSpaceDN w:val="0"/>
              <w:adjustRightInd w:val="0"/>
              <w:snapToGrid w:val="0"/>
              <w:jc w:val="center"/>
              <w:rPr>
                <w:rFonts w:eastAsia="宋体"/>
                <w:sz w:val="18"/>
                <w:szCs w:val="18"/>
              </w:rPr>
            </w:pPr>
            <w:r>
              <w:rPr>
                <w:sz w:val="18"/>
                <w:szCs w:val="18"/>
              </w:rPr>
              <w:t>X</w:t>
            </w:r>
          </w:p>
        </w:tc>
        <w:tc>
          <w:tcPr>
            <w:tcW w:w="508" w:type="dxa"/>
            <w:tcMar>
              <w:top w:w="28" w:type="dxa"/>
              <w:left w:w="57" w:type="dxa"/>
              <w:bottom w:w="28" w:type="dxa"/>
              <w:right w:w="57" w:type="dxa"/>
            </w:tcMar>
            <w:vAlign w:val="center"/>
          </w:tcPr>
          <w:p w14:paraId="2DCDAAA2">
            <w:pPr>
              <w:overflowPunct w:val="0"/>
              <w:autoSpaceDE w:val="0"/>
              <w:autoSpaceDN w:val="0"/>
              <w:adjustRightInd w:val="0"/>
              <w:snapToGrid w:val="0"/>
              <w:jc w:val="center"/>
              <w:rPr>
                <w:rFonts w:eastAsia="宋体"/>
                <w:sz w:val="18"/>
                <w:szCs w:val="18"/>
              </w:rPr>
            </w:pPr>
            <w:r>
              <w:rPr>
                <w:sz w:val="18"/>
                <w:szCs w:val="18"/>
              </w:rPr>
              <w:t>X</w:t>
            </w:r>
          </w:p>
        </w:tc>
        <w:tc>
          <w:tcPr>
            <w:tcW w:w="818" w:type="dxa"/>
            <w:tcMar>
              <w:top w:w="28" w:type="dxa"/>
              <w:left w:w="57" w:type="dxa"/>
              <w:bottom w:w="28" w:type="dxa"/>
              <w:right w:w="57" w:type="dxa"/>
            </w:tcMar>
            <w:vAlign w:val="center"/>
          </w:tcPr>
          <w:p w14:paraId="4617C3D2">
            <w:pPr>
              <w:overflowPunct w:val="0"/>
              <w:autoSpaceDE w:val="0"/>
              <w:autoSpaceDN w:val="0"/>
              <w:adjustRightInd w:val="0"/>
              <w:snapToGrid w:val="0"/>
              <w:jc w:val="center"/>
              <w:rPr>
                <w:rFonts w:eastAsia="宋体"/>
                <w:sz w:val="18"/>
                <w:szCs w:val="18"/>
              </w:rPr>
            </w:pPr>
            <w:r>
              <w:rPr>
                <w:sz w:val="18"/>
                <w:szCs w:val="18"/>
              </w:rPr>
              <w:t>X</w:t>
            </w:r>
          </w:p>
        </w:tc>
      </w:tr>
      <w:bookmarkEnd w:id="39"/>
    </w:tbl>
    <w:p w14:paraId="24DCB601">
      <w:pPr>
        <w:pStyle w:val="21"/>
        <w:numPr>
          <w:ilvl w:val="0"/>
          <w:numId w:val="16"/>
        </w:numPr>
        <w:overflowPunct w:val="0"/>
        <w:autoSpaceDE w:val="0"/>
        <w:autoSpaceDN w:val="0"/>
        <w:adjustRightInd w:val="0"/>
        <w:snapToGrid w:val="0"/>
        <w:spacing w:line="240" w:lineRule="auto"/>
        <w:ind w:firstLineChars="0"/>
        <w:jc w:val="left"/>
        <w:rPr>
          <w:rFonts w:ascii="Times New Roman" w:hAnsi="Times New Roman" w:eastAsia="宋体"/>
          <w:color w:val="auto"/>
          <w:sz w:val="20"/>
          <w:szCs w:val="20"/>
        </w:rPr>
      </w:pPr>
      <w:r>
        <w:rPr>
          <w:rFonts w:ascii="Times New Roman" w:hAnsi="Times New Roman"/>
          <w:color w:val="auto"/>
          <w:sz w:val="20"/>
          <w:szCs w:val="20"/>
        </w:rPr>
        <w:t>Subjects will be screened within 14 days before the first dose (D0) with the same screening procedure in all groups;</w:t>
      </w:r>
    </w:p>
    <w:p w14:paraId="5969E1CB">
      <w:pPr>
        <w:pStyle w:val="78"/>
        <w:numPr>
          <w:ilvl w:val="0"/>
          <w:numId w:val="16"/>
        </w:numPr>
        <w:overflowPunct w:val="0"/>
        <w:autoSpaceDE w:val="0"/>
        <w:autoSpaceDN w:val="0"/>
        <w:adjustRightInd w:val="0"/>
        <w:snapToGrid w:val="0"/>
        <w:jc w:val="left"/>
        <w:rPr>
          <w:rFonts w:hAnsi="Times New Roman" w:eastAsia="宋体" w:cs="Times New Roman"/>
          <w:color w:val="auto"/>
          <w:kern w:val="0"/>
          <w:sz w:val="20"/>
          <w:szCs w:val="20"/>
        </w:rPr>
      </w:pPr>
      <w:r>
        <w:rPr>
          <w:rFonts w:hAnsi="Times New Roman" w:cs="Times New Roman"/>
          <w:color w:val="auto"/>
          <w:sz w:val="20"/>
          <w:szCs w:val="20"/>
        </w:rPr>
        <w:t>If a subject withdraws from the study prematurely after medication, all efforts should be made to complete the early withdrawal visit (4 weeks ± 3 days after the last dose); in addition, efficacy endpoints (i.e., HbA1c, fasting plasma glucose, lipid level, blood pressure, body weight, waist circumference, and hip circumference) should be tested at 24 weeks (± 3 days) after the first dose whenever possible;</w:t>
      </w:r>
    </w:p>
    <w:p w14:paraId="0931B12E">
      <w:pPr>
        <w:pStyle w:val="21"/>
        <w:numPr>
          <w:ilvl w:val="0"/>
          <w:numId w:val="16"/>
        </w:numPr>
        <w:overflowPunct w:val="0"/>
        <w:autoSpaceDE w:val="0"/>
        <w:autoSpaceDN w:val="0"/>
        <w:adjustRightInd w:val="0"/>
        <w:snapToGrid w:val="0"/>
        <w:spacing w:line="240" w:lineRule="auto"/>
        <w:ind w:firstLineChars="0"/>
        <w:jc w:val="left"/>
        <w:rPr>
          <w:rFonts w:ascii="Times New Roman" w:hAnsi="Times New Roman" w:eastAsia="宋体"/>
          <w:color w:val="auto"/>
          <w:sz w:val="20"/>
          <w:szCs w:val="20"/>
        </w:rPr>
      </w:pPr>
      <w:r>
        <w:rPr>
          <w:rFonts w:ascii="Times New Roman" w:hAnsi="Times New Roman"/>
          <w:color w:val="auto"/>
          <w:sz w:val="20"/>
          <w:szCs w:val="20"/>
        </w:rPr>
        <w:t>Body height will only be measured at the first visit in the screening period;</w:t>
      </w:r>
    </w:p>
    <w:p w14:paraId="5266EA0E">
      <w:pPr>
        <w:pStyle w:val="21"/>
        <w:numPr>
          <w:ilvl w:val="0"/>
          <w:numId w:val="16"/>
        </w:numPr>
        <w:overflowPunct w:val="0"/>
        <w:autoSpaceDE w:val="0"/>
        <w:autoSpaceDN w:val="0"/>
        <w:adjustRightInd w:val="0"/>
        <w:snapToGrid w:val="0"/>
        <w:spacing w:line="240" w:lineRule="auto"/>
        <w:ind w:firstLineChars="0"/>
        <w:jc w:val="left"/>
        <w:rPr>
          <w:rFonts w:ascii="Times New Roman" w:hAnsi="Times New Roman" w:eastAsia="宋体"/>
          <w:color w:val="auto"/>
          <w:sz w:val="20"/>
          <w:szCs w:val="20"/>
        </w:rPr>
      </w:pPr>
      <w:r>
        <w:rPr>
          <w:rFonts w:ascii="Times New Roman" w:hAnsi="Times New Roman"/>
          <w:color w:val="auto"/>
          <w:sz w:val="20"/>
          <w:szCs w:val="20"/>
        </w:rPr>
        <w:t>Vital signs: Perform the examination at each visit, before the last dose, and at 4 and 8 h after the last dose; subjects should rest for at least 5 min before measurement of blood pressure, pulse, and respiration; if blood sample collection is required on the day of the examination, the examination shall be completed before blood collection;</w:t>
      </w:r>
    </w:p>
    <w:p w14:paraId="512E0BB4">
      <w:pPr>
        <w:pStyle w:val="78"/>
        <w:numPr>
          <w:ilvl w:val="0"/>
          <w:numId w:val="16"/>
        </w:numPr>
        <w:overflowPunct w:val="0"/>
        <w:autoSpaceDE w:val="0"/>
        <w:autoSpaceDN w:val="0"/>
        <w:adjustRightInd w:val="0"/>
        <w:snapToGrid w:val="0"/>
        <w:jc w:val="left"/>
        <w:rPr>
          <w:rFonts w:hAnsi="Times New Roman" w:eastAsia="宋体" w:cs="Times New Roman"/>
          <w:color w:val="auto"/>
          <w:kern w:val="0"/>
          <w:sz w:val="20"/>
          <w:szCs w:val="20"/>
        </w:rPr>
      </w:pPr>
      <w:r>
        <w:rPr>
          <w:rFonts w:hAnsi="Times New Roman" w:cs="Times New Roman"/>
          <w:color w:val="auto"/>
          <w:sz w:val="20"/>
          <w:szCs w:val="20"/>
        </w:rPr>
        <w:t>12-Lead ECG: Perform the examination at each visit, before the last dose, and at 4 and 8 h after the last dose; if blood collection is required on the day of examination, the examination shall be completed before blood collection as far as possible. Subjects must not exercise or consume caffeine, alcohol, or nicotine within 30 min before the ECG examination and must rest for at least 5 min; the examination will be performed once each during the screening period and on D−1, and 3 consecutive times at an interval of about 1–2 min for each other examination time point. If QTcF &gt; 500 ms or shows a prolongation of 45 ms from baseline, individual ECGs must be repeated at least hourly until the QTcF values fall below the above threshold on 2 consecutive ECGs. If QTcF persists above 500 ms for more than 4 h or prolongs from baseline by &gt; 45 ms, or the QTcF interval shows a trend for a further prolongation, continuous cardiac monitoring may be considered;</w:t>
      </w:r>
    </w:p>
    <w:p w14:paraId="34F318E9">
      <w:pPr>
        <w:pStyle w:val="78"/>
        <w:numPr>
          <w:ilvl w:val="0"/>
          <w:numId w:val="16"/>
        </w:numPr>
        <w:overflowPunct w:val="0"/>
        <w:autoSpaceDE w:val="0"/>
        <w:autoSpaceDN w:val="0"/>
        <w:adjustRightInd w:val="0"/>
        <w:snapToGrid w:val="0"/>
        <w:jc w:val="left"/>
        <w:rPr>
          <w:rFonts w:hAnsi="Times New Roman" w:eastAsia="宋体" w:cs="Times New Roman"/>
          <w:color w:val="auto"/>
          <w:kern w:val="0"/>
          <w:sz w:val="20"/>
          <w:szCs w:val="20"/>
        </w:rPr>
      </w:pPr>
      <w:r>
        <w:rPr>
          <w:rFonts w:hAnsi="Times New Roman" w:cs="Times New Roman"/>
          <w:color w:val="auto"/>
          <w:sz w:val="20"/>
          <w:szCs w:val="20"/>
        </w:rPr>
        <w:t>Examination results within 1 month before screening are acceptable;</w:t>
      </w:r>
    </w:p>
    <w:p w14:paraId="6E83D274">
      <w:pPr>
        <w:pStyle w:val="21"/>
        <w:numPr>
          <w:ilvl w:val="0"/>
          <w:numId w:val="16"/>
        </w:numPr>
        <w:overflowPunct w:val="0"/>
        <w:autoSpaceDE w:val="0"/>
        <w:autoSpaceDN w:val="0"/>
        <w:adjustRightInd w:val="0"/>
        <w:snapToGrid w:val="0"/>
        <w:spacing w:line="240" w:lineRule="auto"/>
        <w:ind w:firstLineChars="0"/>
        <w:jc w:val="left"/>
        <w:rPr>
          <w:rFonts w:ascii="Times New Roman" w:hAnsi="Times New Roman" w:eastAsia="宋体"/>
          <w:color w:val="auto"/>
          <w:sz w:val="20"/>
          <w:szCs w:val="20"/>
        </w:rPr>
      </w:pPr>
      <w:r>
        <w:rPr>
          <w:rFonts w:ascii="Times New Roman" w:hAnsi="Times New Roman"/>
          <w:color w:val="auto"/>
          <w:sz w:val="20"/>
          <w:szCs w:val="20"/>
        </w:rPr>
        <w:t>Blood pregnancy test: For female subjects only, except for postmenopausal women (amenorrhea for 2 years or longer and confirmed by follicle-stimulating hormone test) and women who have undergone hysterectomy, bilateral oophorectomy, or tubal ligation, pregnancy test shall be performed; test results within 1 week before the first dose are acceptable for the D-1 blood pregnancy test, and urine pregnancy test is required for confirmation in such case;</w:t>
      </w:r>
    </w:p>
    <w:p w14:paraId="522D92B7">
      <w:pPr>
        <w:pStyle w:val="78"/>
        <w:numPr>
          <w:ilvl w:val="0"/>
          <w:numId w:val="16"/>
        </w:numPr>
        <w:overflowPunct w:val="0"/>
        <w:autoSpaceDE w:val="0"/>
        <w:autoSpaceDN w:val="0"/>
        <w:adjustRightInd w:val="0"/>
        <w:snapToGrid w:val="0"/>
        <w:jc w:val="left"/>
        <w:rPr>
          <w:rFonts w:hAnsi="Times New Roman" w:eastAsia="宋体" w:cs="Times New Roman"/>
          <w:color w:val="auto"/>
          <w:sz w:val="20"/>
          <w:szCs w:val="20"/>
        </w:rPr>
      </w:pPr>
      <w:r>
        <w:rPr>
          <w:rFonts w:hAnsi="Times New Roman" w:cs="Times New Roman"/>
          <w:color w:val="auto"/>
          <w:sz w:val="20"/>
          <w:szCs w:val="20"/>
        </w:rPr>
        <w:t>Only for women requiring confirmation of menopause;</w:t>
      </w:r>
    </w:p>
    <w:p w14:paraId="396269F2">
      <w:pPr>
        <w:pStyle w:val="21"/>
        <w:numPr>
          <w:ilvl w:val="0"/>
          <w:numId w:val="16"/>
        </w:numPr>
        <w:overflowPunct w:val="0"/>
        <w:autoSpaceDE w:val="0"/>
        <w:autoSpaceDN w:val="0"/>
        <w:adjustRightInd w:val="0"/>
        <w:snapToGrid w:val="0"/>
        <w:spacing w:line="240" w:lineRule="auto"/>
        <w:ind w:firstLineChars="0"/>
        <w:jc w:val="left"/>
        <w:rPr>
          <w:rFonts w:ascii="Times New Roman" w:hAnsi="Times New Roman" w:eastAsia="宋体"/>
          <w:color w:val="auto"/>
          <w:sz w:val="20"/>
          <w:szCs w:val="20"/>
        </w:rPr>
      </w:pPr>
      <w:r>
        <w:rPr>
          <w:rFonts w:ascii="Times New Roman" w:hAnsi="Times New Roman"/>
          <w:color w:val="auto"/>
          <w:sz w:val="20"/>
          <w:szCs w:val="20"/>
        </w:rPr>
        <w:t>Blood samples will be collected under fasting (no caloric intake for at least 8 h) conditions;</w:t>
      </w:r>
    </w:p>
    <w:p w14:paraId="0F873F3C">
      <w:pPr>
        <w:pStyle w:val="21"/>
        <w:numPr>
          <w:ilvl w:val="0"/>
          <w:numId w:val="16"/>
        </w:numPr>
        <w:overflowPunct w:val="0"/>
        <w:autoSpaceDE w:val="0"/>
        <w:autoSpaceDN w:val="0"/>
        <w:adjustRightInd w:val="0"/>
        <w:snapToGrid w:val="0"/>
        <w:spacing w:line="240" w:lineRule="auto"/>
        <w:ind w:firstLineChars="0"/>
        <w:jc w:val="left"/>
        <w:rPr>
          <w:rFonts w:ascii="Times New Roman" w:hAnsi="Times New Roman" w:eastAsia="宋体"/>
          <w:color w:val="auto"/>
          <w:sz w:val="20"/>
          <w:szCs w:val="20"/>
        </w:rPr>
      </w:pPr>
      <w:r>
        <w:rPr>
          <w:rFonts w:ascii="Times New Roman" w:hAnsi="Times New Roman"/>
          <w:color w:val="auto"/>
          <w:sz w:val="20"/>
          <w:szCs w:val="20"/>
        </w:rPr>
        <w:t>Sample collection for the examination must be completed before administration;</w:t>
      </w:r>
    </w:p>
    <w:p w14:paraId="52919DDD">
      <w:pPr>
        <w:pStyle w:val="78"/>
        <w:numPr>
          <w:ilvl w:val="0"/>
          <w:numId w:val="16"/>
        </w:numPr>
        <w:overflowPunct w:val="0"/>
        <w:autoSpaceDE w:val="0"/>
        <w:autoSpaceDN w:val="0"/>
        <w:adjustRightInd w:val="0"/>
        <w:snapToGrid w:val="0"/>
        <w:jc w:val="left"/>
        <w:rPr>
          <w:rFonts w:hAnsi="Times New Roman" w:eastAsia="宋体" w:cs="Times New Roman"/>
          <w:color w:val="auto"/>
          <w:sz w:val="20"/>
          <w:szCs w:val="20"/>
        </w:rPr>
      </w:pPr>
      <w:r>
        <w:rPr>
          <w:rFonts w:hAnsi="Times New Roman" w:cs="Times New Roman"/>
          <w:color w:val="auto"/>
          <w:sz w:val="20"/>
          <w:szCs w:val="20"/>
        </w:rPr>
        <w:t>HbA1c blood samples from all visits should be sent to the central laboratory for testing; an additional tube of blood samples for HbA1c needs to be collected during the screening period for testing at the study site as screening basis;</w:t>
      </w:r>
    </w:p>
    <w:p w14:paraId="3762028C">
      <w:pPr>
        <w:pStyle w:val="21"/>
        <w:numPr>
          <w:ilvl w:val="0"/>
          <w:numId w:val="16"/>
        </w:numPr>
        <w:overflowPunct w:val="0"/>
        <w:autoSpaceDE w:val="0"/>
        <w:autoSpaceDN w:val="0"/>
        <w:adjustRightInd w:val="0"/>
        <w:snapToGrid w:val="0"/>
        <w:spacing w:line="240" w:lineRule="auto"/>
        <w:ind w:firstLineChars="0"/>
        <w:jc w:val="left"/>
        <w:rPr>
          <w:rFonts w:ascii="Times New Roman" w:hAnsi="Times New Roman" w:eastAsia="宋体"/>
          <w:color w:val="auto"/>
          <w:sz w:val="20"/>
          <w:szCs w:val="20"/>
        </w:rPr>
      </w:pPr>
      <w:bookmarkStart w:id="40" w:name="_Hlk154586429"/>
      <w:bookmarkEnd w:id="40"/>
      <w:r>
        <w:rPr>
          <w:rFonts w:ascii="Times New Roman" w:hAnsi="Times New Roman"/>
          <w:color w:val="auto"/>
          <w:sz w:val="20"/>
          <w:szCs w:val="20"/>
        </w:rPr>
        <w:t>The verification against eligibility criteria and randomization of subjects in Part B dose escalation group 1 will be performed 2 days before the administration of RAY1225 (D−2);</w:t>
      </w:r>
    </w:p>
    <w:p w14:paraId="460897D7">
      <w:pPr>
        <w:pStyle w:val="21"/>
        <w:numPr>
          <w:ilvl w:val="0"/>
          <w:numId w:val="16"/>
        </w:numPr>
        <w:overflowPunct w:val="0"/>
        <w:autoSpaceDE w:val="0"/>
        <w:autoSpaceDN w:val="0"/>
        <w:adjustRightInd w:val="0"/>
        <w:snapToGrid w:val="0"/>
        <w:spacing w:line="240" w:lineRule="auto"/>
        <w:ind w:firstLineChars="0"/>
        <w:jc w:val="left"/>
        <w:rPr>
          <w:rFonts w:ascii="Times New Roman" w:hAnsi="Times New Roman" w:eastAsia="宋体"/>
          <w:color w:val="auto"/>
          <w:sz w:val="20"/>
          <w:szCs w:val="20"/>
        </w:rPr>
      </w:pPr>
      <w:r>
        <w:rPr>
          <w:rFonts w:ascii="Times New Roman" w:hAnsi="Times New Roman"/>
          <w:color w:val="auto"/>
          <w:sz w:val="20"/>
          <w:szCs w:val="20"/>
        </w:rPr>
        <w:t xml:space="preserve">For subjects in Part B dose escalation group 1 only; the first dose of acetaminophen and its PK blood collection (up to 24 h post-dose) shall be completed before the first dose of RAY1225; the baseline examination of </w:t>
      </w:r>
      <w:bookmarkStart w:id="41" w:name="_Hlk154586464"/>
      <w:r>
        <w:rPr>
          <w:rFonts w:ascii="Times New Roman" w:hAnsi="Times New Roman"/>
          <w:color w:val="auto"/>
          <w:sz w:val="20"/>
          <w:szCs w:val="20"/>
        </w:rPr>
        <w:t>the dose escalation group 1</w:t>
      </w:r>
      <w:bookmarkEnd w:id="41"/>
      <w:r>
        <w:rPr>
          <w:rFonts w:ascii="Times New Roman" w:hAnsi="Times New Roman"/>
          <w:color w:val="auto"/>
          <w:sz w:val="20"/>
          <w:szCs w:val="20"/>
        </w:rPr>
        <w:t xml:space="preserve"> shall be completed before the administration of acetaminophen. The second dose of acetaminophen (0.5 g) will be administered 24 ± 2 h after the second dose of RAY1225 injection (5 mg);</w:t>
      </w:r>
    </w:p>
    <w:p w14:paraId="52B5EAEC">
      <w:pPr>
        <w:pStyle w:val="21"/>
        <w:numPr>
          <w:ilvl w:val="0"/>
          <w:numId w:val="16"/>
        </w:numPr>
        <w:overflowPunct w:val="0"/>
        <w:autoSpaceDE w:val="0"/>
        <w:autoSpaceDN w:val="0"/>
        <w:adjustRightInd w:val="0"/>
        <w:snapToGrid w:val="0"/>
        <w:spacing w:line="240" w:lineRule="auto"/>
        <w:ind w:firstLineChars="0"/>
        <w:jc w:val="left"/>
        <w:rPr>
          <w:rFonts w:ascii="Times New Roman" w:hAnsi="Times New Roman" w:eastAsia="宋体"/>
          <w:color w:val="auto"/>
          <w:sz w:val="20"/>
          <w:szCs w:val="20"/>
        </w:rPr>
      </w:pPr>
      <w:r>
        <w:rPr>
          <w:rFonts w:ascii="Times New Roman" w:hAnsi="Times New Roman"/>
          <w:color w:val="auto"/>
          <w:sz w:val="20"/>
          <w:szCs w:val="20"/>
        </w:rPr>
        <w:t>For subjects in Part B dose escalation group 1 only; For the 2 acetaminophen doses, PK blood samples will be collected within 2 h pre-dose and at 0.25 h, 0.5 h, 0.75 h, 1 h, 2 h, 3 h, 4 h, 6 h, 9 h, 12 h, and 24 h post-dose, respectively, with a total of 24 blood sampling points and approximately 3 mL of blood to be drawn each time;</w:t>
      </w:r>
    </w:p>
    <w:p w14:paraId="28023514">
      <w:pPr>
        <w:pStyle w:val="21"/>
        <w:numPr>
          <w:ilvl w:val="0"/>
          <w:numId w:val="16"/>
        </w:numPr>
        <w:overflowPunct w:val="0"/>
        <w:autoSpaceDE w:val="0"/>
        <w:autoSpaceDN w:val="0"/>
        <w:adjustRightInd w:val="0"/>
        <w:snapToGrid w:val="0"/>
        <w:spacing w:line="240" w:lineRule="auto"/>
        <w:ind w:firstLineChars="0"/>
        <w:jc w:val="left"/>
        <w:rPr>
          <w:rFonts w:ascii="Times New Roman" w:hAnsi="Times New Roman" w:eastAsia="宋体"/>
          <w:color w:val="auto"/>
          <w:sz w:val="20"/>
          <w:szCs w:val="20"/>
        </w:rPr>
      </w:pPr>
      <w:r>
        <w:rPr>
          <w:rFonts w:ascii="Times New Roman" w:hAnsi="Times New Roman"/>
          <w:color w:val="auto"/>
          <w:sz w:val="20"/>
          <w:szCs w:val="20"/>
        </w:rPr>
        <w:t xml:space="preserve">PK blood samples should be collected as close as possible to the ECG examination on the day: </w:t>
      </w:r>
      <w:bookmarkStart w:id="42" w:name="_Hlk154586489"/>
      <w:r>
        <w:rPr>
          <w:rFonts w:ascii="Times New Roman" w:hAnsi="Times New Roman"/>
          <w:color w:val="auto"/>
          <w:sz w:val="20"/>
          <w:szCs w:val="20"/>
        </w:rPr>
        <w:t>PK blood samples will be collected once before the first dose, pre-dose at weeks 4, 8, 12, and 16, pre-dose and at 4, 8, 24, 48, 72, 168, 240, 336, 504, 672, 840, and 1008 h post-dose at week 22, and at early withdrawal, respectively. Each subject will have up to 18 blood sampling points, with approximately 4 mL of blood to be drawn each time;</w:t>
      </w:r>
      <w:bookmarkEnd w:id="42"/>
    </w:p>
    <w:p w14:paraId="77BB15D5">
      <w:pPr>
        <w:pStyle w:val="78"/>
        <w:numPr>
          <w:ilvl w:val="0"/>
          <w:numId w:val="16"/>
        </w:numPr>
        <w:overflowPunct w:val="0"/>
        <w:autoSpaceDE w:val="0"/>
        <w:autoSpaceDN w:val="0"/>
        <w:adjustRightInd w:val="0"/>
        <w:snapToGrid w:val="0"/>
        <w:jc w:val="left"/>
        <w:rPr>
          <w:rFonts w:hAnsi="Times New Roman" w:eastAsia="宋体" w:cs="Times New Roman"/>
          <w:color w:val="auto"/>
          <w:kern w:val="0"/>
          <w:sz w:val="20"/>
          <w:szCs w:val="20"/>
        </w:rPr>
      </w:pPr>
      <w:r>
        <w:rPr>
          <w:rFonts w:hAnsi="Times New Roman" w:cs="Times New Roman"/>
          <w:color w:val="auto"/>
          <w:sz w:val="20"/>
          <w:szCs w:val="20"/>
        </w:rPr>
        <w:t>If blood sample collection for immunogenicity test and subcutaneous administration of RAY1225 are on the same day, blood sampling should be completed before administration.</w:t>
      </w:r>
    </w:p>
    <w:p w14:paraId="1D66A6BF">
      <w:pPr>
        <w:pStyle w:val="2"/>
        <w:overflowPunct w:val="0"/>
        <w:autoSpaceDE w:val="0"/>
        <w:autoSpaceDN w:val="0"/>
        <w:adjustRightInd w:val="0"/>
        <w:snapToGrid w:val="0"/>
        <w:spacing w:before="120" w:beforeLines="50" w:afterLines="50" w:line="300" w:lineRule="auto"/>
        <w:rPr>
          <w:rFonts w:eastAsia="宋体"/>
          <w:lang w:eastAsia="zh-CN"/>
        </w:rPr>
      </w:pPr>
    </w:p>
    <w:p w14:paraId="70B781AD">
      <w:pPr>
        <w:pStyle w:val="2"/>
        <w:overflowPunct w:val="0"/>
        <w:autoSpaceDE w:val="0"/>
        <w:autoSpaceDN w:val="0"/>
        <w:adjustRightInd w:val="0"/>
        <w:snapToGrid w:val="0"/>
        <w:spacing w:before="120" w:beforeLines="50" w:afterLines="50" w:line="300" w:lineRule="auto"/>
        <w:rPr>
          <w:rFonts w:eastAsia="宋体"/>
          <w:lang w:eastAsia="zh-CN"/>
        </w:rPr>
        <w:sectPr>
          <w:endnotePr>
            <w:numFmt w:val="decimal"/>
          </w:endnotePr>
          <w:pgSz w:w="15840" w:h="12240" w:orient="landscape"/>
          <w:pgMar w:top="1440" w:right="1440" w:bottom="1440" w:left="1440" w:header="1418" w:footer="720" w:gutter="0"/>
          <w:cols w:space="0" w:num="1"/>
          <w:titlePg/>
          <w:docGrid w:linePitch="326" w:charSpace="0"/>
        </w:sectPr>
      </w:pPr>
    </w:p>
    <w:p w14:paraId="3C7E2F79">
      <w:pPr>
        <w:pStyle w:val="194"/>
        <w:rPr>
          <w:kern w:val="44"/>
        </w:rPr>
      </w:pPr>
      <w:bookmarkStart w:id="43" w:name="_Toc26296"/>
      <w:bookmarkStart w:id="44" w:name="_Toc22089"/>
      <w:bookmarkStart w:id="45" w:name="_Toc159596217"/>
      <w:r>
        <w:t>ABBREVIATIONS AND TERMS</w:t>
      </w:r>
      <w:bookmarkEnd w:id="43"/>
      <w:bookmarkEnd w:id="44"/>
      <w:bookmarkEnd w:id="45"/>
    </w:p>
    <w:tbl>
      <w:tblPr>
        <w:tblStyle w:val="51"/>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57" w:type="dxa"/>
          <w:bottom w:w="28" w:type="dxa"/>
          <w:right w:w="57" w:type="dxa"/>
        </w:tblCellMar>
      </w:tblPr>
      <w:tblGrid>
        <w:gridCol w:w="3058"/>
        <w:gridCol w:w="6416"/>
      </w:tblGrid>
      <w:tr w14:paraId="74075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blHeader/>
        </w:trPr>
        <w:tc>
          <w:tcPr>
            <w:tcW w:w="1830" w:type="dxa"/>
            <w:tcMar>
              <w:top w:w="28" w:type="dxa"/>
              <w:left w:w="57" w:type="dxa"/>
              <w:bottom w:w="28" w:type="dxa"/>
              <w:right w:w="57" w:type="dxa"/>
            </w:tcMar>
          </w:tcPr>
          <w:p w14:paraId="4787269E">
            <w:pPr>
              <w:pStyle w:val="4"/>
              <w:widowControl/>
              <w:overflowPunct w:val="0"/>
              <w:autoSpaceDE w:val="0"/>
              <w:autoSpaceDN w:val="0"/>
              <w:adjustRightInd w:val="0"/>
              <w:snapToGrid w:val="0"/>
              <w:spacing w:line="240" w:lineRule="auto"/>
              <w:ind w:firstLine="0" w:firstLineChars="0"/>
              <w:jc w:val="center"/>
              <w:rPr>
                <w:rFonts w:cs="Times New Roman"/>
                <w:b/>
                <w:color w:val="auto"/>
                <w:kern w:val="0"/>
                <w:sz w:val="20"/>
                <w:szCs w:val="20"/>
              </w:rPr>
            </w:pPr>
            <w:r>
              <w:rPr>
                <w:rFonts w:cs="Times New Roman"/>
                <w:b/>
                <w:color w:val="auto"/>
                <w:sz w:val="20"/>
                <w:szCs w:val="20"/>
              </w:rPr>
              <w:t>Abbreviation</w:t>
            </w:r>
          </w:p>
        </w:tc>
        <w:tc>
          <w:tcPr>
            <w:tcW w:w="3840" w:type="dxa"/>
            <w:shd w:val="clear" w:color="auto" w:fill="auto"/>
            <w:tcMar>
              <w:top w:w="28" w:type="dxa"/>
              <w:left w:w="57" w:type="dxa"/>
              <w:bottom w:w="28" w:type="dxa"/>
              <w:right w:w="57" w:type="dxa"/>
            </w:tcMar>
          </w:tcPr>
          <w:p w14:paraId="33B77ECA">
            <w:pPr>
              <w:pStyle w:val="4"/>
              <w:widowControl/>
              <w:overflowPunct w:val="0"/>
              <w:autoSpaceDE w:val="0"/>
              <w:autoSpaceDN w:val="0"/>
              <w:adjustRightInd w:val="0"/>
              <w:snapToGrid w:val="0"/>
              <w:spacing w:line="240" w:lineRule="auto"/>
              <w:ind w:firstLine="0" w:firstLineChars="0"/>
              <w:jc w:val="center"/>
              <w:rPr>
                <w:rFonts w:cs="Times New Roman"/>
                <w:b/>
                <w:color w:val="auto"/>
                <w:kern w:val="0"/>
                <w:sz w:val="20"/>
                <w:szCs w:val="20"/>
              </w:rPr>
            </w:pPr>
            <w:r>
              <w:rPr>
                <w:rFonts w:cs="Times New Roman"/>
                <w:b/>
                <w:color w:val="auto"/>
                <w:sz w:val="20"/>
                <w:szCs w:val="20"/>
              </w:rPr>
              <w:t>Definition</w:t>
            </w:r>
          </w:p>
        </w:tc>
      </w:tr>
      <w:tr w14:paraId="17786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2C22C742">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ADL</w:t>
            </w:r>
          </w:p>
        </w:tc>
        <w:tc>
          <w:tcPr>
            <w:tcW w:w="3840" w:type="dxa"/>
            <w:shd w:val="clear" w:color="auto" w:fill="auto"/>
            <w:tcMar>
              <w:top w:w="28" w:type="dxa"/>
              <w:left w:w="57" w:type="dxa"/>
              <w:bottom w:w="28" w:type="dxa"/>
              <w:right w:w="57" w:type="dxa"/>
            </w:tcMar>
            <w:vAlign w:val="center"/>
          </w:tcPr>
          <w:p w14:paraId="327BAE6F">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activities of daily living</w:t>
            </w:r>
          </w:p>
        </w:tc>
      </w:tr>
      <w:tr w14:paraId="05149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1D96C40B">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ADA</w:t>
            </w:r>
          </w:p>
        </w:tc>
        <w:tc>
          <w:tcPr>
            <w:tcW w:w="3840" w:type="dxa"/>
            <w:shd w:val="clear" w:color="auto" w:fill="auto"/>
            <w:tcMar>
              <w:top w:w="28" w:type="dxa"/>
              <w:left w:w="57" w:type="dxa"/>
              <w:bottom w:w="28" w:type="dxa"/>
              <w:right w:w="57" w:type="dxa"/>
            </w:tcMar>
            <w:vAlign w:val="center"/>
          </w:tcPr>
          <w:p w14:paraId="2A8321C3">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anti-drug antibody</w:t>
            </w:r>
          </w:p>
        </w:tc>
      </w:tr>
      <w:tr w14:paraId="36B80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584B795C">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ADR</w:t>
            </w:r>
          </w:p>
        </w:tc>
        <w:tc>
          <w:tcPr>
            <w:tcW w:w="3840" w:type="dxa"/>
            <w:shd w:val="clear" w:color="auto" w:fill="auto"/>
            <w:tcMar>
              <w:top w:w="28" w:type="dxa"/>
              <w:left w:w="57" w:type="dxa"/>
              <w:bottom w:w="28" w:type="dxa"/>
              <w:right w:w="57" w:type="dxa"/>
            </w:tcMar>
            <w:vAlign w:val="center"/>
          </w:tcPr>
          <w:p w14:paraId="003A1029">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adverse drug reaction</w:t>
            </w:r>
          </w:p>
        </w:tc>
      </w:tr>
      <w:tr w14:paraId="023B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3A73352D">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AE</w:t>
            </w:r>
          </w:p>
        </w:tc>
        <w:tc>
          <w:tcPr>
            <w:tcW w:w="3840" w:type="dxa"/>
            <w:shd w:val="clear" w:color="auto" w:fill="auto"/>
            <w:tcMar>
              <w:top w:w="28" w:type="dxa"/>
              <w:left w:w="57" w:type="dxa"/>
              <w:bottom w:w="28" w:type="dxa"/>
              <w:right w:w="57" w:type="dxa"/>
            </w:tcMar>
            <w:vAlign w:val="center"/>
          </w:tcPr>
          <w:p w14:paraId="3BDC4903">
            <w:pPr>
              <w:pStyle w:val="4"/>
              <w:widowControl/>
              <w:overflowPunct w:val="0"/>
              <w:autoSpaceDE w:val="0"/>
              <w:autoSpaceDN w:val="0"/>
              <w:adjustRightInd w:val="0"/>
              <w:snapToGrid w:val="0"/>
              <w:spacing w:line="240" w:lineRule="auto"/>
              <w:ind w:firstLine="0" w:firstLineChars="0"/>
              <w:jc w:val="center"/>
              <w:rPr>
                <w:rFonts w:cs="Times New Roman"/>
                <w:color w:val="auto"/>
                <w:sz w:val="20"/>
                <w:szCs w:val="20"/>
              </w:rPr>
            </w:pPr>
            <w:r>
              <w:rPr>
                <w:rFonts w:cs="Times New Roman"/>
                <w:color w:val="auto"/>
                <w:sz w:val="20"/>
                <w:szCs w:val="20"/>
              </w:rPr>
              <w:t xml:space="preserve">adverse event </w:t>
            </w:r>
          </w:p>
        </w:tc>
      </w:tr>
      <w:tr w14:paraId="38165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456348CC">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Alb</w:t>
            </w:r>
          </w:p>
        </w:tc>
        <w:tc>
          <w:tcPr>
            <w:tcW w:w="3840" w:type="dxa"/>
            <w:shd w:val="clear" w:color="auto" w:fill="auto"/>
            <w:tcMar>
              <w:top w:w="28" w:type="dxa"/>
              <w:left w:w="57" w:type="dxa"/>
              <w:bottom w:w="28" w:type="dxa"/>
              <w:right w:w="57" w:type="dxa"/>
            </w:tcMar>
            <w:vAlign w:val="center"/>
          </w:tcPr>
          <w:p w14:paraId="0CECA077">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albumin</w:t>
            </w:r>
          </w:p>
        </w:tc>
      </w:tr>
      <w:tr w14:paraId="67D21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0FE7935E">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A/G</w:t>
            </w:r>
          </w:p>
        </w:tc>
        <w:tc>
          <w:tcPr>
            <w:tcW w:w="3840" w:type="dxa"/>
            <w:shd w:val="clear" w:color="auto" w:fill="auto"/>
            <w:tcMar>
              <w:top w:w="28" w:type="dxa"/>
              <w:left w:w="57" w:type="dxa"/>
              <w:bottom w:w="28" w:type="dxa"/>
              <w:right w:w="57" w:type="dxa"/>
            </w:tcMar>
            <w:vAlign w:val="center"/>
          </w:tcPr>
          <w:p w14:paraId="420D3F29">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albumin/globulin</w:t>
            </w:r>
          </w:p>
        </w:tc>
      </w:tr>
      <w:tr w14:paraId="28B36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3287973B">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ALT</w:t>
            </w:r>
          </w:p>
        </w:tc>
        <w:tc>
          <w:tcPr>
            <w:tcW w:w="3840" w:type="dxa"/>
            <w:shd w:val="clear" w:color="auto" w:fill="auto"/>
            <w:tcMar>
              <w:top w:w="28" w:type="dxa"/>
              <w:left w:w="57" w:type="dxa"/>
              <w:bottom w:w="28" w:type="dxa"/>
              <w:right w:w="57" w:type="dxa"/>
            </w:tcMar>
            <w:vAlign w:val="center"/>
          </w:tcPr>
          <w:p w14:paraId="16C18169">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alanine aminotransferase</w:t>
            </w:r>
          </w:p>
        </w:tc>
      </w:tr>
      <w:tr w14:paraId="3FC04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5715BB15">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AUC</w:t>
            </w:r>
          </w:p>
        </w:tc>
        <w:tc>
          <w:tcPr>
            <w:tcW w:w="3840" w:type="dxa"/>
            <w:shd w:val="clear" w:color="auto" w:fill="auto"/>
            <w:tcMar>
              <w:top w:w="28" w:type="dxa"/>
              <w:left w:w="57" w:type="dxa"/>
              <w:bottom w:w="28" w:type="dxa"/>
              <w:right w:w="57" w:type="dxa"/>
            </w:tcMar>
            <w:vAlign w:val="center"/>
          </w:tcPr>
          <w:p w14:paraId="3A60CC3F">
            <w:pPr>
              <w:pStyle w:val="4"/>
              <w:widowControl/>
              <w:overflowPunct w:val="0"/>
              <w:autoSpaceDE w:val="0"/>
              <w:autoSpaceDN w:val="0"/>
              <w:adjustRightInd w:val="0"/>
              <w:snapToGrid w:val="0"/>
              <w:spacing w:line="240" w:lineRule="auto"/>
              <w:ind w:firstLine="0" w:firstLineChars="0"/>
              <w:jc w:val="center"/>
              <w:rPr>
                <w:rFonts w:cs="Times New Roman"/>
                <w:color w:val="auto"/>
                <w:sz w:val="20"/>
                <w:szCs w:val="20"/>
              </w:rPr>
            </w:pPr>
            <w:r>
              <w:rPr>
                <w:rFonts w:cs="Times New Roman"/>
                <w:color w:val="auto"/>
                <w:sz w:val="20"/>
                <w:szCs w:val="20"/>
              </w:rPr>
              <w:t>area under the curve</w:t>
            </w:r>
          </w:p>
        </w:tc>
      </w:tr>
      <w:tr w14:paraId="404BD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428DA4BF">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AUC</w:t>
            </w:r>
            <w:r>
              <w:rPr>
                <w:rFonts w:cs="Times New Roman"/>
                <w:color w:val="auto"/>
                <w:sz w:val="20"/>
                <w:szCs w:val="20"/>
                <w:vertAlign w:val="subscript"/>
              </w:rPr>
              <w:t>0-∞</w:t>
            </w:r>
          </w:p>
        </w:tc>
        <w:tc>
          <w:tcPr>
            <w:tcW w:w="3840" w:type="dxa"/>
            <w:shd w:val="clear" w:color="auto" w:fill="auto"/>
            <w:tcMar>
              <w:top w:w="28" w:type="dxa"/>
              <w:left w:w="57" w:type="dxa"/>
              <w:bottom w:w="28" w:type="dxa"/>
              <w:right w:w="57" w:type="dxa"/>
            </w:tcMar>
            <w:vAlign w:val="center"/>
          </w:tcPr>
          <w:p w14:paraId="4F8DA5A8">
            <w:pPr>
              <w:pStyle w:val="4"/>
              <w:widowControl/>
              <w:overflowPunct w:val="0"/>
              <w:autoSpaceDE w:val="0"/>
              <w:autoSpaceDN w:val="0"/>
              <w:adjustRightInd w:val="0"/>
              <w:snapToGrid w:val="0"/>
              <w:spacing w:line="240" w:lineRule="auto"/>
              <w:ind w:firstLine="0" w:firstLineChars="0"/>
              <w:jc w:val="center"/>
              <w:rPr>
                <w:rFonts w:cs="Times New Roman"/>
                <w:color w:val="auto"/>
                <w:sz w:val="20"/>
                <w:szCs w:val="20"/>
              </w:rPr>
            </w:pPr>
            <w:r>
              <w:rPr>
                <w:rFonts w:cs="Times New Roman"/>
                <w:color w:val="auto"/>
                <w:sz w:val="20"/>
                <w:szCs w:val="20"/>
              </w:rPr>
              <w:t>area under the curve</w:t>
            </w:r>
            <w:r>
              <w:rPr>
                <w:rFonts w:cs="Times New Roman"/>
                <w:color w:val="auto"/>
                <w:sz w:val="20"/>
                <w:szCs w:val="20"/>
                <w:vertAlign w:val="subscript"/>
              </w:rPr>
              <w:t>0-∞</w:t>
            </w:r>
          </w:p>
        </w:tc>
      </w:tr>
      <w:tr w14:paraId="2F431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4E55538A">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AUC</w:t>
            </w:r>
            <w:r>
              <w:rPr>
                <w:rFonts w:cs="Times New Roman"/>
                <w:color w:val="auto"/>
                <w:sz w:val="20"/>
                <w:szCs w:val="20"/>
                <w:vertAlign w:val="subscript"/>
              </w:rPr>
              <w:t>0-t</w:t>
            </w:r>
          </w:p>
        </w:tc>
        <w:tc>
          <w:tcPr>
            <w:tcW w:w="3840" w:type="dxa"/>
            <w:shd w:val="clear" w:color="auto" w:fill="auto"/>
            <w:tcMar>
              <w:top w:w="28" w:type="dxa"/>
              <w:left w:w="57" w:type="dxa"/>
              <w:bottom w:w="28" w:type="dxa"/>
              <w:right w:w="57" w:type="dxa"/>
            </w:tcMar>
            <w:vAlign w:val="center"/>
          </w:tcPr>
          <w:p w14:paraId="39AF0DFA">
            <w:pPr>
              <w:pStyle w:val="4"/>
              <w:widowControl/>
              <w:overflowPunct w:val="0"/>
              <w:autoSpaceDE w:val="0"/>
              <w:autoSpaceDN w:val="0"/>
              <w:adjustRightInd w:val="0"/>
              <w:snapToGrid w:val="0"/>
              <w:spacing w:line="240" w:lineRule="auto"/>
              <w:ind w:firstLine="0" w:firstLineChars="0"/>
              <w:jc w:val="center"/>
              <w:rPr>
                <w:rFonts w:cs="Times New Roman"/>
                <w:color w:val="auto"/>
                <w:sz w:val="20"/>
                <w:szCs w:val="20"/>
              </w:rPr>
            </w:pPr>
            <w:r>
              <w:rPr>
                <w:rFonts w:cs="Times New Roman"/>
                <w:color w:val="auto"/>
                <w:sz w:val="20"/>
                <w:szCs w:val="20"/>
              </w:rPr>
              <w:t>area under the curve</w:t>
            </w:r>
            <w:r>
              <w:rPr>
                <w:rFonts w:cs="Times New Roman"/>
                <w:color w:val="auto"/>
                <w:sz w:val="20"/>
                <w:szCs w:val="20"/>
                <w:vertAlign w:val="subscript"/>
              </w:rPr>
              <w:t>0-t</w:t>
            </w:r>
          </w:p>
        </w:tc>
      </w:tr>
      <w:tr w14:paraId="4A2D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5B45286C">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BMI</w:t>
            </w:r>
          </w:p>
        </w:tc>
        <w:tc>
          <w:tcPr>
            <w:tcW w:w="3840" w:type="dxa"/>
            <w:shd w:val="clear" w:color="auto" w:fill="auto"/>
            <w:tcMar>
              <w:top w:w="28" w:type="dxa"/>
              <w:left w:w="57" w:type="dxa"/>
              <w:bottom w:w="28" w:type="dxa"/>
              <w:right w:w="57" w:type="dxa"/>
            </w:tcMar>
            <w:vAlign w:val="center"/>
          </w:tcPr>
          <w:p w14:paraId="5EFFB665">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body mass index</w:t>
            </w:r>
          </w:p>
        </w:tc>
      </w:tr>
      <w:tr w14:paraId="0B898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56C8B4EA">
            <w:pPr>
              <w:pStyle w:val="4"/>
              <w:widowControl/>
              <w:overflowPunct w:val="0"/>
              <w:autoSpaceDE w:val="0"/>
              <w:autoSpaceDN w:val="0"/>
              <w:adjustRightInd w:val="0"/>
              <w:snapToGrid w:val="0"/>
              <w:spacing w:line="240" w:lineRule="auto"/>
              <w:ind w:firstLine="0" w:firstLineChars="0"/>
              <w:jc w:val="center"/>
              <w:rPr>
                <w:rFonts w:cs="Times New Roman"/>
                <w:color w:val="auto"/>
                <w:sz w:val="20"/>
                <w:szCs w:val="20"/>
              </w:rPr>
            </w:pPr>
            <w:r>
              <w:rPr>
                <w:rFonts w:cs="Times New Roman"/>
                <w:color w:val="auto"/>
                <w:sz w:val="20"/>
                <w:szCs w:val="20"/>
              </w:rPr>
              <w:t>CL/F</w:t>
            </w:r>
          </w:p>
        </w:tc>
        <w:tc>
          <w:tcPr>
            <w:tcW w:w="3840" w:type="dxa"/>
            <w:shd w:val="clear" w:color="auto" w:fill="auto"/>
            <w:tcMar>
              <w:top w:w="28" w:type="dxa"/>
              <w:left w:w="57" w:type="dxa"/>
              <w:bottom w:w="28" w:type="dxa"/>
              <w:right w:w="57" w:type="dxa"/>
            </w:tcMar>
            <w:vAlign w:val="center"/>
          </w:tcPr>
          <w:p w14:paraId="087470CB">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apparent clearance</w:t>
            </w:r>
          </w:p>
        </w:tc>
      </w:tr>
      <w:tr w14:paraId="52A20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35EFDF50">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C</w:t>
            </w:r>
            <w:r>
              <w:rPr>
                <w:rFonts w:cs="Times New Roman"/>
                <w:color w:val="auto"/>
                <w:sz w:val="20"/>
                <w:szCs w:val="20"/>
                <w:vertAlign w:val="subscript"/>
              </w:rPr>
              <w:t>max</w:t>
            </w:r>
          </w:p>
        </w:tc>
        <w:tc>
          <w:tcPr>
            <w:tcW w:w="3840" w:type="dxa"/>
            <w:shd w:val="clear" w:color="auto" w:fill="auto"/>
            <w:tcMar>
              <w:top w:w="28" w:type="dxa"/>
              <w:left w:w="57" w:type="dxa"/>
              <w:bottom w:w="28" w:type="dxa"/>
              <w:right w:w="57" w:type="dxa"/>
            </w:tcMar>
            <w:vAlign w:val="center"/>
          </w:tcPr>
          <w:p w14:paraId="35720B48">
            <w:pPr>
              <w:pStyle w:val="4"/>
              <w:widowControl/>
              <w:overflowPunct w:val="0"/>
              <w:autoSpaceDE w:val="0"/>
              <w:autoSpaceDN w:val="0"/>
              <w:adjustRightInd w:val="0"/>
              <w:snapToGrid w:val="0"/>
              <w:spacing w:line="240" w:lineRule="auto"/>
              <w:ind w:firstLine="0" w:firstLineChars="0"/>
              <w:jc w:val="center"/>
              <w:rPr>
                <w:rFonts w:cs="Times New Roman"/>
                <w:color w:val="auto"/>
                <w:sz w:val="20"/>
                <w:szCs w:val="20"/>
              </w:rPr>
            </w:pPr>
            <w:r>
              <w:rPr>
                <w:rFonts w:cs="Times New Roman"/>
                <w:color w:val="auto"/>
                <w:sz w:val="20"/>
                <w:szCs w:val="20"/>
              </w:rPr>
              <w:t>maximum peak concentration</w:t>
            </w:r>
          </w:p>
        </w:tc>
      </w:tr>
      <w:tr w14:paraId="13149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75204285">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C</w:t>
            </w:r>
            <w:r>
              <w:rPr>
                <w:rFonts w:cs="Times New Roman"/>
                <w:color w:val="auto"/>
                <w:sz w:val="20"/>
                <w:szCs w:val="20"/>
                <w:vertAlign w:val="subscript"/>
              </w:rPr>
              <w:t>min</w:t>
            </w:r>
          </w:p>
        </w:tc>
        <w:tc>
          <w:tcPr>
            <w:tcW w:w="3840" w:type="dxa"/>
            <w:shd w:val="clear" w:color="auto" w:fill="auto"/>
            <w:tcMar>
              <w:top w:w="28" w:type="dxa"/>
              <w:left w:w="57" w:type="dxa"/>
              <w:bottom w:w="28" w:type="dxa"/>
              <w:right w:w="57" w:type="dxa"/>
            </w:tcMar>
            <w:vAlign w:val="center"/>
          </w:tcPr>
          <w:p w14:paraId="48018ECD">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minimum concentration</w:t>
            </w:r>
          </w:p>
        </w:tc>
      </w:tr>
      <w:tr w14:paraId="7AD3B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5A45F86E">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CRC</w:t>
            </w:r>
          </w:p>
        </w:tc>
        <w:tc>
          <w:tcPr>
            <w:tcW w:w="3840" w:type="dxa"/>
            <w:shd w:val="clear" w:color="auto" w:fill="auto"/>
            <w:tcMar>
              <w:top w:w="28" w:type="dxa"/>
              <w:left w:w="57" w:type="dxa"/>
              <w:bottom w:w="28" w:type="dxa"/>
              <w:right w:w="57" w:type="dxa"/>
            </w:tcMar>
            <w:vAlign w:val="center"/>
          </w:tcPr>
          <w:p w14:paraId="6751703B">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clinical research coordinator</w:t>
            </w:r>
          </w:p>
        </w:tc>
      </w:tr>
      <w:tr w14:paraId="454A8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6278CC1F">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CTCAE</w:t>
            </w:r>
          </w:p>
        </w:tc>
        <w:tc>
          <w:tcPr>
            <w:tcW w:w="3840" w:type="dxa"/>
            <w:shd w:val="clear" w:color="auto" w:fill="auto"/>
            <w:tcMar>
              <w:top w:w="28" w:type="dxa"/>
              <w:left w:w="57" w:type="dxa"/>
              <w:bottom w:w="28" w:type="dxa"/>
              <w:right w:w="57" w:type="dxa"/>
            </w:tcMar>
            <w:vAlign w:val="center"/>
          </w:tcPr>
          <w:p w14:paraId="2C446046">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 xml:space="preserve">common terminology criteria for adverse events </w:t>
            </w:r>
          </w:p>
        </w:tc>
      </w:tr>
      <w:tr w14:paraId="5A21D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41B64CB2">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DF</w:t>
            </w:r>
          </w:p>
        </w:tc>
        <w:tc>
          <w:tcPr>
            <w:tcW w:w="3840" w:type="dxa"/>
            <w:shd w:val="clear" w:color="auto" w:fill="auto"/>
            <w:tcMar>
              <w:top w:w="28" w:type="dxa"/>
              <w:left w:w="57" w:type="dxa"/>
              <w:bottom w:w="28" w:type="dxa"/>
              <w:right w:w="57" w:type="dxa"/>
            </w:tcMar>
            <w:vAlign w:val="center"/>
          </w:tcPr>
          <w:p w14:paraId="7D38BB39">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degree of fluctuation</w:t>
            </w:r>
          </w:p>
        </w:tc>
      </w:tr>
      <w:tr w14:paraId="6FC01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3A4CAD23">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DM</w:t>
            </w:r>
          </w:p>
        </w:tc>
        <w:tc>
          <w:tcPr>
            <w:tcW w:w="3840" w:type="dxa"/>
            <w:shd w:val="clear" w:color="auto" w:fill="auto"/>
            <w:tcMar>
              <w:top w:w="28" w:type="dxa"/>
              <w:left w:w="57" w:type="dxa"/>
              <w:bottom w:w="28" w:type="dxa"/>
              <w:right w:w="57" w:type="dxa"/>
            </w:tcMar>
            <w:vAlign w:val="center"/>
          </w:tcPr>
          <w:p w14:paraId="75D81E5E">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data manager</w:t>
            </w:r>
          </w:p>
        </w:tc>
      </w:tr>
      <w:tr w14:paraId="73616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1479AE8A">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DVP</w:t>
            </w:r>
          </w:p>
        </w:tc>
        <w:tc>
          <w:tcPr>
            <w:tcW w:w="3840" w:type="dxa"/>
            <w:shd w:val="clear" w:color="auto" w:fill="auto"/>
            <w:tcMar>
              <w:top w:w="28" w:type="dxa"/>
              <w:left w:w="57" w:type="dxa"/>
              <w:bottom w:w="28" w:type="dxa"/>
              <w:right w:w="57" w:type="dxa"/>
            </w:tcMar>
            <w:vAlign w:val="center"/>
          </w:tcPr>
          <w:p w14:paraId="6A772983">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data verification plan</w:t>
            </w:r>
          </w:p>
        </w:tc>
      </w:tr>
      <w:tr w14:paraId="392EB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24E0D666">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eCRF</w:t>
            </w:r>
          </w:p>
        </w:tc>
        <w:tc>
          <w:tcPr>
            <w:tcW w:w="3840" w:type="dxa"/>
            <w:shd w:val="clear" w:color="auto" w:fill="auto"/>
            <w:tcMar>
              <w:top w:w="28" w:type="dxa"/>
              <w:left w:w="57" w:type="dxa"/>
              <w:bottom w:w="28" w:type="dxa"/>
              <w:right w:w="57" w:type="dxa"/>
            </w:tcMar>
            <w:vAlign w:val="center"/>
          </w:tcPr>
          <w:p w14:paraId="39DE4927">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electronic case report form</w:t>
            </w:r>
          </w:p>
        </w:tc>
      </w:tr>
      <w:tr w14:paraId="05205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3B252374">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EDC</w:t>
            </w:r>
          </w:p>
        </w:tc>
        <w:tc>
          <w:tcPr>
            <w:tcW w:w="3840" w:type="dxa"/>
            <w:shd w:val="clear" w:color="auto" w:fill="auto"/>
            <w:tcMar>
              <w:top w:w="28" w:type="dxa"/>
              <w:left w:w="57" w:type="dxa"/>
              <w:bottom w:w="28" w:type="dxa"/>
              <w:right w:w="57" w:type="dxa"/>
            </w:tcMar>
            <w:vAlign w:val="center"/>
          </w:tcPr>
          <w:p w14:paraId="79511432">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electronic data capture</w:t>
            </w:r>
          </w:p>
        </w:tc>
      </w:tr>
      <w:tr w14:paraId="5DB8D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3E6005BA">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eGFR</w:t>
            </w:r>
          </w:p>
        </w:tc>
        <w:tc>
          <w:tcPr>
            <w:tcW w:w="3840" w:type="dxa"/>
            <w:shd w:val="clear" w:color="auto" w:fill="auto"/>
            <w:tcMar>
              <w:top w:w="28" w:type="dxa"/>
              <w:left w:w="57" w:type="dxa"/>
              <w:bottom w:w="28" w:type="dxa"/>
              <w:right w:w="57" w:type="dxa"/>
            </w:tcMar>
            <w:vAlign w:val="center"/>
          </w:tcPr>
          <w:p w14:paraId="04C875F5">
            <w:pPr>
              <w:pStyle w:val="4"/>
              <w:widowControl/>
              <w:overflowPunct w:val="0"/>
              <w:autoSpaceDE w:val="0"/>
              <w:autoSpaceDN w:val="0"/>
              <w:adjustRightInd w:val="0"/>
              <w:snapToGrid w:val="0"/>
              <w:spacing w:line="240" w:lineRule="auto"/>
              <w:ind w:firstLine="0" w:firstLineChars="0"/>
              <w:jc w:val="center"/>
              <w:rPr>
                <w:rFonts w:cs="Times New Roman"/>
                <w:color w:val="auto"/>
                <w:sz w:val="20"/>
                <w:szCs w:val="20"/>
              </w:rPr>
            </w:pPr>
            <w:r>
              <w:rPr>
                <w:rFonts w:cs="Times New Roman"/>
                <w:color w:val="auto"/>
                <w:sz w:val="20"/>
                <w:szCs w:val="20"/>
              </w:rPr>
              <w:t>estimated glomerular filtration rate</w:t>
            </w:r>
          </w:p>
        </w:tc>
      </w:tr>
      <w:tr w14:paraId="4F7C6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6A4594F9">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FAS</w:t>
            </w:r>
          </w:p>
        </w:tc>
        <w:tc>
          <w:tcPr>
            <w:tcW w:w="3840" w:type="dxa"/>
            <w:shd w:val="clear" w:color="auto" w:fill="auto"/>
            <w:tcMar>
              <w:top w:w="28" w:type="dxa"/>
              <w:left w:w="57" w:type="dxa"/>
              <w:bottom w:w="28" w:type="dxa"/>
              <w:right w:w="57" w:type="dxa"/>
            </w:tcMar>
            <w:vAlign w:val="center"/>
          </w:tcPr>
          <w:p w14:paraId="1CCB9712">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full analysis set</w:t>
            </w:r>
          </w:p>
        </w:tc>
      </w:tr>
      <w:tr w14:paraId="541E2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2DD97896">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FDA</w:t>
            </w:r>
          </w:p>
        </w:tc>
        <w:tc>
          <w:tcPr>
            <w:tcW w:w="3840" w:type="dxa"/>
            <w:shd w:val="clear" w:color="auto" w:fill="auto"/>
            <w:tcMar>
              <w:top w:w="28" w:type="dxa"/>
              <w:left w:w="57" w:type="dxa"/>
              <w:bottom w:w="28" w:type="dxa"/>
              <w:right w:w="57" w:type="dxa"/>
            </w:tcMar>
            <w:vAlign w:val="center"/>
          </w:tcPr>
          <w:p w14:paraId="335EFC44">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 xml:space="preserve">Food and Drug Administration </w:t>
            </w:r>
          </w:p>
        </w:tc>
      </w:tr>
      <w:tr w14:paraId="3CBB4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6D742D36">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FPG</w:t>
            </w:r>
          </w:p>
        </w:tc>
        <w:tc>
          <w:tcPr>
            <w:tcW w:w="3840" w:type="dxa"/>
            <w:shd w:val="clear" w:color="auto" w:fill="auto"/>
            <w:tcMar>
              <w:top w:w="28" w:type="dxa"/>
              <w:left w:w="57" w:type="dxa"/>
              <w:bottom w:w="28" w:type="dxa"/>
              <w:right w:w="57" w:type="dxa"/>
            </w:tcMar>
            <w:vAlign w:val="center"/>
          </w:tcPr>
          <w:p w14:paraId="1CF75F4A">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fasting plasma glucose</w:t>
            </w:r>
          </w:p>
        </w:tc>
      </w:tr>
      <w:tr w14:paraId="517F6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4A0C1292">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GCP</w:t>
            </w:r>
          </w:p>
        </w:tc>
        <w:tc>
          <w:tcPr>
            <w:tcW w:w="3840" w:type="dxa"/>
            <w:shd w:val="clear" w:color="auto" w:fill="auto"/>
            <w:tcMar>
              <w:top w:w="28" w:type="dxa"/>
              <w:left w:w="57" w:type="dxa"/>
              <w:bottom w:w="28" w:type="dxa"/>
              <w:right w:w="57" w:type="dxa"/>
            </w:tcMar>
            <w:vAlign w:val="center"/>
          </w:tcPr>
          <w:p w14:paraId="19A87DA5">
            <w:pPr>
              <w:pStyle w:val="4"/>
              <w:widowControl/>
              <w:overflowPunct w:val="0"/>
              <w:autoSpaceDE w:val="0"/>
              <w:autoSpaceDN w:val="0"/>
              <w:adjustRightInd w:val="0"/>
              <w:snapToGrid w:val="0"/>
              <w:spacing w:line="240" w:lineRule="auto"/>
              <w:ind w:firstLine="0" w:firstLineChars="0"/>
              <w:jc w:val="center"/>
              <w:rPr>
                <w:rFonts w:cs="Times New Roman"/>
                <w:color w:val="auto"/>
                <w:sz w:val="20"/>
                <w:szCs w:val="20"/>
              </w:rPr>
            </w:pPr>
            <w:r>
              <w:rPr>
                <w:rFonts w:cs="Times New Roman"/>
                <w:color w:val="auto"/>
                <w:sz w:val="20"/>
                <w:szCs w:val="20"/>
              </w:rPr>
              <w:t xml:space="preserve">good clinical practice </w:t>
            </w:r>
          </w:p>
        </w:tc>
      </w:tr>
      <w:tr w14:paraId="33F02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1726D4B1">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GIP</w:t>
            </w:r>
          </w:p>
        </w:tc>
        <w:tc>
          <w:tcPr>
            <w:tcW w:w="3840" w:type="dxa"/>
            <w:shd w:val="clear" w:color="auto" w:fill="auto"/>
            <w:tcMar>
              <w:top w:w="28" w:type="dxa"/>
              <w:left w:w="57" w:type="dxa"/>
              <w:bottom w:w="28" w:type="dxa"/>
              <w:right w:w="57" w:type="dxa"/>
            </w:tcMar>
            <w:vAlign w:val="center"/>
          </w:tcPr>
          <w:p w14:paraId="1AE31114">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Gastric inhibitory polypeptide</w:t>
            </w:r>
          </w:p>
        </w:tc>
      </w:tr>
      <w:tr w14:paraId="07854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50BDF77F">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GLP-1</w:t>
            </w:r>
          </w:p>
        </w:tc>
        <w:tc>
          <w:tcPr>
            <w:tcW w:w="3840" w:type="dxa"/>
            <w:shd w:val="clear" w:color="auto" w:fill="auto"/>
            <w:tcMar>
              <w:top w:w="28" w:type="dxa"/>
              <w:left w:w="57" w:type="dxa"/>
              <w:bottom w:w="28" w:type="dxa"/>
              <w:right w:w="57" w:type="dxa"/>
            </w:tcMar>
            <w:vAlign w:val="center"/>
          </w:tcPr>
          <w:p w14:paraId="2A5878A1">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Glucagon-like peptide-1</w:t>
            </w:r>
          </w:p>
        </w:tc>
      </w:tr>
      <w:tr w14:paraId="5D837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347ACEA1">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HbA1c</w:t>
            </w:r>
          </w:p>
        </w:tc>
        <w:tc>
          <w:tcPr>
            <w:tcW w:w="3840" w:type="dxa"/>
            <w:shd w:val="clear" w:color="auto" w:fill="auto"/>
            <w:tcMar>
              <w:top w:w="28" w:type="dxa"/>
              <w:left w:w="57" w:type="dxa"/>
              <w:bottom w:w="28" w:type="dxa"/>
              <w:right w:w="57" w:type="dxa"/>
            </w:tcMar>
            <w:vAlign w:val="center"/>
          </w:tcPr>
          <w:p w14:paraId="6655D68B">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hemoglobin A1c</w:t>
            </w:r>
          </w:p>
        </w:tc>
      </w:tr>
      <w:tr w14:paraId="0370B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00B6ACB5">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HBsAg</w:t>
            </w:r>
          </w:p>
        </w:tc>
        <w:tc>
          <w:tcPr>
            <w:tcW w:w="3840" w:type="dxa"/>
            <w:shd w:val="clear" w:color="auto" w:fill="auto"/>
            <w:tcMar>
              <w:top w:w="28" w:type="dxa"/>
              <w:left w:w="57" w:type="dxa"/>
              <w:bottom w:w="28" w:type="dxa"/>
              <w:right w:w="57" w:type="dxa"/>
            </w:tcMar>
            <w:vAlign w:val="center"/>
          </w:tcPr>
          <w:p w14:paraId="0AC0901D">
            <w:pPr>
              <w:pStyle w:val="4"/>
              <w:widowControl/>
              <w:overflowPunct w:val="0"/>
              <w:autoSpaceDE w:val="0"/>
              <w:autoSpaceDN w:val="0"/>
              <w:adjustRightInd w:val="0"/>
              <w:snapToGrid w:val="0"/>
              <w:spacing w:line="240" w:lineRule="auto"/>
              <w:ind w:firstLine="0" w:firstLineChars="0"/>
              <w:jc w:val="center"/>
              <w:rPr>
                <w:rFonts w:cs="Times New Roman"/>
                <w:color w:val="auto"/>
                <w:sz w:val="20"/>
                <w:szCs w:val="20"/>
              </w:rPr>
            </w:pPr>
            <w:r>
              <w:rPr>
                <w:rFonts w:cs="Times New Roman"/>
                <w:color w:val="auto"/>
                <w:sz w:val="20"/>
                <w:szCs w:val="20"/>
              </w:rPr>
              <w:t xml:space="preserve">Hepatitis B surface antigen </w:t>
            </w:r>
          </w:p>
        </w:tc>
      </w:tr>
      <w:tr w14:paraId="73487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23F1C8F8">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HDL-C</w:t>
            </w:r>
          </w:p>
        </w:tc>
        <w:tc>
          <w:tcPr>
            <w:tcW w:w="3840" w:type="dxa"/>
            <w:shd w:val="clear" w:color="auto" w:fill="auto"/>
            <w:tcMar>
              <w:top w:w="28" w:type="dxa"/>
              <w:left w:w="57" w:type="dxa"/>
              <w:bottom w:w="28" w:type="dxa"/>
              <w:right w:w="57" w:type="dxa"/>
            </w:tcMar>
            <w:vAlign w:val="center"/>
          </w:tcPr>
          <w:p w14:paraId="6263FA5A">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 xml:space="preserve">high density lipoprotein cholesterol </w:t>
            </w:r>
          </w:p>
        </w:tc>
      </w:tr>
      <w:tr w14:paraId="67F2E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56CAE9D8">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HIV</w:t>
            </w:r>
          </w:p>
        </w:tc>
        <w:tc>
          <w:tcPr>
            <w:tcW w:w="3840" w:type="dxa"/>
            <w:shd w:val="clear" w:color="auto" w:fill="auto"/>
            <w:tcMar>
              <w:top w:w="28" w:type="dxa"/>
              <w:left w:w="57" w:type="dxa"/>
              <w:bottom w:w="28" w:type="dxa"/>
              <w:right w:w="57" w:type="dxa"/>
            </w:tcMar>
            <w:vAlign w:val="center"/>
          </w:tcPr>
          <w:p w14:paraId="1561B31B">
            <w:pPr>
              <w:pStyle w:val="4"/>
              <w:widowControl/>
              <w:overflowPunct w:val="0"/>
              <w:autoSpaceDE w:val="0"/>
              <w:autoSpaceDN w:val="0"/>
              <w:adjustRightInd w:val="0"/>
              <w:snapToGrid w:val="0"/>
              <w:spacing w:line="240" w:lineRule="auto"/>
              <w:ind w:firstLine="0" w:firstLineChars="0"/>
              <w:jc w:val="center"/>
              <w:rPr>
                <w:rFonts w:cs="Times New Roman"/>
                <w:color w:val="auto"/>
                <w:sz w:val="20"/>
                <w:szCs w:val="20"/>
              </w:rPr>
            </w:pPr>
            <w:r>
              <w:rPr>
                <w:rFonts w:cs="Times New Roman"/>
                <w:color w:val="auto"/>
                <w:sz w:val="20"/>
                <w:szCs w:val="20"/>
              </w:rPr>
              <w:t xml:space="preserve">human immunodeficiency virus </w:t>
            </w:r>
          </w:p>
        </w:tc>
      </w:tr>
      <w:tr w14:paraId="1D39A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7E119000">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HOMA-β</w:t>
            </w:r>
          </w:p>
        </w:tc>
        <w:tc>
          <w:tcPr>
            <w:tcW w:w="3840" w:type="dxa"/>
            <w:shd w:val="clear" w:color="auto" w:fill="auto"/>
            <w:tcMar>
              <w:top w:w="28" w:type="dxa"/>
              <w:left w:w="57" w:type="dxa"/>
              <w:bottom w:w="28" w:type="dxa"/>
              <w:right w:w="57" w:type="dxa"/>
            </w:tcMar>
            <w:vAlign w:val="center"/>
          </w:tcPr>
          <w:p w14:paraId="4CFBB114">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 xml:space="preserve">Homeostatic Model Assessment of HOMA-β </w:t>
            </w:r>
          </w:p>
        </w:tc>
      </w:tr>
      <w:tr w14:paraId="1A156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417A1A88">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HOMA-IR</w:t>
            </w:r>
          </w:p>
        </w:tc>
        <w:tc>
          <w:tcPr>
            <w:tcW w:w="3840" w:type="dxa"/>
            <w:shd w:val="clear" w:color="auto" w:fill="auto"/>
            <w:tcMar>
              <w:top w:w="28" w:type="dxa"/>
              <w:left w:w="57" w:type="dxa"/>
              <w:bottom w:w="28" w:type="dxa"/>
              <w:right w:w="57" w:type="dxa"/>
            </w:tcMar>
            <w:vAlign w:val="center"/>
          </w:tcPr>
          <w:p w14:paraId="11472B73">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 xml:space="preserve">Homeostatic Model Assessment of Insulin Resistance </w:t>
            </w:r>
          </w:p>
        </w:tc>
      </w:tr>
      <w:tr w14:paraId="25066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59BBC9E5">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HPLC-MS/MS</w:t>
            </w:r>
          </w:p>
        </w:tc>
        <w:tc>
          <w:tcPr>
            <w:tcW w:w="3840" w:type="dxa"/>
            <w:shd w:val="clear" w:color="auto" w:fill="auto"/>
            <w:tcMar>
              <w:top w:w="28" w:type="dxa"/>
              <w:left w:w="57" w:type="dxa"/>
              <w:bottom w:w="28" w:type="dxa"/>
              <w:right w:w="57" w:type="dxa"/>
            </w:tcMar>
            <w:vAlign w:val="center"/>
          </w:tcPr>
          <w:p w14:paraId="6292DBCC">
            <w:pPr>
              <w:pStyle w:val="4"/>
              <w:widowControl/>
              <w:overflowPunct w:val="0"/>
              <w:autoSpaceDE w:val="0"/>
              <w:autoSpaceDN w:val="0"/>
              <w:adjustRightInd w:val="0"/>
              <w:snapToGrid w:val="0"/>
              <w:spacing w:line="240" w:lineRule="auto"/>
              <w:ind w:firstLine="0" w:firstLineChars="0"/>
              <w:jc w:val="center"/>
              <w:rPr>
                <w:rFonts w:cs="Times New Roman"/>
                <w:color w:val="auto"/>
                <w:sz w:val="20"/>
                <w:szCs w:val="20"/>
              </w:rPr>
            </w:pPr>
            <w:r>
              <w:rPr>
                <w:rFonts w:cs="Times New Roman"/>
                <w:color w:val="auto"/>
                <w:sz w:val="20"/>
                <w:szCs w:val="20"/>
              </w:rPr>
              <w:t xml:space="preserve">High Performance Liquid Chromatography- Mass spectrum </w:t>
            </w:r>
          </w:p>
        </w:tc>
      </w:tr>
      <w:tr w14:paraId="4641E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0D98CFDA">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LDL-C</w:t>
            </w:r>
          </w:p>
        </w:tc>
        <w:tc>
          <w:tcPr>
            <w:tcW w:w="3840" w:type="dxa"/>
            <w:shd w:val="clear" w:color="auto" w:fill="auto"/>
            <w:tcMar>
              <w:top w:w="28" w:type="dxa"/>
              <w:left w:w="57" w:type="dxa"/>
              <w:bottom w:w="28" w:type="dxa"/>
              <w:right w:w="57" w:type="dxa"/>
            </w:tcMar>
            <w:vAlign w:val="center"/>
          </w:tcPr>
          <w:p w14:paraId="7B41F149">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 xml:space="preserve">low density lipoprotein cholesterol </w:t>
            </w:r>
          </w:p>
        </w:tc>
      </w:tr>
      <w:tr w14:paraId="139B9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082985D8">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MedDRA</w:t>
            </w:r>
          </w:p>
        </w:tc>
        <w:tc>
          <w:tcPr>
            <w:tcW w:w="3840" w:type="dxa"/>
            <w:shd w:val="clear" w:color="auto" w:fill="auto"/>
            <w:tcMar>
              <w:top w:w="28" w:type="dxa"/>
              <w:left w:w="57" w:type="dxa"/>
              <w:bottom w:w="28" w:type="dxa"/>
              <w:right w:w="57" w:type="dxa"/>
            </w:tcMar>
            <w:vAlign w:val="center"/>
          </w:tcPr>
          <w:p w14:paraId="1439BC16">
            <w:pPr>
              <w:pStyle w:val="4"/>
              <w:widowControl/>
              <w:overflowPunct w:val="0"/>
              <w:autoSpaceDE w:val="0"/>
              <w:autoSpaceDN w:val="0"/>
              <w:adjustRightInd w:val="0"/>
              <w:snapToGrid w:val="0"/>
              <w:spacing w:line="240" w:lineRule="auto"/>
              <w:ind w:firstLine="0" w:firstLineChars="0"/>
              <w:jc w:val="center"/>
              <w:rPr>
                <w:rFonts w:cs="Times New Roman"/>
                <w:color w:val="auto"/>
                <w:sz w:val="20"/>
                <w:szCs w:val="20"/>
              </w:rPr>
            </w:pPr>
            <w:r>
              <w:rPr>
                <w:rFonts w:cs="Times New Roman"/>
                <w:color w:val="auto"/>
                <w:sz w:val="20"/>
                <w:szCs w:val="20"/>
              </w:rPr>
              <w:t xml:space="preserve">Medical Dictionary for Regulatory Activities </w:t>
            </w:r>
          </w:p>
        </w:tc>
      </w:tr>
      <w:tr w14:paraId="38472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762B6C38">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MEN2</w:t>
            </w:r>
          </w:p>
        </w:tc>
        <w:tc>
          <w:tcPr>
            <w:tcW w:w="3840" w:type="dxa"/>
            <w:shd w:val="clear" w:color="auto" w:fill="auto"/>
            <w:tcMar>
              <w:top w:w="28" w:type="dxa"/>
              <w:left w:w="57" w:type="dxa"/>
              <w:bottom w:w="28" w:type="dxa"/>
              <w:right w:w="57" w:type="dxa"/>
            </w:tcMar>
            <w:vAlign w:val="center"/>
          </w:tcPr>
          <w:p w14:paraId="2CC67AD0">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 xml:space="preserve">multiple endocrine neoplasia type 2 </w:t>
            </w:r>
          </w:p>
        </w:tc>
      </w:tr>
      <w:tr w14:paraId="0B438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7ACD1086">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MMRM</w:t>
            </w:r>
          </w:p>
        </w:tc>
        <w:tc>
          <w:tcPr>
            <w:tcW w:w="3840" w:type="dxa"/>
            <w:shd w:val="clear" w:color="auto" w:fill="auto"/>
            <w:tcMar>
              <w:top w:w="28" w:type="dxa"/>
              <w:left w:w="57" w:type="dxa"/>
              <w:bottom w:w="28" w:type="dxa"/>
              <w:right w:w="57" w:type="dxa"/>
            </w:tcMar>
            <w:vAlign w:val="center"/>
          </w:tcPr>
          <w:p w14:paraId="27FFF093">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Mixed-effect models for repeated measures</w:t>
            </w:r>
          </w:p>
        </w:tc>
      </w:tr>
      <w:tr w14:paraId="79CE9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0AB25FAD">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bookmarkStart w:id="46" w:name="OLE_LINK81"/>
            <w:bookmarkStart w:id="47" w:name="OLE_LINK80"/>
            <w:r>
              <w:rPr>
                <w:rFonts w:cs="Times New Roman"/>
                <w:color w:val="auto"/>
                <w:sz w:val="20"/>
                <w:szCs w:val="20"/>
              </w:rPr>
              <w:t>MRSD</w:t>
            </w:r>
            <w:bookmarkEnd w:id="46"/>
            <w:bookmarkEnd w:id="47"/>
          </w:p>
        </w:tc>
        <w:tc>
          <w:tcPr>
            <w:tcW w:w="3840" w:type="dxa"/>
            <w:shd w:val="clear" w:color="auto" w:fill="auto"/>
            <w:tcMar>
              <w:top w:w="28" w:type="dxa"/>
              <w:left w:w="57" w:type="dxa"/>
              <w:bottom w:w="28" w:type="dxa"/>
              <w:right w:w="57" w:type="dxa"/>
            </w:tcMar>
            <w:vAlign w:val="center"/>
          </w:tcPr>
          <w:p w14:paraId="53A06AC6">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 xml:space="preserve">maximum recommended starting dose </w:t>
            </w:r>
          </w:p>
        </w:tc>
      </w:tr>
      <w:tr w14:paraId="3DF0C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2D895C60">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MRT</w:t>
            </w:r>
          </w:p>
        </w:tc>
        <w:tc>
          <w:tcPr>
            <w:tcW w:w="3840" w:type="dxa"/>
            <w:shd w:val="clear" w:color="auto" w:fill="auto"/>
            <w:tcMar>
              <w:top w:w="28" w:type="dxa"/>
              <w:left w:w="57" w:type="dxa"/>
              <w:bottom w:w="28" w:type="dxa"/>
              <w:right w:w="57" w:type="dxa"/>
            </w:tcMar>
            <w:vAlign w:val="center"/>
          </w:tcPr>
          <w:p w14:paraId="0664A1F5">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 xml:space="preserve">mean residue time </w:t>
            </w:r>
          </w:p>
        </w:tc>
      </w:tr>
      <w:tr w14:paraId="387B8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490B7092">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MTD</w:t>
            </w:r>
          </w:p>
        </w:tc>
        <w:tc>
          <w:tcPr>
            <w:tcW w:w="3840" w:type="dxa"/>
            <w:shd w:val="clear" w:color="auto" w:fill="auto"/>
            <w:tcMar>
              <w:top w:w="28" w:type="dxa"/>
              <w:left w:w="57" w:type="dxa"/>
              <w:bottom w:w="28" w:type="dxa"/>
              <w:right w:w="57" w:type="dxa"/>
            </w:tcMar>
            <w:vAlign w:val="center"/>
          </w:tcPr>
          <w:p w14:paraId="59A52E20">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 xml:space="preserve">maximum tolerated dose </w:t>
            </w:r>
          </w:p>
        </w:tc>
      </w:tr>
      <w:tr w14:paraId="1355C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26E23200">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Nab</w:t>
            </w:r>
          </w:p>
        </w:tc>
        <w:tc>
          <w:tcPr>
            <w:tcW w:w="3840" w:type="dxa"/>
            <w:shd w:val="clear" w:color="auto" w:fill="auto"/>
            <w:tcMar>
              <w:top w:w="28" w:type="dxa"/>
              <w:left w:w="57" w:type="dxa"/>
              <w:bottom w:w="28" w:type="dxa"/>
              <w:right w:w="57" w:type="dxa"/>
            </w:tcMar>
            <w:vAlign w:val="center"/>
          </w:tcPr>
          <w:p w14:paraId="4EA4FFF1">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Neutralizing antibody</w:t>
            </w:r>
          </w:p>
        </w:tc>
      </w:tr>
      <w:tr w14:paraId="208A4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7B5ABCAA">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NMPA</w:t>
            </w:r>
          </w:p>
        </w:tc>
        <w:tc>
          <w:tcPr>
            <w:tcW w:w="3840" w:type="dxa"/>
            <w:shd w:val="clear" w:color="auto" w:fill="auto"/>
            <w:tcMar>
              <w:top w:w="28" w:type="dxa"/>
              <w:left w:w="57" w:type="dxa"/>
              <w:bottom w:w="28" w:type="dxa"/>
              <w:right w:w="57" w:type="dxa"/>
            </w:tcMar>
            <w:vAlign w:val="center"/>
          </w:tcPr>
          <w:p w14:paraId="7513D0B4">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National Medical Products Administration</w:t>
            </w:r>
          </w:p>
        </w:tc>
      </w:tr>
      <w:tr w14:paraId="44CC7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47AFD12F">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NOAEL</w:t>
            </w:r>
          </w:p>
        </w:tc>
        <w:tc>
          <w:tcPr>
            <w:tcW w:w="3840" w:type="dxa"/>
            <w:shd w:val="clear" w:color="auto" w:fill="auto"/>
            <w:tcMar>
              <w:top w:w="28" w:type="dxa"/>
              <w:left w:w="57" w:type="dxa"/>
              <w:bottom w:w="28" w:type="dxa"/>
              <w:right w:w="57" w:type="dxa"/>
            </w:tcMar>
            <w:vAlign w:val="center"/>
          </w:tcPr>
          <w:p w14:paraId="74EBF9FA">
            <w:pPr>
              <w:pStyle w:val="4"/>
              <w:widowControl/>
              <w:overflowPunct w:val="0"/>
              <w:autoSpaceDE w:val="0"/>
              <w:autoSpaceDN w:val="0"/>
              <w:adjustRightInd w:val="0"/>
              <w:snapToGrid w:val="0"/>
              <w:spacing w:line="240" w:lineRule="auto"/>
              <w:ind w:firstLine="0" w:firstLineChars="0"/>
              <w:jc w:val="center"/>
              <w:rPr>
                <w:rFonts w:cs="Times New Roman"/>
                <w:color w:val="auto"/>
                <w:sz w:val="20"/>
                <w:szCs w:val="20"/>
              </w:rPr>
            </w:pPr>
            <w:r>
              <w:rPr>
                <w:rFonts w:cs="Times New Roman"/>
                <w:color w:val="auto"/>
                <w:sz w:val="20"/>
                <w:szCs w:val="20"/>
              </w:rPr>
              <w:t>No Observed Adverse Effect Level</w:t>
            </w:r>
          </w:p>
        </w:tc>
      </w:tr>
      <w:tr w14:paraId="70B9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3F423977">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ND</w:t>
            </w:r>
          </w:p>
        </w:tc>
        <w:tc>
          <w:tcPr>
            <w:tcW w:w="3840" w:type="dxa"/>
            <w:shd w:val="clear" w:color="auto" w:fill="auto"/>
            <w:tcMar>
              <w:top w:w="28" w:type="dxa"/>
              <w:left w:w="57" w:type="dxa"/>
              <w:bottom w:w="28" w:type="dxa"/>
              <w:right w:w="57" w:type="dxa"/>
            </w:tcMar>
            <w:vAlign w:val="center"/>
          </w:tcPr>
          <w:p w14:paraId="02C738CC">
            <w:pPr>
              <w:pStyle w:val="4"/>
              <w:widowControl/>
              <w:overflowPunct w:val="0"/>
              <w:autoSpaceDE w:val="0"/>
              <w:autoSpaceDN w:val="0"/>
              <w:adjustRightInd w:val="0"/>
              <w:snapToGrid w:val="0"/>
              <w:spacing w:line="240" w:lineRule="auto"/>
              <w:ind w:firstLine="0" w:firstLineChars="0"/>
              <w:jc w:val="center"/>
              <w:rPr>
                <w:rFonts w:cs="Times New Roman"/>
                <w:color w:val="auto"/>
                <w:sz w:val="20"/>
                <w:szCs w:val="20"/>
              </w:rPr>
            </w:pPr>
            <w:r>
              <w:rPr>
                <w:rFonts w:cs="Times New Roman"/>
                <w:color w:val="auto"/>
                <w:sz w:val="20"/>
                <w:szCs w:val="20"/>
              </w:rPr>
              <w:t>Not done</w:t>
            </w:r>
          </w:p>
        </w:tc>
      </w:tr>
      <w:tr w14:paraId="23DD3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381684D6">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QW</w:t>
            </w:r>
          </w:p>
        </w:tc>
        <w:tc>
          <w:tcPr>
            <w:tcW w:w="3840" w:type="dxa"/>
            <w:shd w:val="clear" w:color="auto" w:fill="auto"/>
            <w:tcMar>
              <w:top w:w="28" w:type="dxa"/>
              <w:left w:w="57" w:type="dxa"/>
              <w:bottom w:w="28" w:type="dxa"/>
              <w:right w:w="57" w:type="dxa"/>
            </w:tcMar>
            <w:vAlign w:val="center"/>
          </w:tcPr>
          <w:p w14:paraId="246F25F7">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 xml:space="preserve">quaque week </w:t>
            </w:r>
          </w:p>
        </w:tc>
      </w:tr>
      <w:tr w14:paraId="38315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4B7DBD08">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PD</w:t>
            </w:r>
          </w:p>
        </w:tc>
        <w:tc>
          <w:tcPr>
            <w:tcW w:w="3840" w:type="dxa"/>
            <w:shd w:val="clear" w:color="auto" w:fill="auto"/>
            <w:tcMar>
              <w:top w:w="28" w:type="dxa"/>
              <w:left w:w="57" w:type="dxa"/>
              <w:bottom w:w="28" w:type="dxa"/>
              <w:right w:w="57" w:type="dxa"/>
            </w:tcMar>
            <w:vAlign w:val="center"/>
          </w:tcPr>
          <w:p w14:paraId="4703EE60">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 xml:space="preserve">pharmacodynamics </w:t>
            </w:r>
          </w:p>
        </w:tc>
      </w:tr>
      <w:tr w14:paraId="739DE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238783F7">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PK</w:t>
            </w:r>
          </w:p>
        </w:tc>
        <w:tc>
          <w:tcPr>
            <w:tcW w:w="3840" w:type="dxa"/>
            <w:shd w:val="clear" w:color="auto" w:fill="auto"/>
            <w:tcMar>
              <w:top w:w="28" w:type="dxa"/>
              <w:left w:w="57" w:type="dxa"/>
              <w:bottom w:w="28" w:type="dxa"/>
              <w:right w:w="57" w:type="dxa"/>
            </w:tcMar>
            <w:vAlign w:val="center"/>
          </w:tcPr>
          <w:p w14:paraId="71C75CDC">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 xml:space="preserve">pharmacokinetics </w:t>
            </w:r>
          </w:p>
        </w:tc>
      </w:tr>
      <w:tr w14:paraId="5C66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0D062670">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PKS</w:t>
            </w:r>
          </w:p>
        </w:tc>
        <w:tc>
          <w:tcPr>
            <w:tcW w:w="3840" w:type="dxa"/>
            <w:shd w:val="clear" w:color="auto" w:fill="auto"/>
            <w:tcMar>
              <w:top w:w="28" w:type="dxa"/>
              <w:left w:w="57" w:type="dxa"/>
              <w:bottom w:w="28" w:type="dxa"/>
              <w:right w:w="57" w:type="dxa"/>
            </w:tcMar>
            <w:vAlign w:val="center"/>
          </w:tcPr>
          <w:p w14:paraId="78270C3E">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 xml:space="preserve">Pharmacokinetics Set </w:t>
            </w:r>
          </w:p>
        </w:tc>
      </w:tr>
      <w:tr w14:paraId="792CA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1ABEA7D8">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PT</w:t>
            </w:r>
          </w:p>
        </w:tc>
        <w:tc>
          <w:tcPr>
            <w:tcW w:w="3840" w:type="dxa"/>
            <w:shd w:val="clear" w:color="auto" w:fill="auto"/>
            <w:tcMar>
              <w:top w:w="28" w:type="dxa"/>
              <w:left w:w="57" w:type="dxa"/>
              <w:bottom w:w="28" w:type="dxa"/>
              <w:right w:w="57" w:type="dxa"/>
            </w:tcMar>
            <w:vAlign w:val="center"/>
          </w:tcPr>
          <w:p w14:paraId="15814EFA">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 xml:space="preserve">Preferred Term </w:t>
            </w:r>
          </w:p>
        </w:tc>
      </w:tr>
      <w:tr w14:paraId="30745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08203E6A">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R</w:t>
            </w:r>
            <w:r>
              <w:rPr>
                <w:rFonts w:cs="Times New Roman"/>
                <w:color w:val="auto"/>
                <w:sz w:val="20"/>
                <w:szCs w:val="20"/>
                <w:vertAlign w:val="subscript"/>
              </w:rPr>
              <w:t>ac</w:t>
            </w:r>
          </w:p>
        </w:tc>
        <w:tc>
          <w:tcPr>
            <w:tcW w:w="3840" w:type="dxa"/>
            <w:shd w:val="clear" w:color="auto" w:fill="auto"/>
            <w:tcMar>
              <w:top w:w="28" w:type="dxa"/>
              <w:left w:w="57" w:type="dxa"/>
              <w:bottom w:w="28" w:type="dxa"/>
              <w:right w:w="57" w:type="dxa"/>
            </w:tcMar>
            <w:vAlign w:val="center"/>
          </w:tcPr>
          <w:p w14:paraId="7D0CCADE">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 xml:space="preserve">Accumulation Index </w:t>
            </w:r>
          </w:p>
        </w:tc>
      </w:tr>
      <w:tr w14:paraId="1E334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2276337B">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SAE</w:t>
            </w:r>
          </w:p>
        </w:tc>
        <w:tc>
          <w:tcPr>
            <w:tcW w:w="3840" w:type="dxa"/>
            <w:shd w:val="clear" w:color="auto" w:fill="auto"/>
            <w:tcMar>
              <w:top w:w="28" w:type="dxa"/>
              <w:left w:w="57" w:type="dxa"/>
              <w:bottom w:w="28" w:type="dxa"/>
              <w:right w:w="57" w:type="dxa"/>
            </w:tcMar>
            <w:vAlign w:val="center"/>
          </w:tcPr>
          <w:p w14:paraId="766BC22C">
            <w:pPr>
              <w:pStyle w:val="4"/>
              <w:widowControl/>
              <w:overflowPunct w:val="0"/>
              <w:autoSpaceDE w:val="0"/>
              <w:autoSpaceDN w:val="0"/>
              <w:adjustRightInd w:val="0"/>
              <w:snapToGrid w:val="0"/>
              <w:spacing w:line="240" w:lineRule="auto"/>
              <w:ind w:firstLine="0" w:firstLineChars="0"/>
              <w:jc w:val="center"/>
              <w:rPr>
                <w:rFonts w:cs="Times New Roman"/>
                <w:color w:val="auto"/>
                <w:sz w:val="20"/>
                <w:szCs w:val="20"/>
              </w:rPr>
            </w:pPr>
            <w:r>
              <w:rPr>
                <w:rFonts w:cs="Times New Roman"/>
                <w:color w:val="auto"/>
                <w:sz w:val="20"/>
                <w:szCs w:val="20"/>
              </w:rPr>
              <w:t xml:space="preserve">serious adverse event </w:t>
            </w:r>
          </w:p>
        </w:tc>
      </w:tr>
      <w:tr w14:paraId="40161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36A3166B">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SAP</w:t>
            </w:r>
          </w:p>
        </w:tc>
        <w:tc>
          <w:tcPr>
            <w:tcW w:w="3840" w:type="dxa"/>
            <w:shd w:val="clear" w:color="auto" w:fill="auto"/>
            <w:tcMar>
              <w:top w:w="28" w:type="dxa"/>
              <w:left w:w="57" w:type="dxa"/>
              <w:bottom w:w="28" w:type="dxa"/>
              <w:right w:w="57" w:type="dxa"/>
            </w:tcMar>
            <w:vAlign w:val="center"/>
          </w:tcPr>
          <w:p w14:paraId="2B350F1C">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 xml:space="preserve">statistical analysis plan </w:t>
            </w:r>
          </w:p>
        </w:tc>
      </w:tr>
      <w:tr w14:paraId="2C79D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7334F20A">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bookmarkStart w:id="48" w:name="OLE_LINK87"/>
            <w:r>
              <w:rPr>
                <w:rFonts w:cs="Times New Roman"/>
                <w:color w:val="auto"/>
                <w:sz w:val="20"/>
                <w:szCs w:val="20"/>
              </w:rPr>
              <w:t>SAS</w:t>
            </w:r>
            <w:bookmarkEnd w:id="48"/>
          </w:p>
        </w:tc>
        <w:tc>
          <w:tcPr>
            <w:tcW w:w="3840" w:type="dxa"/>
            <w:shd w:val="clear" w:color="auto" w:fill="auto"/>
            <w:tcMar>
              <w:top w:w="28" w:type="dxa"/>
              <w:left w:w="57" w:type="dxa"/>
              <w:bottom w:w="28" w:type="dxa"/>
              <w:right w:w="57" w:type="dxa"/>
            </w:tcMar>
            <w:vAlign w:val="center"/>
          </w:tcPr>
          <w:p w14:paraId="2B17DB86">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 xml:space="preserve">statistical analysis system </w:t>
            </w:r>
          </w:p>
        </w:tc>
      </w:tr>
      <w:tr w14:paraId="4971E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2E593625">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SD</w:t>
            </w:r>
          </w:p>
        </w:tc>
        <w:tc>
          <w:tcPr>
            <w:tcW w:w="3840" w:type="dxa"/>
            <w:shd w:val="clear" w:color="auto" w:fill="auto"/>
            <w:tcMar>
              <w:top w:w="28" w:type="dxa"/>
              <w:left w:w="57" w:type="dxa"/>
              <w:bottom w:w="28" w:type="dxa"/>
              <w:right w:w="57" w:type="dxa"/>
            </w:tcMar>
            <w:vAlign w:val="center"/>
          </w:tcPr>
          <w:p w14:paraId="59D9CDB9">
            <w:pPr>
              <w:pStyle w:val="4"/>
              <w:widowControl/>
              <w:overflowPunct w:val="0"/>
              <w:autoSpaceDE w:val="0"/>
              <w:autoSpaceDN w:val="0"/>
              <w:adjustRightInd w:val="0"/>
              <w:snapToGrid w:val="0"/>
              <w:spacing w:line="240" w:lineRule="auto"/>
              <w:ind w:firstLine="0" w:firstLineChars="0"/>
              <w:jc w:val="center"/>
              <w:rPr>
                <w:rFonts w:cs="Times New Roman"/>
                <w:color w:val="auto"/>
                <w:sz w:val="20"/>
                <w:szCs w:val="20"/>
              </w:rPr>
            </w:pPr>
            <w:r>
              <w:rPr>
                <w:rFonts w:cs="Times New Roman"/>
                <w:color w:val="auto"/>
                <w:sz w:val="20"/>
                <w:szCs w:val="20"/>
              </w:rPr>
              <w:t xml:space="preserve">standard deviation </w:t>
            </w:r>
          </w:p>
        </w:tc>
      </w:tr>
      <w:tr w14:paraId="03F75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348E6B46">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SOC</w:t>
            </w:r>
          </w:p>
        </w:tc>
        <w:tc>
          <w:tcPr>
            <w:tcW w:w="3840" w:type="dxa"/>
            <w:shd w:val="clear" w:color="auto" w:fill="auto"/>
            <w:tcMar>
              <w:top w:w="28" w:type="dxa"/>
              <w:left w:w="57" w:type="dxa"/>
              <w:bottom w:w="28" w:type="dxa"/>
              <w:right w:w="57" w:type="dxa"/>
            </w:tcMar>
            <w:vAlign w:val="center"/>
          </w:tcPr>
          <w:p w14:paraId="13387FE5">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 xml:space="preserve">system organ class </w:t>
            </w:r>
          </w:p>
        </w:tc>
      </w:tr>
      <w:tr w14:paraId="66C56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233955B0">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SOP</w:t>
            </w:r>
          </w:p>
        </w:tc>
        <w:tc>
          <w:tcPr>
            <w:tcW w:w="3840" w:type="dxa"/>
            <w:shd w:val="clear" w:color="auto" w:fill="auto"/>
            <w:tcMar>
              <w:top w:w="28" w:type="dxa"/>
              <w:left w:w="57" w:type="dxa"/>
              <w:bottom w:w="28" w:type="dxa"/>
              <w:right w:w="57" w:type="dxa"/>
            </w:tcMar>
            <w:vAlign w:val="center"/>
          </w:tcPr>
          <w:p w14:paraId="30AF6D70">
            <w:pPr>
              <w:pStyle w:val="4"/>
              <w:widowControl/>
              <w:overflowPunct w:val="0"/>
              <w:autoSpaceDE w:val="0"/>
              <w:autoSpaceDN w:val="0"/>
              <w:adjustRightInd w:val="0"/>
              <w:snapToGrid w:val="0"/>
              <w:spacing w:line="240" w:lineRule="auto"/>
              <w:ind w:firstLine="0" w:firstLineChars="0"/>
              <w:jc w:val="center"/>
              <w:rPr>
                <w:rFonts w:cs="Times New Roman"/>
                <w:color w:val="auto"/>
                <w:sz w:val="20"/>
                <w:szCs w:val="20"/>
              </w:rPr>
            </w:pPr>
            <w:r>
              <w:rPr>
                <w:rFonts w:cs="Times New Roman"/>
                <w:color w:val="auto"/>
                <w:sz w:val="20"/>
                <w:szCs w:val="20"/>
              </w:rPr>
              <w:t xml:space="preserve">standard operating procedure </w:t>
            </w:r>
          </w:p>
        </w:tc>
      </w:tr>
      <w:tr w14:paraId="4FB61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2BCB7958">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SS</w:t>
            </w:r>
          </w:p>
        </w:tc>
        <w:tc>
          <w:tcPr>
            <w:tcW w:w="3840" w:type="dxa"/>
            <w:shd w:val="clear" w:color="auto" w:fill="auto"/>
            <w:tcMar>
              <w:top w:w="28" w:type="dxa"/>
              <w:left w:w="57" w:type="dxa"/>
              <w:bottom w:w="28" w:type="dxa"/>
              <w:right w:w="57" w:type="dxa"/>
            </w:tcMar>
            <w:vAlign w:val="center"/>
          </w:tcPr>
          <w:p w14:paraId="3F1FA383">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 xml:space="preserve">safety set </w:t>
            </w:r>
          </w:p>
        </w:tc>
      </w:tr>
      <w:tr w14:paraId="48704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32CBFFD9">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SUSAR</w:t>
            </w:r>
          </w:p>
        </w:tc>
        <w:tc>
          <w:tcPr>
            <w:tcW w:w="3840" w:type="dxa"/>
            <w:shd w:val="clear" w:color="auto" w:fill="auto"/>
            <w:tcMar>
              <w:top w:w="28" w:type="dxa"/>
              <w:left w:w="57" w:type="dxa"/>
              <w:bottom w:w="28" w:type="dxa"/>
              <w:right w:w="57" w:type="dxa"/>
            </w:tcMar>
            <w:vAlign w:val="center"/>
          </w:tcPr>
          <w:p w14:paraId="18D0477A">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Suspicious and Unexpected Serious Adverse Reaction</w:t>
            </w:r>
          </w:p>
        </w:tc>
      </w:tr>
      <w:tr w14:paraId="47A1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71E7B8FA">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t</w:t>
            </w:r>
            <w:r>
              <w:rPr>
                <w:rFonts w:cs="Times New Roman"/>
                <w:color w:val="auto"/>
                <w:sz w:val="20"/>
                <w:szCs w:val="20"/>
                <w:vertAlign w:val="subscript"/>
              </w:rPr>
              <w:t>1/2</w:t>
            </w:r>
          </w:p>
        </w:tc>
        <w:tc>
          <w:tcPr>
            <w:tcW w:w="3840" w:type="dxa"/>
            <w:shd w:val="clear" w:color="auto" w:fill="auto"/>
            <w:tcMar>
              <w:top w:w="28" w:type="dxa"/>
              <w:left w:w="57" w:type="dxa"/>
              <w:bottom w:w="28" w:type="dxa"/>
              <w:right w:w="57" w:type="dxa"/>
            </w:tcMar>
            <w:vAlign w:val="center"/>
          </w:tcPr>
          <w:p w14:paraId="1699072D">
            <w:pPr>
              <w:pStyle w:val="4"/>
              <w:widowControl/>
              <w:overflowPunct w:val="0"/>
              <w:autoSpaceDE w:val="0"/>
              <w:autoSpaceDN w:val="0"/>
              <w:adjustRightInd w:val="0"/>
              <w:snapToGrid w:val="0"/>
              <w:spacing w:line="240" w:lineRule="auto"/>
              <w:ind w:firstLine="0" w:firstLineChars="0"/>
              <w:jc w:val="center"/>
              <w:rPr>
                <w:rFonts w:cs="Times New Roman"/>
                <w:color w:val="auto"/>
                <w:sz w:val="20"/>
                <w:szCs w:val="20"/>
              </w:rPr>
            </w:pPr>
            <w:r>
              <w:rPr>
                <w:rFonts w:cs="Times New Roman"/>
                <w:color w:val="auto"/>
                <w:sz w:val="20"/>
                <w:szCs w:val="20"/>
              </w:rPr>
              <w:t xml:space="preserve">elimination half life </w:t>
            </w:r>
          </w:p>
        </w:tc>
      </w:tr>
      <w:tr w14:paraId="0CBAB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603E9600">
            <w:pPr>
              <w:pStyle w:val="4"/>
              <w:widowControl/>
              <w:overflowPunct w:val="0"/>
              <w:autoSpaceDE w:val="0"/>
              <w:autoSpaceDN w:val="0"/>
              <w:adjustRightInd w:val="0"/>
              <w:snapToGrid w:val="0"/>
              <w:spacing w:line="240" w:lineRule="auto"/>
              <w:ind w:firstLine="0" w:firstLineChars="0"/>
              <w:jc w:val="center"/>
              <w:rPr>
                <w:rFonts w:cs="Times New Roman"/>
                <w:color w:val="auto"/>
                <w:sz w:val="20"/>
                <w:szCs w:val="20"/>
              </w:rPr>
            </w:pPr>
            <w:r>
              <w:rPr>
                <w:rFonts w:cs="Times New Roman"/>
                <w:color w:val="auto"/>
                <w:sz w:val="20"/>
                <w:szCs w:val="20"/>
              </w:rPr>
              <w:t>T2DM</w:t>
            </w:r>
          </w:p>
        </w:tc>
        <w:tc>
          <w:tcPr>
            <w:tcW w:w="3840" w:type="dxa"/>
            <w:shd w:val="clear" w:color="auto" w:fill="auto"/>
            <w:tcMar>
              <w:top w:w="28" w:type="dxa"/>
              <w:left w:w="57" w:type="dxa"/>
              <w:bottom w:w="28" w:type="dxa"/>
              <w:right w:w="57" w:type="dxa"/>
            </w:tcMar>
            <w:vAlign w:val="center"/>
          </w:tcPr>
          <w:p w14:paraId="5C0D68C5">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Type 2 diabetes mellitus</w:t>
            </w:r>
          </w:p>
        </w:tc>
      </w:tr>
      <w:tr w14:paraId="06A86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425BDBCB">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T3</w:t>
            </w:r>
          </w:p>
        </w:tc>
        <w:tc>
          <w:tcPr>
            <w:tcW w:w="3840" w:type="dxa"/>
            <w:shd w:val="clear" w:color="auto" w:fill="auto"/>
            <w:tcMar>
              <w:top w:w="28" w:type="dxa"/>
              <w:left w:w="57" w:type="dxa"/>
              <w:bottom w:w="28" w:type="dxa"/>
              <w:right w:w="57" w:type="dxa"/>
            </w:tcMar>
            <w:vAlign w:val="center"/>
          </w:tcPr>
          <w:p w14:paraId="1910DAF2">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triiodothyronine</w:t>
            </w:r>
          </w:p>
        </w:tc>
      </w:tr>
      <w:tr w14:paraId="2F392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36406C28">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T4</w:t>
            </w:r>
          </w:p>
        </w:tc>
        <w:tc>
          <w:tcPr>
            <w:tcW w:w="3840" w:type="dxa"/>
            <w:shd w:val="clear" w:color="auto" w:fill="auto"/>
            <w:tcMar>
              <w:top w:w="28" w:type="dxa"/>
              <w:left w:w="57" w:type="dxa"/>
              <w:bottom w:w="28" w:type="dxa"/>
              <w:right w:w="57" w:type="dxa"/>
            </w:tcMar>
            <w:vAlign w:val="center"/>
          </w:tcPr>
          <w:p w14:paraId="54C2D20C">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thyroxine</w:t>
            </w:r>
          </w:p>
        </w:tc>
      </w:tr>
      <w:tr w14:paraId="577C1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775D48D0">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TEAE</w:t>
            </w:r>
          </w:p>
        </w:tc>
        <w:tc>
          <w:tcPr>
            <w:tcW w:w="3840" w:type="dxa"/>
            <w:shd w:val="clear" w:color="auto" w:fill="auto"/>
            <w:tcMar>
              <w:top w:w="28" w:type="dxa"/>
              <w:left w:w="57" w:type="dxa"/>
              <w:bottom w:w="28" w:type="dxa"/>
              <w:right w:w="57" w:type="dxa"/>
            </w:tcMar>
            <w:vAlign w:val="center"/>
          </w:tcPr>
          <w:p w14:paraId="1066A122">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 xml:space="preserve">Treatment-Emergent Adverse Event </w:t>
            </w:r>
          </w:p>
        </w:tc>
      </w:tr>
      <w:tr w14:paraId="78360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18469FF2">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TG</w:t>
            </w:r>
          </w:p>
        </w:tc>
        <w:tc>
          <w:tcPr>
            <w:tcW w:w="3840" w:type="dxa"/>
            <w:shd w:val="clear" w:color="auto" w:fill="auto"/>
            <w:tcMar>
              <w:top w:w="28" w:type="dxa"/>
              <w:left w:w="57" w:type="dxa"/>
              <w:bottom w:w="28" w:type="dxa"/>
              <w:right w:w="57" w:type="dxa"/>
            </w:tcMar>
            <w:vAlign w:val="center"/>
          </w:tcPr>
          <w:p w14:paraId="6872C5DA">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triglyceride</w:t>
            </w:r>
          </w:p>
        </w:tc>
      </w:tr>
      <w:tr w14:paraId="28418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55C4061F">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T</w:t>
            </w:r>
            <w:r>
              <w:rPr>
                <w:rFonts w:cs="Times New Roman"/>
                <w:color w:val="auto"/>
                <w:sz w:val="20"/>
                <w:szCs w:val="20"/>
                <w:vertAlign w:val="subscript"/>
              </w:rPr>
              <w:t>max</w:t>
            </w:r>
          </w:p>
        </w:tc>
        <w:tc>
          <w:tcPr>
            <w:tcW w:w="3840" w:type="dxa"/>
            <w:shd w:val="clear" w:color="auto" w:fill="auto"/>
            <w:tcMar>
              <w:top w:w="28" w:type="dxa"/>
              <w:left w:w="57" w:type="dxa"/>
              <w:bottom w:w="28" w:type="dxa"/>
              <w:right w:w="57" w:type="dxa"/>
            </w:tcMar>
            <w:vAlign w:val="center"/>
          </w:tcPr>
          <w:p w14:paraId="70EED1AD">
            <w:pPr>
              <w:pStyle w:val="4"/>
              <w:widowControl/>
              <w:overflowPunct w:val="0"/>
              <w:autoSpaceDE w:val="0"/>
              <w:autoSpaceDN w:val="0"/>
              <w:adjustRightInd w:val="0"/>
              <w:snapToGrid w:val="0"/>
              <w:spacing w:line="240" w:lineRule="auto"/>
              <w:ind w:firstLine="0" w:firstLineChars="0"/>
              <w:jc w:val="center"/>
              <w:rPr>
                <w:rFonts w:cs="Times New Roman"/>
                <w:color w:val="auto"/>
                <w:sz w:val="20"/>
                <w:szCs w:val="20"/>
              </w:rPr>
            </w:pPr>
            <w:r>
              <w:rPr>
                <w:rFonts w:cs="Times New Roman"/>
                <w:color w:val="auto"/>
                <w:sz w:val="20"/>
                <w:szCs w:val="20"/>
              </w:rPr>
              <w:t xml:space="preserve">time to peak </w:t>
            </w:r>
          </w:p>
        </w:tc>
      </w:tr>
      <w:tr w14:paraId="1EEA0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175995E4">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TP</w:t>
            </w:r>
          </w:p>
        </w:tc>
        <w:tc>
          <w:tcPr>
            <w:tcW w:w="3840" w:type="dxa"/>
            <w:shd w:val="clear" w:color="auto" w:fill="auto"/>
            <w:tcMar>
              <w:top w:w="28" w:type="dxa"/>
              <w:left w:w="57" w:type="dxa"/>
              <w:bottom w:w="28" w:type="dxa"/>
              <w:right w:w="57" w:type="dxa"/>
            </w:tcMar>
            <w:vAlign w:val="center"/>
          </w:tcPr>
          <w:p w14:paraId="62D80DB0">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total protein</w:t>
            </w:r>
          </w:p>
        </w:tc>
      </w:tr>
      <w:tr w14:paraId="351EC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12F5AC1C">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TSH</w:t>
            </w:r>
          </w:p>
        </w:tc>
        <w:tc>
          <w:tcPr>
            <w:tcW w:w="3840" w:type="dxa"/>
            <w:shd w:val="clear" w:color="auto" w:fill="auto"/>
            <w:tcMar>
              <w:top w:w="28" w:type="dxa"/>
              <w:left w:w="57" w:type="dxa"/>
              <w:bottom w:w="28" w:type="dxa"/>
              <w:right w:w="57" w:type="dxa"/>
            </w:tcMar>
            <w:vAlign w:val="center"/>
          </w:tcPr>
          <w:p w14:paraId="5BC56579">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 xml:space="preserve">thyroid-stimulating hormone </w:t>
            </w:r>
          </w:p>
        </w:tc>
      </w:tr>
      <w:tr w14:paraId="1D096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0A5A9307">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UACR</w:t>
            </w:r>
          </w:p>
        </w:tc>
        <w:tc>
          <w:tcPr>
            <w:tcW w:w="3840" w:type="dxa"/>
            <w:shd w:val="clear" w:color="auto" w:fill="auto"/>
            <w:tcMar>
              <w:top w:w="28" w:type="dxa"/>
              <w:left w:w="57" w:type="dxa"/>
              <w:bottom w:w="28" w:type="dxa"/>
              <w:right w:w="57" w:type="dxa"/>
            </w:tcMar>
            <w:vAlign w:val="center"/>
          </w:tcPr>
          <w:p w14:paraId="4FC72AEA">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urine albumin creatine ratio</w:t>
            </w:r>
          </w:p>
        </w:tc>
      </w:tr>
      <w:tr w14:paraId="1115F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0CEFA366">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ULN</w:t>
            </w:r>
          </w:p>
        </w:tc>
        <w:tc>
          <w:tcPr>
            <w:tcW w:w="3840" w:type="dxa"/>
            <w:shd w:val="clear" w:color="auto" w:fill="auto"/>
            <w:tcMar>
              <w:top w:w="28" w:type="dxa"/>
              <w:left w:w="57" w:type="dxa"/>
              <w:bottom w:w="28" w:type="dxa"/>
              <w:right w:w="57" w:type="dxa"/>
            </w:tcMar>
            <w:vAlign w:val="center"/>
          </w:tcPr>
          <w:p w14:paraId="1E602124">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 xml:space="preserve">Upper Limit of Normal </w:t>
            </w:r>
          </w:p>
        </w:tc>
      </w:tr>
      <w:tr w14:paraId="722AF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0" w:hRule="atLeast"/>
        </w:trPr>
        <w:tc>
          <w:tcPr>
            <w:tcW w:w="1830" w:type="dxa"/>
            <w:tcMar>
              <w:top w:w="28" w:type="dxa"/>
              <w:left w:w="57" w:type="dxa"/>
              <w:bottom w:w="28" w:type="dxa"/>
              <w:right w:w="57" w:type="dxa"/>
            </w:tcMar>
            <w:vAlign w:val="center"/>
          </w:tcPr>
          <w:p w14:paraId="4AFB480C">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bookmarkStart w:id="49" w:name="OLE_LINK90"/>
            <w:bookmarkStart w:id="50" w:name="OLE_LINK91"/>
            <w:r>
              <w:rPr>
                <w:rFonts w:cs="Times New Roman"/>
                <w:color w:val="auto"/>
                <w:sz w:val="20"/>
                <w:szCs w:val="20"/>
              </w:rPr>
              <w:t>V</w:t>
            </w:r>
            <w:r>
              <w:rPr>
                <w:rFonts w:cs="Times New Roman"/>
                <w:color w:val="auto"/>
                <w:sz w:val="20"/>
                <w:szCs w:val="20"/>
                <w:vertAlign w:val="subscript"/>
              </w:rPr>
              <w:t>d</w:t>
            </w:r>
            <w:r>
              <w:rPr>
                <w:rFonts w:cs="Times New Roman"/>
                <w:color w:val="auto"/>
                <w:sz w:val="20"/>
                <w:szCs w:val="20"/>
              </w:rPr>
              <w:t>/F</w:t>
            </w:r>
            <w:bookmarkEnd w:id="49"/>
            <w:bookmarkEnd w:id="50"/>
          </w:p>
        </w:tc>
        <w:tc>
          <w:tcPr>
            <w:tcW w:w="3840" w:type="dxa"/>
            <w:shd w:val="clear" w:color="auto" w:fill="auto"/>
            <w:tcMar>
              <w:top w:w="28" w:type="dxa"/>
              <w:left w:w="57" w:type="dxa"/>
              <w:bottom w:w="28" w:type="dxa"/>
              <w:right w:w="57" w:type="dxa"/>
            </w:tcMar>
            <w:vAlign w:val="center"/>
          </w:tcPr>
          <w:p w14:paraId="0A622260">
            <w:pPr>
              <w:pStyle w:val="4"/>
              <w:widowControl/>
              <w:overflowPunct w:val="0"/>
              <w:autoSpaceDE w:val="0"/>
              <w:autoSpaceDN w:val="0"/>
              <w:adjustRightInd w:val="0"/>
              <w:snapToGrid w:val="0"/>
              <w:spacing w:line="240" w:lineRule="auto"/>
              <w:ind w:firstLine="0" w:firstLineChars="0"/>
              <w:jc w:val="center"/>
              <w:rPr>
                <w:rFonts w:cs="Times New Roman"/>
                <w:color w:val="auto"/>
                <w:kern w:val="0"/>
                <w:sz w:val="20"/>
                <w:szCs w:val="20"/>
              </w:rPr>
            </w:pPr>
            <w:r>
              <w:rPr>
                <w:rFonts w:cs="Times New Roman"/>
                <w:color w:val="auto"/>
                <w:sz w:val="20"/>
                <w:szCs w:val="20"/>
              </w:rPr>
              <w:t xml:space="preserve">volume of distribution </w:t>
            </w:r>
          </w:p>
        </w:tc>
      </w:tr>
    </w:tbl>
    <w:p w14:paraId="1FDFCBC2">
      <w:pPr>
        <w:pStyle w:val="21"/>
        <w:overflowPunct w:val="0"/>
        <w:autoSpaceDE w:val="0"/>
        <w:autoSpaceDN w:val="0"/>
        <w:adjustRightInd w:val="0"/>
        <w:snapToGrid w:val="0"/>
        <w:spacing w:before="120" w:beforeLines="50" w:after="120" w:afterLines="50" w:line="300" w:lineRule="auto"/>
        <w:ind w:firstLine="0" w:firstLineChars="0"/>
        <w:rPr>
          <w:rFonts w:ascii="Times New Roman" w:hAnsi="Times New Roman" w:eastAsia="宋体"/>
          <w:color w:val="auto"/>
          <w:szCs w:val="24"/>
        </w:rPr>
      </w:pPr>
    </w:p>
    <w:p w14:paraId="679894FC">
      <w:pPr>
        <w:overflowPunct w:val="0"/>
        <w:autoSpaceDE w:val="0"/>
        <w:autoSpaceDN w:val="0"/>
        <w:adjustRightInd w:val="0"/>
        <w:snapToGrid w:val="0"/>
        <w:spacing w:before="120" w:beforeLines="50" w:after="120" w:afterLines="50" w:line="300" w:lineRule="auto"/>
        <w:rPr>
          <w:rFonts w:eastAsia="宋体"/>
        </w:rPr>
      </w:pPr>
      <w:bookmarkStart w:id="51" w:name="_Toc6856"/>
      <w:bookmarkStart w:id="52" w:name="_Toc26617"/>
      <w:bookmarkStart w:id="53" w:name="_Toc23890"/>
      <w:bookmarkStart w:id="54" w:name="_Toc493637974"/>
      <w:bookmarkStart w:id="55" w:name="OLE_LINK21"/>
      <w:bookmarkStart w:id="56" w:name="OLE_LINK14"/>
      <w:bookmarkStart w:id="57" w:name="_Toc446058118"/>
      <w:r>
        <w:br w:type="page"/>
      </w:r>
    </w:p>
    <w:p w14:paraId="63987AA3">
      <w:pPr>
        <w:pStyle w:val="3"/>
        <w:numPr>
          <w:ilvl w:val="0"/>
          <w:numId w:val="17"/>
        </w:numPr>
      </w:pPr>
      <w:bookmarkStart w:id="58" w:name="_Toc159596218"/>
      <w:r>
        <w:t>RESEARCH BACKGROUND</w:t>
      </w:r>
      <w:bookmarkEnd w:id="51"/>
      <w:bookmarkEnd w:id="52"/>
      <w:bookmarkEnd w:id="53"/>
      <w:bookmarkEnd w:id="54"/>
      <w:bookmarkEnd w:id="58"/>
    </w:p>
    <w:p w14:paraId="6BA5990D">
      <w:pPr>
        <w:pStyle w:val="5"/>
      </w:pPr>
      <w:bookmarkStart w:id="59" w:name="_Toc159596219"/>
      <w:r>
        <w:t>Overview of Investigational Drug and Diseases</w:t>
      </w:r>
      <w:bookmarkEnd w:id="59"/>
    </w:p>
    <w:p w14:paraId="3E295DE3">
      <w:pPr>
        <w:overflowPunct w:val="0"/>
        <w:autoSpaceDE w:val="0"/>
        <w:autoSpaceDN w:val="0"/>
        <w:adjustRightInd w:val="0"/>
        <w:snapToGrid w:val="0"/>
        <w:spacing w:before="120" w:beforeLines="50" w:after="120" w:afterLines="50" w:line="300" w:lineRule="auto"/>
        <w:rPr>
          <w:rFonts w:eastAsia="宋体"/>
        </w:rPr>
      </w:pPr>
      <w:bookmarkStart w:id="60" w:name="_Toc300567471"/>
      <w:bookmarkEnd w:id="60"/>
      <w:bookmarkStart w:id="61" w:name="_Toc300567366"/>
      <w:bookmarkEnd w:id="61"/>
      <w:bookmarkStart w:id="62" w:name="_Toc300567261"/>
      <w:bookmarkEnd w:id="62"/>
      <w:r>
        <w:t>RAY1225 injection is a dual receptor agonist of glucose-dependent insulinotropic polypeptide (GIP) and glucagon-like peptide-1 (GLP-1) developed by Guangdong Raynovent Biotech Co., Ltd. It is a polypeptide primarily composed of 39 amino acids with unnatural amino acid substitutions introduced at key metabolic sites, coupled with a fatty acid side chain that can bind to albumin to prolong half-life, and is a Class 1 chemical drug. RAY1225 selectively binds to and activates GIP and GLP-1 receptors, promotes insulin secretion and inhibits glucagon in a glucose-dependent manner to control blood glucose, while inhibiting gastric emptying and appetite, reducing body weight and peripheral insulin resistance, and improving steatosis.</w:t>
      </w:r>
    </w:p>
    <w:p w14:paraId="4B0E0EC1">
      <w:pPr>
        <w:overflowPunct w:val="0"/>
        <w:autoSpaceDE w:val="0"/>
        <w:autoSpaceDN w:val="0"/>
        <w:adjustRightInd w:val="0"/>
        <w:snapToGrid w:val="0"/>
        <w:spacing w:before="120" w:beforeLines="50" w:after="120" w:afterLines="50" w:line="300" w:lineRule="auto"/>
        <w:rPr>
          <w:rFonts w:eastAsia="宋体"/>
        </w:rPr>
      </w:pPr>
      <w:r>
        <w:t>Diabetes mellitus is a metabolic disorder associated with impaired glucose homeostasis, leading to chronic hyperglycemia. According to the 10</w:t>
      </w:r>
      <w:r>
        <w:rPr>
          <w:vertAlign w:val="superscript"/>
        </w:rPr>
        <w:t>th</w:t>
      </w:r>
      <w:r>
        <w:t xml:space="preserve"> edition of the Global Diabetes Atlas</w:t>
      </w:r>
      <w:r>
        <w:rPr>
          <w:rFonts w:eastAsia="宋体"/>
          <w:vertAlign w:val="superscript"/>
        </w:rPr>
        <w:fldChar w:fldCharType="begin"/>
      </w:r>
      <w:r>
        <w:rPr>
          <w:rFonts w:eastAsia="宋体"/>
          <w:vertAlign w:val="superscript"/>
        </w:rPr>
        <w:instrText xml:space="preserve"> REF _Ref120268126 \r \h  \* MERGEFORMAT </w:instrText>
      </w:r>
      <w:r>
        <w:rPr>
          <w:rFonts w:eastAsia="宋体"/>
          <w:vertAlign w:val="superscript"/>
        </w:rPr>
        <w:fldChar w:fldCharType="separate"/>
      </w:r>
      <w:r>
        <w:rPr>
          <w:rFonts w:eastAsia="宋体"/>
          <w:vertAlign w:val="superscript"/>
        </w:rPr>
        <w:t>[1]</w:t>
      </w:r>
      <w:r>
        <w:rPr>
          <w:rFonts w:eastAsia="宋体"/>
          <w:vertAlign w:val="superscript"/>
        </w:rPr>
        <w:fldChar w:fldCharType="end"/>
      </w:r>
      <w:r>
        <w:t xml:space="preserve"> released by the International Diabetes Federation (IDF) in 2021, the number of patients with diabetes in China ranks first worldwide, with approximately 140.9 million patients, more than 90% of whom have type 2 diabetes mellitus (T2DM). About 170 million adults have impaired glucose tolerance and about 27 million adults have impaired fasting plasma glucose, making them all part of the "reserve army" for the diabetic population. In addition, approximately 51.7% of patients with diabetes in China are undiagnosed, amounting to approximately 73 million. Patients with T2DM often present with one or more components of metabolic syndrome, such as hypertension, dyslipidemia, and obesity, which significantly increase the risk, rate of progression, and hazard of T2DM complications. Patients with diabetes are at increased risk of microvascular (e.g., retinopathy, nephropathy, neuropathy) and macrovascular (e.g., atherosclerotic cardiovascular disease and heart failure) complications due to chronic hyperglycemia. A large body of clinical evidence has found that stringent glycemic control alone has a limited role in reducing the risk of cardiovascular disease development and its mortality in patients with T2DM, especially in those with a long course of disease, advanced age, and who have already experienced cardiovascular disease or have multiple cardiovascular risk factors. However, comprehensive interventions for multiple risk factors such as overweight and obesity, hypertension, lipid disorders, smoking, chronic kidney disease, and albuminuria can significantly improve the risk of cardiovascular disease and death in diabetic patients</w:t>
      </w:r>
      <w:r>
        <w:rPr>
          <w:rFonts w:eastAsia="宋体"/>
          <w:vertAlign w:val="superscript"/>
        </w:rPr>
        <w:fldChar w:fldCharType="begin"/>
      </w:r>
      <w:r>
        <w:rPr>
          <w:rFonts w:eastAsia="宋体"/>
          <w:vertAlign w:val="superscript"/>
        </w:rPr>
        <w:instrText xml:space="preserve"> REF _Ref120268156 \r \h  \* MERGEFORMAT </w:instrText>
      </w:r>
      <w:r>
        <w:rPr>
          <w:rFonts w:eastAsia="宋体"/>
          <w:vertAlign w:val="superscript"/>
        </w:rPr>
        <w:fldChar w:fldCharType="separate"/>
      </w:r>
      <w:r>
        <w:rPr>
          <w:rFonts w:eastAsia="宋体"/>
          <w:vertAlign w:val="superscript"/>
        </w:rPr>
        <w:t>[2]</w:t>
      </w:r>
      <w:r>
        <w:rPr>
          <w:rFonts w:eastAsia="宋体"/>
          <w:vertAlign w:val="superscript"/>
        </w:rPr>
        <w:fldChar w:fldCharType="end"/>
      </w:r>
      <w:r>
        <w:t>.</w:t>
      </w:r>
    </w:p>
    <w:p w14:paraId="4AED7FC2">
      <w:pPr>
        <w:overflowPunct w:val="0"/>
        <w:autoSpaceDE w:val="0"/>
        <w:autoSpaceDN w:val="0"/>
        <w:adjustRightInd w:val="0"/>
        <w:snapToGrid w:val="0"/>
        <w:spacing w:before="120" w:beforeLines="50" w:after="120" w:afterLines="50" w:line="300" w:lineRule="auto"/>
        <w:rPr>
          <w:rFonts w:eastAsia="宋体"/>
        </w:rPr>
      </w:pPr>
      <w:r>
        <w:t>Scientific and reasonable prevention and treatment strategies for T2DM should be comprehensive, including the integrated management of blood glucose, blood pressure, lipid profile, and body weight, with care pathways that include interventions such as lifestyle management, glucose monitoring, diabetes education, and the administration of hypoglycemic agents. T2DM is a progressive disease. With the progression of the disease, its dependence on exogenous means of glycemic control gradually increases. Multiple oral hypoglycemic agents (including metformin, insulin secretagogues, α-glucosidase inhibitors, thiazolidinediones, dipeptidyl peptidase IV [DPP-4] inhibitors, sodium-glucose cotransporter 2 [SGLT2] inhibitors) as well as combination therapies between oral and injectable hypoglycemic agents (insulin, glucagon-like peptide-1 [GLP-1] receptors agonists) are often required for glycemic control in clinical practice</w:t>
      </w:r>
      <w:r>
        <w:rPr>
          <w:rFonts w:eastAsia="宋体"/>
          <w:vertAlign w:val="superscript"/>
        </w:rPr>
        <w:fldChar w:fldCharType="begin"/>
      </w:r>
      <w:r>
        <w:rPr>
          <w:rFonts w:eastAsia="宋体"/>
          <w:vertAlign w:val="superscript"/>
        </w:rPr>
        <w:instrText xml:space="preserve"> REF _Ref120268156 \r \h  \* MERGEFORMAT </w:instrText>
      </w:r>
      <w:r>
        <w:rPr>
          <w:rFonts w:eastAsia="宋体"/>
          <w:vertAlign w:val="superscript"/>
        </w:rPr>
        <w:fldChar w:fldCharType="separate"/>
      </w:r>
      <w:r>
        <w:rPr>
          <w:rFonts w:eastAsia="宋体"/>
          <w:vertAlign w:val="superscript"/>
        </w:rPr>
        <w:t>[2]</w:t>
      </w:r>
      <w:r>
        <w:rPr>
          <w:rFonts w:eastAsia="宋体"/>
          <w:vertAlign w:val="superscript"/>
        </w:rPr>
        <w:fldChar w:fldCharType="end"/>
      </w:r>
      <w:r>
        <w:t xml:space="preserve">. </w:t>
      </w:r>
      <w:bookmarkStart w:id="63" w:name="OLE_LINK31"/>
      <w:r>
        <w:t>Although many classes of hypoglycemic agents are currently approved as single agents or fixed-dose combinations, desired comprehensive glycemic control is not achieved in many patients</w:t>
      </w:r>
      <w:bookmarkEnd w:id="63"/>
      <w:r>
        <w:t>. Single-agent and single-target treatment regimens have limited efficacy, yet by integrating multiple metabolic pathways in a single therapy, it is possible to achieve multiple therapeutic effects for improved efficacy.</w:t>
      </w:r>
    </w:p>
    <w:p w14:paraId="4E1C5FA0">
      <w:pPr>
        <w:overflowPunct w:val="0"/>
        <w:autoSpaceDE w:val="0"/>
        <w:autoSpaceDN w:val="0"/>
        <w:adjustRightInd w:val="0"/>
        <w:snapToGrid w:val="0"/>
        <w:spacing w:before="120" w:beforeLines="50" w:after="120" w:afterLines="50" w:line="300" w:lineRule="auto"/>
        <w:rPr>
          <w:rFonts w:eastAsia="宋体"/>
        </w:rPr>
      </w:pPr>
      <w:r>
        <w:t xml:space="preserve">GLP-1 is a hormone secreted and produced mainly by intestinal L-cells. It binds to and activates the GLP-1 receptor (GLP-1R) of the class B family of G-protein-coupled receptors (GPCRs) to exert its regulatory function. GLP-1R is found in many organs including pancreas, brain, heart, kidney, and gastrointestinal tract. GLP-1 receptor agonists, by stimulating insulin secretion in a glucose-dependent manner, are effective in glycemic control with a low risk of hypoglycemia in patients with T2DM, and are now widely used in clinical practice due to the advantages in weight loss and cardiovascular benefits. Studies have shown that co-administration of GLP-1 receptor agonists with other gastrointestinal hormones shows a facilitative or synergistic effect, resulting in more effective glycemic control, better weight loss, and greater likelihood of cardiovascular protection than agonists alone. GIP, a polypeptide composed of 42 amino acids, is secreted by neuroendocrine K cells in the proximal small intestine. Its physiological functions are mediated through the glucose-dependent insulinotropic peptide receptor (GIPR), mainly including the promotion of insulin and glucagon secretion and the enhancement of lipid metabolism. When GLP-1R/GIPR are co-activated, GLP-1 can lower hyperglycemia, thereby restoring or enhancing the hypoglycemic effect of GIP, and the activation of GIP receptors on pancreatic cells has also been proven to enhance the production of GLP-1 and insulin. GIP is also involved in the carbohydrate and lipid metabolism of adipocytes. Under conditions of high insulin levels and moderate hyperglycemia, it promotes </w:t>
      </w:r>
      <w:r>
        <w:rPr>
          <w:i/>
          <w:iCs/>
        </w:rPr>
        <w:t>de novo</w:t>
      </w:r>
      <w:r>
        <w:t xml:space="preserve"> fat production and enhances lipoprotein lipase activity and triglyceride hydrolysis by increasing glucose and free fatty acid uptake. It also prevents fat deposition by enhancing lipid buffering capacity in postprandial white adipose tissue and the sensitivity of adipose tissue to insulin. In the central nervous system, neurons activated by GIP differ from those activated by GLP-1. GIP enhances metabolic flexibility by increasing fat utilization in the fasting state and reducing fat availability in the fed state, without significantly affecting gastric emptying. In summary, co-agonizing GLP-1R/GIPR can better exert the synergistic effects to lower blood glucose, lose weight, and improve lipid homeostasis and whole-body energy metabolism</w:t>
      </w:r>
      <w:r>
        <w:rPr>
          <w:rFonts w:eastAsia="宋体"/>
        </w:rPr>
        <w:fldChar w:fldCharType="begin"/>
      </w:r>
      <w:r>
        <w:rPr>
          <w:rFonts w:eastAsia="宋体"/>
        </w:rPr>
        <w:instrText xml:space="preserve"> REF _Ref119438835 \r \h  \* MERGEFORMAT </w:instrText>
      </w:r>
      <w:r>
        <w:rPr>
          <w:rFonts w:eastAsia="宋体"/>
        </w:rPr>
        <w:fldChar w:fldCharType="separate"/>
      </w:r>
      <w:r>
        <w:rPr>
          <w:rFonts w:eastAsia="宋体"/>
          <w:vertAlign w:val="superscript"/>
        </w:rPr>
        <w:t>[3]</w:t>
      </w:r>
      <w:r>
        <w:rPr>
          <w:rFonts w:eastAsia="宋体"/>
        </w:rPr>
        <w:fldChar w:fldCharType="end"/>
      </w:r>
      <w:r>
        <w:t>. Currently, the world's first dual GLP-1/GIP receptor agonist, tirzepatide (trade name: Mounjaro™), has been marketed in May 2022 as an adjunct to diet and exercise regimens to improve glycemic control in adults with T2DM. In the phase III clinical study of Mounjaro™</w:t>
      </w:r>
      <w:r>
        <w:rPr>
          <w:rFonts w:eastAsia="宋体"/>
          <w:vertAlign w:val="superscript"/>
        </w:rPr>
        <w:fldChar w:fldCharType="begin"/>
      </w:r>
      <w:r>
        <w:rPr>
          <w:rFonts w:eastAsia="宋体"/>
          <w:vertAlign w:val="superscript"/>
        </w:rPr>
        <w:instrText xml:space="preserve"> REF _Ref119438858 \r \h  \* MERGEFORMAT </w:instrText>
      </w:r>
      <w:r>
        <w:rPr>
          <w:rFonts w:eastAsia="宋体"/>
          <w:vertAlign w:val="superscript"/>
        </w:rPr>
        <w:fldChar w:fldCharType="separate"/>
      </w:r>
      <w:r>
        <w:rPr>
          <w:rFonts w:eastAsia="宋体"/>
          <w:vertAlign w:val="superscript"/>
        </w:rPr>
        <w:t>[4]</w:t>
      </w:r>
      <w:r>
        <w:rPr>
          <w:rFonts w:eastAsia="宋体"/>
          <w:vertAlign w:val="superscript"/>
        </w:rPr>
        <w:fldChar w:fldCharType="end"/>
      </w:r>
      <w:r>
        <w:t>, its hypoglycemic effect was superior to that of insulin glargine, insulin degludec, and semaglutide. A dose at 5 mg could reduce the HbA1c by an average of 1.8%–2.1%, and 10 mg and 15 mg doses could reduce the HbA1c by an average of 1.7%–2.4% in patients with T2DM, demonstrating good efficacy and safety profiles. From the existing data, dual GLP-1/GIP receptor agonists are more effective than single GLP-1 agonists in hypoglycemic effect and weight loss, showing a broad prospect for clinical application.</w:t>
      </w:r>
    </w:p>
    <w:p w14:paraId="24C560E1">
      <w:pPr>
        <w:overflowPunct w:val="0"/>
        <w:autoSpaceDE w:val="0"/>
        <w:autoSpaceDN w:val="0"/>
        <w:adjustRightInd w:val="0"/>
        <w:snapToGrid w:val="0"/>
        <w:spacing w:before="120" w:beforeLines="50" w:after="120" w:afterLines="50" w:line="300" w:lineRule="auto"/>
        <w:rPr>
          <w:rFonts w:eastAsia="宋体"/>
        </w:rPr>
      </w:pPr>
      <w:r>
        <w:t>RAY1225 Injection is a dual GLP-1/GIP receptor agonist independently developed by Guangdong Raynovent Biotech Co., Ltd., which promotes insulin secretion, reduces glucagon concentration, and delays gastric emptying in a glucose-dependent manner by selectively binding to and activating GIP and GLP-1 receptors, thereby achieving hypoglycemic effect, weight loss, and metabolism improvement. In preclinical studies, RAY1225 showed a significant weight-loss effect in two obese mouse models and a significant hypoglycemic effect in diabetic mouse models, both with notable dose-dependency; RAY1225 had good pharmacokinetic properties, a low risk of off-target side effects, and a good safety profile. In the phase I clinical study, RAY1225 showed good pharmacokinetic properties and safety profile in humans. A single dose of 0.5 mg to 4 mg and multiple doses of 1 mg QW and 1/2/4 mg Q2W for 4 consecutive weeks in healthy subjects, and multiple doses of 1/3/5 mg and 2/4/6 mg Q2W for 4 consecutive weeks in obese subjects were all tolerated with good safety. The most common adverse reactions were gastrointestinal-related adverse reactions (decreased appetite, nausea, abdominal distension, diarrhea, vomiting, abdominal pain, etc.), and the incidence and severity significantly decreased after titration dosing. The mean half-life of RAY1225</w:t>
      </w:r>
      <w:bookmarkStart w:id="64" w:name="_Hlk155946083"/>
      <w:bookmarkEnd w:id="64"/>
      <w:r>
        <w:t xml:space="preserve"> was approximately 9 to 11 days, and exposure (C</w:t>
      </w:r>
      <w:r>
        <w:rPr>
          <w:vertAlign w:val="subscript"/>
        </w:rPr>
        <w:t>max</w:t>
      </w:r>
      <w:r>
        <w:t>, AUC</w:t>
      </w:r>
      <w:r>
        <w:rPr>
          <w:vertAlign w:val="subscript"/>
        </w:rPr>
        <w:t>0-t</w:t>
      </w:r>
      <w:r>
        <w:t>, and AUC</w:t>
      </w:r>
      <w:r>
        <w:rPr>
          <w:vertAlign w:val="subscript"/>
        </w:rPr>
        <w:t>0-∞</w:t>
      </w:r>
      <w:r>
        <w:t xml:space="preserve">) all increased with increasing dose, with moderate accumulation (an accumulation index of 2.6 to 2.8) at steady state after 4 consecutive doses of </w:t>
      </w:r>
      <w:bookmarkStart w:id="65" w:name="_Hlk155946095"/>
      <w:r>
        <w:t>1 mg</w:t>
      </w:r>
      <w:bookmarkEnd w:id="65"/>
      <w:r>
        <w:t xml:space="preserve"> QW</w:t>
      </w:r>
      <w:bookmarkStart w:id="66" w:name="_Hlk155946109"/>
      <w:bookmarkEnd w:id="66"/>
      <w:r>
        <w:t>. Available pharmacodynamics, pharmacokinetics, and human safety data support the conduct of phase II clinical study of RAY1225 Injection in patients with T2DM.</w:t>
      </w:r>
    </w:p>
    <w:p w14:paraId="3E2D8F5F">
      <w:pPr>
        <w:pStyle w:val="5"/>
      </w:pPr>
      <w:bookmarkStart w:id="67" w:name="_Toc26352"/>
      <w:bookmarkStart w:id="68" w:name="_Toc8815"/>
      <w:bookmarkStart w:id="69" w:name="_Toc19250"/>
      <w:bookmarkStart w:id="70" w:name="_Toc159596220"/>
      <w:r>
        <w:t>Nonclinical Studies</w:t>
      </w:r>
      <w:bookmarkEnd w:id="67"/>
      <w:bookmarkEnd w:id="68"/>
      <w:bookmarkEnd w:id="69"/>
      <w:bookmarkEnd w:id="70"/>
    </w:p>
    <w:p w14:paraId="74E20959">
      <w:pPr>
        <w:pStyle w:val="6"/>
        <w:rPr>
          <w:rFonts w:eastAsia="宋体"/>
        </w:rPr>
      </w:pPr>
      <w:bookmarkStart w:id="71" w:name="_Toc23648"/>
      <w:bookmarkStart w:id="72" w:name="_Toc9940"/>
      <w:bookmarkStart w:id="73" w:name="_Toc159596221"/>
      <w:bookmarkStart w:id="74" w:name="_Toc25817"/>
      <w:r>
        <w:t>Pharmacodynamic evaluation</w:t>
      </w:r>
      <w:bookmarkEnd w:id="71"/>
      <w:bookmarkEnd w:id="72"/>
      <w:bookmarkEnd w:id="73"/>
      <w:bookmarkEnd w:id="74"/>
    </w:p>
    <w:p w14:paraId="6DC6DA06">
      <w:pPr>
        <w:overflowPunct w:val="0"/>
        <w:autoSpaceDE w:val="0"/>
        <w:autoSpaceDN w:val="0"/>
        <w:adjustRightInd w:val="0"/>
        <w:snapToGrid w:val="0"/>
        <w:spacing w:before="120" w:beforeLines="50" w:after="120" w:afterLines="50" w:line="300" w:lineRule="auto"/>
        <w:rPr>
          <w:rFonts w:eastAsia="宋体"/>
        </w:rPr>
      </w:pPr>
      <w:r>
        <w:rPr>
          <w:i/>
          <w:iCs/>
        </w:rPr>
        <w:t>In vitro</w:t>
      </w:r>
      <w:r>
        <w:t xml:space="preserve"> pharmacodynamic studies showed that RAY1225 had strong receptor affinity (IC</w:t>
      </w:r>
      <w:r>
        <w:rPr>
          <w:vertAlign w:val="subscript"/>
        </w:rPr>
        <w:t>50</w:t>
      </w:r>
      <w:r>
        <w:t xml:space="preserve"> = 5.31 nM and 0.26 nM, respectively) and agonistic activity (EC</w:t>
      </w:r>
      <w:r>
        <w:rPr>
          <w:vertAlign w:val="subscript"/>
        </w:rPr>
        <w:t>50</w:t>
      </w:r>
      <w:r>
        <w:t xml:space="preserve"> = 0.14 nM and 0.12 nM, respectively) to both human GLP-1 receptor and GIP receptor, and the activity was comparable to that of the active comparator, tirzepatide.</w:t>
      </w:r>
    </w:p>
    <w:p w14:paraId="23197A1A">
      <w:pPr>
        <w:overflowPunct w:val="0"/>
        <w:autoSpaceDE w:val="0"/>
        <w:autoSpaceDN w:val="0"/>
        <w:adjustRightInd w:val="0"/>
        <w:snapToGrid w:val="0"/>
        <w:spacing w:before="120" w:beforeLines="50" w:after="120" w:afterLines="50" w:line="300" w:lineRule="auto"/>
        <w:rPr>
          <w:rFonts w:eastAsia="宋体"/>
        </w:rPr>
      </w:pPr>
      <w:r>
        <w:t xml:space="preserve">In a db/db mouse model of spontaneous T2DM, RAY1225, when administered once daily via subcutaneous injection at doses of 1, 3, 10, and 30 nmol/kg for 4 consecutive weeks, significantly reduced food intake, fasting plasma glucose, and HbA1c levels in a dose-dependent manner in model animals, showing a significant hypoglycemic effect. RAY1225 could improve the liver function and lipid profile of model animals to some extent. The effect of RAY1225 on model animals was slightly superior to that of the active comparator, </w:t>
      </w:r>
      <w:r>
        <w:rPr>
          <w:bCs/>
        </w:rPr>
        <w:t>tirzepatide</w:t>
      </w:r>
      <w:r>
        <w:t>. In addition, RAY1225, when administered once daily or every other day via subcutaneous injection at 15 nmol/kg for 4 consecutive weeks, significantly reduced fasting plasma glucose and HbA1c levels in db/db mice, with generally comparable pharmacodynamic effects in two treatment regimens; however, the therapeutic effect of RAY1225 was slightly superior to that of the active comparator tirzepatide for the alternate-day treatment regimen.</w:t>
      </w:r>
    </w:p>
    <w:p w14:paraId="044DB9C9">
      <w:pPr>
        <w:overflowPunct w:val="0"/>
        <w:autoSpaceDE w:val="0"/>
        <w:autoSpaceDN w:val="0"/>
        <w:adjustRightInd w:val="0"/>
        <w:snapToGrid w:val="0"/>
        <w:spacing w:before="120" w:beforeLines="50" w:after="120" w:afterLines="50" w:line="300" w:lineRule="auto"/>
        <w:rPr>
          <w:rFonts w:eastAsia="宋体"/>
        </w:rPr>
      </w:pPr>
      <w:r>
        <w:t>In C57BL/6J mice, RAY1225 at 0.1–100 nmol/kg showed excellent hypoglycemic effects, and could significantly improve glucose tolerance via intraperitoneal injection in C57BL/6J mice, with a good dose-response relationship. At the same dose, RAY1225 1 nmol/kg had a slightly superior hypoglycemic effect than tirzepatide.</w:t>
      </w:r>
    </w:p>
    <w:p w14:paraId="41AF89F3">
      <w:pPr>
        <w:overflowPunct w:val="0"/>
        <w:autoSpaceDE w:val="0"/>
        <w:autoSpaceDN w:val="0"/>
        <w:adjustRightInd w:val="0"/>
        <w:snapToGrid w:val="0"/>
        <w:spacing w:before="120" w:beforeLines="50" w:after="120" w:afterLines="50" w:line="300" w:lineRule="auto"/>
        <w:rPr>
          <w:rFonts w:eastAsia="宋体"/>
        </w:rPr>
      </w:pPr>
      <w:r>
        <w:t xml:space="preserve">In SD rats, RAY1225 showed significant hypoglycemic effects at 1, 3, and 10 nmol/kg, and </w:t>
      </w:r>
      <w:r>
        <w:rPr>
          <w:spacing w:val="-4"/>
        </w:rPr>
        <w:t>enhanced insulin secretion in rats in a dose-dependent manner after intravenous glucose injection.</w:t>
      </w:r>
    </w:p>
    <w:p w14:paraId="236DFAF5">
      <w:pPr>
        <w:pStyle w:val="6"/>
        <w:rPr>
          <w:rFonts w:eastAsia="宋体"/>
        </w:rPr>
      </w:pPr>
      <w:bookmarkStart w:id="75" w:name="_Toc23190"/>
      <w:bookmarkStart w:id="76" w:name="_Toc489119362"/>
      <w:bookmarkStart w:id="77" w:name="_Toc454282509"/>
      <w:bookmarkStart w:id="78" w:name="_Toc159596222"/>
      <w:bookmarkStart w:id="79" w:name="_Toc30622"/>
      <w:bookmarkStart w:id="80" w:name="_Toc19670"/>
      <w:r>
        <w:t>Pharmacokinetics</w:t>
      </w:r>
      <w:bookmarkEnd w:id="75"/>
      <w:bookmarkEnd w:id="76"/>
      <w:bookmarkEnd w:id="77"/>
      <w:bookmarkEnd w:id="78"/>
      <w:bookmarkEnd w:id="79"/>
      <w:bookmarkEnd w:id="80"/>
    </w:p>
    <w:p w14:paraId="4D4155BB">
      <w:pPr>
        <w:pStyle w:val="166"/>
        <w:keepNext/>
        <w:widowControl w:val="0"/>
        <w:overflowPunct w:val="0"/>
        <w:autoSpaceDE w:val="0"/>
        <w:autoSpaceDN w:val="0"/>
        <w:adjustRightInd w:val="0"/>
        <w:snapToGrid w:val="0"/>
        <w:spacing w:beforeLines="50" w:afterLines="50" w:line="300" w:lineRule="auto"/>
        <w:ind w:left="0"/>
        <w:rPr>
          <w:b/>
        </w:rPr>
      </w:pPr>
      <w:r>
        <w:rPr>
          <w:b/>
        </w:rPr>
        <w:t>Absorption:</w:t>
      </w:r>
    </w:p>
    <w:p w14:paraId="5E82C0C5">
      <w:pPr>
        <w:overflowPunct w:val="0"/>
        <w:autoSpaceDE w:val="0"/>
        <w:autoSpaceDN w:val="0"/>
        <w:adjustRightInd w:val="0"/>
        <w:snapToGrid w:val="0"/>
        <w:spacing w:before="120" w:beforeLines="50" w:after="120" w:afterLines="50" w:line="300" w:lineRule="auto"/>
      </w:pPr>
      <w:r>
        <w:t>After a single subcutaneous injection of RAY1225 at doses of 0.028, 0.092, and 0.302 mg/kg to SD rats, in male rats, the elimination half-life T</w:t>
      </w:r>
      <w:r>
        <w:rPr>
          <w:vertAlign w:val="subscript"/>
        </w:rPr>
        <w:t>1/2</w:t>
      </w:r>
      <w:r>
        <w:t xml:space="preserve"> of RAY1225 was between 20.41 and 22.14 h, the T</w:t>
      </w:r>
      <w:r>
        <w:rPr>
          <w:vertAlign w:val="subscript"/>
        </w:rPr>
        <w:t>max</w:t>
      </w:r>
      <w:r>
        <w:t xml:space="preserve"> was 24 h, the C</w:t>
      </w:r>
      <w:r>
        <w:rPr>
          <w:vertAlign w:val="subscript"/>
        </w:rPr>
        <w:t>max</w:t>
      </w:r>
      <w:r>
        <w:t xml:space="preserve"> was between 107.36 and 1233.31 ng/mL, and the AUC</w:t>
      </w:r>
      <w:r>
        <w:rPr>
          <w:vertAlign w:val="subscript"/>
        </w:rPr>
        <w:t>last</w:t>
      </w:r>
      <w:r>
        <w:t xml:space="preserve"> was between 5088.31 and 64,323.44 hr·ng/mL; in female rats, the elimination half-life T</w:t>
      </w:r>
      <w:r>
        <w:rPr>
          <w:vertAlign w:val="subscript"/>
        </w:rPr>
        <w:t>1/2</w:t>
      </w:r>
      <w:r>
        <w:t xml:space="preserve"> was between 21.81 and 22.80 h, the T</w:t>
      </w:r>
      <w:r>
        <w:rPr>
          <w:vertAlign w:val="subscript"/>
        </w:rPr>
        <w:t>max</w:t>
      </w:r>
      <w:r>
        <w:t xml:space="preserve"> was 12 h, the C</w:t>
      </w:r>
      <w:r>
        <w:rPr>
          <w:vertAlign w:val="subscript"/>
        </w:rPr>
        <w:t>max</w:t>
      </w:r>
      <w:r>
        <w:t xml:space="preserve"> was between 128.02 and 1148.67 ng/mL, and the AUC</w:t>
      </w:r>
      <w:r>
        <w:rPr>
          <w:vertAlign w:val="subscript"/>
        </w:rPr>
        <w:t>last</w:t>
      </w:r>
      <w:r>
        <w:t xml:space="preserve"> was between 5670.42 and 59,306.12 hr·ng/mL. The C</w:t>
      </w:r>
      <w:r>
        <w:rPr>
          <w:vertAlign w:val="subscript"/>
        </w:rPr>
        <w:t>max</w:t>
      </w:r>
      <w:r>
        <w:t xml:space="preserve"> ratio (female/male) of RAY1225 in animals of each dose group was between 0.93 and 1.19, and the AUC</w:t>
      </w:r>
      <w:r>
        <w:rPr>
          <w:vertAlign w:val="subscript"/>
        </w:rPr>
        <w:t>last</w:t>
      </w:r>
      <w:r>
        <w:t xml:space="preserve"> ratio (female/male) was between 0.92 and 1.15, with no significant sex difference. Both C</w:t>
      </w:r>
      <w:r>
        <w:rPr>
          <w:vertAlign w:val="subscript"/>
        </w:rPr>
        <w:t>max</w:t>
      </w:r>
      <w:r>
        <w:t xml:space="preserve"> and AUC</w:t>
      </w:r>
      <w:r>
        <w:rPr>
          <w:vertAlign w:val="subscript"/>
        </w:rPr>
        <w:t>last</w:t>
      </w:r>
      <w:r>
        <w:t xml:space="preserve"> of RAY1225 in animal plasma increased with increasing dose, and the exposure increased in an approximately dose-proportional manner.</w:t>
      </w:r>
    </w:p>
    <w:p w14:paraId="336EBA84">
      <w:pPr>
        <w:overflowPunct w:val="0"/>
        <w:autoSpaceDE w:val="0"/>
        <w:autoSpaceDN w:val="0"/>
        <w:adjustRightInd w:val="0"/>
        <w:snapToGrid w:val="0"/>
        <w:spacing w:before="120" w:beforeLines="50" w:after="120" w:afterLines="50" w:line="300" w:lineRule="auto"/>
        <w:rPr>
          <w:bCs/>
        </w:rPr>
      </w:pPr>
      <w:r>
        <w:t>After subcutaneous injection of RAY1225 at doses of 0.02, 0.06, and 0.2 mg/kg to cynomolgus monkeys, in male animals, the mean elimination half-life T</w:t>
      </w:r>
      <w:r>
        <w:rPr>
          <w:vertAlign w:val="subscript"/>
        </w:rPr>
        <w:t>1/2</w:t>
      </w:r>
      <w:r>
        <w:t xml:space="preserve"> of RAY1225 was between 79.03 and 85.71 h, the mean T</w:t>
      </w:r>
      <w:r>
        <w:rPr>
          <w:vertAlign w:val="subscript"/>
        </w:rPr>
        <w:t>max</w:t>
      </w:r>
      <w:r>
        <w:t xml:space="preserve"> was between 18.67 and 32.00 h, the C</w:t>
      </w:r>
      <w:r>
        <w:rPr>
          <w:vertAlign w:val="subscript"/>
        </w:rPr>
        <w:t>max</w:t>
      </w:r>
      <w:r>
        <w:t xml:space="preserve"> was between 192.80 and 1582.09 ng/mL, and the AUC</w:t>
      </w:r>
      <w:r>
        <w:rPr>
          <w:vertAlign w:val="subscript"/>
        </w:rPr>
        <w:t>last</w:t>
      </w:r>
      <w:r>
        <w:t xml:space="preserve"> was between 27,599.26 and 232,548.58 hr·ng/mL; in female animals, the mean elimination half-life T</w:t>
      </w:r>
      <w:r>
        <w:rPr>
          <w:vertAlign w:val="subscript"/>
        </w:rPr>
        <w:t>1/2</w:t>
      </w:r>
      <w:r>
        <w:t xml:space="preserve"> was between 86.54 and 90.47 h, the mean T</w:t>
      </w:r>
      <w:r>
        <w:rPr>
          <w:vertAlign w:val="subscript"/>
        </w:rPr>
        <w:t>max</w:t>
      </w:r>
      <w:r>
        <w:t xml:space="preserve"> was between 8.00 and 32.00 h, the C</w:t>
      </w:r>
      <w:r>
        <w:rPr>
          <w:vertAlign w:val="subscript"/>
        </w:rPr>
        <w:t>max</w:t>
      </w:r>
      <w:r>
        <w:t xml:space="preserve"> was between 217.04 and 1889.88 ng/mL, and the AUC</w:t>
      </w:r>
      <w:r>
        <w:rPr>
          <w:vertAlign w:val="subscript"/>
        </w:rPr>
        <w:t>last</w:t>
      </w:r>
      <w:r>
        <w:t xml:space="preserve"> was between 31,946.90 and 288,010.43 hr·ng/mL. The C</w:t>
      </w:r>
      <w:r>
        <w:rPr>
          <w:vertAlign w:val="subscript"/>
        </w:rPr>
        <w:t>max</w:t>
      </w:r>
      <w:r>
        <w:t xml:space="preserve"> ratio (female/male) of RAY1225 in animals of each dose group was between 1.06 and 1.19, and the AUC</w:t>
      </w:r>
      <w:r>
        <w:rPr>
          <w:vertAlign w:val="subscript"/>
        </w:rPr>
        <w:t>last</w:t>
      </w:r>
      <w:r>
        <w:t xml:space="preserve"> ratio (female/male) was between 1.00 and 1.24, with no significant sex difference. Both C</w:t>
      </w:r>
      <w:r>
        <w:rPr>
          <w:vertAlign w:val="subscript"/>
        </w:rPr>
        <w:t>max</w:t>
      </w:r>
      <w:r>
        <w:t xml:space="preserve"> and AUC</w:t>
      </w:r>
      <w:r>
        <w:rPr>
          <w:vertAlign w:val="subscript"/>
        </w:rPr>
        <w:t>last</w:t>
      </w:r>
      <w:r>
        <w:t xml:space="preserve"> of RAY1225 in animal plasma increased with increasing dose, and the exposure increased in an approximately dose-proportional manner.</w:t>
      </w:r>
    </w:p>
    <w:p w14:paraId="592A3D9A">
      <w:pPr>
        <w:overflowPunct w:val="0"/>
        <w:autoSpaceDE w:val="0"/>
        <w:autoSpaceDN w:val="0"/>
        <w:adjustRightInd w:val="0"/>
        <w:snapToGrid w:val="0"/>
        <w:spacing w:before="120" w:beforeLines="50" w:after="120" w:afterLines="50" w:line="300" w:lineRule="auto"/>
        <w:jc w:val="both"/>
        <w:rPr>
          <w:rFonts w:eastAsia="宋体"/>
          <w:b/>
        </w:rPr>
      </w:pPr>
      <w:r>
        <w:rPr>
          <w:b/>
        </w:rPr>
        <w:t>Distribution:</w:t>
      </w:r>
    </w:p>
    <w:p w14:paraId="34CD62A3">
      <w:pPr>
        <w:overflowPunct w:val="0"/>
        <w:autoSpaceDE w:val="0"/>
        <w:autoSpaceDN w:val="0"/>
        <w:adjustRightInd w:val="0"/>
        <w:snapToGrid w:val="0"/>
        <w:spacing w:before="120" w:beforeLines="50" w:after="120" w:afterLines="50" w:line="300" w:lineRule="auto"/>
        <w:rPr>
          <w:rFonts w:eastAsia="宋体"/>
          <w:kern w:val="2"/>
        </w:rPr>
      </w:pPr>
      <w:r>
        <w:t>RAY1225 exhibited no significant difference in binding to human and animal plasma proteins, with the plasma protein binding rate values ranging from 94.8% to 97.9% at different test concentrations, showing a high protein binding rate without significant concentration dependence.</w:t>
      </w:r>
    </w:p>
    <w:p w14:paraId="0087AF79">
      <w:pPr>
        <w:overflowPunct w:val="0"/>
        <w:autoSpaceDE w:val="0"/>
        <w:autoSpaceDN w:val="0"/>
        <w:adjustRightInd w:val="0"/>
        <w:snapToGrid w:val="0"/>
        <w:spacing w:before="120" w:beforeLines="50" w:after="120" w:afterLines="50" w:line="300" w:lineRule="auto"/>
        <w:rPr>
          <w:rFonts w:eastAsia="宋体"/>
        </w:rPr>
      </w:pPr>
      <w:r>
        <w:t>After a single subcutaneous injection of RAY1225 to rats, no RAY1225 was detected in each tissue, and the partition ratio of the drug in plasma and whole blood supernatant was between 0.82 and 1.06, showing no significant distribution difference.</w:t>
      </w:r>
    </w:p>
    <w:p w14:paraId="70635A58">
      <w:pPr>
        <w:pStyle w:val="167"/>
        <w:overflowPunct w:val="0"/>
        <w:autoSpaceDE w:val="0"/>
        <w:autoSpaceDN w:val="0"/>
        <w:adjustRightInd w:val="0"/>
        <w:snapToGrid w:val="0"/>
        <w:spacing w:before="120" w:after="120" w:line="300" w:lineRule="auto"/>
        <w:ind w:left="0"/>
        <w:rPr>
          <w:b/>
          <w:szCs w:val="24"/>
        </w:rPr>
      </w:pPr>
      <w:r>
        <w:rPr>
          <w:b/>
          <w:szCs w:val="24"/>
        </w:rPr>
        <w:t>Metabolism:</w:t>
      </w:r>
    </w:p>
    <w:p w14:paraId="1216C720">
      <w:pPr>
        <w:overflowPunct w:val="0"/>
        <w:autoSpaceDE w:val="0"/>
        <w:autoSpaceDN w:val="0"/>
        <w:adjustRightInd w:val="0"/>
        <w:snapToGrid w:val="0"/>
        <w:spacing w:before="120" w:beforeLines="50" w:after="120" w:afterLines="50" w:line="300" w:lineRule="auto"/>
        <w:rPr>
          <w:bCs/>
        </w:rPr>
      </w:pPr>
      <w:r>
        <w:t>RAY1225 was not metabolized in the primary hepatocyte incubation systems of human, cynomolgus monkey, SD rat, and CD-1 mouse, with no significant difference among various species; RAY1225 was significantly metabolized in the kidney S9 incubation systems of CD-1 mouse and SD rat, but was stable in the kidney S9 incubation systems of cynomolgus monkey and human; RAY1225 was stable in the plasma of CD-1 mouse, SD rat, beagle dog, cynomolgus monkey, and human within 24 h of incubation at 37 °C when tested at concentrations of 0.06 μM and 6 μM.</w:t>
      </w:r>
    </w:p>
    <w:p w14:paraId="0EE1C3BC">
      <w:pPr>
        <w:overflowPunct w:val="0"/>
        <w:autoSpaceDE w:val="0"/>
        <w:autoSpaceDN w:val="0"/>
        <w:adjustRightInd w:val="0"/>
        <w:snapToGrid w:val="0"/>
        <w:spacing w:before="120" w:beforeLines="50" w:after="120" w:afterLines="50" w:line="300" w:lineRule="auto"/>
        <w:rPr>
          <w:rFonts w:eastAsia="宋体"/>
        </w:rPr>
      </w:pPr>
      <w:r>
        <w:rPr>
          <w:b/>
        </w:rPr>
        <w:t>Excretion:</w:t>
      </w:r>
      <w:r>
        <w:t xml:space="preserve"> After a single subcutaneous injection of RAY1225 at a dose of 0.1 mg/kg to rats, the mean cumulative excretion rate of unchanged RAY1225 in feces of male and female animals was 0.06% and 0.00%, respectively; no unchanged drug was detected in urine and bile.</w:t>
      </w:r>
    </w:p>
    <w:p w14:paraId="061EC41D">
      <w:pPr>
        <w:pStyle w:val="6"/>
        <w:rPr>
          <w:rFonts w:eastAsia="宋体"/>
        </w:rPr>
      </w:pPr>
      <w:bookmarkStart w:id="81" w:name="_Toc6481"/>
      <w:bookmarkStart w:id="82" w:name="_Toc159596223"/>
      <w:bookmarkStart w:id="83" w:name="_Toc12894"/>
      <w:bookmarkStart w:id="84" w:name="_Toc27425"/>
      <w:r>
        <w:t>Safety evaluation</w:t>
      </w:r>
      <w:bookmarkEnd w:id="81"/>
      <w:bookmarkEnd w:id="82"/>
      <w:bookmarkEnd w:id="83"/>
      <w:bookmarkEnd w:id="84"/>
    </w:p>
    <w:p w14:paraId="31D13044">
      <w:pPr>
        <w:overflowPunct w:val="0"/>
        <w:autoSpaceDE w:val="0"/>
        <w:autoSpaceDN w:val="0"/>
        <w:adjustRightInd w:val="0"/>
        <w:snapToGrid w:val="0"/>
        <w:spacing w:before="120" w:beforeLines="50" w:after="120" w:afterLines="50" w:line="300" w:lineRule="auto"/>
        <w:rPr>
          <w:rFonts w:eastAsia="宋体"/>
          <w:kern w:val="24"/>
        </w:rPr>
      </w:pPr>
      <w:r>
        <w:t>A single subcutaneous injection of RAY1225 at 0.05 mg/kg had no effect on central nervous system function in rats; at 0.3–2 mg/kg, the rats showed decreased upright counts, decreased feces, decreased body temperature, increased muscle tone, decreased locomotor activity, decreased alertness, prone position, arched back, and tiptoe walking, all of which were recovered. After repeated subcutaneous injections of RAY1225 at 0.08 mg/kg and 0.08/0.3 mg/kg, no effect on the function of central nervous system, respiratory system, and cardiovascular system in cynomolgus monkeys was observed. After repeated subcutaneous injections at 0.08/0.3/1.2 mg/kg, no effect on the central nervous system of cynomolgus monkeys was observed; one female animal had decreased ST segment voltage at 4 h after administration on D1, and some animals had increased heart rate and decreased respiratory rate. The IC</w:t>
      </w:r>
      <w:r>
        <w:rPr>
          <w:vertAlign w:val="subscript"/>
        </w:rPr>
        <w:t>50</w:t>
      </w:r>
      <w:r>
        <w:t xml:space="preserve"> for inhibition of hERG potassium channel current by RAY1225 was greater than 120.59 μmol/L.</w:t>
      </w:r>
    </w:p>
    <w:p w14:paraId="33FD5A51">
      <w:pPr>
        <w:overflowPunct w:val="0"/>
        <w:autoSpaceDE w:val="0"/>
        <w:autoSpaceDN w:val="0"/>
        <w:adjustRightInd w:val="0"/>
        <w:snapToGrid w:val="0"/>
        <w:spacing w:before="120" w:beforeLines="50" w:after="120" w:afterLines="50" w:line="300" w:lineRule="auto"/>
        <w:rPr>
          <w:rFonts w:eastAsia="宋体"/>
        </w:rPr>
      </w:pPr>
      <w:r>
        <w:t>Rats were administered 0.2 mg/kg, 0.2/1 mg/kg, and 0.2/1/5 mg/kg of RAY1225 or vehicle control article by subcutaneous injection once every other day. Escalating doses were administered for 2 weeks and maintenance doses were administered for 4 weeks, followed by a 4-week recovery phase. During the study period, no death or moribundity of animals was observed in all groups, and no RAY1225-related abnormal changes of toxicological significance were observed in body temperature, ophthalmologic examination, blood cell count, coagulation function, urine parameters, gross necropsy, and histopathology. Animals in all RAY1225 dose groups mainly showed pharmacological effects or some secondary changes: arched back, decreased body weight and food intake, decreased TG, TP, and Alb, increased ALP, and decreased organ weights and organ coefficients of thymus, heart, spleen, and liver; male animals in medium- and high-dose groups showed increased ALT and A/G; animals in high-dose group showed decreased organ weights and organ coefficients of kidney, seminal vesicle, and adrenal gland; at the end of the 4-week recovery phase, the above changes recovered. There was no abnormal change in histopathology in each dose group. Under the conditions of this study, the no-observed-adverse-effect level (NOAEL) in animals was 5 mg/kg. At this dose, the AUC</w:t>
      </w:r>
      <w:r>
        <w:rPr>
          <w:vertAlign w:val="subscript"/>
        </w:rPr>
        <w:t>last</w:t>
      </w:r>
      <w:r>
        <w:t xml:space="preserve"> and C</w:t>
      </w:r>
      <w:r>
        <w:rPr>
          <w:vertAlign w:val="subscript"/>
        </w:rPr>
        <w:t>max</w:t>
      </w:r>
      <w:r>
        <w:t xml:space="preserve"> were 1,431,720.39 h·ng/mL and 39,359.65 ng/mL in males, and 1,529,341.75 h·ng/mL and 46,115.24 ng/mL in females, respectively, following the D29 administration of RAY1225. Anti-drug antibodies were detected in the low- and high-dose groups of RAY1225 after administration. The titers ranged from &lt; 1 to 1:2, indicating weak immunogenicity.</w:t>
      </w:r>
    </w:p>
    <w:p w14:paraId="7ED3B8AE">
      <w:pPr>
        <w:overflowPunct w:val="0"/>
        <w:autoSpaceDE w:val="0"/>
        <w:autoSpaceDN w:val="0"/>
        <w:adjustRightInd w:val="0"/>
        <w:snapToGrid w:val="0"/>
        <w:spacing w:before="120" w:beforeLines="50" w:after="120" w:afterLines="50" w:line="300" w:lineRule="auto"/>
        <w:rPr>
          <w:rFonts w:eastAsia="宋体"/>
        </w:rPr>
      </w:pPr>
      <w:r>
        <w:rPr>
          <w:bCs/>
        </w:rPr>
        <w:t xml:space="preserve">Cynomolgus monkeys </w:t>
      </w:r>
      <w:r>
        <w:t>were administered 0.08 mg/kg, 0.08/0.3 mg/kg, and 0.08/0.3/1.2 mg/kg of RAY1225 or vehicle control article by subcutaneous injection once a week. Escalating doses were administered for 1–2 weeks and maintenance doses were administered for 4 weeks, followed by a 4-week recovery phase. During the study period, no death or moribundity of animals was observed in all groups, and no RAY1225-related changes of toxicological significance were observed in body temperature, respiration, ophthalmologic examination, coagulation function, blood chemistry, and urinalysis. Animals in all dose groups mainly showed pharmacological effects and secondary changes, such as decreased body weight and/or food intake, decreased reticulocyte count, decreased organ weight and coefficient of thymus, and slightly to mildly decreased number of thymic lymphocytes; animals in medium- and high-dose groups showed slightly decreased lipid droplets in adrenal cortex; in the high-dose group, one animal showed dehydration symptoms (pale cheeks/gums, back skin laxity, decreased locomotor activity, and rough hair coat) secondary to decreased food intake, one female animal showed decreased ST segment voltage at 4 h after administration on D1, and some animals showed increased heart rate. After 4-week drug withdrawal, recovery was observed in all changes except for those in the thymus, which did not completely recover. Based on the clinical responses and changes in heart rate in the high-dose group, the NOAEL was considered to be 0.3 mg/kg. At this dose, the AUC</w:t>
      </w:r>
      <w:r>
        <w:rPr>
          <w:vertAlign w:val="subscript"/>
        </w:rPr>
        <w:t>last</w:t>
      </w:r>
      <w:r>
        <w:t xml:space="preserve"> and C</w:t>
      </w:r>
      <w:r>
        <w:rPr>
          <w:vertAlign w:val="subscript"/>
        </w:rPr>
        <w:t>max</w:t>
      </w:r>
      <w:r>
        <w:t xml:space="preserve"> were 554,688.21 h·ng/mL and 4700.80 ng/mL in males, and 477,724.17 h·ng/mL and 4203.06 ng/mL in females, respectively, on D22. No anti-drug antibodies were detected in cynomolgus monkeys at various doses.</w:t>
      </w:r>
    </w:p>
    <w:p w14:paraId="1B60DA55">
      <w:pPr>
        <w:overflowPunct w:val="0"/>
        <w:autoSpaceDE w:val="0"/>
        <w:autoSpaceDN w:val="0"/>
        <w:adjustRightInd w:val="0"/>
        <w:snapToGrid w:val="0"/>
        <w:spacing w:before="120" w:beforeLines="50" w:after="120" w:afterLines="50" w:line="300" w:lineRule="auto"/>
        <w:rPr>
          <w:rFonts w:eastAsia="宋体"/>
          <w:kern w:val="24"/>
        </w:rPr>
      </w:pPr>
      <w:r>
        <w:t>The results of genetic toxicology studies (bacterial reverse mutation test, structural chromosomal aberration test in Chinese hamster lung fibroblasts, and CD-1 mouse bone marrow polychromatic erythrocyte micronucleus test) were negative, indicating that RAY1225 was not genotoxic at the test concentrations.</w:t>
      </w:r>
    </w:p>
    <w:p w14:paraId="2D2BAE22">
      <w:pPr>
        <w:overflowPunct w:val="0"/>
        <w:autoSpaceDE w:val="0"/>
        <w:autoSpaceDN w:val="0"/>
        <w:adjustRightInd w:val="0"/>
        <w:snapToGrid w:val="0"/>
        <w:spacing w:before="120" w:beforeLines="50" w:after="120" w:afterLines="50" w:line="300" w:lineRule="auto"/>
        <w:rPr>
          <w:rFonts w:eastAsia="宋体"/>
          <w:kern w:val="24"/>
        </w:rPr>
      </w:pPr>
      <w:r>
        <w:t>Local tolerance studies (</w:t>
      </w:r>
      <w:r>
        <w:rPr>
          <w:i/>
          <w:iCs/>
        </w:rPr>
        <w:t>in vitro</w:t>
      </w:r>
      <w:r>
        <w:t xml:space="preserve"> hemolysis assay in rabbit erythrocytes, and anaphylaxis test and local irritation test in guinea pigs) showed that RAY1225 stock solution at the concentration of 30 mg/mL had no hemolytic effect on rabbit erythrocytes </w:t>
      </w:r>
      <w:r>
        <w:rPr>
          <w:i/>
          <w:iCs/>
        </w:rPr>
        <w:t>in vitro</w:t>
      </w:r>
      <w:r>
        <w:t xml:space="preserve"> and did not cause erythrocyte aggregation; after RAY1225 was subcutaneously injected at the doses of 0.08 mg/kg and 0.2 mg/kg for a total of 3 times for sensitization and was intravenously injected at the doses of 0.16 mg/kg and 0.4 mg/kg for challenge, no anaphylactic reaction was observed in guinea pigs at 14 and 21 days after the last sensitization; after RAY1225 was repeatedly subcutaneously injected to SD rats at the doses of 0.2, 0.2/1, and 0.2/1/5 mg/kg, </w:t>
      </w:r>
      <w:bookmarkStart w:id="85" w:name="OLE_LINK72"/>
      <w:bookmarkStart w:id="86" w:name="OLE_LINK73"/>
      <w:r>
        <w:t>or</w:t>
      </w:r>
      <w:bookmarkEnd w:id="85"/>
      <w:r>
        <w:t xml:space="preserve"> to cynomolgus monkeys at the doses of 0.08, 0.3, and 1.2 mg/kg, no test article-related irritation was observed at the injection site.</w:t>
      </w:r>
      <w:bookmarkEnd w:id="86"/>
    </w:p>
    <w:p w14:paraId="3991DCE0">
      <w:pPr>
        <w:overflowPunct w:val="0"/>
        <w:autoSpaceDE w:val="0"/>
        <w:autoSpaceDN w:val="0"/>
        <w:adjustRightInd w:val="0"/>
        <w:snapToGrid w:val="0"/>
        <w:spacing w:before="120" w:beforeLines="50" w:after="120" w:afterLines="50" w:line="300" w:lineRule="auto"/>
        <w:rPr>
          <w:rFonts w:eastAsia="宋体"/>
        </w:rPr>
      </w:pPr>
      <w:r>
        <w:t>In summary, preclinical toxicology studies have shown that RAY1225 has no genotoxicity. In safety pharmacology studies, repeat-dose toxicity studies, and local tolerance studies, animals tolerated well. Most of the toxicities observed in repeat-dose toxicity studies were expected for the GLP-1R agonists, which could be subjected to ongoing monitoring in subsequent studies. Therefore, the above results could support conduct of further clinical trials.</w:t>
      </w:r>
    </w:p>
    <w:p w14:paraId="542A24F6">
      <w:pPr>
        <w:pStyle w:val="5"/>
      </w:pPr>
      <w:bookmarkStart w:id="87" w:name="_Toc159596224"/>
      <w:r>
        <w:t>Preliminary Clinical Studies</w:t>
      </w:r>
      <w:bookmarkEnd w:id="87"/>
    </w:p>
    <w:p w14:paraId="06A7756E">
      <w:pPr>
        <w:pStyle w:val="6"/>
        <w:rPr>
          <w:rFonts w:eastAsia="宋体"/>
        </w:rPr>
      </w:pPr>
      <w:bookmarkStart w:id="88" w:name="_Toc159596225"/>
      <w:r>
        <w:t>Phase I single/multiple ascending dose clinical study (RAY1225-22-01)</w:t>
      </w:r>
      <w:bookmarkEnd w:id="88"/>
    </w:p>
    <w:p w14:paraId="55ABF703">
      <w:pPr>
        <w:overflowPunct w:val="0"/>
        <w:autoSpaceDE w:val="0"/>
        <w:autoSpaceDN w:val="0"/>
        <w:adjustRightInd w:val="0"/>
        <w:snapToGrid w:val="0"/>
        <w:spacing w:before="120" w:beforeLines="50" w:after="120" w:afterLines="50" w:line="300" w:lineRule="auto"/>
      </w:pPr>
      <w:r>
        <w:t>The phase I clinical study of RAY1225 injection in healthy or obese subjects (Protocol No.: RAY1225-22-01) was a randomized, double-blind, placebo-controlled single/multiple ascending dose study to assess the safety, tolerability, pharmacokinetics, and pharmacodynamics of RAY1225 injection in healthy or obese adult subjects.</w:t>
      </w:r>
    </w:p>
    <w:p w14:paraId="093C08C0">
      <w:pPr>
        <w:overflowPunct w:val="0"/>
        <w:autoSpaceDE w:val="0"/>
        <w:autoSpaceDN w:val="0"/>
        <w:adjustRightInd w:val="0"/>
        <w:snapToGrid w:val="0"/>
        <w:spacing w:before="120" w:beforeLines="50" w:after="120" w:afterLines="50" w:line="300" w:lineRule="auto"/>
        <w:rPr>
          <w:rFonts w:eastAsia="宋体"/>
        </w:rPr>
      </w:pPr>
      <w:r>
        <w:t xml:space="preserve">The study was divided into three parts, including Part A single ascending dose study in healthy subjects, Part B multiple ascending dose study in healthy subjects, and Part C multiple ascending dose study in obese subjects. A total of 4 dose groups (0.5–4 mg) were set in Part A for the ascending dose study. Two subjects in the first dose group received RAY1225; and in each of the other dose groups, 6 subjects received RAY1225 and 2 subjects received placebo, both males and females. A total of 26 healthy subjects completed the single dose study. A total of 2 dose groups were set in Part B for the ascending dose study, including 1 mg QW fixed dose for 4 doses and 1/2/4 mg Q2W titration for 3 doses. Eight subjects in each group received RAY1225 and 2 subjects in each group received placebo. A total of 20 healthy subjects completed the multiple dose study. A total of 2 dose groups were set in Part C for the ascending dose study, i.e., 1/3/5 mg Q2W and 2/4/6 mg Q2W, titration for 3 doses. Eight subjects in each group received RAY1225 and 2 subjects in each group received placebo. </w:t>
      </w:r>
      <w:bookmarkStart w:id="89" w:name="_Hlk155946169"/>
      <w:r>
        <w:t>Among them, all 10 subjects in the 1/3/5 mg group completed the multiple-dose study. By Jan. 12, 2024, the tolerability assessment 14 days after the last dose of the target dose was completed for the 2/4/6 mg group</w:t>
      </w:r>
      <w:bookmarkEnd w:id="89"/>
      <w:bookmarkStart w:id="90" w:name="_Hlk155901516"/>
      <w:bookmarkEnd w:id="90"/>
      <w:r>
        <w:t>.</w:t>
      </w:r>
    </w:p>
    <w:p w14:paraId="62D6FDB2">
      <w:pPr>
        <w:overflowPunct w:val="0"/>
        <w:autoSpaceDE w:val="0"/>
        <w:autoSpaceDN w:val="0"/>
        <w:adjustRightInd w:val="0"/>
        <w:snapToGrid w:val="0"/>
        <w:spacing w:before="120" w:beforeLines="50" w:after="120" w:afterLines="50" w:line="300" w:lineRule="auto"/>
        <w:rPr>
          <w:rFonts w:eastAsia="宋体"/>
        </w:rPr>
      </w:pPr>
      <w:r>
        <w:t xml:space="preserve">A total of 66 subjects received the investigational drug at least once. </w:t>
      </w:r>
      <w:bookmarkStart w:id="91" w:name="_Hlk155946224"/>
      <w:r>
        <w:t xml:space="preserve">As of Jan. 12, 2024, only 1 subject in the multiple-dose study of obese subjects withdrew from the study prematurely with tolerability evaluation uncompleted due to the AE "purpura", </w:t>
      </w:r>
      <w:bookmarkEnd w:id="91"/>
      <w:r>
        <w:t xml:space="preserve">and all the other subjects tolerated well, showing a good safety profile. Preliminary blind results showed that the majority of AEs were mild to moderate in severity, and no SAEs were observed. The most common </w:t>
      </w:r>
      <w:r>
        <w:rPr>
          <w:rFonts w:hint="eastAsia"/>
          <w:lang w:val="en-US" w:eastAsia="zh-CN"/>
        </w:rPr>
        <w:t xml:space="preserve">treatment related </w:t>
      </w:r>
      <w:r>
        <w:t xml:space="preserve">adverse </w:t>
      </w:r>
      <w:r>
        <w:rPr>
          <w:rFonts w:hint="eastAsia"/>
          <w:lang w:val="en-US" w:eastAsia="zh-CN"/>
        </w:rPr>
        <w:t>events</w:t>
      </w:r>
      <w:r>
        <w:t xml:space="preserve"> were gastrointestinal-related adverse reactions (decreased appetite, nausea, abdominal distension, diarrhea, vomiting, abdominal pain, etc.), with dose-dependent properties. The incidence and severity significantly decreased after titration dosing, suggesting that titration dosing could improve the tolerability.</w:t>
      </w:r>
    </w:p>
    <w:p w14:paraId="60E2C6C8">
      <w:pPr>
        <w:overflowPunct w:val="0"/>
        <w:autoSpaceDE w:val="0"/>
        <w:autoSpaceDN w:val="0"/>
        <w:adjustRightInd w:val="0"/>
        <w:snapToGrid w:val="0"/>
        <w:spacing w:before="120" w:beforeLines="50" w:after="120" w:afterLines="50" w:line="300" w:lineRule="auto"/>
        <w:rPr>
          <w:rFonts w:eastAsia="宋体"/>
          <w:kern w:val="2"/>
        </w:rPr>
      </w:pPr>
      <w:r>
        <w:t>The preliminary analysis showed that the median time to peak concentration (T</w:t>
      </w:r>
      <w:r>
        <w:rPr>
          <w:vertAlign w:val="subscript"/>
        </w:rPr>
        <w:t>max</w:t>
      </w:r>
      <w:r>
        <w:t>) of RAY1225 after a single dose of 0.5–4 mg was 16–60 h, the clearance rate was slow, the mean CL/F was 0.0189–0.0236 L/h, and the mean plasma elimination half-life (t</w:t>
      </w:r>
      <w:r>
        <w:rPr>
          <w:vertAlign w:val="subscript"/>
        </w:rPr>
        <w:t>1/2</w:t>
      </w:r>
      <w:r>
        <w:t>) was about 9–11 days, which allows administration once every two weeks. The C</w:t>
      </w:r>
      <w:r>
        <w:rPr>
          <w:vertAlign w:val="subscript"/>
        </w:rPr>
        <w:t>max</w:t>
      </w:r>
      <w:r>
        <w:t>, AUC</w:t>
      </w:r>
      <w:r>
        <w:rPr>
          <w:vertAlign w:val="subscript"/>
        </w:rPr>
        <w:t>0-t</w:t>
      </w:r>
      <w:r>
        <w:t>, and AUC</w:t>
      </w:r>
      <w:r>
        <w:rPr>
          <w:vertAlign w:val="subscript"/>
        </w:rPr>
        <w:t>0-∞</w:t>
      </w:r>
      <w:r>
        <w:t xml:space="preserve"> all increased with the increase in dose. Moderate accumulation of RAY1225 occurred at steady state </w:t>
      </w:r>
      <w:bookmarkStart w:id="92" w:name="_Hlk155947262"/>
      <w:r>
        <w:t xml:space="preserve">after 4 consecutive doses </w:t>
      </w:r>
      <w:bookmarkEnd w:id="92"/>
      <w:r>
        <w:t>of 1 mg QW, with an accumulation index of 2.6–2.8; the mean half-life after multiple doses was 9–10 days.</w:t>
      </w:r>
    </w:p>
    <w:p w14:paraId="7044AFA7">
      <w:pPr>
        <w:overflowPunct w:val="0"/>
        <w:autoSpaceDE w:val="0"/>
        <w:autoSpaceDN w:val="0"/>
        <w:adjustRightInd w:val="0"/>
        <w:snapToGrid w:val="0"/>
        <w:spacing w:before="120" w:beforeLines="50" w:after="120" w:afterLines="50" w:line="300" w:lineRule="auto"/>
        <w:rPr>
          <w:rFonts w:eastAsia="宋体"/>
        </w:rPr>
      </w:pPr>
      <w:r>
        <w:t>The PK/PD model was developed based on available phase I clinical study data. The simulation results of E-R analysis showed that RAY1225 injection administered every other week at 3 mg, 6 mg, and 9 mg had similar rates of change in body weight from baseline at 24 weeks as tirzepatide injection administered weekly at 5 mg, 10 mg, and 15 mg. In terms of safety, the incidence of AEs of diarrhea, nausea, and vomiting increased with increasing C</w:t>
      </w:r>
      <w:r>
        <w:rPr>
          <w:vertAlign w:val="subscript"/>
        </w:rPr>
        <w:t>max</w:t>
      </w:r>
      <w:r>
        <w:t xml:space="preserve"> and C</w:t>
      </w:r>
      <w:r>
        <w:rPr>
          <w:vertAlign w:val="subscript"/>
        </w:rPr>
        <w:t>av</w:t>
      </w:r>
      <w:r>
        <w:t>.</w:t>
      </w:r>
    </w:p>
    <w:bookmarkEnd w:id="55"/>
    <w:bookmarkEnd w:id="56"/>
    <w:bookmarkEnd w:id="57"/>
    <w:p w14:paraId="1EC2820A">
      <w:pPr>
        <w:pStyle w:val="5"/>
      </w:pPr>
      <w:bookmarkStart w:id="93" w:name="_Toc26788"/>
      <w:bookmarkStart w:id="94" w:name="_Toc159596226"/>
      <w:bookmarkStart w:id="95" w:name="_Toc489119364"/>
      <w:bookmarkStart w:id="96" w:name="_Toc28396"/>
      <w:bookmarkStart w:id="97" w:name="_Toc454282511"/>
      <w:bookmarkStart w:id="98" w:name="_Toc22134"/>
      <w:r>
        <w:t>Overall Risk/Benefit Assessment</w:t>
      </w:r>
      <w:bookmarkEnd w:id="93"/>
      <w:bookmarkEnd w:id="94"/>
      <w:bookmarkEnd w:id="95"/>
      <w:bookmarkEnd w:id="96"/>
      <w:bookmarkEnd w:id="97"/>
      <w:bookmarkEnd w:id="98"/>
    </w:p>
    <w:p w14:paraId="07B837B1">
      <w:pPr>
        <w:overflowPunct w:val="0"/>
        <w:autoSpaceDE w:val="0"/>
        <w:autoSpaceDN w:val="0"/>
        <w:adjustRightInd w:val="0"/>
        <w:snapToGrid w:val="0"/>
        <w:spacing w:before="120" w:beforeLines="50" w:after="120" w:afterLines="50" w:line="300" w:lineRule="auto"/>
        <w:rPr>
          <w:rFonts w:eastAsia="宋体"/>
        </w:rPr>
      </w:pPr>
      <w:bookmarkStart w:id="99" w:name="OLE_LINK61"/>
      <w:r>
        <w:t xml:space="preserve">In the phase I clinical study of RAY1225 injection, the </w:t>
      </w:r>
      <w:r>
        <w:rPr>
          <w:rFonts w:hint="eastAsia"/>
          <w:lang w:val="en-US" w:eastAsia="zh-CN"/>
        </w:rPr>
        <w:t xml:space="preserve">treatment related </w:t>
      </w:r>
      <w:r>
        <w:t xml:space="preserve">adverse </w:t>
      </w:r>
      <w:r>
        <w:rPr>
          <w:rFonts w:hint="eastAsia"/>
          <w:lang w:val="en-US" w:eastAsia="zh-CN"/>
        </w:rPr>
        <w:t>event</w:t>
      </w:r>
      <w:r>
        <w:t xml:space="preserve">s with high incidence were gastrointestinal adverse reactions (decreased appetite, nausea, vomiting, diarrhea, abdominal distension, abdominal pain, etc.), dizziness, fatigue, </w:t>
      </w:r>
      <w:bookmarkStart w:id="100" w:name="_Hlk155947004"/>
      <w:r>
        <w:t xml:space="preserve">increased </w:t>
      </w:r>
      <w:bookmarkEnd w:id="100"/>
      <w:r>
        <w:t xml:space="preserve">heart rate, </w:t>
      </w:r>
      <w:bookmarkStart w:id="101" w:name="_Hlk155947069"/>
      <w:r>
        <w:t xml:space="preserve">increased total bile acid, </w:t>
      </w:r>
      <w:bookmarkEnd w:id="101"/>
      <w:r>
        <w:t>and increased lipase.</w:t>
      </w:r>
    </w:p>
    <w:p w14:paraId="7271087E">
      <w:pPr>
        <w:overflowPunct w:val="0"/>
        <w:autoSpaceDE w:val="0"/>
        <w:autoSpaceDN w:val="0"/>
        <w:adjustRightInd w:val="0"/>
        <w:snapToGrid w:val="0"/>
        <w:spacing w:before="120" w:beforeLines="50" w:after="120" w:afterLines="50" w:line="300" w:lineRule="auto"/>
        <w:rPr>
          <w:rFonts w:eastAsia="宋体"/>
        </w:rPr>
      </w:pPr>
      <w:r>
        <w:t>Concerning other GLP-1RAs and same-target drug Mounjaro™, attention should also be paid to the following risks: thyroid C-cell tumor in rats (the relevance of this finding to humans has not been determined), severe gastrointestinal adverse reactions, dehydration due to gastrointestinal adverse reactions, deterioration of renal function, pancreatitis, acute gallbladder disease, allergic reactions, etc.; diabetic patients taking insulin secretagogues or insulin in combination are at risk of hypoglycemia and complications of diabetic retinopathy.</w:t>
      </w:r>
    </w:p>
    <w:bookmarkEnd w:id="99"/>
    <w:p w14:paraId="09E2BD08">
      <w:pPr>
        <w:overflowPunct w:val="0"/>
        <w:autoSpaceDE w:val="0"/>
        <w:autoSpaceDN w:val="0"/>
        <w:adjustRightInd w:val="0"/>
        <w:snapToGrid w:val="0"/>
        <w:spacing w:before="120" w:beforeLines="50" w:after="120" w:afterLines="50" w:line="300" w:lineRule="auto"/>
        <w:rPr>
          <w:rFonts w:eastAsia="宋体"/>
        </w:rPr>
      </w:pPr>
      <w:r>
        <w:t>According to non-clinical and clinical studies, with reference to the same-target drug Mounjaro™, RAY1225 injection may be beneficial for glycemic control in patients with diabetes and has additional benefits beyond the hypoglycemic effect such as weight loss, reduced SBP, and improved lipid profile, which is conducive to reducing the risk of cardiovascular diseases. In addition, free health examination, diet and exercise guidance for diabetes, and guidance for self-monitoring of blood glucose are also available for subjects. Important information gained from this study may benefit future diabetic patients receiving this product and help provide more patients with better options for drug treatment.</w:t>
      </w:r>
    </w:p>
    <w:p w14:paraId="7515F1C5">
      <w:pPr>
        <w:overflowPunct w:val="0"/>
        <w:autoSpaceDE w:val="0"/>
        <w:autoSpaceDN w:val="0"/>
        <w:adjustRightInd w:val="0"/>
        <w:snapToGrid w:val="0"/>
        <w:spacing w:before="120" w:beforeLines="50" w:after="120" w:afterLines="50" w:line="300" w:lineRule="auto"/>
        <w:rPr>
          <w:rFonts w:eastAsia="宋体"/>
        </w:rPr>
      </w:pPr>
      <w:r>
        <w:t xml:space="preserve">The safety results reported in clinical studies of RAY1225 injection are consistent with the known safety profiles of other products with </w:t>
      </w:r>
      <w:bookmarkStart w:id="102" w:name="OLE_LINK362"/>
      <w:bookmarkStart w:id="103" w:name="OLE_LINK363"/>
      <w:r>
        <w:t>GLP-1</w:t>
      </w:r>
      <w:bookmarkEnd w:id="102"/>
      <w:bookmarkEnd w:id="103"/>
      <w:r>
        <w:t xml:space="preserve"> receptor agonist properties. The </w:t>
      </w:r>
      <w:r>
        <w:rPr>
          <w:rFonts w:hint="eastAsia"/>
          <w:lang w:val="en-US" w:eastAsia="zh-CN"/>
        </w:rPr>
        <w:t xml:space="preserve">treatment related </w:t>
      </w:r>
      <w:r>
        <w:t xml:space="preserve">adverse </w:t>
      </w:r>
      <w:r>
        <w:rPr>
          <w:rFonts w:hint="eastAsia"/>
          <w:lang w:val="en-US" w:eastAsia="zh-CN"/>
        </w:rPr>
        <w:t>event</w:t>
      </w:r>
      <w:r>
        <w:t>s are predominantly mild to moderate in severity, and most of them recovered or resolved at the end of the study. Gastrointestinal adverse reactions are the most common ones and are related to the target and mechanism of action of GLP-1 receptor agonists (inhibition of appetite, delayed gastric emptying, etc.), which are also important mechanisms for glycemic and weight control. Clinical observations of similar drugs have found that most gastrointestinal adverse reactions gradually relieved, resolved, or disappeared with increasing administration time. This characteristic is also demonstrated in the phase I studies of this product, where the incidence and severity of gastrointestinal adverse reactions were reduced through titration dosing. Combined with the information of marketed drugs with the same target, the potential benefits of RAY1225 injection outweigh the potential risks.</w:t>
      </w:r>
    </w:p>
    <w:p w14:paraId="0EBDB8A7">
      <w:pPr>
        <w:overflowPunct w:val="0"/>
        <w:autoSpaceDE w:val="0"/>
        <w:autoSpaceDN w:val="0"/>
        <w:adjustRightInd w:val="0"/>
        <w:snapToGrid w:val="0"/>
        <w:spacing w:before="120" w:beforeLines="50" w:after="120" w:afterLines="50" w:line="300" w:lineRule="auto"/>
        <w:rPr>
          <w:rFonts w:eastAsia="宋体"/>
        </w:rPr>
      </w:pPr>
      <w:r>
        <w:t>This study reduces potential risks from the following aspects to protect the safety of subjects, including but not limited to: 1) ensure subjects are fully informed and fully understand this study; 2) employ exclusion criteria to exclude subjects with high risk of severe gastrointestinal diseases, pancreatitis, medullary thyroid cancer, etc.; 3) use titration dosing, i.e., start from the small dose, gradually escalate to the target dose, and prolong the titration interval to improve tolerability; 4) in case of intolerance, serious adverse reactions, etc., subjects may interrupt the titration dose, reduce the titration dose, discontinue treatment, or withdraw from the study; 5) arrange intensive safety visits or examinations, collect adverse events, etc. during the study; 6)provide a targeted risk management manual</w:t>
      </w:r>
      <w:bookmarkStart w:id="104" w:name="_Hlk155267384"/>
      <w:r>
        <w:t>, which provides plans and corresponding management measures for important risks and common adverse reactions that may occur.</w:t>
      </w:r>
      <w:bookmarkEnd w:id="104"/>
      <w:r>
        <w:t xml:space="preserve"> </w:t>
      </w:r>
      <w:bookmarkStart w:id="105" w:name="_Hlk155307348"/>
      <w:r>
        <w:t>The investigator will perform timely and reasonable medical assessment and treatment for the adverse events based on the clinical manifestations and the results of various examinations and with reference to the routine diagnosis and treatment procedures in the study site.</w:t>
      </w:r>
      <w:bookmarkEnd w:id="105"/>
    </w:p>
    <w:p w14:paraId="3D869A48">
      <w:pPr>
        <w:pStyle w:val="3"/>
        <w:pageBreakBefore/>
        <w:ind w:left="431" w:hanging="431"/>
      </w:pPr>
      <w:bookmarkStart w:id="106" w:name="_Toc23767"/>
      <w:bookmarkStart w:id="107" w:name="_Toc454282512"/>
      <w:bookmarkStart w:id="108" w:name="_Toc19347"/>
      <w:bookmarkStart w:id="109" w:name="_Toc489119365"/>
      <w:bookmarkStart w:id="110" w:name="_Toc493637975"/>
      <w:bookmarkStart w:id="111" w:name="_Toc24888"/>
      <w:bookmarkStart w:id="112" w:name="_Toc159596227"/>
      <w:r>
        <w:t>STUDY OBJECTIVES</w:t>
      </w:r>
      <w:bookmarkEnd w:id="106"/>
      <w:r>
        <w:t xml:space="preserve"> </w:t>
      </w:r>
      <w:bookmarkEnd w:id="107"/>
      <w:bookmarkEnd w:id="108"/>
      <w:bookmarkEnd w:id="109"/>
      <w:bookmarkEnd w:id="110"/>
      <w:bookmarkEnd w:id="111"/>
      <w:r>
        <w:t>AND STUDY ENDPOINTS</w:t>
      </w:r>
      <w:bookmarkEnd w:id="112"/>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57" w:type="dxa"/>
          <w:bottom w:w="28" w:type="dxa"/>
          <w:right w:w="57" w:type="dxa"/>
        </w:tblCellMar>
      </w:tblPr>
      <w:tblGrid>
        <w:gridCol w:w="4080"/>
        <w:gridCol w:w="5394"/>
      </w:tblGrid>
      <w:tr w14:paraId="56DBB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3851" w:type="dxa"/>
            <w:shd w:val="clear" w:color="auto" w:fill="auto"/>
            <w:tcMar>
              <w:top w:w="28" w:type="dxa"/>
              <w:left w:w="57" w:type="dxa"/>
              <w:bottom w:w="28" w:type="dxa"/>
              <w:right w:w="57" w:type="dxa"/>
            </w:tcMar>
          </w:tcPr>
          <w:p w14:paraId="2F7B797C">
            <w:pPr>
              <w:keepNext/>
              <w:overflowPunct w:val="0"/>
              <w:autoSpaceDE w:val="0"/>
              <w:autoSpaceDN w:val="0"/>
              <w:adjustRightInd w:val="0"/>
              <w:snapToGrid w:val="0"/>
              <w:ind w:firstLine="482"/>
              <w:jc w:val="center"/>
              <w:rPr>
                <w:rFonts w:eastAsia="宋体"/>
                <w:b/>
                <w:bCs/>
                <w:sz w:val="20"/>
                <w:szCs w:val="20"/>
              </w:rPr>
            </w:pPr>
            <w:r>
              <w:rPr>
                <w:b/>
                <w:bCs/>
                <w:sz w:val="20"/>
                <w:szCs w:val="20"/>
              </w:rPr>
              <w:t>Study objectives</w:t>
            </w:r>
          </w:p>
        </w:tc>
        <w:tc>
          <w:tcPr>
            <w:tcW w:w="5092" w:type="dxa"/>
            <w:shd w:val="clear" w:color="auto" w:fill="auto"/>
            <w:tcMar>
              <w:top w:w="28" w:type="dxa"/>
              <w:left w:w="57" w:type="dxa"/>
              <w:bottom w:w="28" w:type="dxa"/>
              <w:right w:w="57" w:type="dxa"/>
            </w:tcMar>
          </w:tcPr>
          <w:p w14:paraId="2EF06191">
            <w:pPr>
              <w:overflowPunct w:val="0"/>
              <w:autoSpaceDE w:val="0"/>
              <w:autoSpaceDN w:val="0"/>
              <w:adjustRightInd w:val="0"/>
              <w:snapToGrid w:val="0"/>
              <w:ind w:firstLine="482"/>
              <w:jc w:val="center"/>
              <w:rPr>
                <w:rFonts w:eastAsia="宋体"/>
                <w:b/>
                <w:bCs/>
                <w:sz w:val="20"/>
                <w:szCs w:val="20"/>
              </w:rPr>
            </w:pPr>
            <w:r>
              <w:rPr>
                <w:b/>
                <w:bCs/>
                <w:sz w:val="20"/>
                <w:szCs w:val="20"/>
              </w:rPr>
              <w:t>Study endpoints</w:t>
            </w:r>
          </w:p>
        </w:tc>
      </w:tr>
      <w:tr w14:paraId="132C1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3851" w:type="dxa"/>
            <w:shd w:val="clear" w:color="auto" w:fill="D9D9D9"/>
            <w:tcMar>
              <w:top w:w="28" w:type="dxa"/>
              <w:left w:w="57" w:type="dxa"/>
              <w:bottom w:w="28" w:type="dxa"/>
              <w:right w:w="57" w:type="dxa"/>
            </w:tcMar>
          </w:tcPr>
          <w:p w14:paraId="4527BE7E">
            <w:pPr>
              <w:overflowPunct w:val="0"/>
              <w:autoSpaceDE w:val="0"/>
              <w:autoSpaceDN w:val="0"/>
              <w:adjustRightInd w:val="0"/>
              <w:snapToGrid w:val="0"/>
              <w:rPr>
                <w:rFonts w:eastAsia="宋体"/>
                <w:b/>
                <w:bCs/>
                <w:sz w:val="20"/>
                <w:szCs w:val="20"/>
              </w:rPr>
            </w:pPr>
            <w:r>
              <w:rPr>
                <w:b/>
                <w:bCs/>
                <w:sz w:val="20"/>
                <w:szCs w:val="20"/>
              </w:rPr>
              <w:t>Primary objectives</w:t>
            </w:r>
          </w:p>
        </w:tc>
        <w:tc>
          <w:tcPr>
            <w:tcW w:w="5092" w:type="dxa"/>
            <w:shd w:val="clear" w:color="auto" w:fill="D9D9D9"/>
            <w:tcMar>
              <w:top w:w="28" w:type="dxa"/>
              <w:left w:w="57" w:type="dxa"/>
              <w:bottom w:w="28" w:type="dxa"/>
              <w:right w:w="57" w:type="dxa"/>
            </w:tcMar>
          </w:tcPr>
          <w:p w14:paraId="20C3D0C0">
            <w:pPr>
              <w:overflowPunct w:val="0"/>
              <w:autoSpaceDE w:val="0"/>
              <w:autoSpaceDN w:val="0"/>
              <w:adjustRightInd w:val="0"/>
              <w:snapToGrid w:val="0"/>
              <w:rPr>
                <w:rFonts w:eastAsia="宋体"/>
                <w:b/>
                <w:bCs/>
                <w:sz w:val="20"/>
                <w:szCs w:val="20"/>
              </w:rPr>
            </w:pPr>
            <w:r>
              <w:rPr>
                <w:b/>
                <w:bCs/>
                <w:sz w:val="20"/>
                <w:szCs w:val="20"/>
              </w:rPr>
              <w:t>Primary endpoints</w:t>
            </w:r>
          </w:p>
        </w:tc>
      </w:tr>
      <w:tr w14:paraId="18157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3851" w:type="dxa"/>
            <w:shd w:val="clear" w:color="auto" w:fill="auto"/>
            <w:tcMar>
              <w:top w:w="28" w:type="dxa"/>
              <w:left w:w="57" w:type="dxa"/>
              <w:bottom w:w="28" w:type="dxa"/>
              <w:right w:w="57" w:type="dxa"/>
            </w:tcMar>
          </w:tcPr>
          <w:p w14:paraId="0F0D1BC8">
            <w:pPr>
              <w:pStyle w:val="4"/>
              <w:numPr>
                <w:ilvl w:val="0"/>
                <w:numId w:val="18"/>
              </w:numPr>
              <w:overflowPunct w:val="0"/>
              <w:autoSpaceDE w:val="0"/>
              <w:autoSpaceDN w:val="0"/>
              <w:adjustRightInd w:val="0"/>
              <w:snapToGrid w:val="0"/>
              <w:spacing w:line="240" w:lineRule="auto"/>
              <w:ind w:firstLineChars="0"/>
              <w:jc w:val="left"/>
              <w:rPr>
                <w:rFonts w:cs="Times New Roman"/>
                <w:color w:val="auto"/>
                <w:sz w:val="20"/>
                <w:szCs w:val="20"/>
              </w:rPr>
            </w:pPr>
            <w:r>
              <w:rPr>
                <w:rFonts w:cs="Times New Roman"/>
                <w:color w:val="auto"/>
                <w:sz w:val="20"/>
                <w:szCs w:val="20"/>
              </w:rPr>
              <w:t>To evaluate the tolerability of RAY1225 injection in patients with type 2 diabetes mellitus (T2DM);</w:t>
            </w:r>
          </w:p>
          <w:p w14:paraId="1E2B080F">
            <w:pPr>
              <w:widowControl w:val="0"/>
              <w:numPr>
                <w:ilvl w:val="0"/>
                <w:numId w:val="18"/>
              </w:numPr>
              <w:overflowPunct w:val="0"/>
              <w:autoSpaceDE w:val="0"/>
              <w:autoSpaceDN w:val="0"/>
              <w:adjustRightInd w:val="0"/>
              <w:snapToGrid w:val="0"/>
              <w:rPr>
                <w:rFonts w:eastAsia="宋体"/>
                <w:sz w:val="20"/>
                <w:szCs w:val="20"/>
              </w:rPr>
            </w:pPr>
            <w:r>
              <w:rPr>
                <w:sz w:val="20"/>
                <w:szCs w:val="20"/>
              </w:rPr>
              <w:t>To evaluate the efficacy of RAY1225 injection in patients with T2DM by analyzing changes in glycosylated hemoglobin (HbA1c).</w:t>
            </w:r>
          </w:p>
        </w:tc>
        <w:tc>
          <w:tcPr>
            <w:tcW w:w="5092" w:type="dxa"/>
            <w:shd w:val="clear" w:color="auto" w:fill="auto"/>
            <w:tcMar>
              <w:top w:w="28" w:type="dxa"/>
              <w:left w:w="57" w:type="dxa"/>
              <w:bottom w:w="28" w:type="dxa"/>
              <w:right w:w="57" w:type="dxa"/>
            </w:tcMar>
          </w:tcPr>
          <w:p w14:paraId="21D1A5FA">
            <w:pPr>
              <w:pStyle w:val="4"/>
              <w:numPr>
                <w:ilvl w:val="0"/>
                <w:numId w:val="18"/>
              </w:numPr>
              <w:overflowPunct w:val="0"/>
              <w:autoSpaceDE w:val="0"/>
              <w:autoSpaceDN w:val="0"/>
              <w:adjustRightInd w:val="0"/>
              <w:snapToGrid w:val="0"/>
              <w:spacing w:line="240" w:lineRule="auto"/>
              <w:ind w:firstLineChars="0"/>
              <w:jc w:val="left"/>
              <w:rPr>
                <w:rFonts w:cs="Times New Roman"/>
                <w:color w:val="auto"/>
                <w:sz w:val="20"/>
                <w:szCs w:val="20"/>
              </w:rPr>
            </w:pPr>
            <w:r>
              <w:rPr>
                <w:rFonts w:cs="Times New Roman"/>
                <w:color w:val="auto"/>
                <w:sz w:val="20"/>
                <w:szCs w:val="20"/>
              </w:rPr>
              <w:t>Treatment-emergent adverse events (TEAEs);</w:t>
            </w:r>
          </w:p>
          <w:p w14:paraId="224B8103">
            <w:pPr>
              <w:pStyle w:val="4"/>
              <w:numPr>
                <w:ilvl w:val="0"/>
                <w:numId w:val="18"/>
              </w:numPr>
              <w:overflowPunct w:val="0"/>
              <w:autoSpaceDE w:val="0"/>
              <w:autoSpaceDN w:val="0"/>
              <w:adjustRightInd w:val="0"/>
              <w:snapToGrid w:val="0"/>
              <w:spacing w:line="240" w:lineRule="auto"/>
              <w:ind w:firstLineChars="0"/>
              <w:jc w:val="left"/>
              <w:rPr>
                <w:rFonts w:cs="Times New Roman"/>
                <w:color w:val="auto"/>
                <w:sz w:val="20"/>
                <w:szCs w:val="20"/>
              </w:rPr>
            </w:pPr>
            <w:r>
              <w:rPr>
                <w:rFonts w:cs="Times New Roman"/>
                <w:color w:val="auto"/>
                <w:sz w:val="20"/>
                <w:szCs w:val="20"/>
              </w:rPr>
              <w:t>Change from baseline in glycosylated hemoglobin (HbA1c);</w:t>
            </w:r>
          </w:p>
          <w:p w14:paraId="73E0F49F">
            <w:pPr>
              <w:widowControl w:val="0"/>
              <w:overflowPunct w:val="0"/>
              <w:autoSpaceDE w:val="0"/>
              <w:autoSpaceDN w:val="0"/>
              <w:adjustRightInd w:val="0"/>
              <w:snapToGrid w:val="0"/>
              <w:rPr>
                <w:rFonts w:eastAsia="宋体"/>
                <w:sz w:val="20"/>
                <w:szCs w:val="20"/>
                <w:lang w:eastAsia="zh-CN"/>
              </w:rPr>
            </w:pPr>
          </w:p>
        </w:tc>
      </w:tr>
      <w:tr w14:paraId="0EE35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3851" w:type="dxa"/>
            <w:shd w:val="clear" w:color="auto" w:fill="D9D9D9"/>
            <w:tcMar>
              <w:top w:w="28" w:type="dxa"/>
              <w:left w:w="57" w:type="dxa"/>
              <w:bottom w:w="28" w:type="dxa"/>
              <w:right w:w="57" w:type="dxa"/>
            </w:tcMar>
          </w:tcPr>
          <w:p w14:paraId="0B2C4A88">
            <w:pPr>
              <w:overflowPunct w:val="0"/>
              <w:autoSpaceDE w:val="0"/>
              <w:autoSpaceDN w:val="0"/>
              <w:adjustRightInd w:val="0"/>
              <w:snapToGrid w:val="0"/>
              <w:rPr>
                <w:rFonts w:eastAsia="宋体"/>
                <w:b/>
                <w:bCs/>
                <w:sz w:val="20"/>
                <w:szCs w:val="20"/>
              </w:rPr>
            </w:pPr>
            <w:r>
              <w:rPr>
                <w:b/>
                <w:bCs/>
                <w:sz w:val="20"/>
                <w:szCs w:val="20"/>
              </w:rPr>
              <w:t>Secondary objectives</w:t>
            </w:r>
          </w:p>
        </w:tc>
        <w:tc>
          <w:tcPr>
            <w:tcW w:w="5092" w:type="dxa"/>
            <w:shd w:val="clear" w:color="auto" w:fill="D9D9D9"/>
            <w:tcMar>
              <w:top w:w="28" w:type="dxa"/>
              <w:left w:w="57" w:type="dxa"/>
              <w:bottom w:w="28" w:type="dxa"/>
              <w:right w:w="57" w:type="dxa"/>
            </w:tcMar>
          </w:tcPr>
          <w:p w14:paraId="3D33FFA6">
            <w:pPr>
              <w:overflowPunct w:val="0"/>
              <w:autoSpaceDE w:val="0"/>
              <w:autoSpaceDN w:val="0"/>
              <w:adjustRightInd w:val="0"/>
              <w:snapToGrid w:val="0"/>
              <w:rPr>
                <w:rFonts w:eastAsia="宋体"/>
                <w:b/>
                <w:bCs/>
                <w:sz w:val="20"/>
                <w:szCs w:val="20"/>
              </w:rPr>
            </w:pPr>
            <w:r>
              <w:rPr>
                <w:b/>
                <w:bCs/>
                <w:sz w:val="20"/>
                <w:szCs w:val="20"/>
              </w:rPr>
              <w:t>Secondary endpoints</w:t>
            </w:r>
          </w:p>
        </w:tc>
      </w:tr>
      <w:tr w14:paraId="06A37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3851" w:type="dxa"/>
            <w:shd w:val="clear" w:color="auto" w:fill="auto"/>
            <w:tcMar>
              <w:top w:w="28" w:type="dxa"/>
              <w:left w:w="57" w:type="dxa"/>
              <w:bottom w:w="28" w:type="dxa"/>
              <w:right w:w="57" w:type="dxa"/>
            </w:tcMar>
          </w:tcPr>
          <w:p w14:paraId="450159EE">
            <w:pPr>
              <w:pStyle w:val="4"/>
              <w:numPr>
                <w:ilvl w:val="0"/>
                <w:numId w:val="18"/>
              </w:numPr>
              <w:overflowPunct w:val="0"/>
              <w:autoSpaceDE w:val="0"/>
              <w:autoSpaceDN w:val="0"/>
              <w:adjustRightInd w:val="0"/>
              <w:snapToGrid w:val="0"/>
              <w:spacing w:line="240" w:lineRule="auto"/>
              <w:ind w:firstLineChars="0"/>
              <w:jc w:val="left"/>
              <w:rPr>
                <w:rFonts w:cs="Times New Roman"/>
                <w:color w:val="auto"/>
                <w:sz w:val="20"/>
                <w:szCs w:val="20"/>
              </w:rPr>
            </w:pPr>
            <w:r>
              <w:rPr>
                <w:rFonts w:cs="Times New Roman"/>
                <w:color w:val="auto"/>
                <w:sz w:val="20"/>
                <w:szCs w:val="20"/>
              </w:rPr>
              <w:t>To evaluate the efficacy of RAY1225 injection in patients with T2DM by analyzing changes in other efficacy endpoints;</w:t>
            </w:r>
          </w:p>
          <w:p w14:paraId="6EF99D01">
            <w:pPr>
              <w:pStyle w:val="4"/>
              <w:numPr>
                <w:ilvl w:val="0"/>
                <w:numId w:val="18"/>
              </w:numPr>
              <w:overflowPunct w:val="0"/>
              <w:autoSpaceDE w:val="0"/>
              <w:autoSpaceDN w:val="0"/>
              <w:adjustRightInd w:val="0"/>
              <w:snapToGrid w:val="0"/>
              <w:spacing w:line="240" w:lineRule="auto"/>
              <w:ind w:firstLineChars="0"/>
              <w:jc w:val="left"/>
              <w:rPr>
                <w:rFonts w:cs="Times New Roman"/>
                <w:color w:val="auto"/>
                <w:sz w:val="20"/>
                <w:szCs w:val="20"/>
              </w:rPr>
            </w:pPr>
            <w:r>
              <w:rPr>
                <w:rFonts w:cs="Times New Roman"/>
                <w:color w:val="auto"/>
                <w:sz w:val="20"/>
                <w:szCs w:val="20"/>
              </w:rPr>
              <w:t>To evaluate the safety of RAY1225 injection in patients with T2DM;</w:t>
            </w:r>
          </w:p>
          <w:p w14:paraId="373845BD">
            <w:pPr>
              <w:pStyle w:val="4"/>
              <w:numPr>
                <w:ilvl w:val="0"/>
                <w:numId w:val="18"/>
              </w:numPr>
              <w:overflowPunct w:val="0"/>
              <w:autoSpaceDE w:val="0"/>
              <w:autoSpaceDN w:val="0"/>
              <w:adjustRightInd w:val="0"/>
              <w:snapToGrid w:val="0"/>
              <w:spacing w:line="240" w:lineRule="auto"/>
              <w:ind w:firstLineChars="0"/>
              <w:jc w:val="left"/>
              <w:rPr>
                <w:rFonts w:cs="Times New Roman"/>
                <w:color w:val="auto"/>
                <w:sz w:val="20"/>
                <w:szCs w:val="20"/>
              </w:rPr>
            </w:pPr>
            <w:r>
              <w:rPr>
                <w:rFonts w:cs="Times New Roman"/>
                <w:color w:val="auto"/>
                <w:sz w:val="20"/>
                <w:szCs w:val="20"/>
              </w:rPr>
              <w:t>To evaluate the pharmacokinetics of RAY1225 injection in patients with T2DM.</w:t>
            </w:r>
          </w:p>
        </w:tc>
        <w:tc>
          <w:tcPr>
            <w:tcW w:w="5092" w:type="dxa"/>
            <w:shd w:val="clear" w:color="auto" w:fill="auto"/>
            <w:tcMar>
              <w:top w:w="28" w:type="dxa"/>
              <w:left w:w="57" w:type="dxa"/>
              <w:bottom w:w="28" w:type="dxa"/>
              <w:right w:w="57" w:type="dxa"/>
            </w:tcMar>
          </w:tcPr>
          <w:p w14:paraId="04D83962">
            <w:pPr>
              <w:overflowPunct w:val="0"/>
              <w:autoSpaceDE w:val="0"/>
              <w:autoSpaceDN w:val="0"/>
              <w:adjustRightInd w:val="0"/>
              <w:snapToGrid w:val="0"/>
              <w:rPr>
                <w:rFonts w:eastAsia="宋体"/>
                <w:b/>
                <w:bCs/>
                <w:sz w:val="20"/>
                <w:szCs w:val="20"/>
              </w:rPr>
            </w:pPr>
            <w:r>
              <w:rPr>
                <w:b/>
                <w:bCs/>
                <w:sz w:val="20"/>
                <w:szCs w:val="20"/>
              </w:rPr>
              <w:t>Other efficacy endpoints:</w:t>
            </w:r>
          </w:p>
          <w:p w14:paraId="2C565400">
            <w:pPr>
              <w:widowControl w:val="0"/>
              <w:numPr>
                <w:ilvl w:val="0"/>
                <w:numId w:val="18"/>
              </w:numPr>
              <w:overflowPunct w:val="0"/>
              <w:autoSpaceDE w:val="0"/>
              <w:autoSpaceDN w:val="0"/>
              <w:adjustRightInd w:val="0"/>
              <w:snapToGrid w:val="0"/>
              <w:rPr>
                <w:rFonts w:eastAsia="宋体"/>
                <w:sz w:val="20"/>
                <w:szCs w:val="20"/>
              </w:rPr>
            </w:pPr>
            <w:r>
              <w:rPr>
                <w:sz w:val="20"/>
                <w:szCs w:val="20"/>
              </w:rPr>
              <w:t>Percentage of subjects with HbA1c &lt; 7%, HbA1c ≤ 6.5%, and HbA1c ≤ 5.7%;</w:t>
            </w:r>
          </w:p>
          <w:p w14:paraId="06E15E5E">
            <w:pPr>
              <w:widowControl w:val="0"/>
              <w:numPr>
                <w:ilvl w:val="0"/>
                <w:numId w:val="18"/>
              </w:numPr>
              <w:overflowPunct w:val="0"/>
              <w:autoSpaceDE w:val="0"/>
              <w:autoSpaceDN w:val="0"/>
              <w:adjustRightInd w:val="0"/>
              <w:snapToGrid w:val="0"/>
              <w:rPr>
                <w:rFonts w:eastAsia="宋体"/>
                <w:sz w:val="20"/>
                <w:szCs w:val="20"/>
              </w:rPr>
            </w:pPr>
            <w:r>
              <w:rPr>
                <w:sz w:val="20"/>
                <w:szCs w:val="20"/>
              </w:rPr>
              <w:t>Change from baseline in fasting plasma glucose;</w:t>
            </w:r>
          </w:p>
          <w:p w14:paraId="5964DAEA">
            <w:pPr>
              <w:widowControl w:val="0"/>
              <w:numPr>
                <w:ilvl w:val="0"/>
                <w:numId w:val="18"/>
              </w:numPr>
              <w:overflowPunct w:val="0"/>
              <w:autoSpaceDE w:val="0"/>
              <w:autoSpaceDN w:val="0"/>
              <w:adjustRightInd w:val="0"/>
              <w:snapToGrid w:val="0"/>
              <w:rPr>
                <w:rFonts w:eastAsia="宋体"/>
                <w:sz w:val="20"/>
                <w:szCs w:val="20"/>
              </w:rPr>
            </w:pPr>
            <w:r>
              <w:rPr>
                <w:sz w:val="20"/>
                <w:szCs w:val="20"/>
              </w:rPr>
              <w:t>Change from baseline in lipid level;</w:t>
            </w:r>
          </w:p>
          <w:p w14:paraId="0D2F3A39">
            <w:pPr>
              <w:widowControl w:val="0"/>
              <w:numPr>
                <w:ilvl w:val="0"/>
                <w:numId w:val="18"/>
              </w:numPr>
              <w:overflowPunct w:val="0"/>
              <w:autoSpaceDE w:val="0"/>
              <w:autoSpaceDN w:val="0"/>
              <w:adjustRightInd w:val="0"/>
              <w:snapToGrid w:val="0"/>
              <w:rPr>
                <w:rFonts w:eastAsia="宋体"/>
                <w:sz w:val="20"/>
                <w:szCs w:val="20"/>
              </w:rPr>
            </w:pPr>
            <w:r>
              <w:rPr>
                <w:sz w:val="20"/>
                <w:szCs w:val="20"/>
              </w:rPr>
              <w:t>Change from baseline in weight, waist circumference, waist-to-hip ratio, and BMI;</w:t>
            </w:r>
          </w:p>
          <w:p w14:paraId="67D94FCE">
            <w:pPr>
              <w:widowControl w:val="0"/>
              <w:numPr>
                <w:ilvl w:val="0"/>
                <w:numId w:val="18"/>
              </w:numPr>
              <w:overflowPunct w:val="0"/>
              <w:autoSpaceDE w:val="0"/>
              <w:autoSpaceDN w:val="0"/>
              <w:adjustRightInd w:val="0"/>
              <w:snapToGrid w:val="0"/>
              <w:rPr>
                <w:rFonts w:eastAsia="宋体"/>
                <w:sz w:val="20"/>
                <w:szCs w:val="20"/>
              </w:rPr>
            </w:pPr>
            <w:r>
              <w:rPr>
                <w:sz w:val="20"/>
                <w:szCs w:val="20"/>
              </w:rPr>
              <w:t>Change from baseline in blood pressure (diastolic and systolic).</w:t>
            </w:r>
          </w:p>
          <w:p w14:paraId="3F0F313E">
            <w:pPr>
              <w:pStyle w:val="2"/>
              <w:overflowPunct w:val="0"/>
              <w:autoSpaceDE w:val="0"/>
              <w:autoSpaceDN w:val="0"/>
              <w:adjustRightInd w:val="0"/>
              <w:snapToGrid w:val="0"/>
              <w:spacing w:after="0"/>
              <w:rPr>
                <w:rFonts w:eastAsia="宋体"/>
                <w:b/>
                <w:bCs/>
                <w:sz w:val="20"/>
                <w:szCs w:val="20"/>
              </w:rPr>
            </w:pPr>
            <w:r>
              <w:rPr>
                <w:b/>
                <w:bCs/>
                <w:sz w:val="20"/>
                <w:szCs w:val="20"/>
              </w:rPr>
              <w:t>Safety endpoints:</w:t>
            </w:r>
          </w:p>
          <w:p w14:paraId="15B3E1A6">
            <w:pPr>
              <w:widowControl w:val="0"/>
              <w:numPr>
                <w:ilvl w:val="0"/>
                <w:numId w:val="18"/>
              </w:numPr>
              <w:overflowPunct w:val="0"/>
              <w:autoSpaceDE w:val="0"/>
              <w:autoSpaceDN w:val="0"/>
              <w:adjustRightInd w:val="0"/>
              <w:snapToGrid w:val="0"/>
              <w:rPr>
                <w:rFonts w:eastAsia="宋体"/>
                <w:sz w:val="20"/>
                <w:szCs w:val="20"/>
              </w:rPr>
            </w:pPr>
            <w:r>
              <w:rPr>
                <w:sz w:val="20"/>
                <w:szCs w:val="20"/>
              </w:rPr>
              <w:t>TEAEs, vital signs, physical examination, laboratory tests, 12-lead ECG, etc.;</w:t>
            </w:r>
          </w:p>
          <w:p w14:paraId="17D50D69">
            <w:pPr>
              <w:widowControl w:val="0"/>
              <w:numPr>
                <w:ilvl w:val="0"/>
                <w:numId w:val="18"/>
              </w:numPr>
              <w:overflowPunct w:val="0"/>
              <w:autoSpaceDE w:val="0"/>
              <w:autoSpaceDN w:val="0"/>
              <w:adjustRightInd w:val="0"/>
              <w:snapToGrid w:val="0"/>
              <w:rPr>
                <w:rFonts w:eastAsia="宋体"/>
                <w:sz w:val="20"/>
                <w:szCs w:val="20"/>
              </w:rPr>
            </w:pPr>
            <w:r>
              <w:rPr>
                <w:sz w:val="20"/>
                <w:szCs w:val="20"/>
              </w:rPr>
              <w:t>Incidence of anti-drug antibodies (ADA) and neutralizing antibodies (Nab).</w:t>
            </w:r>
          </w:p>
          <w:p w14:paraId="56F387B6">
            <w:pPr>
              <w:pStyle w:val="2"/>
              <w:overflowPunct w:val="0"/>
              <w:autoSpaceDE w:val="0"/>
              <w:autoSpaceDN w:val="0"/>
              <w:adjustRightInd w:val="0"/>
              <w:snapToGrid w:val="0"/>
              <w:spacing w:after="0"/>
              <w:rPr>
                <w:rFonts w:eastAsia="宋体"/>
                <w:b/>
                <w:bCs/>
                <w:sz w:val="20"/>
                <w:szCs w:val="20"/>
              </w:rPr>
            </w:pPr>
            <w:r>
              <w:rPr>
                <w:b/>
                <w:bCs/>
                <w:sz w:val="20"/>
                <w:szCs w:val="20"/>
              </w:rPr>
              <w:t>Pharmacokinetic endpoints:</w:t>
            </w:r>
          </w:p>
          <w:p w14:paraId="44E0FF00">
            <w:pPr>
              <w:widowControl w:val="0"/>
              <w:numPr>
                <w:ilvl w:val="0"/>
                <w:numId w:val="18"/>
              </w:numPr>
              <w:overflowPunct w:val="0"/>
              <w:autoSpaceDE w:val="0"/>
              <w:autoSpaceDN w:val="0"/>
              <w:adjustRightInd w:val="0"/>
              <w:snapToGrid w:val="0"/>
              <w:rPr>
                <w:rFonts w:eastAsia="宋体"/>
                <w:sz w:val="20"/>
                <w:szCs w:val="20"/>
              </w:rPr>
            </w:pPr>
            <w:r>
              <w:rPr>
                <w:sz w:val="20"/>
                <w:szCs w:val="20"/>
              </w:rPr>
              <w:t>PK parameters.</w:t>
            </w:r>
          </w:p>
        </w:tc>
      </w:tr>
    </w:tbl>
    <w:p w14:paraId="0AA0FAB3">
      <w:pPr>
        <w:pStyle w:val="3"/>
      </w:pPr>
      <w:bookmarkStart w:id="113" w:name="_Toc28982"/>
      <w:bookmarkStart w:id="114" w:name="_Toc19664"/>
      <w:bookmarkStart w:id="115" w:name="_Toc493637976"/>
      <w:bookmarkStart w:id="116" w:name="_Toc11120"/>
      <w:bookmarkStart w:id="117" w:name="_Toc159596228"/>
      <w:r>
        <w:t>STUDY</w:t>
      </w:r>
      <w:bookmarkEnd w:id="113"/>
      <w:bookmarkEnd w:id="114"/>
      <w:bookmarkEnd w:id="115"/>
      <w:bookmarkEnd w:id="116"/>
      <w:r>
        <w:t xml:space="preserve"> DESIGN</w:t>
      </w:r>
      <w:bookmarkEnd w:id="117"/>
    </w:p>
    <w:p w14:paraId="5CBE52CF">
      <w:pPr>
        <w:pStyle w:val="5"/>
      </w:pPr>
      <w:bookmarkStart w:id="118" w:name="_Toc489119368"/>
      <w:bookmarkEnd w:id="118"/>
      <w:bookmarkStart w:id="119" w:name="_Toc489119367"/>
      <w:bookmarkEnd w:id="119"/>
      <w:bookmarkStart w:id="120" w:name="_Toc447956192"/>
      <w:bookmarkStart w:id="121" w:name="_Toc23465"/>
      <w:bookmarkStart w:id="122" w:name="_Toc405299755"/>
      <w:bookmarkStart w:id="123" w:name="_Toc159596229"/>
      <w:bookmarkStart w:id="124" w:name="_Toc28628"/>
      <w:bookmarkStart w:id="125" w:name="_Toc28118"/>
      <w:bookmarkStart w:id="126" w:name="_Toc2239"/>
      <w:bookmarkStart w:id="127" w:name="_Toc20036"/>
      <w:bookmarkStart w:id="128" w:name="_Toc31770"/>
      <w:bookmarkStart w:id="129" w:name="_Toc405299756"/>
      <w:r>
        <w:t>Overall Study Design</w:t>
      </w:r>
      <w:bookmarkEnd w:id="120"/>
      <w:bookmarkEnd w:id="121"/>
      <w:bookmarkEnd w:id="122"/>
      <w:bookmarkEnd w:id="123"/>
      <w:bookmarkEnd w:id="124"/>
      <w:bookmarkEnd w:id="125"/>
    </w:p>
    <w:p w14:paraId="048240E7">
      <w:pPr>
        <w:overflowPunct w:val="0"/>
        <w:autoSpaceDE w:val="0"/>
        <w:autoSpaceDN w:val="0"/>
        <w:adjustRightInd w:val="0"/>
        <w:snapToGrid w:val="0"/>
        <w:spacing w:before="120" w:beforeLines="50" w:after="120" w:afterLines="50" w:line="300" w:lineRule="auto"/>
        <w:rPr>
          <w:rFonts w:eastAsia="宋体"/>
        </w:rPr>
      </w:pPr>
      <w:r>
        <w:t>This is a multicenter, randomized, double-blind, placebo-controlled phase II clinical study, consisting of Part A (parallel study) and Part B (dose escalation study and expansion study). The objectives of this study are to evaluate the safety, tolerability, efficacy, and pharmacokinetics of RAY1225 injection in patients with T2DM after subcutaneous administration. Each subject is to participate in only one part of the study.</w:t>
      </w:r>
    </w:p>
    <w:p w14:paraId="0C7BA85E">
      <w:pPr>
        <w:overflowPunct w:val="0"/>
        <w:autoSpaceDE w:val="0"/>
        <w:autoSpaceDN w:val="0"/>
        <w:adjustRightInd w:val="0"/>
        <w:snapToGrid w:val="0"/>
        <w:spacing w:before="120" w:beforeLines="50" w:after="120" w:afterLines="50" w:line="300" w:lineRule="auto"/>
        <w:rPr>
          <w:rFonts w:eastAsia="宋体"/>
        </w:rPr>
      </w:pPr>
      <w:r>
        <w:t>The study consists of a 2-week screening period, a 24-week treatment period, and a 4-week or 6-week follow-up period after the last dose. From screening, subjects will receive healthy lifestyle guidance until the end of the study. All subjects will receive treatment by titration for 24 weeks, with subcutaneous injections administered once every two weeks for 12 consecutive doses, each with a volume of 0.5 mL.</w:t>
      </w:r>
    </w:p>
    <w:p w14:paraId="3B3A2B24">
      <w:pPr>
        <w:pStyle w:val="6"/>
        <w:rPr>
          <w:rFonts w:eastAsia="宋体"/>
        </w:rPr>
      </w:pPr>
      <w:bookmarkStart w:id="130" w:name="_Toc159596230"/>
      <w:r>
        <w:t>Part A: parallel study</w:t>
      </w:r>
      <w:bookmarkEnd w:id="130"/>
    </w:p>
    <w:p w14:paraId="4195E556">
      <w:pPr>
        <w:overflowPunct w:val="0"/>
        <w:autoSpaceDE w:val="0"/>
        <w:autoSpaceDN w:val="0"/>
        <w:adjustRightInd w:val="0"/>
        <w:snapToGrid w:val="0"/>
        <w:spacing w:before="120" w:beforeLines="50" w:after="120" w:afterLines="50" w:line="300" w:lineRule="auto"/>
        <w:rPr>
          <w:rFonts w:eastAsia="宋体"/>
        </w:rPr>
      </w:pPr>
      <w:bookmarkStart w:id="131" w:name="_Hlk155099454"/>
      <w:r>
        <w:t xml:space="preserve">After screening, eligible subjects will undergo stratified randomization by diabetes treatment status (treatment-naive or treated) and be assigned to two RAY1225 target dose groups (3 mg and 6 mg) or the placebo group at a ratio of 1:1:1, </w:t>
      </w:r>
      <w:bookmarkEnd w:id="131"/>
      <w:r>
        <w:t>with 40 subjects per group.</w:t>
      </w:r>
    </w:p>
    <w:p w14:paraId="2E8BE53E">
      <w:pPr>
        <w:pStyle w:val="6"/>
        <w:rPr>
          <w:rFonts w:eastAsia="宋体"/>
        </w:rPr>
      </w:pPr>
      <w:bookmarkStart w:id="132" w:name="_Toc159596231"/>
      <w:r>
        <w:t>Part B:</w:t>
      </w:r>
      <w:bookmarkEnd w:id="132"/>
    </w:p>
    <w:p w14:paraId="47E63C90">
      <w:pPr>
        <w:pStyle w:val="7"/>
      </w:pPr>
      <w:r>
        <w:t>Dose escalation study</w:t>
      </w:r>
    </w:p>
    <w:p w14:paraId="68058141">
      <w:pPr>
        <w:overflowPunct w:val="0"/>
        <w:autoSpaceDE w:val="0"/>
        <w:autoSpaceDN w:val="0"/>
        <w:adjustRightInd w:val="0"/>
        <w:snapToGrid w:val="0"/>
        <w:spacing w:before="120" w:beforeLines="50" w:after="120" w:afterLines="50" w:line="300" w:lineRule="auto"/>
      </w:pPr>
      <w:r>
        <w:t>In this part, no more than 3 groups will be set and the highest target dose will be not more than 20 mg. After screening, eligible subjects will be randomized to the RAY1225 injection group or the placebo group at a ratio of 4:1, with 10 subjects per dose group, of which 8 will receive the investigational drug and 2 will receive the placebo. The target dose of dose escalation group 1 is tentatively set as 9 mg, and the study of this group can be carried out simultaneously with Part A. Subjects in each group will be evaluated for tolerability 14 days after the first dose of the target dose. If tolerated, the dose may be escalated to a higher target dose. Based on the pharmacokinetic and tolerability results to be received, the investigator and sponsor will determine the target dose and titration dosage regimen for subsequent dose groups.</w:t>
      </w:r>
    </w:p>
    <w:p w14:paraId="0720DFAC">
      <w:pPr>
        <w:pStyle w:val="8"/>
        <w:rPr>
          <w:rFonts w:eastAsia="宋体"/>
        </w:rPr>
      </w:pPr>
      <w:r>
        <w:t>Tolerability evaluation</w:t>
      </w:r>
    </w:p>
    <w:p w14:paraId="4AF0F4B5">
      <w:pPr>
        <w:pStyle w:val="21"/>
        <w:numPr>
          <w:ilvl w:val="0"/>
          <w:numId w:val="19"/>
        </w:numPr>
        <w:overflowPunct w:val="0"/>
        <w:autoSpaceDE w:val="0"/>
        <w:autoSpaceDN w:val="0"/>
        <w:adjustRightInd w:val="0"/>
        <w:snapToGrid w:val="0"/>
        <w:spacing w:before="120" w:beforeLines="50" w:after="120" w:afterLines="50" w:line="300" w:lineRule="auto"/>
        <w:ind w:left="420" w:firstLineChars="0"/>
        <w:rPr>
          <w:rFonts w:ascii="Times New Roman" w:hAnsi="Times New Roman" w:eastAsia="宋体"/>
          <w:b/>
          <w:bCs/>
          <w:color w:val="auto"/>
          <w:szCs w:val="24"/>
        </w:rPr>
      </w:pPr>
      <w:r>
        <w:rPr>
          <w:rFonts w:ascii="Times New Roman" w:hAnsi="Times New Roman"/>
          <w:b/>
          <w:bCs/>
          <w:color w:val="auto"/>
          <w:szCs w:val="24"/>
        </w:rPr>
        <w:t>Criteria for judgment of tolerability and methods of dose escalation</w:t>
      </w:r>
    </w:p>
    <w:p w14:paraId="18E8AADC">
      <w:pPr>
        <w:overflowPunct w:val="0"/>
        <w:autoSpaceDE w:val="0"/>
        <w:autoSpaceDN w:val="0"/>
        <w:adjustRightInd w:val="0"/>
        <w:snapToGrid w:val="0"/>
        <w:spacing w:before="120" w:beforeLines="50" w:after="120" w:afterLines="50" w:line="300" w:lineRule="auto"/>
        <w:rPr>
          <w:rFonts w:eastAsia="宋体"/>
        </w:rPr>
      </w:pPr>
      <w:r>
        <w:t>According to CTCAE 5.0, in any part of the study, dose escalation will be stopped if more than 1/4 subjects experience grade 3 to 4 drug-related adverse events within the same system organ class (SOC) or a RAY1225-related SAE indicating significant intolerance in a subject occurs.</w:t>
      </w:r>
    </w:p>
    <w:p w14:paraId="7B9F9715">
      <w:pPr>
        <w:overflowPunct w:val="0"/>
        <w:autoSpaceDE w:val="0"/>
        <w:autoSpaceDN w:val="0"/>
        <w:adjustRightInd w:val="0"/>
        <w:snapToGrid w:val="0"/>
        <w:spacing w:before="120" w:beforeLines="50" w:after="120" w:afterLines="50" w:line="300" w:lineRule="auto"/>
        <w:rPr>
          <w:rFonts w:eastAsia="宋体"/>
        </w:rPr>
      </w:pPr>
      <w:r>
        <w:t>Subjects in each group will be evaluated for tolerability 14 days after the first dose of the target dose. If tolerated, the dose will be escalated to a higher target dose.</w:t>
      </w:r>
    </w:p>
    <w:p w14:paraId="6BE8B7DD">
      <w:pPr>
        <w:overflowPunct w:val="0"/>
        <w:autoSpaceDE w:val="0"/>
        <w:autoSpaceDN w:val="0"/>
        <w:adjustRightInd w:val="0"/>
        <w:snapToGrid w:val="0"/>
        <w:spacing w:before="120" w:beforeLines="50" w:after="120" w:afterLines="50" w:line="300" w:lineRule="auto"/>
        <w:rPr>
          <w:rFonts w:eastAsia="宋体"/>
        </w:rPr>
      </w:pPr>
      <w:r>
        <w:t>Dose escalation for this part of the study may be stopped if the study team deems it inappropriate to proceed with dose escalation. If the subjects in the high-dose group are unable to tolerate, dose escalation for this part of the study may be stopped or dose reduction may be performed to continue the study following a discussion between the investigator and the sponsor.</w:t>
      </w:r>
    </w:p>
    <w:p w14:paraId="59E28375">
      <w:pPr>
        <w:pStyle w:val="21"/>
        <w:numPr>
          <w:ilvl w:val="0"/>
          <w:numId w:val="19"/>
        </w:numPr>
        <w:overflowPunct w:val="0"/>
        <w:autoSpaceDE w:val="0"/>
        <w:autoSpaceDN w:val="0"/>
        <w:adjustRightInd w:val="0"/>
        <w:snapToGrid w:val="0"/>
        <w:spacing w:before="120" w:beforeLines="50" w:after="120" w:afterLines="50" w:line="300" w:lineRule="auto"/>
        <w:ind w:left="420" w:firstLineChars="0"/>
        <w:rPr>
          <w:rFonts w:ascii="Times New Roman" w:hAnsi="Times New Roman" w:eastAsia="宋体"/>
          <w:b/>
          <w:bCs/>
          <w:color w:val="auto"/>
          <w:szCs w:val="24"/>
        </w:rPr>
      </w:pPr>
      <w:r>
        <w:rPr>
          <w:rFonts w:ascii="Times New Roman" w:hAnsi="Times New Roman"/>
          <w:b/>
          <w:bCs/>
          <w:color w:val="auto"/>
          <w:szCs w:val="24"/>
        </w:rPr>
        <w:t>Tolerability evaluation endpoints</w:t>
      </w:r>
    </w:p>
    <w:p w14:paraId="20788772">
      <w:pPr>
        <w:overflowPunct w:val="0"/>
        <w:autoSpaceDE w:val="0"/>
        <w:autoSpaceDN w:val="0"/>
        <w:adjustRightInd w:val="0"/>
        <w:snapToGrid w:val="0"/>
        <w:spacing w:before="120" w:beforeLines="50" w:after="120" w:afterLines="50" w:line="300" w:lineRule="auto"/>
        <w:rPr>
          <w:rFonts w:eastAsia="宋体"/>
        </w:rPr>
      </w:pPr>
      <w:r>
        <w:t>Including physical examination, routine hematology + Ret, blood chemistry, coagulation test, urinalysis, vital signs, 12-lead ECG, and adverse events.</w:t>
      </w:r>
    </w:p>
    <w:p w14:paraId="0A56B741">
      <w:pPr>
        <w:pStyle w:val="8"/>
        <w:rPr>
          <w:rFonts w:eastAsia="宋体"/>
        </w:rPr>
      </w:pPr>
      <w:r>
        <w:t>Gastric emptying study (for group 1 in dose escalation study only)</w:t>
      </w:r>
    </w:p>
    <w:p w14:paraId="3BC0FA40">
      <w:pPr>
        <w:overflowPunct w:val="0"/>
        <w:autoSpaceDE w:val="0"/>
        <w:autoSpaceDN w:val="0"/>
        <w:adjustRightInd w:val="0"/>
        <w:snapToGrid w:val="0"/>
        <w:spacing w:before="120" w:beforeLines="50" w:after="120" w:afterLines="50" w:line="300" w:lineRule="auto"/>
        <w:rPr>
          <w:rFonts w:eastAsia="宋体"/>
        </w:rPr>
      </w:pPr>
      <w:r>
        <w:t xml:space="preserve">The gastric emptying effect study will be conducted simultaneously in the dose escalation group 1. Subjects will take 2 doses of acetaminophen (0.5 g each) and receive intensive blood sampling accordingly. The administration of the first dose of acetaminophen and the PK blood sampling (until 24 h after administration) are to be completed before the first dose of RAY1225. The second dose of acetaminophen is to be given </w:t>
      </w:r>
      <w:bookmarkStart w:id="133" w:name="_Hlk156079765"/>
      <w:r>
        <w:t>24 ± 2 h</w:t>
      </w:r>
      <w:bookmarkEnd w:id="133"/>
      <w:r>
        <w:t xml:space="preserve"> after the second dose of RAY1225 injection at 5 mg, and the PK blood sampling will be performed until 24 h after administration. The concentration of acetaminophen in plasma will be determined to evaluate the effect of RAY1225 on gastric emptying.</w:t>
      </w:r>
    </w:p>
    <w:p w14:paraId="430B5216">
      <w:pPr>
        <w:pStyle w:val="21"/>
        <w:numPr>
          <w:ilvl w:val="3"/>
          <w:numId w:val="20"/>
        </w:numPr>
        <w:overflowPunct w:val="0"/>
        <w:autoSpaceDE w:val="0"/>
        <w:autoSpaceDN w:val="0"/>
        <w:adjustRightInd w:val="0"/>
        <w:snapToGrid w:val="0"/>
        <w:spacing w:before="120" w:beforeLines="50" w:after="120" w:afterLines="50" w:line="300" w:lineRule="auto"/>
        <w:ind w:firstLineChars="0"/>
        <w:outlineLvl w:val="3"/>
        <w:rPr>
          <w:rFonts w:ascii="Times New Roman" w:hAnsi="Times New Roman" w:eastAsia="宋体"/>
          <w:b/>
          <w:bCs/>
          <w:color w:val="auto"/>
          <w:szCs w:val="24"/>
        </w:rPr>
      </w:pPr>
      <w:r>
        <w:rPr>
          <w:rFonts w:ascii="Times New Roman" w:hAnsi="Times New Roman"/>
          <w:b/>
          <w:bCs/>
          <w:color w:val="auto"/>
          <w:szCs w:val="24"/>
        </w:rPr>
        <w:t>Expansion study</w:t>
      </w:r>
    </w:p>
    <w:p w14:paraId="2458DB4E">
      <w:pPr>
        <w:overflowPunct w:val="0"/>
        <w:autoSpaceDE w:val="0"/>
        <w:autoSpaceDN w:val="0"/>
        <w:adjustRightInd w:val="0"/>
        <w:snapToGrid w:val="0"/>
        <w:spacing w:before="120" w:beforeLines="50" w:after="120" w:afterLines="50" w:line="300" w:lineRule="auto"/>
        <w:rPr>
          <w:rFonts w:eastAsia="宋体"/>
        </w:rPr>
      </w:pPr>
      <w:r>
        <w:t>If the target dose in the dose escalation study part is assessed as tolerable, the expansion study will be conducted with the corresponding target dose. The target dose and titration regimen are allowed to be adjusted and the target dose should not exceed the tolerated dose in the dose escalation study. With 40 subjects per dose group, subjects will be stratified by diabetes treatment status (treatment-naive or treated) and randomized at a ratio of 4:1, with 32 receiving the investigational drug and 8 receiving the placebo.</w:t>
      </w:r>
    </w:p>
    <w:bookmarkEnd w:id="126"/>
    <w:bookmarkEnd w:id="127"/>
    <w:bookmarkEnd w:id="128"/>
    <w:p w14:paraId="7EA489F5">
      <w:pPr>
        <w:pStyle w:val="6"/>
        <w:rPr>
          <w:rFonts w:eastAsia="宋体"/>
        </w:rPr>
      </w:pPr>
      <w:bookmarkStart w:id="134" w:name="_Toc159596232"/>
      <w:r>
        <w:t>Flowchart of study design</w:t>
      </w:r>
      <w:bookmarkEnd w:id="134"/>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57" w:type="dxa"/>
          <w:bottom w:w="28" w:type="dxa"/>
          <w:right w:w="57" w:type="dxa"/>
        </w:tblCellMar>
      </w:tblPr>
      <w:tblGrid>
        <w:gridCol w:w="771"/>
        <w:gridCol w:w="664"/>
        <w:gridCol w:w="658"/>
        <w:gridCol w:w="658"/>
        <w:gridCol w:w="658"/>
        <w:gridCol w:w="658"/>
        <w:gridCol w:w="658"/>
        <w:gridCol w:w="658"/>
        <w:gridCol w:w="658"/>
        <w:gridCol w:w="658"/>
        <w:gridCol w:w="658"/>
        <w:gridCol w:w="658"/>
        <w:gridCol w:w="658"/>
        <w:gridCol w:w="801"/>
      </w:tblGrid>
      <w:tr w14:paraId="1DB62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704" w:type="dxa"/>
            <w:tcBorders>
              <w:top w:val="nil"/>
              <w:left w:val="nil"/>
              <w:bottom w:val="single" w:color="auto" w:sz="4" w:space="0"/>
              <w:right w:val="nil"/>
            </w:tcBorders>
            <w:tcMar>
              <w:top w:w="28" w:type="dxa"/>
              <w:left w:w="57" w:type="dxa"/>
              <w:bottom w:w="28" w:type="dxa"/>
              <w:right w:w="57" w:type="dxa"/>
            </w:tcMar>
            <w:vAlign w:val="bottom"/>
          </w:tcPr>
          <w:p w14:paraId="57BF60DE">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bookmarkStart w:id="135" w:name="_Hlk155885556"/>
          </w:p>
        </w:tc>
        <w:tc>
          <w:tcPr>
            <w:tcW w:w="7217" w:type="dxa"/>
            <w:gridSpan w:val="12"/>
            <w:tcBorders>
              <w:top w:val="nil"/>
              <w:left w:val="nil"/>
              <w:bottom w:val="single" w:color="auto" w:sz="4" w:space="0"/>
              <w:right w:val="nil"/>
            </w:tcBorders>
            <w:tcMar>
              <w:top w:w="28" w:type="dxa"/>
              <w:left w:w="57" w:type="dxa"/>
              <w:bottom w:w="28" w:type="dxa"/>
              <w:right w:w="57" w:type="dxa"/>
            </w:tcMar>
            <w:vAlign w:val="bottom"/>
          </w:tcPr>
          <w:p w14:paraId="63F40F6B">
            <w:pPr>
              <w:overflowPunct w:val="0"/>
              <w:autoSpaceDE w:val="0"/>
              <w:autoSpaceDN w:val="0"/>
              <w:adjustRightInd w:val="0"/>
              <w:snapToGrid w:val="0"/>
              <w:jc w:val="center"/>
              <w:rPr>
                <w:rFonts w:eastAsia="宋体"/>
                <w:b/>
                <w:sz w:val="20"/>
                <w:szCs w:val="20"/>
              </w:rPr>
            </w:pPr>
            <w:r>
              <w:rPr>
                <w:b/>
                <w:sz w:val="20"/>
                <w:szCs w:val="20"/>
              </w:rPr>
              <w:t>Study flowchart for Part A</w:t>
            </w:r>
          </w:p>
        </w:tc>
        <w:tc>
          <w:tcPr>
            <w:tcW w:w="731" w:type="dxa"/>
            <w:tcBorders>
              <w:top w:val="nil"/>
              <w:left w:val="nil"/>
              <w:bottom w:val="single" w:color="auto" w:sz="4" w:space="0"/>
              <w:right w:val="nil"/>
            </w:tcBorders>
            <w:tcMar>
              <w:top w:w="28" w:type="dxa"/>
              <w:left w:w="57" w:type="dxa"/>
              <w:bottom w:w="28" w:type="dxa"/>
              <w:right w:w="57" w:type="dxa"/>
            </w:tcMar>
            <w:vAlign w:val="center"/>
          </w:tcPr>
          <w:p w14:paraId="250075DB">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p>
        </w:tc>
      </w:tr>
      <w:tr w14:paraId="5F6F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704" w:type="dxa"/>
            <w:vMerge w:val="restart"/>
            <w:tcBorders>
              <w:right w:val="single" w:color="auto" w:sz="4" w:space="0"/>
            </w:tcBorders>
            <w:tcMar>
              <w:top w:w="28" w:type="dxa"/>
              <w:left w:w="57" w:type="dxa"/>
              <w:bottom w:w="28" w:type="dxa"/>
              <w:right w:w="57" w:type="dxa"/>
            </w:tcMar>
            <w:vAlign w:val="center"/>
          </w:tcPr>
          <w:p w14:paraId="3D14D4C8">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p>
        </w:tc>
        <w:tc>
          <w:tcPr>
            <w:tcW w:w="7217" w:type="dxa"/>
            <w:gridSpan w:val="12"/>
            <w:tcBorders>
              <w:top w:val="single" w:color="auto" w:sz="4" w:space="0"/>
              <w:left w:val="single" w:color="auto" w:sz="4" w:space="0"/>
              <w:bottom w:val="single" w:color="auto" w:sz="4" w:space="0"/>
              <w:right w:val="single" w:color="auto" w:sz="4" w:space="0"/>
            </w:tcBorders>
            <w:tcMar>
              <w:top w:w="28" w:type="dxa"/>
              <w:left w:w="57" w:type="dxa"/>
              <w:bottom w:w="28" w:type="dxa"/>
              <w:right w:w="57" w:type="dxa"/>
            </w:tcMar>
            <w:vAlign w:val="bottom"/>
          </w:tcPr>
          <w:p w14:paraId="6333CCE7">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Group A-1: placebo group</w:t>
            </w:r>
          </w:p>
        </w:tc>
        <w:tc>
          <w:tcPr>
            <w:tcW w:w="731" w:type="dxa"/>
            <w:vMerge w:val="restart"/>
            <w:tcBorders>
              <w:left w:val="single" w:color="auto" w:sz="4" w:space="0"/>
            </w:tcBorders>
            <w:tcMar>
              <w:top w:w="28" w:type="dxa"/>
              <w:left w:w="57" w:type="dxa"/>
              <w:bottom w:w="28" w:type="dxa"/>
              <w:right w:w="57" w:type="dxa"/>
            </w:tcMar>
            <w:vAlign w:val="center"/>
          </w:tcPr>
          <w:p w14:paraId="5548A85C">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p>
        </w:tc>
      </w:tr>
      <w:tr w14:paraId="3E66C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704" w:type="dxa"/>
            <w:vMerge w:val="continue"/>
            <w:tcBorders>
              <w:right w:val="single" w:color="auto" w:sz="4" w:space="0"/>
            </w:tcBorders>
            <w:tcMar>
              <w:top w:w="28" w:type="dxa"/>
              <w:left w:w="57" w:type="dxa"/>
              <w:bottom w:w="28" w:type="dxa"/>
              <w:right w:w="57" w:type="dxa"/>
            </w:tcMar>
            <w:vAlign w:val="center"/>
          </w:tcPr>
          <w:p w14:paraId="2413137A">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p>
        </w:tc>
        <w:tc>
          <w:tcPr>
            <w:tcW w:w="606" w:type="dxa"/>
            <w:tcBorders>
              <w:top w:val="single" w:color="auto" w:sz="4" w:space="0"/>
              <w:left w:val="single" w:color="auto" w:sz="4" w:space="0"/>
              <w:bottom w:val="single" w:color="auto" w:sz="4" w:space="0"/>
              <w:right w:val="single" w:color="auto" w:sz="4" w:space="0"/>
            </w:tcBorders>
            <w:shd w:val="clear" w:color="auto" w:fill="auto"/>
            <w:tcMar>
              <w:top w:w="28" w:type="dxa"/>
              <w:left w:w="57" w:type="dxa"/>
              <w:bottom w:w="28" w:type="dxa"/>
              <w:right w:w="57" w:type="dxa"/>
            </w:tcMar>
            <w:vAlign w:val="center"/>
          </w:tcPr>
          <w:p w14:paraId="0ADEFE99">
            <w:pPr>
              <w:pStyle w:val="21"/>
              <w:overflowPunct w:val="0"/>
              <w:autoSpaceDE w:val="0"/>
              <w:autoSpaceDN w:val="0"/>
              <w:adjustRightInd w:val="0"/>
              <w:snapToGrid w:val="0"/>
              <w:spacing w:line="240" w:lineRule="auto"/>
              <w:ind w:firstLine="0" w:firstLineChars="0"/>
              <w:rPr>
                <w:rFonts w:ascii="Times New Roman" w:hAnsi="Times New Roman" w:eastAsia="宋体"/>
                <w:b/>
                <w:bCs/>
                <w:color w:val="auto"/>
                <w:sz w:val="20"/>
                <w:szCs w:val="20"/>
              </w:rPr>
            </w:pPr>
            <w:r>
              <w:rPr>
                <w:rFonts w:ascii="Times New Roman" w:hAnsi="Times New Roman"/>
                <w:b/>
                <w:bCs/>
                <w:color w:val="auto"/>
                <w:sz w:val="20"/>
                <w:szCs w:val="20"/>
              </w:rPr>
              <w:t>0 mg</w:t>
            </w:r>
          </w:p>
        </w:tc>
        <w:tc>
          <w:tcPr>
            <w:tcW w:w="601" w:type="dxa"/>
            <w:tcBorders>
              <w:top w:val="single" w:color="auto" w:sz="4" w:space="0"/>
              <w:left w:val="single" w:color="auto" w:sz="4" w:space="0"/>
              <w:bottom w:val="single" w:color="auto" w:sz="4" w:space="0"/>
              <w:right w:val="single" w:color="auto" w:sz="4" w:space="0"/>
            </w:tcBorders>
            <w:shd w:val="clear" w:color="auto" w:fill="auto"/>
            <w:tcMar>
              <w:top w:w="28" w:type="dxa"/>
              <w:left w:w="57" w:type="dxa"/>
              <w:bottom w:w="28" w:type="dxa"/>
              <w:right w:w="57" w:type="dxa"/>
            </w:tcMar>
            <w:vAlign w:val="center"/>
          </w:tcPr>
          <w:p w14:paraId="27D9EDCE">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0 mg</w:t>
            </w:r>
          </w:p>
        </w:tc>
        <w:tc>
          <w:tcPr>
            <w:tcW w:w="601" w:type="dxa"/>
            <w:tcBorders>
              <w:top w:val="single" w:color="auto" w:sz="4" w:space="0"/>
              <w:left w:val="single" w:color="auto" w:sz="4" w:space="0"/>
              <w:bottom w:val="single" w:color="auto" w:sz="4" w:space="0"/>
              <w:right w:val="single" w:color="auto" w:sz="4" w:space="0"/>
            </w:tcBorders>
            <w:shd w:val="clear" w:color="auto" w:fill="auto"/>
            <w:tcMar>
              <w:top w:w="28" w:type="dxa"/>
              <w:left w:w="57" w:type="dxa"/>
              <w:bottom w:w="28" w:type="dxa"/>
              <w:right w:w="57" w:type="dxa"/>
            </w:tcMar>
            <w:vAlign w:val="center"/>
          </w:tcPr>
          <w:p w14:paraId="6E84B07B">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0 mg</w:t>
            </w:r>
          </w:p>
        </w:tc>
        <w:tc>
          <w:tcPr>
            <w:tcW w:w="601" w:type="dxa"/>
            <w:tcBorders>
              <w:top w:val="single" w:color="auto" w:sz="4" w:space="0"/>
              <w:left w:val="single" w:color="auto" w:sz="4" w:space="0"/>
              <w:bottom w:val="single" w:color="auto" w:sz="4" w:space="0"/>
              <w:right w:val="single" w:color="auto" w:sz="4" w:space="0"/>
            </w:tcBorders>
            <w:shd w:val="clear" w:color="auto" w:fill="auto"/>
            <w:tcMar>
              <w:top w:w="28" w:type="dxa"/>
              <w:left w:w="57" w:type="dxa"/>
              <w:bottom w:w="28" w:type="dxa"/>
              <w:right w:w="57" w:type="dxa"/>
            </w:tcMar>
            <w:vAlign w:val="center"/>
          </w:tcPr>
          <w:p w14:paraId="737344CF">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0 mg</w:t>
            </w:r>
          </w:p>
        </w:tc>
        <w:tc>
          <w:tcPr>
            <w:tcW w:w="601" w:type="dxa"/>
            <w:tcBorders>
              <w:top w:val="single" w:color="auto" w:sz="4" w:space="0"/>
              <w:left w:val="single" w:color="auto" w:sz="4" w:space="0"/>
              <w:bottom w:val="single" w:color="auto" w:sz="4" w:space="0"/>
              <w:right w:val="single" w:color="auto" w:sz="4" w:space="0"/>
            </w:tcBorders>
            <w:shd w:val="clear" w:color="auto" w:fill="auto"/>
            <w:tcMar>
              <w:top w:w="28" w:type="dxa"/>
              <w:left w:w="57" w:type="dxa"/>
              <w:bottom w:w="28" w:type="dxa"/>
              <w:right w:w="57" w:type="dxa"/>
            </w:tcMar>
            <w:vAlign w:val="center"/>
          </w:tcPr>
          <w:p w14:paraId="2823A938">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0 mg</w:t>
            </w:r>
          </w:p>
        </w:tc>
        <w:tc>
          <w:tcPr>
            <w:tcW w:w="601" w:type="dxa"/>
            <w:tcBorders>
              <w:top w:val="single" w:color="auto" w:sz="4" w:space="0"/>
              <w:left w:val="single" w:color="auto" w:sz="4" w:space="0"/>
              <w:bottom w:val="single" w:color="auto" w:sz="4" w:space="0"/>
              <w:right w:val="single" w:color="auto" w:sz="4" w:space="0"/>
            </w:tcBorders>
            <w:shd w:val="clear" w:color="auto" w:fill="auto"/>
            <w:tcMar>
              <w:top w:w="28" w:type="dxa"/>
              <w:left w:w="57" w:type="dxa"/>
              <w:bottom w:w="28" w:type="dxa"/>
              <w:right w:w="57" w:type="dxa"/>
            </w:tcMar>
            <w:vAlign w:val="center"/>
          </w:tcPr>
          <w:p w14:paraId="7B1F9219">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0 mg</w:t>
            </w:r>
          </w:p>
        </w:tc>
        <w:tc>
          <w:tcPr>
            <w:tcW w:w="601" w:type="dxa"/>
            <w:tcBorders>
              <w:top w:val="single" w:color="auto" w:sz="4" w:space="0"/>
              <w:left w:val="single" w:color="auto" w:sz="4" w:space="0"/>
              <w:bottom w:val="single" w:color="auto" w:sz="4" w:space="0"/>
              <w:right w:val="single" w:color="auto" w:sz="4" w:space="0"/>
            </w:tcBorders>
            <w:shd w:val="clear" w:color="auto" w:fill="auto"/>
            <w:tcMar>
              <w:top w:w="28" w:type="dxa"/>
              <w:left w:w="57" w:type="dxa"/>
              <w:bottom w:w="28" w:type="dxa"/>
              <w:right w:w="57" w:type="dxa"/>
            </w:tcMar>
            <w:vAlign w:val="center"/>
          </w:tcPr>
          <w:p w14:paraId="0534B13C">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0 mg</w:t>
            </w:r>
          </w:p>
        </w:tc>
        <w:tc>
          <w:tcPr>
            <w:tcW w:w="601" w:type="dxa"/>
            <w:tcBorders>
              <w:top w:val="single" w:color="auto" w:sz="4" w:space="0"/>
              <w:left w:val="single" w:color="auto" w:sz="4" w:space="0"/>
              <w:bottom w:val="single" w:color="auto" w:sz="4" w:space="0"/>
              <w:right w:val="single" w:color="auto" w:sz="4" w:space="0"/>
            </w:tcBorders>
            <w:shd w:val="clear" w:color="auto" w:fill="auto"/>
            <w:tcMar>
              <w:top w:w="28" w:type="dxa"/>
              <w:left w:w="57" w:type="dxa"/>
              <w:bottom w:w="28" w:type="dxa"/>
              <w:right w:w="57" w:type="dxa"/>
            </w:tcMar>
            <w:vAlign w:val="center"/>
          </w:tcPr>
          <w:p w14:paraId="518010DB">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0 mg</w:t>
            </w:r>
          </w:p>
        </w:tc>
        <w:tc>
          <w:tcPr>
            <w:tcW w:w="601" w:type="dxa"/>
            <w:tcBorders>
              <w:top w:val="single" w:color="auto" w:sz="4" w:space="0"/>
              <w:left w:val="single" w:color="auto" w:sz="4" w:space="0"/>
              <w:bottom w:val="single" w:color="auto" w:sz="4" w:space="0"/>
              <w:right w:val="single" w:color="auto" w:sz="4" w:space="0"/>
            </w:tcBorders>
            <w:shd w:val="clear" w:color="auto" w:fill="auto"/>
            <w:tcMar>
              <w:top w:w="28" w:type="dxa"/>
              <w:left w:w="57" w:type="dxa"/>
              <w:bottom w:w="28" w:type="dxa"/>
              <w:right w:w="57" w:type="dxa"/>
            </w:tcMar>
            <w:vAlign w:val="center"/>
          </w:tcPr>
          <w:p w14:paraId="39137508">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0 mg</w:t>
            </w:r>
          </w:p>
        </w:tc>
        <w:tc>
          <w:tcPr>
            <w:tcW w:w="601" w:type="dxa"/>
            <w:tcBorders>
              <w:top w:val="single" w:color="auto" w:sz="4" w:space="0"/>
              <w:left w:val="single" w:color="auto" w:sz="4" w:space="0"/>
              <w:bottom w:val="single" w:color="auto" w:sz="4" w:space="0"/>
              <w:right w:val="single" w:color="auto" w:sz="4" w:space="0"/>
            </w:tcBorders>
            <w:shd w:val="clear" w:color="auto" w:fill="auto"/>
            <w:tcMar>
              <w:top w:w="28" w:type="dxa"/>
              <w:left w:w="57" w:type="dxa"/>
              <w:bottom w:w="28" w:type="dxa"/>
              <w:right w:w="57" w:type="dxa"/>
            </w:tcMar>
            <w:vAlign w:val="center"/>
          </w:tcPr>
          <w:p w14:paraId="3A7D74B8">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0 mg</w:t>
            </w:r>
          </w:p>
        </w:tc>
        <w:tc>
          <w:tcPr>
            <w:tcW w:w="601" w:type="dxa"/>
            <w:tcBorders>
              <w:top w:val="single" w:color="auto" w:sz="4" w:space="0"/>
              <w:left w:val="single" w:color="auto" w:sz="4" w:space="0"/>
              <w:bottom w:val="single" w:color="auto" w:sz="4" w:space="0"/>
              <w:right w:val="single" w:color="auto" w:sz="4" w:space="0"/>
            </w:tcBorders>
            <w:shd w:val="clear" w:color="auto" w:fill="auto"/>
            <w:tcMar>
              <w:top w:w="28" w:type="dxa"/>
              <w:left w:w="57" w:type="dxa"/>
              <w:bottom w:w="28" w:type="dxa"/>
              <w:right w:w="57" w:type="dxa"/>
            </w:tcMar>
            <w:vAlign w:val="center"/>
          </w:tcPr>
          <w:p w14:paraId="79F39540">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0 mg</w:t>
            </w:r>
          </w:p>
        </w:tc>
        <w:tc>
          <w:tcPr>
            <w:tcW w:w="601" w:type="dxa"/>
            <w:tcBorders>
              <w:top w:val="single" w:color="auto" w:sz="4" w:space="0"/>
              <w:left w:val="single" w:color="auto" w:sz="4" w:space="0"/>
              <w:bottom w:val="single" w:color="auto" w:sz="4" w:space="0"/>
              <w:right w:val="single" w:color="auto" w:sz="4" w:space="0"/>
            </w:tcBorders>
            <w:shd w:val="clear" w:color="auto" w:fill="auto"/>
            <w:tcMar>
              <w:top w:w="28" w:type="dxa"/>
              <w:left w:w="57" w:type="dxa"/>
              <w:bottom w:w="28" w:type="dxa"/>
              <w:right w:w="57" w:type="dxa"/>
            </w:tcMar>
            <w:vAlign w:val="center"/>
          </w:tcPr>
          <w:p w14:paraId="10B1B35C">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0 mg</w:t>
            </w:r>
          </w:p>
        </w:tc>
        <w:tc>
          <w:tcPr>
            <w:tcW w:w="731" w:type="dxa"/>
            <w:vMerge w:val="continue"/>
            <w:tcBorders>
              <w:left w:val="single" w:color="auto" w:sz="4" w:space="0"/>
            </w:tcBorders>
            <w:tcMar>
              <w:top w:w="28" w:type="dxa"/>
              <w:left w:w="57" w:type="dxa"/>
              <w:bottom w:w="28" w:type="dxa"/>
              <w:right w:w="57" w:type="dxa"/>
            </w:tcMar>
            <w:vAlign w:val="center"/>
          </w:tcPr>
          <w:p w14:paraId="0C3A94AF">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p>
        </w:tc>
      </w:tr>
      <w:tr w14:paraId="72C86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704" w:type="dxa"/>
            <w:vMerge w:val="continue"/>
            <w:tcBorders>
              <w:right w:val="single" w:color="auto" w:sz="4" w:space="0"/>
            </w:tcBorders>
            <w:tcMar>
              <w:top w:w="28" w:type="dxa"/>
              <w:left w:w="57" w:type="dxa"/>
              <w:bottom w:w="28" w:type="dxa"/>
              <w:right w:w="57" w:type="dxa"/>
            </w:tcMar>
            <w:vAlign w:val="center"/>
          </w:tcPr>
          <w:p w14:paraId="53A0CD61">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p>
        </w:tc>
        <w:tc>
          <w:tcPr>
            <w:tcW w:w="7217" w:type="dxa"/>
            <w:gridSpan w:val="12"/>
            <w:tcBorders>
              <w:top w:val="single" w:color="auto" w:sz="4" w:space="0"/>
              <w:left w:val="single" w:color="auto" w:sz="4" w:space="0"/>
              <w:bottom w:val="single" w:color="auto" w:sz="4" w:space="0"/>
              <w:right w:val="single" w:color="auto" w:sz="4" w:space="0"/>
            </w:tcBorders>
            <w:shd w:val="clear" w:color="auto" w:fill="auto"/>
            <w:tcMar>
              <w:top w:w="28" w:type="dxa"/>
              <w:left w:w="57" w:type="dxa"/>
              <w:bottom w:w="28" w:type="dxa"/>
              <w:right w:w="57" w:type="dxa"/>
            </w:tcMar>
            <w:vAlign w:val="center"/>
          </w:tcPr>
          <w:p w14:paraId="0C68DAC1">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Group A-2: RAY1225 3 mg</w:t>
            </w:r>
          </w:p>
        </w:tc>
        <w:tc>
          <w:tcPr>
            <w:tcW w:w="731" w:type="dxa"/>
            <w:vMerge w:val="continue"/>
            <w:tcBorders>
              <w:left w:val="single" w:color="auto" w:sz="4" w:space="0"/>
            </w:tcBorders>
            <w:tcMar>
              <w:top w:w="28" w:type="dxa"/>
              <w:left w:w="57" w:type="dxa"/>
              <w:bottom w:w="28" w:type="dxa"/>
              <w:right w:w="57" w:type="dxa"/>
            </w:tcMar>
            <w:vAlign w:val="center"/>
          </w:tcPr>
          <w:p w14:paraId="2D9CC899">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p>
        </w:tc>
      </w:tr>
      <w:tr w14:paraId="65826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704" w:type="dxa"/>
            <w:vMerge w:val="continue"/>
            <w:tcBorders>
              <w:right w:val="single" w:color="auto" w:sz="4" w:space="0"/>
            </w:tcBorders>
            <w:tcMar>
              <w:top w:w="28" w:type="dxa"/>
              <w:left w:w="57" w:type="dxa"/>
              <w:bottom w:w="28" w:type="dxa"/>
              <w:right w:w="57" w:type="dxa"/>
            </w:tcMar>
            <w:vAlign w:val="center"/>
          </w:tcPr>
          <w:p w14:paraId="5E488A20">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p>
        </w:tc>
        <w:tc>
          <w:tcPr>
            <w:tcW w:w="606" w:type="dxa"/>
            <w:tcBorders>
              <w:top w:val="single" w:color="auto" w:sz="4" w:space="0"/>
              <w:left w:val="single" w:color="auto" w:sz="4" w:space="0"/>
              <w:bottom w:val="single" w:color="auto" w:sz="4" w:space="0"/>
              <w:right w:val="single" w:color="auto" w:sz="4" w:space="0"/>
            </w:tcBorders>
            <w:shd w:val="clear" w:color="auto" w:fill="F1F1F1" w:themeFill="background1" w:themeFillShade="F2"/>
            <w:tcMar>
              <w:top w:w="28" w:type="dxa"/>
              <w:left w:w="57" w:type="dxa"/>
              <w:bottom w:w="28" w:type="dxa"/>
              <w:right w:w="57" w:type="dxa"/>
            </w:tcMar>
            <w:vAlign w:val="center"/>
          </w:tcPr>
          <w:p w14:paraId="1FE7D627">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r>
              <w:rPr>
                <w:rFonts w:ascii="Times New Roman" w:hAnsi="Times New Roman"/>
                <w:color w:val="auto"/>
                <w:sz w:val="20"/>
                <w:szCs w:val="20"/>
              </w:rPr>
              <w:t>1 mg</w:t>
            </w:r>
          </w:p>
        </w:tc>
        <w:tc>
          <w:tcPr>
            <w:tcW w:w="601" w:type="dxa"/>
            <w:tcBorders>
              <w:top w:val="single" w:color="auto" w:sz="4" w:space="0"/>
              <w:left w:val="single" w:color="auto" w:sz="4" w:space="0"/>
              <w:bottom w:val="single" w:color="auto" w:sz="4" w:space="0"/>
              <w:right w:val="single" w:color="auto" w:sz="4" w:space="0"/>
            </w:tcBorders>
            <w:shd w:val="clear" w:color="auto" w:fill="F1F1F1" w:themeFill="background1" w:themeFillShade="F2"/>
            <w:tcMar>
              <w:top w:w="28" w:type="dxa"/>
              <w:left w:w="57" w:type="dxa"/>
              <w:bottom w:w="28" w:type="dxa"/>
              <w:right w:w="57" w:type="dxa"/>
            </w:tcMar>
            <w:vAlign w:val="center"/>
          </w:tcPr>
          <w:p w14:paraId="1C0F588F">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r>
              <w:rPr>
                <w:rFonts w:ascii="Times New Roman" w:hAnsi="Times New Roman"/>
                <w:color w:val="auto"/>
                <w:sz w:val="20"/>
                <w:szCs w:val="20"/>
              </w:rPr>
              <w:t>1 mg</w:t>
            </w:r>
          </w:p>
        </w:tc>
        <w:tc>
          <w:tcPr>
            <w:tcW w:w="601" w:type="dxa"/>
            <w:tcBorders>
              <w:top w:val="single" w:color="auto" w:sz="4" w:space="0"/>
              <w:left w:val="single" w:color="auto" w:sz="4" w:space="0"/>
              <w:bottom w:val="single" w:color="auto" w:sz="4" w:space="0"/>
              <w:right w:val="single" w:color="auto" w:sz="4" w:space="0"/>
            </w:tcBorders>
            <w:shd w:val="clear" w:color="auto" w:fill="BEBEBE" w:themeFill="background1" w:themeFillShade="BF"/>
            <w:tcMar>
              <w:top w:w="28" w:type="dxa"/>
              <w:left w:w="57" w:type="dxa"/>
              <w:bottom w:w="28" w:type="dxa"/>
              <w:right w:w="57" w:type="dxa"/>
            </w:tcMar>
            <w:vAlign w:val="center"/>
          </w:tcPr>
          <w:p w14:paraId="13C516E1">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r>
              <w:rPr>
                <w:rFonts w:ascii="Times New Roman" w:hAnsi="Times New Roman"/>
                <w:color w:val="auto"/>
                <w:sz w:val="20"/>
                <w:szCs w:val="20"/>
              </w:rPr>
              <w:t>2 mg</w:t>
            </w:r>
          </w:p>
        </w:tc>
        <w:tc>
          <w:tcPr>
            <w:tcW w:w="601" w:type="dxa"/>
            <w:tcBorders>
              <w:top w:val="single" w:color="auto" w:sz="4" w:space="0"/>
              <w:left w:val="single" w:color="auto" w:sz="4" w:space="0"/>
              <w:bottom w:val="single" w:color="auto" w:sz="4" w:space="0"/>
              <w:right w:val="single" w:color="auto" w:sz="4" w:space="0"/>
            </w:tcBorders>
            <w:shd w:val="clear" w:color="auto" w:fill="BEBEBE" w:themeFill="background1" w:themeFillShade="BF"/>
            <w:tcMar>
              <w:top w:w="28" w:type="dxa"/>
              <w:left w:w="57" w:type="dxa"/>
              <w:bottom w:w="28" w:type="dxa"/>
              <w:right w:w="57" w:type="dxa"/>
            </w:tcMar>
            <w:vAlign w:val="center"/>
          </w:tcPr>
          <w:p w14:paraId="0B0B80AC">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r>
              <w:rPr>
                <w:rFonts w:ascii="Times New Roman" w:hAnsi="Times New Roman"/>
                <w:color w:val="auto"/>
                <w:sz w:val="20"/>
                <w:szCs w:val="20"/>
              </w:rPr>
              <w:t>2 mg</w:t>
            </w:r>
          </w:p>
        </w:tc>
        <w:tc>
          <w:tcPr>
            <w:tcW w:w="601" w:type="dxa"/>
            <w:tcBorders>
              <w:top w:val="single" w:color="auto" w:sz="4" w:space="0"/>
              <w:left w:val="single" w:color="auto" w:sz="4" w:space="0"/>
              <w:bottom w:val="single" w:color="auto" w:sz="4" w:space="0"/>
              <w:right w:val="single" w:color="auto" w:sz="4" w:space="0"/>
            </w:tcBorders>
            <w:shd w:val="clear" w:color="auto" w:fill="A5A5A5" w:themeFill="background1" w:themeFillShade="A6"/>
            <w:tcMar>
              <w:top w:w="28" w:type="dxa"/>
              <w:left w:w="57" w:type="dxa"/>
              <w:bottom w:w="28" w:type="dxa"/>
              <w:right w:w="57" w:type="dxa"/>
            </w:tcMar>
            <w:vAlign w:val="center"/>
          </w:tcPr>
          <w:p w14:paraId="5353EC2C">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3 mg</w:t>
            </w:r>
          </w:p>
        </w:tc>
        <w:tc>
          <w:tcPr>
            <w:tcW w:w="601" w:type="dxa"/>
            <w:tcBorders>
              <w:top w:val="single" w:color="auto" w:sz="4" w:space="0"/>
              <w:left w:val="single" w:color="auto" w:sz="4" w:space="0"/>
              <w:bottom w:val="single" w:color="auto" w:sz="4" w:space="0"/>
              <w:right w:val="single" w:color="auto" w:sz="4" w:space="0"/>
            </w:tcBorders>
            <w:shd w:val="clear" w:color="auto" w:fill="A5A5A5" w:themeFill="background1" w:themeFillShade="A6"/>
            <w:tcMar>
              <w:top w:w="28" w:type="dxa"/>
              <w:left w:w="57" w:type="dxa"/>
              <w:bottom w:w="28" w:type="dxa"/>
              <w:right w:w="57" w:type="dxa"/>
            </w:tcMar>
            <w:vAlign w:val="center"/>
          </w:tcPr>
          <w:p w14:paraId="55983BD6">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3 mg</w:t>
            </w:r>
          </w:p>
        </w:tc>
        <w:tc>
          <w:tcPr>
            <w:tcW w:w="601" w:type="dxa"/>
            <w:tcBorders>
              <w:top w:val="single" w:color="auto" w:sz="4" w:space="0"/>
              <w:left w:val="single" w:color="auto" w:sz="4" w:space="0"/>
              <w:bottom w:val="single" w:color="auto" w:sz="4" w:space="0"/>
              <w:right w:val="single" w:color="auto" w:sz="4" w:space="0"/>
            </w:tcBorders>
            <w:shd w:val="clear" w:color="auto" w:fill="A5A5A5" w:themeFill="background1" w:themeFillShade="A6"/>
            <w:tcMar>
              <w:top w:w="28" w:type="dxa"/>
              <w:left w:w="57" w:type="dxa"/>
              <w:bottom w:w="28" w:type="dxa"/>
              <w:right w:w="57" w:type="dxa"/>
            </w:tcMar>
            <w:vAlign w:val="center"/>
          </w:tcPr>
          <w:p w14:paraId="4C3C5124">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3 mg</w:t>
            </w:r>
          </w:p>
        </w:tc>
        <w:tc>
          <w:tcPr>
            <w:tcW w:w="601" w:type="dxa"/>
            <w:tcBorders>
              <w:top w:val="single" w:color="auto" w:sz="4" w:space="0"/>
              <w:left w:val="single" w:color="auto" w:sz="4" w:space="0"/>
              <w:bottom w:val="single" w:color="auto" w:sz="4" w:space="0"/>
              <w:right w:val="single" w:color="auto" w:sz="4" w:space="0"/>
            </w:tcBorders>
            <w:shd w:val="clear" w:color="auto" w:fill="A5A5A5" w:themeFill="background1" w:themeFillShade="A6"/>
            <w:tcMar>
              <w:top w:w="28" w:type="dxa"/>
              <w:left w:w="57" w:type="dxa"/>
              <w:bottom w:w="28" w:type="dxa"/>
              <w:right w:w="57" w:type="dxa"/>
            </w:tcMar>
            <w:vAlign w:val="center"/>
          </w:tcPr>
          <w:p w14:paraId="4101A819">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3 mg</w:t>
            </w:r>
          </w:p>
        </w:tc>
        <w:tc>
          <w:tcPr>
            <w:tcW w:w="601" w:type="dxa"/>
            <w:tcBorders>
              <w:top w:val="single" w:color="auto" w:sz="4" w:space="0"/>
              <w:left w:val="single" w:color="auto" w:sz="4" w:space="0"/>
              <w:bottom w:val="single" w:color="auto" w:sz="4" w:space="0"/>
              <w:right w:val="single" w:color="auto" w:sz="4" w:space="0"/>
            </w:tcBorders>
            <w:shd w:val="clear" w:color="auto" w:fill="A5A5A5" w:themeFill="background1" w:themeFillShade="A6"/>
            <w:tcMar>
              <w:top w:w="28" w:type="dxa"/>
              <w:left w:w="57" w:type="dxa"/>
              <w:bottom w:w="28" w:type="dxa"/>
              <w:right w:w="57" w:type="dxa"/>
            </w:tcMar>
            <w:vAlign w:val="center"/>
          </w:tcPr>
          <w:p w14:paraId="779A8EA3">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3 mg</w:t>
            </w:r>
          </w:p>
        </w:tc>
        <w:tc>
          <w:tcPr>
            <w:tcW w:w="601" w:type="dxa"/>
            <w:tcBorders>
              <w:top w:val="single" w:color="auto" w:sz="4" w:space="0"/>
              <w:left w:val="single" w:color="auto" w:sz="4" w:space="0"/>
              <w:bottom w:val="single" w:color="auto" w:sz="4" w:space="0"/>
              <w:right w:val="single" w:color="auto" w:sz="4" w:space="0"/>
            </w:tcBorders>
            <w:shd w:val="clear" w:color="auto" w:fill="A5A5A5" w:themeFill="background1" w:themeFillShade="A6"/>
            <w:tcMar>
              <w:top w:w="28" w:type="dxa"/>
              <w:left w:w="57" w:type="dxa"/>
              <w:bottom w:w="28" w:type="dxa"/>
              <w:right w:w="57" w:type="dxa"/>
            </w:tcMar>
            <w:vAlign w:val="center"/>
          </w:tcPr>
          <w:p w14:paraId="7F5EEEF5">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3 mg</w:t>
            </w:r>
          </w:p>
        </w:tc>
        <w:tc>
          <w:tcPr>
            <w:tcW w:w="601" w:type="dxa"/>
            <w:tcBorders>
              <w:top w:val="single" w:color="auto" w:sz="4" w:space="0"/>
              <w:left w:val="single" w:color="auto" w:sz="4" w:space="0"/>
              <w:bottom w:val="single" w:color="auto" w:sz="4" w:space="0"/>
              <w:right w:val="single" w:color="auto" w:sz="4" w:space="0"/>
            </w:tcBorders>
            <w:shd w:val="clear" w:color="auto" w:fill="A5A5A5" w:themeFill="background1" w:themeFillShade="A6"/>
            <w:tcMar>
              <w:top w:w="28" w:type="dxa"/>
              <w:left w:w="57" w:type="dxa"/>
              <w:bottom w:w="28" w:type="dxa"/>
              <w:right w:w="57" w:type="dxa"/>
            </w:tcMar>
            <w:vAlign w:val="center"/>
          </w:tcPr>
          <w:p w14:paraId="780234FF">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3 mg</w:t>
            </w:r>
          </w:p>
        </w:tc>
        <w:tc>
          <w:tcPr>
            <w:tcW w:w="601" w:type="dxa"/>
            <w:tcBorders>
              <w:top w:val="single" w:color="auto" w:sz="4" w:space="0"/>
              <w:left w:val="single" w:color="auto" w:sz="4" w:space="0"/>
              <w:bottom w:val="single" w:color="auto" w:sz="4" w:space="0"/>
              <w:right w:val="single" w:color="auto" w:sz="4" w:space="0"/>
            </w:tcBorders>
            <w:shd w:val="clear" w:color="auto" w:fill="A5A5A5" w:themeFill="background1" w:themeFillShade="A6"/>
            <w:tcMar>
              <w:top w:w="28" w:type="dxa"/>
              <w:left w:w="57" w:type="dxa"/>
              <w:bottom w:w="28" w:type="dxa"/>
              <w:right w:w="57" w:type="dxa"/>
            </w:tcMar>
            <w:vAlign w:val="center"/>
          </w:tcPr>
          <w:p w14:paraId="07B80E8E">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3 mg</w:t>
            </w:r>
          </w:p>
        </w:tc>
        <w:tc>
          <w:tcPr>
            <w:tcW w:w="731" w:type="dxa"/>
            <w:vMerge w:val="continue"/>
            <w:tcBorders>
              <w:left w:val="single" w:color="auto" w:sz="4" w:space="0"/>
            </w:tcBorders>
            <w:tcMar>
              <w:top w:w="28" w:type="dxa"/>
              <w:left w:w="57" w:type="dxa"/>
              <w:bottom w:w="28" w:type="dxa"/>
              <w:right w:w="57" w:type="dxa"/>
            </w:tcMar>
            <w:vAlign w:val="center"/>
          </w:tcPr>
          <w:p w14:paraId="3B131110">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p>
        </w:tc>
      </w:tr>
      <w:tr w14:paraId="376A8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704" w:type="dxa"/>
            <w:vMerge w:val="continue"/>
            <w:tcBorders>
              <w:right w:val="single" w:color="auto" w:sz="4" w:space="0"/>
            </w:tcBorders>
            <w:tcMar>
              <w:top w:w="28" w:type="dxa"/>
              <w:left w:w="57" w:type="dxa"/>
              <w:bottom w:w="28" w:type="dxa"/>
              <w:right w:w="57" w:type="dxa"/>
            </w:tcMar>
            <w:vAlign w:val="center"/>
          </w:tcPr>
          <w:p w14:paraId="5655C26F">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p>
        </w:tc>
        <w:tc>
          <w:tcPr>
            <w:tcW w:w="7217" w:type="dxa"/>
            <w:gridSpan w:val="12"/>
            <w:tcBorders>
              <w:top w:val="single" w:color="auto" w:sz="4" w:space="0"/>
              <w:left w:val="single" w:color="auto" w:sz="4" w:space="0"/>
              <w:bottom w:val="single" w:color="auto" w:sz="4" w:space="0"/>
              <w:right w:val="single" w:color="auto" w:sz="4" w:space="0"/>
            </w:tcBorders>
            <w:tcMar>
              <w:top w:w="28" w:type="dxa"/>
              <w:left w:w="57" w:type="dxa"/>
              <w:bottom w:w="28" w:type="dxa"/>
              <w:right w:w="57" w:type="dxa"/>
            </w:tcMar>
            <w:vAlign w:val="bottom"/>
          </w:tcPr>
          <w:p w14:paraId="331110EA">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Group A-3: RAY1225 6 mg</w:t>
            </w:r>
          </w:p>
        </w:tc>
        <w:tc>
          <w:tcPr>
            <w:tcW w:w="731" w:type="dxa"/>
            <w:vMerge w:val="continue"/>
            <w:tcBorders>
              <w:left w:val="single" w:color="auto" w:sz="4" w:space="0"/>
            </w:tcBorders>
            <w:tcMar>
              <w:top w:w="28" w:type="dxa"/>
              <w:left w:w="57" w:type="dxa"/>
              <w:bottom w:w="28" w:type="dxa"/>
              <w:right w:w="57" w:type="dxa"/>
            </w:tcMar>
            <w:vAlign w:val="center"/>
          </w:tcPr>
          <w:p w14:paraId="30C2ACC3">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p>
        </w:tc>
      </w:tr>
      <w:tr w14:paraId="46C28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704" w:type="dxa"/>
            <w:vMerge w:val="continue"/>
            <w:tcBorders>
              <w:right w:val="single" w:color="auto" w:sz="4" w:space="0"/>
            </w:tcBorders>
            <w:tcMar>
              <w:top w:w="28" w:type="dxa"/>
              <w:left w:w="57" w:type="dxa"/>
              <w:bottom w:w="28" w:type="dxa"/>
              <w:right w:w="57" w:type="dxa"/>
            </w:tcMar>
            <w:vAlign w:val="center"/>
          </w:tcPr>
          <w:p w14:paraId="0BDCB2D0">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p>
        </w:tc>
        <w:tc>
          <w:tcPr>
            <w:tcW w:w="606" w:type="dxa"/>
            <w:tcBorders>
              <w:top w:val="single" w:color="auto" w:sz="4" w:space="0"/>
              <w:left w:val="single" w:color="auto" w:sz="4" w:space="0"/>
              <w:bottom w:val="single" w:color="auto" w:sz="4" w:space="0"/>
              <w:right w:val="single" w:color="auto" w:sz="4" w:space="0"/>
            </w:tcBorders>
            <w:shd w:val="clear" w:color="auto" w:fill="auto"/>
            <w:tcMar>
              <w:top w:w="28" w:type="dxa"/>
              <w:left w:w="57" w:type="dxa"/>
              <w:bottom w:w="28" w:type="dxa"/>
              <w:right w:w="57" w:type="dxa"/>
            </w:tcMar>
            <w:vAlign w:val="center"/>
          </w:tcPr>
          <w:p w14:paraId="2CC483B8">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r>
              <w:rPr>
                <w:rFonts w:ascii="Times New Roman" w:hAnsi="Times New Roman"/>
                <w:color w:val="auto"/>
                <w:sz w:val="20"/>
                <w:szCs w:val="20"/>
              </w:rPr>
              <w:t>1 mg</w:t>
            </w:r>
          </w:p>
        </w:tc>
        <w:tc>
          <w:tcPr>
            <w:tcW w:w="601" w:type="dxa"/>
            <w:tcBorders>
              <w:top w:val="single" w:color="auto" w:sz="4" w:space="0"/>
              <w:left w:val="single" w:color="auto" w:sz="4" w:space="0"/>
              <w:bottom w:val="single" w:color="auto" w:sz="4" w:space="0"/>
              <w:right w:val="single" w:color="auto" w:sz="4" w:space="0"/>
            </w:tcBorders>
            <w:shd w:val="clear" w:color="auto" w:fill="auto"/>
            <w:tcMar>
              <w:top w:w="28" w:type="dxa"/>
              <w:left w:w="57" w:type="dxa"/>
              <w:bottom w:w="28" w:type="dxa"/>
              <w:right w:w="57" w:type="dxa"/>
            </w:tcMar>
            <w:vAlign w:val="center"/>
          </w:tcPr>
          <w:p w14:paraId="09FDFF7E">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r>
              <w:rPr>
                <w:rFonts w:ascii="Times New Roman" w:hAnsi="Times New Roman"/>
                <w:color w:val="auto"/>
                <w:sz w:val="20"/>
                <w:szCs w:val="20"/>
              </w:rPr>
              <w:t>1 mg</w:t>
            </w:r>
          </w:p>
        </w:tc>
        <w:tc>
          <w:tcPr>
            <w:tcW w:w="601" w:type="dxa"/>
            <w:tcBorders>
              <w:top w:val="single" w:color="auto" w:sz="4" w:space="0"/>
              <w:left w:val="single" w:color="auto" w:sz="4" w:space="0"/>
              <w:bottom w:val="single" w:color="auto" w:sz="4" w:space="0"/>
              <w:right w:val="single" w:color="auto" w:sz="4" w:space="0"/>
            </w:tcBorders>
            <w:shd w:val="clear" w:color="auto" w:fill="F1F1F1" w:themeFill="background1" w:themeFillShade="F2"/>
            <w:tcMar>
              <w:top w:w="28" w:type="dxa"/>
              <w:left w:w="57" w:type="dxa"/>
              <w:bottom w:w="28" w:type="dxa"/>
              <w:right w:w="57" w:type="dxa"/>
            </w:tcMar>
            <w:vAlign w:val="center"/>
          </w:tcPr>
          <w:p w14:paraId="703F297C">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r>
              <w:rPr>
                <w:rFonts w:ascii="Times New Roman" w:hAnsi="Times New Roman"/>
                <w:color w:val="auto"/>
                <w:sz w:val="20"/>
                <w:szCs w:val="20"/>
              </w:rPr>
              <w:t>2 mg</w:t>
            </w:r>
          </w:p>
        </w:tc>
        <w:tc>
          <w:tcPr>
            <w:tcW w:w="601" w:type="dxa"/>
            <w:tcBorders>
              <w:top w:val="single" w:color="auto" w:sz="4" w:space="0"/>
              <w:left w:val="single" w:color="auto" w:sz="4" w:space="0"/>
              <w:bottom w:val="single" w:color="auto" w:sz="4" w:space="0"/>
              <w:right w:val="single" w:color="auto" w:sz="4" w:space="0"/>
            </w:tcBorders>
            <w:shd w:val="clear" w:color="auto" w:fill="F1F1F1" w:themeFill="background1" w:themeFillShade="F2"/>
            <w:tcMar>
              <w:top w:w="28" w:type="dxa"/>
              <w:left w:w="57" w:type="dxa"/>
              <w:bottom w:w="28" w:type="dxa"/>
              <w:right w:w="57" w:type="dxa"/>
            </w:tcMar>
            <w:vAlign w:val="center"/>
          </w:tcPr>
          <w:p w14:paraId="42277A66">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r>
              <w:rPr>
                <w:rFonts w:ascii="Times New Roman" w:hAnsi="Times New Roman"/>
                <w:color w:val="auto"/>
                <w:sz w:val="20"/>
                <w:szCs w:val="20"/>
              </w:rPr>
              <w:t>2 mg</w:t>
            </w:r>
          </w:p>
        </w:tc>
        <w:tc>
          <w:tcPr>
            <w:tcW w:w="601" w:type="dxa"/>
            <w:tcBorders>
              <w:top w:val="single" w:color="auto" w:sz="4" w:space="0"/>
              <w:left w:val="single" w:color="auto" w:sz="4" w:space="0"/>
              <w:bottom w:val="single" w:color="auto" w:sz="4" w:space="0"/>
              <w:right w:val="single" w:color="auto" w:sz="4" w:space="0"/>
            </w:tcBorders>
            <w:shd w:val="clear" w:color="auto" w:fill="BEBEBE" w:themeFill="background1" w:themeFillShade="BF"/>
            <w:tcMar>
              <w:top w:w="28" w:type="dxa"/>
              <w:left w:w="57" w:type="dxa"/>
              <w:bottom w:w="28" w:type="dxa"/>
              <w:right w:w="57" w:type="dxa"/>
            </w:tcMar>
            <w:vAlign w:val="center"/>
          </w:tcPr>
          <w:p w14:paraId="7F8F7ABC">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r>
              <w:rPr>
                <w:rFonts w:ascii="Times New Roman" w:hAnsi="Times New Roman"/>
                <w:color w:val="auto"/>
                <w:sz w:val="20"/>
                <w:szCs w:val="20"/>
              </w:rPr>
              <w:t>4 mg</w:t>
            </w:r>
          </w:p>
        </w:tc>
        <w:tc>
          <w:tcPr>
            <w:tcW w:w="601" w:type="dxa"/>
            <w:tcBorders>
              <w:top w:val="single" w:color="auto" w:sz="4" w:space="0"/>
              <w:left w:val="single" w:color="auto" w:sz="4" w:space="0"/>
              <w:bottom w:val="single" w:color="auto" w:sz="4" w:space="0"/>
              <w:right w:val="single" w:color="auto" w:sz="4" w:space="0"/>
            </w:tcBorders>
            <w:shd w:val="clear" w:color="auto" w:fill="BEBEBE" w:themeFill="background1" w:themeFillShade="BF"/>
            <w:tcMar>
              <w:top w:w="28" w:type="dxa"/>
              <w:left w:w="57" w:type="dxa"/>
              <w:bottom w:w="28" w:type="dxa"/>
              <w:right w:w="57" w:type="dxa"/>
            </w:tcMar>
            <w:vAlign w:val="center"/>
          </w:tcPr>
          <w:p w14:paraId="3E647CC7">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r>
              <w:rPr>
                <w:rFonts w:ascii="Times New Roman" w:hAnsi="Times New Roman"/>
                <w:color w:val="auto"/>
                <w:sz w:val="20"/>
                <w:szCs w:val="20"/>
              </w:rPr>
              <w:t>4 mg</w:t>
            </w:r>
          </w:p>
        </w:tc>
        <w:tc>
          <w:tcPr>
            <w:tcW w:w="601" w:type="dxa"/>
            <w:tcBorders>
              <w:top w:val="single" w:color="auto" w:sz="4" w:space="0"/>
              <w:left w:val="single" w:color="auto" w:sz="4" w:space="0"/>
              <w:bottom w:val="single" w:color="auto" w:sz="4" w:space="0"/>
              <w:right w:val="single" w:color="auto" w:sz="4" w:space="0"/>
            </w:tcBorders>
            <w:shd w:val="clear" w:color="auto" w:fill="A5A5A5" w:themeFill="background1" w:themeFillShade="A6"/>
            <w:tcMar>
              <w:top w:w="28" w:type="dxa"/>
              <w:left w:w="57" w:type="dxa"/>
              <w:bottom w:w="28" w:type="dxa"/>
              <w:right w:w="57" w:type="dxa"/>
            </w:tcMar>
            <w:vAlign w:val="center"/>
          </w:tcPr>
          <w:p w14:paraId="3013A926">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6 mg</w:t>
            </w:r>
          </w:p>
        </w:tc>
        <w:tc>
          <w:tcPr>
            <w:tcW w:w="601" w:type="dxa"/>
            <w:tcBorders>
              <w:top w:val="single" w:color="auto" w:sz="4" w:space="0"/>
              <w:left w:val="single" w:color="auto" w:sz="4" w:space="0"/>
              <w:bottom w:val="single" w:color="auto" w:sz="4" w:space="0"/>
              <w:right w:val="single" w:color="auto" w:sz="4" w:space="0"/>
            </w:tcBorders>
            <w:shd w:val="clear" w:color="auto" w:fill="A5A5A5" w:themeFill="background1" w:themeFillShade="A6"/>
            <w:tcMar>
              <w:top w:w="28" w:type="dxa"/>
              <w:left w:w="57" w:type="dxa"/>
              <w:bottom w:w="28" w:type="dxa"/>
              <w:right w:w="57" w:type="dxa"/>
            </w:tcMar>
            <w:vAlign w:val="center"/>
          </w:tcPr>
          <w:p w14:paraId="7D4CDBE3">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6 mg</w:t>
            </w:r>
          </w:p>
        </w:tc>
        <w:tc>
          <w:tcPr>
            <w:tcW w:w="601" w:type="dxa"/>
            <w:tcBorders>
              <w:top w:val="single" w:color="auto" w:sz="4" w:space="0"/>
              <w:left w:val="single" w:color="auto" w:sz="4" w:space="0"/>
              <w:bottom w:val="single" w:color="auto" w:sz="4" w:space="0"/>
              <w:right w:val="single" w:color="auto" w:sz="4" w:space="0"/>
            </w:tcBorders>
            <w:shd w:val="clear" w:color="auto" w:fill="A5A5A5" w:themeFill="background1" w:themeFillShade="A6"/>
            <w:tcMar>
              <w:top w:w="28" w:type="dxa"/>
              <w:left w:w="57" w:type="dxa"/>
              <w:bottom w:w="28" w:type="dxa"/>
              <w:right w:w="57" w:type="dxa"/>
            </w:tcMar>
            <w:vAlign w:val="center"/>
          </w:tcPr>
          <w:p w14:paraId="089C7F71">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6 mg</w:t>
            </w:r>
          </w:p>
        </w:tc>
        <w:tc>
          <w:tcPr>
            <w:tcW w:w="601" w:type="dxa"/>
            <w:tcBorders>
              <w:top w:val="single" w:color="auto" w:sz="4" w:space="0"/>
              <w:left w:val="single" w:color="auto" w:sz="4" w:space="0"/>
              <w:bottom w:val="single" w:color="auto" w:sz="4" w:space="0"/>
              <w:right w:val="single" w:color="auto" w:sz="4" w:space="0"/>
            </w:tcBorders>
            <w:shd w:val="clear" w:color="auto" w:fill="A5A5A5" w:themeFill="background1" w:themeFillShade="A6"/>
            <w:tcMar>
              <w:top w:w="28" w:type="dxa"/>
              <w:left w:w="57" w:type="dxa"/>
              <w:bottom w:w="28" w:type="dxa"/>
              <w:right w:w="57" w:type="dxa"/>
            </w:tcMar>
            <w:vAlign w:val="center"/>
          </w:tcPr>
          <w:p w14:paraId="76D1BBC8">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6 mg</w:t>
            </w:r>
          </w:p>
        </w:tc>
        <w:tc>
          <w:tcPr>
            <w:tcW w:w="601" w:type="dxa"/>
            <w:tcBorders>
              <w:top w:val="single" w:color="auto" w:sz="4" w:space="0"/>
              <w:left w:val="single" w:color="auto" w:sz="4" w:space="0"/>
              <w:bottom w:val="single" w:color="auto" w:sz="4" w:space="0"/>
              <w:right w:val="single" w:color="auto" w:sz="4" w:space="0"/>
            </w:tcBorders>
            <w:shd w:val="clear" w:color="auto" w:fill="A5A5A5" w:themeFill="background1" w:themeFillShade="A6"/>
            <w:tcMar>
              <w:top w:w="28" w:type="dxa"/>
              <w:left w:w="57" w:type="dxa"/>
              <w:bottom w:w="28" w:type="dxa"/>
              <w:right w:w="57" w:type="dxa"/>
            </w:tcMar>
            <w:vAlign w:val="center"/>
          </w:tcPr>
          <w:p w14:paraId="671DEE86">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6 mg</w:t>
            </w:r>
          </w:p>
        </w:tc>
        <w:tc>
          <w:tcPr>
            <w:tcW w:w="601" w:type="dxa"/>
            <w:tcBorders>
              <w:top w:val="single" w:color="auto" w:sz="4" w:space="0"/>
              <w:left w:val="single" w:color="auto" w:sz="4" w:space="0"/>
              <w:bottom w:val="single" w:color="auto" w:sz="4" w:space="0"/>
              <w:right w:val="single" w:color="auto" w:sz="4" w:space="0"/>
            </w:tcBorders>
            <w:shd w:val="clear" w:color="auto" w:fill="A5A5A5" w:themeFill="background1" w:themeFillShade="A6"/>
            <w:tcMar>
              <w:top w:w="28" w:type="dxa"/>
              <w:left w:w="57" w:type="dxa"/>
              <w:bottom w:w="28" w:type="dxa"/>
              <w:right w:w="57" w:type="dxa"/>
            </w:tcMar>
            <w:vAlign w:val="center"/>
          </w:tcPr>
          <w:p w14:paraId="02548916">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6 mg</w:t>
            </w:r>
          </w:p>
        </w:tc>
        <w:tc>
          <w:tcPr>
            <w:tcW w:w="731" w:type="dxa"/>
            <w:vMerge w:val="continue"/>
            <w:tcBorders>
              <w:left w:val="single" w:color="auto" w:sz="4" w:space="0"/>
            </w:tcBorders>
            <w:tcMar>
              <w:top w:w="28" w:type="dxa"/>
              <w:left w:w="57" w:type="dxa"/>
              <w:bottom w:w="28" w:type="dxa"/>
              <w:right w:w="57" w:type="dxa"/>
            </w:tcMar>
            <w:vAlign w:val="center"/>
          </w:tcPr>
          <w:p w14:paraId="001BD4E2">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p>
        </w:tc>
      </w:tr>
      <w:tr w14:paraId="3A64D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704" w:type="dxa"/>
            <w:vMerge w:val="continue"/>
            <w:tcBorders>
              <w:bottom w:val="single" w:color="auto" w:sz="4" w:space="0"/>
              <w:right w:val="single" w:color="auto" w:sz="4" w:space="0"/>
            </w:tcBorders>
            <w:tcMar>
              <w:top w:w="28" w:type="dxa"/>
              <w:left w:w="57" w:type="dxa"/>
              <w:bottom w:w="28" w:type="dxa"/>
              <w:right w:w="57" w:type="dxa"/>
            </w:tcMar>
            <w:vAlign w:val="center"/>
          </w:tcPr>
          <w:p w14:paraId="2F731426">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p>
        </w:tc>
        <w:tc>
          <w:tcPr>
            <w:tcW w:w="7217" w:type="dxa"/>
            <w:gridSpan w:val="12"/>
            <w:tcBorders>
              <w:top w:val="single" w:color="auto" w:sz="4" w:space="0"/>
              <w:left w:val="single" w:color="auto" w:sz="4" w:space="0"/>
              <w:bottom w:val="single" w:color="auto" w:sz="4" w:space="0"/>
              <w:right w:val="single" w:color="auto" w:sz="4" w:space="0"/>
            </w:tcBorders>
            <w:tcMar>
              <w:top w:w="28" w:type="dxa"/>
              <w:left w:w="57" w:type="dxa"/>
              <w:bottom w:w="28" w:type="dxa"/>
              <w:right w:w="57" w:type="dxa"/>
            </w:tcMar>
            <w:vAlign w:val="center"/>
          </w:tcPr>
          <w:p w14:paraId="6CD8B006">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r>
              <w:rPr>
                <w:rFonts w:ascii="Times New Roman" w:hAnsi="Times New Roman"/>
                <w:b/>
                <w:bCs/>
                <w:color w:val="auto"/>
                <w:sz w:val="20"/>
                <w:szCs w:val="20"/>
              </w:rPr>
              <w:t>24-week treatment period, subcutaneous, Q2W</w:t>
            </w:r>
          </w:p>
        </w:tc>
        <w:tc>
          <w:tcPr>
            <w:tcW w:w="731" w:type="dxa"/>
            <w:vMerge w:val="continue"/>
            <w:tcBorders>
              <w:left w:val="single" w:color="auto" w:sz="4" w:space="0"/>
              <w:bottom w:val="single" w:color="auto" w:sz="4" w:space="0"/>
            </w:tcBorders>
            <w:tcMar>
              <w:top w:w="28" w:type="dxa"/>
              <w:left w:w="57" w:type="dxa"/>
              <w:bottom w:w="28" w:type="dxa"/>
              <w:right w:w="57" w:type="dxa"/>
            </w:tcMar>
            <w:vAlign w:val="center"/>
          </w:tcPr>
          <w:p w14:paraId="4FE5B530">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p>
        </w:tc>
      </w:tr>
      <w:tr w14:paraId="54045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704" w:type="dxa"/>
            <w:tcBorders>
              <w:bottom w:val="nil"/>
              <w:right w:val="single" w:color="auto" w:sz="4" w:space="0"/>
            </w:tcBorders>
            <w:tcMar>
              <w:top w:w="28" w:type="dxa"/>
              <w:left w:w="57" w:type="dxa"/>
              <w:bottom w:w="28" w:type="dxa"/>
              <w:right w:w="57" w:type="dxa"/>
            </w:tcMar>
            <w:vAlign w:val="center"/>
          </w:tcPr>
          <w:p w14:paraId="49D4FC41">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p>
        </w:tc>
        <w:tc>
          <w:tcPr>
            <w:tcW w:w="606" w:type="dxa"/>
            <w:tcBorders>
              <w:top w:val="single" w:color="auto" w:sz="4" w:space="0"/>
              <w:left w:val="single" w:color="auto" w:sz="4" w:space="0"/>
              <w:bottom w:val="nil"/>
              <w:right w:val="single" w:color="auto" w:sz="4" w:space="0"/>
            </w:tcBorders>
            <w:shd w:val="clear" w:color="auto" w:fill="auto"/>
            <w:tcMar>
              <w:top w:w="28" w:type="dxa"/>
              <w:left w:w="57" w:type="dxa"/>
              <w:bottom w:w="28" w:type="dxa"/>
              <w:right w:w="57" w:type="dxa"/>
            </w:tcMar>
            <w:vAlign w:val="center"/>
          </w:tcPr>
          <w:p w14:paraId="0ADE31B1">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p>
        </w:tc>
        <w:tc>
          <w:tcPr>
            <w:tcW w:w="601" w:type="dxa"/>
            <w:tcBorders>
              <w:top w:val="single" w:color="auto" w:sz="4" w:space="0"/>
              <w:left w:val="single" w:color="auto" w:sz="4" w:space="0"/>
              <w:bottom w:val="nil"/>
              <w:right w:val="single" w:color="auto" w:sz="4" w:space="0"/>
            </w:tcBorders>
            <w:shd w:val="clear" w:color="auto" w:fill="auto"/>
            <w:tcMar>
              <w:top w:w="28" w:type="dxa"/>
              <w:left w:w="57" w:type="dxa"/>
              <w:bottom w:w="28" w:type="dxa"/>
              <w:right w:w="57" w:type="dxa"/>
            </w:tcMar>
            <w:vAlign w:val="center"/>
          </w:tcPr>
          <w:p w14:paraId="0925123F">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p>
        </w:tc>
        <w:tc>
          <w:tcPr>
            <w:tcW w:w="601" w:type="dxa"/>
            <w:tcBorders>
              <w:top w:val="single" w:color="auto" w:sz="4" w:space="0"/>
              <w:left w:val="single" w:color="auto" w:sz="4" w:space="0"/>
              <w:bottom w:val="nil"/>
              <w:right w:val="single" w:color="auto" w:sz="4" w:space="0"/>
            </w:tcBorders>
            <w:shd w:val="clear" w:color="auto" w:fill="auto"/>
            <w:tcMar>
              <w:top w:w="28" w:type="dxa"/>
              <w:left w:w="57" w:type="dxa"/>
              <w:bottom w:w="28" w:type="dxa"/>
              <w:right w:w="57" w:type="dxa"/>
            </w:tcMar>
            <w:vAlign w:val="center"/>
          </w:tcPr>
          <w:p w14:paraId="6E399E2D">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p>
        </w:tc>
        <w:tc>
          <w:tcPr>
            <w:tcW w:w="601" w:type="dxa"/>
            <w:tcBorders>
              <w:top w:val="single" w:color="auto" w:sz="4" w:space="0"/>
              <w:left w:val="single" w:color="auto" w:sz="4" w:space="0"/>
              <w:bottom w:val="nil"/>
              <w:right w:val="single" w:color="auto" w:sz="4" w:space="0"/>
            </w:tcBorders>
            <w:shd w:val="clear" w:color="auto" w:fill="auto"/>
            <w:tcMar>
              <w:top w:w="28" w:type="dxa"/>
              <w:left w:w="57" w:type="dxa"/>
              <w:bottom w:w="28" w:type="dxa"/>
              <w:right w:w="57" w:type="dxa"/>
            </w:tcMar>
            <w:vAlign w:val="center"/>
          </w:tcPr>
          <w:p w14:paraId="33761364">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p>
        </w:tc>
        <w:tc>
          <w:tcPr>
            <w:tcW w:w="601" w:type="dxa"/>
            <w:tcBorders>
              <w:top w:val="single" w:color="auto" w:sz="4" w:space="0"/>
              <w:left w:val="single" w:color="auto" w:sz="4" w:space="0"/>
              <w:bottom w:val="nil"/>
              <w:right w:val="single" w:color="auto" w:sz="4" w:space="0"/>
            </w:tcBorders>
            <w:shd w:val="clear" w:color="auto" w:fill="auto"/>
            <w:tcMar>
              <w:top w:w="28" w:type="dxa"/>
              <w:left w:w="57" w:type="dxa"/>
              <w:bottom w:w="28" w:type="dxa"/>
              <w:right w:w="57" w:type="dxa"/>
            </w:tcMar>
            <w:vAlign w:val="center"/>
          </w:tcPr>
          <w:p w14:paraId="53D2C4A9">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p>
        </w:tc>
        <w:tc>
          <w:tcPr>
            <w:tcW w:w="601" w:type="dxa"/>
            <w:tcBorders>
              <w:top w:val="single" w:color="auto" w:sz="4" w:space="0"/>
              <w:left w:val="single" w:color="auto" w:sz="4" w:space="0"/>
              <w:bottom w:val="nil"/>
              <w:right w:val="single" w:color="auto" w:sz="4" w:space="0"/>
            </w:tcBorders>
            <w:shd w:val="clear" w:color="auto" w:fill="auto"/>
            <w:tcMar>
              <w:top w:w="28" w:type="dxa"/>
              <w:left w:w="57" w:type="dxa"/>
              <w:bottom w:w="28" w:type="dxa"/>
              <w:right w:w="57" w:type="dxa"/>
            </w:tcMar>
            <w:vAlign w:val="center"/>
          </w:tcPr>
          <w:p w14:paraId="57CF5F5C">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p>
        </w:tc>
        <w:tc>
          <w:tcPr>
            <w:tcW w:w="601" w:type="dxa"/>
            <w:tcBorders>
              <w:top w:val="single" w:color="auto" w:sz="4" w:space="0"/>
              <w:left w:val="single" w:color="auto" w:sz="4" w:space="0"/>
              <w:bottom w:val="nil"/>
              <w:right w:val="single" w:color="auto" w:sz="4" w:space="0"/>
            </w:tcBorders>
            <w:shd w:val="clear" w:color="auto" w:fill="auto"/>
            <w:tcMar>
              <w:top w:w="28" w:type="dxa"/>
              <w:left w:w="57" w:type="dxa"/>
              <w:bottom w:w="28" w:type="dxa"/>
              <w:right w:w="57" w:type="dxa"/>
            </w:tcMar>
            <w:vAlign w:val="center"/>
          </w:tcPr>
          <w:p w14:paraId="498A2FB4">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p>
        </w:tc>
        <w:tc>
          <w:tcPr>
            <w:tcW w:w="601" w:type="dxa"/>
            <w:tcBorders>
              <w:top w:val="single" w:color="auto" w:sz="4" w:space="0"/>
              <w:left w:val="single" w:color="auto" w:sz="4" w:space="0"/>
              <w:bottom w:val="nil"/>
              <w:right w:val="single" w:color="auto" w:sz="4" w:space="0"/>
            </w:tcBorders>
            <w:shd w:val="clear" w:color="auto" w:fill="auto"/>
            <w:tcMar>
              <w:top w:w="28" w:type="dxa"/>
              <w:left w:w="57" w:type="dxa"/>
              <w:bottom w:w="28" w:type="dxa"/>
              <w:right w:w="57" w:type="dxa"/>
            </w:tcMar>
            <w:vAlign w:val="center"/>
          </w:tcPr>
          <w:p w14:paraId="5554D9B7">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p>
        </w:tc>
        <w:tc>
          <w:tcPr>
            <w:tcW w:w="601" w:type="dxa"/>
            <w:tcBorders>
              <w:top w:val="single" w:color="auto" w:sz="4" w:space="0"/>
              <w:left w:val="single" w:color="auto" w:sz="4" w:space="0"/>
              <w:bottom w:val="nil"/>
              <w:right w:val="single" w:color="auto" w:sz="4" w:space="0"/>
            </w:tcBorders>
            <w:shd w:val="clear" w:color="auto" w:fill="auto"/>
            <w:tcMar>
              <w:top w:w="28" w:type="dxa"/>
              <w:left w:w="57" w:type="dxa"/>
              <w:bottom w:w="28" w:type="dxa"/>
              <w:right w:w="57" w:type="dxa"/>
            </w:tcMar>
            <w:vAlign w:val="center"/>
          </w:tcPr>
          <w:p w14:paraId="33312CB4">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p>
        </w:tc>
        <w:tc>
          <w:tcPr>
            <w:tcW w:w="601" w:type="dxa"/>
            <w:tcBorders>
              <w:top w:val="single" w:color="auto" w:sz="4" w:space="0"/>
              <w:left w:val="single" w:color="auto" w:sz="4" w:space="0"/>
              <w:bottom w:val="nil"/>
              <w:right w:val="single" w:color="auto" w:sz="4" w:space="0"/>
            </w:tcBorders>
            <w:shd w:val="clear" w:color="auto" w:fill="auto"/>
            <w:tcMar>
              <w:top w:w="28" w:type="dxa"/>
              <w:left w:w="57" w:type="dxa"/>
              <w:bottom w:w="28" w:type="dxa"/>
              <w:right w:w="57" w:type="dxa"/>
            </w:tcMar>
            <w:vAlign w:val="center"/>
          </w:tcPr>
          <w:p w14:paraId="008CCC76">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p>
        </w:tc>
        <w:tc>
          <w:tcPr>
            <w:tcW w:w="601" w:type="dxa"/>
            <w:tcBorders>
              <w:top w:val="single" w:color="auto" w:sz="4" w:space="0"/>
              <w:left w:val="single" w:color="auto" w:sz="4" w:space="0"/>
              <w:bottom w:val="nil"/>
              <w:right w:val="single" w:color="auto" w:sz="4" w:space="0"/>
            </w:tcBorders>
            <w:shd w:val="clear" w:color="auto" w:fill="auto"/>
            <w:tcMar>
              <w:top w:w="28" w:type="dxa"/>
              <w:left w:w="57" w:type="dxa"/>
              <w:bottom w:w="28" w:type="dxa"/>
              <w:right w:w="57" w:type="dxa"/>
            </w:tcMar>
            <w:vAlign w:val="center"/>
          </w:tcPr>
          <w:p w14:paraId="348C80E4">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p>
        </w:tc>
        <w:tc>
          <w:tcPr>
            <w:tcW w:w="601" w:type="dxa"/>
            <w:tcBorders>
              <w:top w:val="single" w:color="auto" w:sz="4" w:space="0"/>
              <w:left w:val="single" w:color="auto" w:sz="4" w:space="0"/>
              <w:bottom w:val="nil"/>
              <w:right w:val="single" w:color="auto" w:sz="4" w:space="0"/>
            </w:tcBorders>
            <w:shd w:val="clear" w:color="auto" w:fill="auto"/>
            <w:tcMar>
              <w:top w:w="28" w:type="dxa"/>
              <w:left w:w="57" w:type="dxa"/>
              <w:bottom w:w="28" w:type="dxa"/>
              <w:right w:w="57" w:type="dxa"/>
            </w:tcMar>
            <w:vAlign w:val="center"/>
          </w:tcPr>
          <w:p w14:paraId="0D398340">
            <w:pPr>
              <w:pStyle w:val="21"/>
              <w:overflowPunct w:val="0"/>
              <w:autoSpaceDE w:val="0"/>
              <w:autoSpaceDN w:val="0"/>
              <w:adjustRightInd w:val="0"/>
              <w:snapToGrid w:val="0"/>
              <w:spacing w:line="240" w:lineRule="auto"/>
              <w:ind w:firstLine="0" w:firstLineChars="0"/>
              <w:jc w:val="center"/>
              <w:rPr>
                <w:rFonts w:ascii="Times New Roman" w:hAnsi="Times New Roman" w:eastAsia="宋体"/>
                <w:b/>
                <w:bCs/>
                <w:color w:val="auto"/>
                <w:sz w:val="20"/>
                <w:szCs w:val="20"/>
              </w:rPr>
            </w:pPr>
          </w:p>
        </w:tc>
        <w:tc>
          <w:tcPr>
            <w:tcW w:w="731" w:type="dxa"/>
            <w:tcBorders>
              <w:left w:val="single" w:color="auto" w:sz="4" w:space="0"/>
              <w:bottom w:val="nil"/>
            </w:tcBorders>
            <w:tcMar>
              <w:top w:w="28" w:type="dxa"/>
              <w:left w:w="57" w:type="dxa"/>
              <w:bottom w:w="28" w:type="dxa"/>
              <w:right w:w="57" w:type="dxa"/>
            </w:tcMar>
            <w:vAlign w:val="center"/>
          </w:tcPr>
          <w:p w14:paraId="726CD3C0">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p>
        </w:tc>
      </w:tr>
      <w:bookmarkEnd w:id="135"/>
    </w:tbl>
    <w:p w14:paraId="2B52E98E">
      <w:pPr>
        <w:pStyle w:val="2"/>
        <w:overflowPunct w:val="0"/>
        <w:autoSpaceDE w:val="0"/>
        <w:autoSpaceDN w:val="0"/>
        <w:adjustRightInd w:val="0"/>
        <w:snapToGrid w:val="0"/>
        <w:spacing w:before="120" w:beforeLines="50" w:afterLines="50" w:line="300" w:lineRule="auto"/>
        <w:rPr>
          <w:rFonts w:eastAsia="宋体"/>
          <w:lang w:eastAsia="zh-CN"/>
        </w:rPr>
      </w:pPr>
      <w:r>
        <w:rPr>
          <w:b/>
          <w:bCs/>
          <w:sz w:val="20"/>
          <w:szCs w:val="20"/>
          <w:lang w:eastAsia="zh-CN"/>
        </w:rPr>
        <mc:AlternateContent>
          <mc:Choice Requires="wpg">
            <w:drawing>
              <wp:anchor distT="0" distB="0" distL="114300" distR="114300" simplePos="0" relativeHeight="251660288" behindDoc="0" locked="0" layoutInCell="1" allowOverlap="1">
                <wp:simplePos x="0" y="0"/>
                <wp:positionH relativeFrom="column">
                  <wp:posOffset>-175895</wp:posOffset>
                </wp:positionH>
                <wp:positionV relativeFrom="paragraph">
                  <wp:posOffset>15240</wp:posOffset>
                </wp:positionV>
                <wp:extent cx="6352540" cy="766445"/>
                <wp:effectExtent l="0" t="0" r="0" b="0"/>
                <wp:wrapNone/>
                <wp:docPr id="143158905" name="组合 1"/>
                <wp:cNvGraphicFramePr/>
                <a:graphic xmlns:a="http://schemas.openxmlformats.org/drawingml/2006/main">
                  <a:graphicData uri="http://schemas.microsoft.com/office/word/2010/wordprocessingGroup">
                    <wpg:wgp>
                      <wpg:cNvGrpSpPr/>
                      <wpg:grpSpPr>
                        <a:xfrm>
                          <a:off x="0" y="0"/>
                          <a:ext cx="6352803" cy="766383"/>
                          <a:chOff x="-140619" y="43986"/>
                          <a:chExt cx="6353681" cy="767461"/>
                        </a:xfrm>
                      </wpg:grpSpPr>
                      <wpg:grpSp>
                        <wpg:cNvPr id="400001964" name="组合 1"/>
                        <wpg:cNvGrpSpPr/>
                        <wpg:grpSpPr>
                          <a:xfrm>
                            <a:off x="-140619" y="43986"/>
                            <a:ext cx="6353681" cy="767461"/>
                            <a:chOff x="-192105" y="-363508"/>
                            <a:chExt cx="6356336" cy="771964"/>
                          </a:xfrm>
                        </wpg:grpSpPr>
                        <wps:wsp>
                          <wps:cNvPr id="2092809907" name="文本框 50"/>
                          <wps:cNvSpPr txBox="1">
                            <a:spLocks noChangeArrowheads="1"/>
                          </wps:cNvSpPr>
                          <wps:spPr bwMode="auto">
                            <a:xfrm>
                              <a:off x="-192105" y="-363508"/>
                              <a:ext cx="6309055" cy="450294"/>
                            </a:xfrm>
                            <a:prstGeom prst="rect">
                              <a:avLst/>
                            </a:prstGeom>
                            <a:solidFill>
                              <a:srgbClr val="FFFFFF"/>
                            </a:solidFill>
                            <a:ln w="9525">
                              <a:noFill/>
                              <a:miter lim="800000"/>
                            </a:ln>
                          </wps:spPr>
                          <wps:txbx>
                            <w:txbxContent>
                              <w:p w14:paraId="0B543DA3">
                                <w:pPr>
                                  <w:rPr>
                                    <w:b/>
                                    <w:bCs/>
                                    <w:sz w:val="21"/>
                                    <w:szCs w:val="21"/>
                                  </w:rPr>
                                </w:pPr>
                                <w:r>
                                  <w:rPr>
                                    <w:b/>
                                    <w:bCs/>
                                    <w:sz w:val="21"/>
                                    <w:szCs w:val="21"/>
                                  </w:rPr>
                                  <w:t>-2w         0w                                                                   12w                                                        22w      24w      26w</w:t>
                                </w:r>
                              </w:p>
                              <w:p w14:paraId="39CD49FE">
                                <w:pPr>
                                  <w:pStyle w:val="2"/>
                                  <w:rPr>
                                    <w:sz w:val="16"/>
                                    <w:szCs w:val="16"/>
                                  </w:rPr>
                                </w:pPr>
                                <w:r>
                                  <w:t xml:space="preserve">             </w:t>
                                </w:r>
                                <w:r>
                                  <w:rPr>
                                    <w:b/>
                                    <w:bCs/>
                                    <w:sz w:val="16"/>
                                    <w:szCs w:val="16"/>
                                  </w:rPr>
                                  <w:t>(D0)</w:t>
                                </w:r>
                                <w:r>
                                  <w:t xml:space="preserve">                                                          </w:t>
                                </w:r>
                                <w:r>
                                  <w:rPr>
                                    <w:b/>
                                    <w:bCs/>
                                    <w:sz w:val="16"/>
                                    <w:szCs w:val="16"/>
                                  </w:rPr>
                                  <w:t>(D84)                                                                        (D154)      (D168)    (D182)</w:t>
                                </w:r>
                              </w:p>
                            </w:txbxContent>
                          </wps:txbx>
                          <wps:bodyPr rot="0" vert="horz" wrap="square" lIns="91440" tIns="45720" rIns="91440" bIns="45720" anchor="t" anchorCtr="0">
                            <a:spAutoFit/>
                          </wps:bodyPr>
                        </wps:wsp>
                        <wpg:grpSp>
                          <wpg:cNvPr id="1547381808" name="组合 49"/>
                          <wpg:cNvGrpSpPr/>
                          <wpg:grpSpPr>
                            <a:xfrm>
                              <a:off x="160047" y="-36728"/>
                              <a:ext cx="6004184" cy="445184"/>
                              <a:chOff x="-44237" y="-260489"/>
                              <a:chExt cx="6004637" cy="445226"/>
                            </a:xfrm>
                          </wpg:grpSpPr>
                          <wpg:grpSp>
                            <wpg:cNvPr id="959771842" name="组合 47"/>
                            <wpg:cNvGrpSpPr/>
                            <wpg:grpSpPr>
                              <a:xfrm>
                                <a:off x="-44237" y="-260489"/>
                                <a:ext cx="6004637" cy="445226"/>
                                <a:chOff x="23859" y="-260489"/>
                                <a:chExt cx="6004637" cy="445226"/>
                              </a:xfrm>
                            </wpg:grpSpPr>
                            <wpg:grpSp>
                              <wpg:cNvPr id="750221218" name="组合 40"/>
                              <wpg:cNvGrpSpPr/>
                              <wpg:grpSpPr>
                                <a:xfrm>
                                  <a:off x="4868267" y="-260489"/>
                                  <a:ext cx="915180" cy="178109"/>
                                  <a:chOff x="1977675" y="-262076"/>
                                  <a:chExt cx="833743" cy="174739"/>
                                </a:xfrm>
                              </wpg:grpSpPr>
                              <wps:wsp>
                                <wps:cNvPr id="2081975309" name="等腰三角形 34"/>
                                <wps:cNvSpPr/>
                                <wps:spPr>
                                  <a:xfrm>
                                    <a:off x="2766333" y="-262076"/>
                                    <a:ext cx="45085" cy="174626"/>
                                  </a:xfrm>
                                  <a:prstGeom prst="triangle">
                                    <a:avLst/>
                                  </a:prstGeom>
                                  <a:solidFill>
                                    <a:schemeClr val="accent1"/>
                                  </a:solidFill>
                                  <a:ln w="12700" cap="flat">
                                    <a:noFill/>
                                    <a:miter lim="400000"/>
                                  </a:ln>
                                  <a:effectLst/>
                                </wps:spPr>
                                <wps:style>
                                  <a:lnRef idx="0">
                                    <a:scrgbClr r="0" g="0" b="0"/>
                                  </a:lnRef>
                                  <a:fillRef idx="0">
                                    <a:scrgbClr r="0" g="0" b="0"/>
                                  </a:fillRef>
                                  <a:effectRef idx="0">
                                    <a:scrgbClr r="0" g="0" b="0"/>
                                  </a:effectRef>
                                  <a:fontRef idx="none"/>
                                </wps:style>
                                <wps:bodyPr rot="0" spcFirstLastPara="1" vertOverflow="overflow" horzOverflow="overflow" vert="horz" wrap="square" lIns="50800" tIns="50800" rIns="50800" bIns="50800" numCol="1" spcCol="38100" rtlCol="0" fromWordArt="0" anchor="ctr" anchorCtr="0" forceAA="0" compatLnSpc="1">
                                  <a:noAutofit/>
                                </wps:bodyPr>
                              </wps:wsp>
                              <wps:wsp>
                                <wps:cNvPr id="1986077601" name="等腰三角形 35"/>
                                <wps:cNvSpPr/>
                                <wps:spPr>
                                  <a:xfrm>
                                    <a:off x="1977675" y="-261960"/>
                                    <a:ext cx="45085" cy="174623"/>
                                  </a:xfrm>
                                  <a:prstGeom prst="triangle">
                                    <a:avLst/>
                                  </a:prstGeom>
                                  <a:solidFill>
                                    <a:srgbClr val="C00000"/>
                                  </a:solidFill>
                                  <a:ln w="12700" cap="flat">
                                    <a:noFill/>
                                    <a:miter lim="400000"/>
                                  </a:ln>
                                  <a:effectLst/>
                                </wps:spPr>
                                <wps:style>
                                  <a:lnRef idx="0">
                                    <a:scrgbClr r="0" g="0" b="0"/>
                                  </a:lnRef>
                                  <a:fillRef idx="0">
                                    <a:scrgbClr r="0" g="0" b="0"/>
                                  </a:fillRef>
                                  <a:effectRef idx="0">
                                    <a:scrgbClr r="0" g="0" b="0"/>
                                  </a:effectRef>
                                  <a:fontRef idx="none"/>
                                </wps:style>
                                <wps:txbx>
                                  <w:txbxContent>
                                    <w:p w14:paraId="139C5C75">
                                      <w:pPr>
                                        <w:jc w:val="center"/>
                                      </w:pPr>
                                      <w:r>
                                        <w:t xml:space="preserve">             </w:t>
                                      </w:r>
                                    </w:p>
                                  </w:txbxContent>
                                </wps:txbx>
                                <wps:bodyPr rot="0" spcFirstLastPara="1" vertOverflow="overflow" horzOverflow="overflow" vert="horz" wrap="square" lIns="50800" tIns="50800" rIns="50800" bIns="50800" numCol="1" spcCol="38100" rtlCol="0" fromWordArt="0" anchor="ctr" anchorCtr="0" forceAA="0" compatLnSpc="1">
                                  <a:noAutofit/>
                                </wps:bodyPr>
                              </wps:wsp>
                            </wpg:grpSp>
                            <wps:wsp>
                              <wps:cNvPr id="217" name="文本框 44"/>
                              <wps:cNvSpPr txBox="1">
                                <a:spLocks noChangeArrowheads="1"/>
                              </wps:cNvSpPr>
                              <wps:spPr bwMode="auto">
                                <a:xfrm>
                                  <a:off x="23859" y="-57834"/>
                                  <a:ext cx="728980" cy="242571"/>
                                </a:xfrm>
                                <a:prstGeom prst="rect">
                                  <a:avLst/>
                                </a:prstGeom>
                                <a:solidFill>
                                  <a:srgbClr val="FFFFFF"/>
                                </a:solidFill>
                                <a:ln w="9525">
                                  <a:noFill/>
                                  <a:miter lim="800000"/>
                                </a:ln>
                              </wps:spPr>
                              <wps:txbx>
                                <w:txbxContent>
                                  <w:p w14:paraId="7093BD68">
                                    <w:pPr>
                                      <w:rPr>
                                        <w:b/>
                                        <w:bCs/>
                                        <w:sz w:val="18"/>
                                        <w:szCs w:val="18"/>
                                      </w:rPr>
                                    </w:pPr>
                                    <w:r>
                                      <w:rPr>
                                        <w:b/>
                                        <w:bCs/>
                                        <w:sz w:val="18"/>
                                        <w:szCs w:val="18"/>
                                      </w:rPr>
                                      <w:t>First dose</w:t>
                                    </w:r>
                                  </w:p>
                                </w:txbxContent>
                              </wps:txbx>
                              <wps:bodyPr rot="0" vert="horz" wrap="square" lIns="91440" tIns="45720" rIns="91440" bIns="45720" anchor="t" anchorCtr="0">
                                <a:noAutofit/>
                              </wps:bodyPr>
                            </wps:wsp>
                            <wps:wsp>
                              <wps:cNvPr id="1028538035" name="文本框 46"/>
                              <wps:cNvSpPr txBox="1">
                                <a:spLocks noChangeArrowheads="1"/>
                              </wps:cNvSpPr>
                              <wps:spPr bwMode="auto">
                                <a:xfrm>
                                  <a:off x="5299516" y="-57921"/>
                                  <a:ext cx="728980" cy="242571"/>
                                </a:xfrm>
                                <a:prstGeom prst="rect">
                                  <a:avLst/>
                                </a:prstGeom>
                                <a:solidFill>
                                  <a:srgbClr val="FFFFFF"/>
                                </a:solidFill>
                                <a:ln w="9525">
                                  <a:noFill/>
                                  <a:miter lim="800000"/>
                                </a:ln>
                              </wps:spPr>
                              <wps:txbx>
                                <w:txbxContent>
                                  <w:p w14:paraId="6ED634DE">
                                    <w:pPr>
                                      <w:rPr>
                                        <w:b/>
                                        <w:bCs/>
                                        <w:sz w:val="18"/>
                                        <w:szCs w:val="18"/>
                                      </w:rPr>
                                    </w:pPr>
                                    <w:r>
                                      <w:rPr>
                                        <w:b/>
                                        <w:bCs/>
                                        <w:sz w:val="18"/>
                                        <w:szCs w:val="18"/>
                                      </w:rPr>
                                      <w:t>Last visit</w:t>
                                    </w:r>
                                  </w:p>
                                </w:txbxContent>
                              </wps:txbx>
                              <wps:bodyPr rot="0" vert="horz" wrap="square" lIns="91440" tIns="45720" rIns="91440" bIns="45720" anchor="t" anchorCtr="0">
                                <a:noAutofit/>
                              </wps:bodyPr>
                            </wps:wsp>
                          </wpg:grpSp>
                          <wps:wsp>
                            <wps:cNvPr id="1771555248" name="文本框 48"/>
                            <wps:cNvSpPr txBox="1">
                              <a:spLocks noChangeArrowheads="1"/>
                            </wps:cNvSpPr>
                            <wps:spPr bwMode="auto">
                              <a:xfrm>
                                <a:off x="4457346" y="-57838"/>
                                <a:ext cx="728918" cy="242547"/>
                              </a:xfrm>
                              <a:prstGeom prst="rect">
                                <a:avLst/>
                              </a:prstGeom>
                              <a:solidFill>
                                <a:srgbClr val="FFFFFF"/>
                              </a:solidFill>
                              <a:ln w="9525">
                                <a:noFill/>
                                <a:miter lim="800000"/>
                              </a:ln>
                            </wps:spPr>
                            <wps:txbx>
                              <w:txbxContent>
                                <w:p w14:paraId="2AB70CAE">
                                  <w:pPr>
                                    <w:rPr>
                                      <w:b/>
                                      <w:bCs/>
                                      <w:sz w:val="18"/>
                                      <w:szCs w:val="18"/>
                                    </w:rPr>
                                  </w:pPr>
                                  <w:r>
                                    <w:rPr>
                                      <w:b/>
                                      <w:bCs/>
                                      <w:sz w:val="18"/>
                                      <w:szCs w:val="18"/>
                                    </w:rPr>
                                    <w:t>Last dose</w:t>
                                  </w:r>
                                </w:p>
                              </w:txbxContent>
                            </wps:txbx>
                            <wps:bodyPr rot="0" vert="horz" wrap="square" lIns="91440" tIns="45720" rIns="91440" bIns="45720" anchor="t" anchorCtr="0">
                              <a:noAutofit/>
                            </wps:bodyPr>
                          </wps:wsp>
                        </wpg:grpSp>
                      </wpg:grpSp>
                      <wps:wsp>
                        <wps:cNvPr id="876519499" name="等腰三角形 6"/>
                        <wps:cNvSpPr/>
                        <wps:spPr>
                          <a:xfrm>
                            <a:off x="518586" y="368893"/>
                            <a:ext cx="49465" cy="177044"/>
                          </a:xfrm>
                          <a:prstGeom prst="triangle">
                            <a:avLst/>
                          </a:prstGeom>
                          <a:solidFill>
                            <a:srgbClr val="C00000"/>
                          </a:solidFill>
                          <a:ln w="12700" cap="flat">
                            <a:noFill/>
                            <a:miter lim="400000"/>
                          </a:ln>
                          <a:effectLst/>
                        </wps:spPr>
                        <wps:style>
                          <a:lnRef idx="0">
                            <a:scrgbClr r="0" g="0" b="0"/>
                          </a:lnRef>
                          <a:fillRef idx="0">
                            <a:scrgbClr r="0" g="0" b="0"/>
                          </a:fillRef>
                          <a:effectRef idx="0">
                            <a:scrgbClr r="0" g="0" b="0"/>
                          </a:effectRef>
                          <a:fontRef idx="none"/>
                        </wps:style>
                        <wps:txbx>
                          <w:txbxContent>
                            <w:p w14:paraId="4B6E3591">
                              <w:pPr>
                                <w:jc w:val="center"/>
                              </w:pPr>
                              <w:r>
                                <w:t xml:space="preserve">             </w:t>
                              </w:r>
                            </w:p>
                          </w:txbxContent>
                        </wps:txbx>
                        <wps:bodyPr rot="0" spcFirstLastPara="1" vertOverflow="overflow" horzOverflow="overflow" vert="horz" wrap="square" lIns="50800" tIns="50800" rIns="50800" bIns="50800" numCol="1" spcCol="38100" rtlCol="0" fromWordArt="0" anchor="ctr" anchorCtr="0" forceAA="0" compatLnSpc="1">
                          <a:noAutofit/>
                        </wps:bodyPr>
                      </wps:wsp>
                    </wpg:wgp>
                  </a:graphicData>
                </a:graphic>
              </wp:anchor>
            </w:drawing>
          </mc:Choice>
          <mc:Fallback>
            <w:pict>
              <v:group id="组合 1" o:spid="_x0000_s1026" o:spt="203" style="position:absolute;left:0pt;margin-left:-13.85pt;margin-top:1.2pt;height:60.35pt;width:500.2pt;z-index:251660288;mso-width-relative:page;mso-height-relative:page;" coordorigin="-140619,43986" coordsize="6353681,767461" o:gfxdata="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">
                <o:lock v:ext="edit" aspectratio="f"/>
                <v:group id="组合 1" o:spid="_x0000_s1026" o:spt="203" style="position:absolute;left:-140619;top:43986;height:767461;width:6353681;" coordorigin="-192105,-363508" coordsize="6356336,771964" o:gfxdata="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DWMgIbBAAAA4gAAAA8AAAAAAAAAAQAgAAAAIgAAAGRycy9kb3ducmV2&#10;LnhtbFBLAQIUABQAAAAIAIdO4kAzLwWeOwAAADkAAAAVAAAAAAAAAAEAIAAAABABAABkcnMvZ3Jv&#10;dXBzaGFwZXhtbC54bWxQSwUGAAAAAAYABgBgAQAAzQMAAAAA&#10;">
                  <o:lock v:ext="edit" aspectratio="f"/>
                  <v:shape id="文本框 50" o:spid="_x0000_s1026" o:spt="202" type="#_x0000_t202" style="position:absolute;left:-192105;top:-363508;height:450294;width:6309055;" fillcolor="#FFFFFF" filled="t" stroked="f" coordsize="21600,21600" o:gfxdata="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K&#10;Kx/uwwAAAOMAAAAPAAAAAAAAAAEAIAAAACIAAABkcnMvZG93bnJldi54bWxQSwECFAAUAAAACACH&#10;TuJAMy8FnjsAAAA5AAAAEAAAAAAAAAABACAAAAASAQAAZHJzL3NoYXBleG1sLnhtbFBLBQYAAAAA&#10;BgAGAFsBAAC8AwAAAAA=&#10;">
                    <v:fill on="t" focussize="0,0"/>
                    <v:stroke on="f" miterlimit="8" joinstyle="miter"/>
                    <v:imagedata o:title=""/>
                    <o:lock v:ext="edit" aspectratio="f"/>
                    <v:textbox style="mso-fit-shape-to-text:t;">
                      <w:txbxContent>
                        <w:p w14:paraId="0B543DA3">
                          <w:pPr>
                            <w:rPr>
                              <w:b/>
                              <w:bCs/>
                              <w:sz w:val="21"/>
                              <w:szCs w:val="21"/>
                            </w:rPr>
                          </w:pPr>
                          <w:r>
                            <w:rPr>
                              <w:b/>
                              <w:bCs/>
                              <w:sz w:val="21"/>
                              <w:szCs w:val="21"/>
                            </w:rPr>
                            <w:t>-2w         0w                                                                   12w                                                        22w      24w      26w</w:t>
                          </w:r>
                        </w:p>
                        <w:p w14:paraId="39CD49FE">
                          <w:pPr>
                            <w:pStyle w:val="2"/>
                            <w:rPr>
                              <w:sz w:val="16"/>
                              <w:szCs w:val="16"/>
                            </w:rPr>
                          </w:pPr>
                          <w:r>
                            <w:t xml:space="preserve">             </w:t>
                          </w:r>
                          <w:r>
                            <w:rPr>
                              <w:b/>
                              <w:bCs/>
                              <w:sz w:val="16"/>
                              <w:szCs w:val="16"/>
                            </w:rPr>
                            <w:t>(D0)</w:t>
                          </w:r>
                          <w:r>
                            <w:t xml:space="preserve">                                                          </w:t>
                          </w:r>
                          <w:r>
                            <w:rPr>
                              <w:b/>
                              <w:bCs/>
                              <w:sz w:val="16"/>
                              <w:szCs w:val="16"/>
                            </w:rPr>
                            <w:t>(D84)                                                                        (D154)      (D168)    (D182)</w:t>
                          </w:r>
                        </w:p>
                      </w:txbxContent>
                    </v:textbox>
                  </v:shape>
                  <v:group id="组合 49" o:spid="_x0000_s1026" o:spt="203" style="position:absolute;left:160047;top:-36728;height:445184;width:6004184;" coordorigin="-44237,-260489" coordsize="6004637,445226" o:gfxdata="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">
                    <o:lock v:ext="edit" aspectratio="f"/>
                    <v:group id="组合 47" o:spid="_x0000_s1026" o:spt="203" style="position:absolute;left:-44237;top:-260489;height:445226;width:6004637;" coordorigin="23859,-260489" coordsize="6004637,445226" o:gfxdata="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">
                      <o:lock v:ext="edit" aspectratio="f"/>
                      <v:group id="组合 40" o:spid="_x0000_s1026" o:spt="203" style="position:absolute;left:4868267;top:-260489;height:178109;width:915180;" coordorigin="1977675,-262076" coordsize="833743,174739" o:gfxdata="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1Yl+c8AAAADiAAAADwAAAAAAAAABACAAAAAiAAAAZHJzL2Rvd25yZXYu&#10;eG1sUEsBAhQAFAAAAAgAh07iQDMvBZ47AAAAOQAAABUAAAAAAAAAAQAgAAAADwEAAGRycy9ncm91&#10;cHNoYXBleG1sLnhtbFBLBQYAAAAABgAGAGABAADMAwAAAAA=&#10;">
                        <o:lock v:ext="edit" aspectratio="f"/>
                        <v:shape id="等腰三角形 34" o:spid="_x0000_s1026" o:spt="5" type="#_x0000_t5" style="position:absolute;left:2766333;top:-262076;height:174626;width:45085;v-text-anchor:middle;" fillcolor="#499BC9 [3204]" filled="t" stroked="f" coordsize="21600,21600" o:gfxdata="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C8sP77xgAAAOMAAAAPAAAAAAAAAAEAIAAAACIAAABkcnMvZG93bnJldi54bWxQSwECFAAUAAAA&#10;CACHTuJAMy8FnjsAAAA5AAAAEAAAAAAAAAABACAAAAAVAQAAZHJzL3NoYXBleG1sLnhtbFBLBQYA&#10;AAAABgAGAFsBAAC/AwAAAAA=&#10;" adj="10800">
                          <v:fill on="t" focussize="0,0"/>
                          <v:stroke on="f" weight="1pt" miterlimit="4" joinstyle="miter"/>
                          <v:imagedata o:title=""/>
                          <o:lock v:ext="edit" aspectratio="f"/>
                          <v:textbox inset="4pt,4pt,4pt,4pt"/>
                        </v:shape>
                        <v:shape id="等腰三角形 35" o:spid="_x0000_s1026" o:spt="5" type="#_x0000_t5" style="position:absolute;left:1977675;top:-261960;height:174623;width:45085;v-text-anchor:middle;" fillcolor="#C00000" filled="t" stroked="f" coordsize="21600,21600" o:gfxdata="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ltv&#10;CMEAAADjAAAADwAAAAAAAAABACAAAAAiAAAAZHJzL2Rvd25yZXYueG1sUEsBAhQAFAAAAAgAh07i&#10;QDMvBZ47AAAAOQAAABAAAAAAAAAAAQAgAAAAEAEAAGRycy9zaGFwZXhtbC54bWxQSwUGAAAAAAYA&#10;BgBbAQAAugMAAAAA&#10;" adj="10800">
                          <v:fill on="t" focussize="0,0"/>
                          <v:stroke on="f" weight="1pt" miterlimit="4" joinstyle="miter"/>
                          <v:imagedata o:title=""/>
                          <o:lock v:ext="edit" aspectratio="f"/>
                          <v:textbox inset="4pt,4pt,4pt,4pt">
                            <w:txbxContent>
                              <w:p w14:paraId="139C5C75">
                                <w:pPr>
                                  <w:jc w:val="center"/>
                                </w:pPr>
                                <w:r>
                                  <w:t xml:space="preserve">             </w:t>
                                </w:r>
                              </w:p>
                            </w:txbxContent>
                          </v:textbox>
                        </v:shape>
                      </v:group>
                      <v:shape id="文本框 44" o:spid="_x0000_s1026" o:spt="202" type="#_x0000_t202" style="position:absolute;left:23859;top:-57834;height:242571;width:728980;" fillcolor="#FFFFFF" filled="t" stroked="f" coordsize="21600,21600" o:gfxdata="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jXJ0m8AAAA&#10;3AAAAA8AAAAAAAAAAQAgAAAAIgAAAGRycy9kb3ducmV2LnhtbFBLAQIUABQAAAAIAIdO4kAzLwWe&#10;OwAAADkAAAAQAAAAAAAAAAEAIAAAAAsBAABkcnMvc2hhcGV4bWwueG1sUEsFBgAAAAAGAAYAWwEA&#10;ALUDAAAAAA==&#10;">
                        <v:fill on="t" focussize="0,0"/>
                        <v:stroke on="f" miterlimit="8" joinstyle="miter"/>
                        <v:imagedata o:title=""/>
                        <o:lock v:ext="edit" aspectratio="f"/>
                        <v:textbox>
                          <w:txbxContent>
                            <w:p w14:paraId="7093BD68">
                              <w:pPr>
                                <w:rPr>
                                  <w:b/>
                                  <w:bCs/>
                                  <w:sz w:val="18"/>
                                  <w:szCs w:val="18"/>
                                </w:rPr>
                              </w:pPr>
                              <w:r>
                                <w:rPr>
                                  <w:b/>
                                  <w:bCs/>
                                  <w:sz w:val="18"/>
                                  <w:szCs w:val="18"/>
                                </w:rPr>
                                <w:t>First dose</w:t>
                              </w:r>
                            </w:p>
                          </w:txbxContent>
                        </v:textbox>
                      </v:shape>
                      <v:shape id="文本框 46" o:spid="_x0000_s1026" o:spt="202" type="#_x0000_t202" style="position:absolute;left:5299516;top:-57921;height:242571;width:728980;" fillcolor="#FFFFFF" filled="t" stroked="f" coordsize="21600,21600" o:gfxdata="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0F1tG/&#10;AAAA4wAAAA8AAAAAAAAAAQAgAAAAIgAAAGRycy9kb3ducmV2LnhtbFBLAQIUABQAAAAIAIdO4kAz&#10;LwWeOwAAADkAAAAQAAAAAAAAAAEAIAAAAA4BAABkcnMvc2hhcGV4bWwueG1sUEsFBgAAAAAGAAYA&#10;WwEAALgDAAAAAA==&#10;">
                        <v:fill on="t" focussize="0,0"/>
                        <v:stroke on="f" miterlimit="8" joinstyle="miter"/>
                        <v:imagedata o:title=""/>
                        <o:lock v:ext="edit" aspectratio="f"/>
                        <v:textbox>
                          <w:txbxContent>
                            <w:p w14:paraId="6ED634DE">
                              <w:pPr>
                                <w:rPr>
                                  <w:b/>
                                  <w:bCs/>
                                  <w:sz w:val="18"/>
                                  <w:szCs w:val="18"/>
                                </w:rPr>
                              </w:pPr>
                              <w:r>
                                <w:rPr>
                                  <w:b/>
                                  <w:bCs/>
                                  <w:sz w:val="18"/>
                                  <w:szCs w:val="18"/>
                                </w:rPr>
                                <w:t>Last visit</w:t>
                              </w:r>
                            </w:p>
                          </w:txbxContent>
                        </v:textbox>
                      </v:shape>
                    </v:group>
                    <v:shape id="文本框 48" o:spid="_x0000_s1026" o:spt="202" type="#_x0000_t202" style="position:absolute;left:4457346;top:-57838;height:242547;width:728918;" fillcolor="#FFFFFF" filled="t" stroked="f" coordsize="21600,21600" o:gfxdata="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K&#10;7jZbwwAAAOMAAAAPAAAAAAAAAAEAIAAAACIAAABkcnMvZG93bnJldi54bWxQSwECFAAUAAAACACH&#10;TuJAMy8FnjsAAAA5AAAAEAAAAAAAAAABACAAAAASAQAAZHJzL3NoYXBleG1sLnhtbFBLBQYAAAAA&#10;BgAGAFsBAAC8AwAAAAA=&#10;">
                      <v:fill on="t" focussize="0,0"/>
                      <v:stroke on="f" miterlimit="8" joinstyle="miter"/>
                      <v:imagedata o:title=""/>
                      <o:lock v:ext="edit" aspectratio="f"/>
                      <v:textbox>
                        <w:txbxContent>
                          <w:p w14:paraId="2AB70CAE">
                            <w:pPr>
                              <w:rPr>
                                <w:b/>
                                <w:bCs/>
                                <w:sz w:val="18"/>
                                <w:szCs w:val="18"/>
                              </w:rPr>
                            </w:pPr>
                            <w:r>
                              <w:rPr>
                                <w:b/>
                                <w:bCs/>
                                <w:sz w:val="18"/>
                                <w:szCs w:val="18"/>
                              </w:rPr>
                              <w:t>Last dose</w:t>
                            </w:r>
                          </w:p>
                        </w:txbxContent>
                      </v:textbox>
                    </v:shape>
                  </v:group>
                </v:group>
                <v:shape id="等腰三角形 6" o:spid="_x0000_s1026" o:spt="5" type="#_x0000_t5" style="position:absolute;left:518586;top:368893;height:177044;width:49465;v-text-anchor:middle;" fillcolor="#C00000" filled="t" stroked="f" coordsize="21600,21600" o:gfxdata="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L/9RU8QAAADiAAAADwAAAAAAAAABACAAAAAiAAAAZHJzL2Rvd25yZXYueG1sUEsBAhQAFAAAAAgA&#10;h07iQDMvBZ47AAAAOQAAABAAAAAAAAAAAQAgAAAAEwEAAGRycy9zaGFwZXhtbC54bWxQSwUGAAAA&#10;AAYABgBbAQAAvQMAAAAA&#10;" adj="10800">
                  <v:fill on="t" focussize="0,0"/>
                  <v:stroke on="f" weight="1pt" miterlimit="4" joinstyle="miter"/>
                  <v:imagedata o:title=""/>
                  <o:lock v:ext="edit" aspectratio="f"/>
                  <v:textbox inset="4pt,4pt,4pt,4pt">
                    <w:txbxContent>
                      <w:p w14:paraId="4B6E3591">
                        <w:pPr>
                          <w:jc w:val="center"/>
                        </w:pPr>
                        <w:r>
                          <w:t xml:space="preserve">             </w:t>
                        </w:r>
                      </w:p>
                    </w:txbxContent>
                  </v:textbox>
                </v:shape>
              </v:group>
            </w:pict>
          </mc:Fallback>
        </mc:AlternateContent>
      </w:r>
    </w:p>
    <w:p w14:paraId="139EEDCA">
      <w:pPr>
        <w:pStyle w:val="2"/>
        <w:overflowPunct w:val="0"/>
        <w:autoSpaceDE w:val="0"/>
        <w:autoSpaceDN w:val="0"/>
        <w:adjustRightInd w:val="0"/>
        <w:snapToGrid w:val="0"/>
        <w:spacing w:before="120" w:beforeLines="50" w:afterLines="50" w:line="300" w:lineRule="auto"/>
        <w:rPr>
          <w:rFonts w:eastAsia="宋体"/>
          <w:lang w:eastAsia="zh-CN"/>
        </w:rPr>
      </w:pPr>
    </w:p>
    <w:p w14:paraId="2EDF2742">
      <w:pPr>
        <w:overflowPunct w:val="0"/>
        <w:autoSpaceDE w:val="0"/>
        <w:autoSpaceDN w:val="0"/>
        <w:adjustRightInd w:val="0"/>
        <w:snapToGrid w:val="0"/>
        <w:spacing w:before="120" w:beforeLines="50" w:after="120" w:afterLines="50" w:line="300" w:lineRule="auto"/>
        <w:rPr>
          <w:rFonts w:eastAsia="宋体"/>
          <w:lang w:eastAsia="zh-CN"/>
        </w:rPr>
      </w:pPr>
    </w:p>
    <w:p w14:paraId="5C2D78EB">
      <w:pPr>
        <w:pageBreakBefore/>
        <w:overflowPunct w:val="0"/>
        <w:autoSpaceDE w:val="0"/>
        <w:autoSpaceDN w:val="0"/>
        <w:adjustRightInd w:val="0"/>
        <w:snapToGrid w:val="0"/>
        <w:spacing w:before="120" w:beforeLines="50" w:after="120" w:afterLines="50" w:line="300" w:lineRule="auto"/>
        <w:jc w:val="center"/>
        <w:rPr>
          <w:rFonts w:eastAsia="宋体"/>
          <w:b/>
          <w:sz w:val="20"/>
          <w:szCs w:val="20"/>
        </w:rPr>
      </w:pPr>
      <w:r>
        <w:rPr>
          <w:b/>
          <w:sz w:val="20"/>
          <w:szCs w:val="20"/>
        </w:rPr>
        <w:t>Study flowchart for Part B</w:t>
      </w:r>
    </w:p>
    <w:p w14:paraId="4F30DC49">
      <w:pPr>
        <w:pStyle w:val="58"/>
        <w:overflowPunct w:val="0"/>
        <w:autoSpaceDE w:val="0"/>
        <w:autoSpaceDN w:val="0"/>
        <w:adjustRightInd w:val="0"/>
        <w:snapToGrid w:val="0"/>
        <w:spacing w:before="120" w:beforeLines="50" w:after="120" w:afterLines="50" w:line="300" w:lineRule="auto"/>
        <w:ind w:firstLine="0"/>
        <w:jc w:val="center"/>
        <w:rPr>
          <w:color w:val="auto"/>
        </w:rPr>
      </w:pPr>
      <w:r>
        <w:rPr>
          <w:sz w:val="20"/>
          <w:szCs w:val="20"/>
        </w:rPr>
        <mc:AlternateContent>
          <mc:Choice Requires="wpg">
            <w:drawing>
              <wp:inline distT="0" distB="0" distL="0" distR="0">
                <wp:extent cx="5768340" cy="2318385"/>
                <wp:effectExtent l="0" t="0" r="22860" b="24765"/>
                <wp:docPr id="1198827495" name="组合 2"/>
                <wp:cNvGraphicFramePr/>
                <a:graphic xmlns:a="http://schemas.openxmlformats.org/drawingml/2006/main">
                  <a:graphicData uri="http://schemas.microsoft.com/office/word/2010/wordprocessingGroup">
                    <wpg:wgp>
                      <wpg:cNvGrpSpPr/>
                      <wpg:grpSpPr>
                        <a:xfrm>
                          <a:off x="0" y="0"/>
                          <a:ext cx="5768340" cy="2318918"/>
                          <a:chOff x="8100" y="106987"/>
                          <a:chExt cx="6649966" cy="2289734"/>
                        </a:xfrm>
                      </wpg:grpSpPr>
                      <wpg:grpSp>
                        <wpg:cNvPr id="255445364" name="组合 14"/>
                        <wpg:cNvGrpSpPr/>
                        <wpg:grpSpPr>
                          <a:xfrm>
                            <a:off x="8100" y="106987"/>
                            <a:ext cx="6649966" cy="2289734"/>
                            <a:chOff x="9727" y="106987"/>
                            <a:chExt cx="7984494" cy="2289734"/>
                          </a:xfrm>
                        </wpg:grpSpPr>
                        <wps:wsp>
                          <wps:cNvPr id="1037078379" name="矩形 42"/>
                          <wps:cNvSpPr/>
                          <wps:spPr>
                            <a:xfrm>
                              <a:off x="9727" y="1705830"/>
                              <a:ext cx="7984494" cy="690891"/>
                            </a:xfrm>
                            <a:prstGeom prst="rect">
                              <a:avLst/>
                            </a:prstGeom>
                            <a:ln w="12700"/>
                          </wps:spPr>
                          <wps:style>
                            <a:lnRef idx="2">
                              <a:schemeClr val="accent2"/>
                            </a:lnRef>
                            <a:fillRef idx="1">
                              <a:schemeClr val="lt1"/>
                            </a:fillRef>
                            <a:effectRef idx="0">
                              <a:schemeClr val="accent2"/>
                            </a:effectRef>
                            <a:fontRef idx="minor">
                              <a:schemeClr val="dk1"/>
                            </a:fontRef>
                          </wps:style>
                          <wps:txbx>
                            <w:txbxContent>
                              <w:p w14:paraId="6380C336">
                                <w:pPr>
                                  <w:pStyle w:val="78"/>
                                  <w:numPr>
                                    <w:ilvl w:val="0"/>
                                    <w:numId w:val="21"/>
                                  </w:numPr>
                                  <w:jc w:val="left"/>
                                  <w:rPr>
                                    <w:rFonts w:hAnsi="Times New Roman" w:eastAsia="宋体" w:cs="Times New Roman"/>
                                    <w:sz w:val="16"/>
                                    <w:szCs w:val="16"/>
                                  </w:rPr>
                                </w:pPr>
                                <w:r>
                                  <w:rPr>
                                    <w:rFonts w:hAnsi="Times New Roman"/>
                                    <w:sz w:val="16"/>
                                    <w:szCs w:val="16"/>
                                  </w:rPr>
                                  <w:t>Dose escalation groups: Subjects in each group will be evaluated for tolerability 14 days after the first dose of the target dose. If tolerated, the dose will be escalated to a higher target dose;</w:t>
                                </w:r>
                              </w:p>
                              <w:p w14:paraId="5DCDE42E">
                                <w:pPr>
                                  <w:pStyle w:val="78"/>
                                  <w:numPr>
                                    <w:ilvl w:val="0"/>
                                    <w:numId w:val="21"/>
                                  </w:numPr>
                                  <w:jc w:val="left"/>
                                  <w:rPr>
                                    <w:rFonts w:hAnsi="Times New Roman" w:eastAsia="宋体" w:cs="Times New Roman"/>
                                    <w:sz w:val="16"/>
                                    <w:szCs w:val="16"/>
                                  </w:rPr>
                                </w:pPr>
                                <w:r>
                                  <w:rPr>
                                    <w:rFonts w:hAnsi="Times New Roman"/>
                                    <w:sz w:val="16"/>
                                    <w:szCs w:val="16"/>
                                  </w:rPr>
                                  <w:t>Dose expansion groups: If the target dose in the dose escalation study part is assessed as tolerable, the expansion study will be conducted with the corresponding target dose;</w:t>
                                </w:r>
                              </w:p>
                              <w:p w14:paraId="3EB79253">
                                <w:pPr>
                                  <w:pStyle w:val="78"/>
                                  <w:numPr>
                                    <w:ilvl w:val="0"/>
                                    <w:numId w:val="21"/>
                                  </w:numPr>
                                  <w:jc w:val="left"/>
                                  <w:rPr>
                                    <w:rFonts w:hAnsi="Times New Roman" w:eastAsia="宋体" w:cs="Times New Roman"/>
                                    <w:sz w:val="16"/>
                                    <w:szCs w:val="16"/>
                                  </w:rPr>
                                </w:pPr>
                                <w:r>
                                  <w:rPr>
                                    <w:rFonts w:hAnsi="Times New Roman"/>
                                    <w:sz w:val="16"/>
                                    <w:szCs w:val="16"/>
                                  </w:rPr>
                                  <w:t>*The gastric emptying effect study will be conducted simultaneously in the Part B dose escalation group 1</w:t>
                                </w:r>
                              </w:p>
                            </w:txbxContent>
                          </wps:txbx>
                          <wps:bodyPr rot="0" spcFirstLastPara="1" vertOverflow="overflow" horzOverflow="overflow" vert="horz" wrap="square" lIns="50800" tIns="50800" rIns="50800" bIns="50800" numCol="1" spcCol="38100" rtlCol="0" fromWordArt="0" anchor="ctr" anchorCtr="0" forceAA="0" compatLnSpc="1">
                            <a:noAutofit/>
                          </wps:bodyPr>
                        </wps:wsp>
                        <wpg:grpSp>
                          <wpg:cNvPr id="1014050939" name="组合 12"/>
                          <wpg:cNvGrpSpPr/>
                          <wpg:grpSpPr>
                            <a:xfrm>
                              <a:off x="9727" y="106987"/>
                              <a:ext cx="7885834" cy="1561039"/>
                              <a:chOff x="0" y="106987"/>
                              <a:chExt cx="7885834" cy="1561039"/>
                            </a:xfrm>
                          </wpg:grpSpPr>
                          <wps:wsp>
                            <wps:cNvPr id="1704797156" name="矩形 3"/>
                            <wps:cNvSpPr/>
                            <wps:spPr>
                              <a:xfrm>
                                <a:off x="6147880" y="213984"/>
                                <a:ext cx="1737954" cy="466695"/>
                              </a:xfrm>
                              <a:prstGeom prst="rect">
                                <a:avLst/>
                              </a:prstGeom>
                              <a:solidFill>
                                <a:schemeClr val="accent4">
                                  <a:lumMod val="20000"/>
                                  <a:lumOff val="80000"/>
                                </a:schemeClr>
                              </a:solidFill>
                              <a:ln w="9525">
                                <a:solidFill>
                                  <a:schemeClr val="accent1">
                                    <a:lumMod val="40000"/>
                                    <a:lumOff val="60000"/>
                                  </a:schemeClr>
                                </a:solidFill>
                              </a:ln>
                            </wps:spPr>
                            <wps:style>
                              <a:lnRef idx="2">
                                <a:schemeClr val="accent1"/>
                              </a:lnRef>
                              <a:fillRef idx="1">
                                <a:schemeClr val="lt1"/>
                              </a:fillRef>
                              <a:effectRef idx="0">
                                <a:schemeClr val="accent1"/>
                              </a:effectRef>
                              <a:fontRef idx="minor">
                                <a:schemeClr val="dk1"/>
                              </a:fontRef>
                            </wps:style>
                            <wps:txbx>
                              <w:txbxContent>
                                <w:p w14:paraId="23755D49">
                                  <w:pPr>
                                    <w:jc w:val="center"/>
                                    <w:rPr>
                                      <w:sz w:val="16"/>
                                      <w:szCs w:val="16"/>
                                    </w:rPr>
                                  </w:pPr>
                                  <w:r>
                                    <w:rPr>
                                      <w:sz w:val="16"/>
                                      <w:szCs w:val="16"/>
                                    </w:rPr>
                                    <w:t xml:space="preserve">Expansion group </w:t>
                                  </w:r>
                                  <w:r>
                                    <w:rPr>
                                      <w:sz w:val="16"/>
                                      <w:szCs w:val="16"/>
                                    </w:rPr>
                                    <w:br w:type="textWrapping"/>
                                  </w:r>
                                  <w:r>
                                    <w:rPr>
                                      <w:sz w:val="16"/>
                                      <w:szCs w:val="16"/>
                                    </w:rPr>
                                    <w:t>(group K-3)</w:t>
                                  </w:r>
                                </w:p>
                                <w:p w14:paraId="688878E8">
                                  <w:pPr>
                                    <w:jc w:val="center"/>
                                    <w:rPr>
                                      <w:sz w:val="16"/>
                                      <w:szCs w:val="16"/>
                                    </w:rPr>
                                  </w:pPr>
                                  <w:r>
                                    <w:rPr>
                                      <w:sz w:val="16"/>
                                      <w:szCs w:val="16"/>
                                    </w:rPr>
                                    <w:t>X</w:t>
                                  </w:r>
                                  <w:r>
                                    <w:rPr>
                                      <w:sz w:val="16"/>
                                      <w:szCs w:val="16"/>
                                      <w:vertAlign w:val="subscript"/>
                                    </w:rPr>
                                    <w:t>2</w:t>
                                  </w:r>
                                  <w:r>
                                    <w:rPr>
                                      <w:sz w:val="16"/>
                                      <w:szCs w:val="16"/>
                                    </w:rPr>
                                    <w:t xml:space="preserve"> mg, 32A + 8P</w:t>
                                  </w:r>
                                </w:p>
                                <w:p w14:paraId="56934FBF">
                                  <w:pPr>
                                    <w:pStyle w:val="2"/>
                                    <w:rPr>
                                      <w:sz w:val="16"/>
                                      <w:szCs w:val="16"/>
                                      <w:lang w:eastAsia="zh-CN"/>
                                    </w:rPr>
                                  </w:pPr>
                                </w:p>
                              </w:txbxContent>
                            </wps:txbx>
                            <wps:bodyPr rot="0" spcFirstLastPara="1" vertOverflow="overflow" horzOverflow="overflow" vert="horz" wrap="square" lIns="50800" tIns="50800" rIns="50800" bIns="50800" numCol="1" spcCol="38100" rtlCol="0" fromWordArt="0" anchor="ctr" anchorCtr="0" forceAA="0" compatLnSpc="1">
                              <a:noAutofit/>
                            </wps:bodyPr>
                          </wps:wsp>
                          <wps:wsp>
                            <wps:cNvPr id="1264121207" name="连接符: 肘形 6"/>
                            <wps:cNvCnPr/>
                            <wps:spPr>
                              <a:xfrm>
                                <a:off x="5327803" y="106987"/>
                                <a:ext cx="819447" cy="332074"/>
                              </a:xfrm>
                              <a:prstGeom prst="bentConnector3">
                                <a:avLst>
                                  <a:gd name="adj1" fmla="val 77913"/>
                                </a:avLst>
                              </a:prstGeom>
                              <a:ln>
                                <a:prstDash val="dash"/>
                                <a:tailEnd type="triangle"/>
                              </a:ln>
                            </wps:spPr>
                            <wps:style>
                              <a:lnRef idx="1">
                                <a:schemeClr val="accent1"/>
                              </a:lnRef>
                              <a:fillRef idx="0">
                                <a:schemeClr val="accent1"/>
                              </a:fillRef>
                              <a:effectRef idx="0">
                                <a:schemeClr val="accent1"/>
                              </a:effectRef>
                              <a:fontRef idx="minor">
                                <a:schemeClr val="tx1"/>
                              </a:fontRef>
                            </wps:style>
                            <wps:bodyPr/>
                          </wps:wsp>
                          <wpg:grpSp>
                            <wpg:cNvPr id="305620464" name="组合 11"/>
                            <wpg:cNvGrpSpPr/>
                            <wpg:grpSpPr>
                              <a:xfrm>
                                <a:off x="0" y="213983"/>
                                <a:ext cx="5881936" cy="1454043"/>
                                <a:chOff x="0" y="-25"/>
                                <a:chExt cx="5881936" cy="1454043"/>
                              </a:xfrm>
                            </wpg:grpSpPr>
                            <wps:wsp>
                              <wps:cNvPr id="168756618" name="矩形 20"/>
                              <wps:cNvSpPr/>
                              <wps:spPr>
                                <a:xfrm>
                                  <a:off x="0" y="982337"/>
                                  <a:ext cx="1752406" cy="471681"/>
                                </a:xfrm>
                                <a:prstGeom prst="rect">
                                  <a:avLst/>
                                </a:prstGeom>
                                <a:solidFill>
                                  <a:schemeClr val="accent5">
                                    <a:lumMod val="20000"/>
                                    <a:lumOff val="80000"/>
                                  </a:schemeClr>
                                </a:solidFill>
                                <a:ln w="9525"/>
                              </wps:spPr>
                              <wps:style>
                                <a:lnRef idx="2">
                                  <a:schemeClr val="accent1"/>
                                </a:lnRef>
                                <a:fillRef idx="1">
                                  <a:schemeClr val="lt1"/>
                                </a:fillRef>
                                <a:effectRef idx="0">
                                  <a:schemeClr val="accent1"/>
                                </a:effectRef>
                                <a:fontRef idx="minor">
                                  <a:schemeClr val="dk1"/>
                                </a:fontRef>
                              </wps:style>
                              <wps:txbx>
                                <w:txbxContent>
                                  <w:p w14:paraId="6C6728B4">
                                    <w:pPr>
                                      <w:jc w:val="center"/>
                                      <w:rPr>
                                        <w:sz w:val="16"/>
                                        <w:szCs w:val="16"/>
                                      </w:rPr>
                                    </w:pPr>
                                    <w:r>
                                      <w:rPr>
                                        <w:sz w:val="16"/>
                                        <w:szCs w:val="16"/>
                                      </w:rPr>
                                      <w:t xml:space="preserve">Escalation group </w:t>
                                    </w:r>
                                    <w:r>
                                      <w:rPr>
                                        <w:sz w:val="16"/>
                                        <w:szCs w:val="16"/>
                                      </w:rPr>
                                      <w:br w:type="textWrapping"/>
                                    </w:r>
                                    <w:r>
                                      <w:rPr>
                                        <w:sz w:val="16"/>
                                        <w:szCs w:val="16"/>
                                      </w:rPr>
                                      <w:t>(group B-1)*</w:t>
                                    </w:r>
                                  </w:p>
                                  <w:p w14:paraId="4C9164D2">
                                    <w:pPr>
                                      <w:jc w:val="center"/>
                                      <w:rPr>
                                        <w:sz w:val="16"/>
                                        <w:szCs w:val="16"/>
                                      </w:rPr>
                                    </w:pPr>
                                    <w:r>
                                      <w:rPr>
                                        <w:sz w:val="16"/>
                                        <w:szCs w:val="16"/>
                                      </w:rPr>
                                      <w:t>9 mg, 8A + 2P</w:t>
                                    </w:r>
                                  </w:p>
                                </w:txbxContent>
                              </wps:txbx>
                              <wps:bodyPr rot="0" spcFirstLastPara="1" vertOverflow="overflow" horzOverflow="overflow" vert="horz" wrap="square" lIns="50800" tIns="50800" rIns="50800" bIns="50800" numCol="1" spcCol="38100" rtlCol="0" fromWordArt="0" anchor="ctr" anchorCtr="0" forceAA="0" compatLnSpc="1">
                                <a:noAutofit/>
                              </wps:bodyPr>
                            </wps:wsp>
                            <wps:wsp>
                              <wps:cNvPr id="2077446017" name="连接符: 肘形 29"/>
                              <wps:cNvCnPr/>
                              <wps:spPr>
                                <a:xfrm flipV="1">
                                  <a:off x="3200400" y="173477"/>
                                  <a:ext cx="904795" cy="273898"/>
                                </a:xfrm>
                                <a:prstGeom prst="bentConnector3">
                                  <a:avLst>
                                    <a:gd name="adj1" fmla="val 162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360943175" name="矩形 25"/>
                              <wps:cNvSpPr/>
                              <wps:spPr>
                                <a:xfrm>
                                  <a:off x="2062264" y="466799"/>
                                  <a:ext cx="1738308" cy="441706"/>
                                </a:xfrm>
                                <a:prstGeom prst="rect">
                                  <a:avLst/>
                                </a:prstGeom>
                                <a:solidFill>
                                  <a:schemeClr val="accent5">
                                    <a:lumMod val="20000"/>
                                    <a:lumOff val="80000"/>
                                  </a:schemeClr>
                                </a:solidFill>
                                <a:ln w="9525"/>
                              </wps:spPr>
                              <wps:style>
                                <a:lnRef idx="2">
                                  <a:schemeClr val="accent1"/>
                                </a:lnRef>
                                <a:fillRef idx="1">
                                  <a:schemeClr val="lt1"/>
                                </a:fillRef>
                                <a:effectRef idx="0">
                                  <a:schemeClr val="accent1"/>
                                </a:effectRef>
                                <a:fontRef idx="minor">
                                  <a:schemeClr val="dk1"/>
                                </a:fontRef>
                              </wps:style>
                              <wps:txbx>
                                <w:txbxContent>
                                  <w:p w14:paraId="00D5A7A1">
                                    <w:pPr>
                                      <w:jc w:val="center"/>
                                      <w:rPr>
                                        <w:sz w:val="16"/>
                                        <w:szCs w:val="16"/>
                                      </w:rPr>
                                    </w:pPr>
                                    <w:r>
                                      <w:rPr>
                                        <w:sz w:val="16"/>
                                        <w:szCs w:val="16"/>
                                      </w:rPr>
                                      <w:t xml:space="preserve">Escalation group </w:t>
                                    </w:r>
                                    <w:r>
                                      <w:rPr>
                                        <w:sz w:val="16"/>
                                        <w:szCs w:val="16"/>
                                      </w:rPr>
                                      <w:br w:type="textWrapping"/>
                                    </w:r>
                                    <w:r>
                                      <w:rPr>
                                        <w:sz w:val="16"/>
                                        <w:szCs w:val="16"/>
                                      </w:rPr>
                                      <w:t>(group B-2)</w:t>
                                    </w:r>
                                  </w:p>
                                  <w:p w14:paraId="1F8C8F13">
                                    <w:pPr>
                                      <w:jc w:val="center"/>
                                      <w:rPr>
                                        <w:sz w:val="16"/>
                                        <w:szCs w:val="16"/>
                                      </w:rPr>
                                    </w:pPr>
                                    <w:r>
                                      <w:rPr>
                                        <w:sz w:val="16"/>
                                        <w:szCs w:val="16"/>
                                      </w:rPr>
                                      <w:t>X</w:t>
                                    </w:r>
                                    <w:r>
                                      <w:rPr>
                                        <w:sz w:val="16"/>
                                        <w:szCs w:val="16"/>
                                        <w:vertAlign w:val="subscript"/>
                                      </w:rPr>
                                      <w:t>1</w:t>
                                    </w:r>
                                    <w:r>
                                      <w:rPr>
                                        <w:sz w:val="16"/>
                                        <w:szCs w:val="16"/>
                                      </w:rPr>
                                      <w:t xml:space="preserve"> mg, 8A + 2P</w:t>
                                    </w:r>
                                  </w:p>
                                  <w:p w14:paraId="6E599F99">
                                    <w:pPr>
                                      <w:pStyle w:val="2"/>
                                      <w:rPr>
                                        <w:sz w:val="16"/>
                                        <w:szCs w:val="16"/>
                                        <w:lang w:eastAsia="zh-CN"/>
                                      </w:rPr>
                                    </w:pPr>
                                  </w:p>
                                </w:txbxContent>
                              </wps:txbx>
                              <wps:bodyPr rot="0" spcFirstLastPara="1" vertOverflow="overflow" horzOverflow="overflow" vert="horz" wrap="square" lIns="50800" tIns="50800" rIns="50800" bIns="50800" numCol="1" spcCol="38100" rtlCol="0" fromWordArt="0" anchor="ctr" anchorCtr="0" forceAA="0" compatLnSpc="1">
                                <a:noAutofit/>
                              </wps:bodyPr>
                            </wps:wsp>
                            <wps:wsp>
                              <wps:cNvPr id="2040263111" name="矩形 22"/>
                              <wps:cNvSpPr/>
                              <wps:spPr>
                                <a:xfrm>
                                  <a:off x="2062264" y="982494"/>
                                  <a:ext cx="1738188" cy="471524"/>
                                </a:xfrm>
                                <a:prstGeom prst="rect">
                                  <a:avLst/>
                                </a:prstGeom>
                                <a:solidFill>
                                  <a:schemeClr val="accent4">
                                    <a:lumMod val="20000"/>
                                    <a:lumOff val="80000"/>
                                  </a:schemeClr>
                                </a:solidFill>
                                <a:ln w="9525">
                                  <a:solidFill>
                                    <a:schemeClr val="accent1">
                                      <a:lumMod val="40000"/>
                                      <a:lumOff val="60000"/>
                                    </a:schemeClr>
                                  </a:solidFill>
                                </a:ln>
                              </wps:spPr>
                              <wps:style>
                                <a:lnRef idx="2">
                                  <a:schemeClr val="accent1"/>
                                </a:lnRef>
                                <a:fillRef idx="1">
                                  <a:schemeClr val="lt1"/>
                                </a:fillRef>
                                <a:effectRef idx="0">
                                  <a:schemeClr val="accent1"/>
                                </a:effectRef>
                                <a:fontRef idx="minor">
                                  <a:schemeClr val="dk1"/>
                                </a:fontRef>
                              </wps:style>
                              <wps:txbx>
                                <w:txbxContent>
                                  <w:p w14:paraId="7F4C91CC">
                                    <w:pPr>
                                      <w:jc w:val="center"/>
                                      <w:rPr>
                                        <w:sz w:val="16"/>
                                        <w:szCs w:val="16"/>
                                      </w:rPr>
                                    </w:pPr>
                                    <w:r>
                                      <w:rPr>
                                        <w:sz w:val="16"/>
                                        <w:szCs w:val="16"/>
                                      </w:rPr>
                                      <w:t xml:space="preserve">Expansion group </w:t>
                                    </w:r>
                                    <w:r>
                                      <w:rPr>
                                        <w:sz w:val="16"/>
                                        <w:szCs w:val="16"/>
                                      </w:rPr>
                                      <w:br w:type="textWrapping"/>
                                    </w:r>
                                    <w:r>
                                      <w:rPr>
                                        <w:sz w:val="16"/>
                                        <w:szCs w:val="16"/>
                                      </w:rPr>
                                      <w:t>(group K-1)</w:t>
                                    </w:r>
                                  </w:p>
                                  <w:p w14:paraId="37824635">
                                    <w:pPr>
                                      <w:jc w:val="center"/>
                                      <w:rPr>
                                        <w:sz w:val="16"/>
                                        <w:szCs w:val="16"/>
                                      </w:rPr>
                                    </w:pPr>
                                    <w:r>
                                      <w:rPr>
                                        <w:sz w:val="16"/>
                                        <w:szCs w:val="16"/>
                                      </w:rPr>
                                      <w:t>9 mg, 32A + 8P</w:t>
                                    </w:r>
                                  </w:p>
                                  <w:p w14:paraId="1BCC25EA">
                                    <w:pPr>
                                      <w:pStyle w:val="2"/>
                                      <w:rPr>
                                        <w:sz w:val="16"/>
                                        <w:szCs w:val="16"/>
                                        <w:lang w:eastAsia="zh-CN"/>
                                      </w:rPr>
                                    </w:pPr>
                                  </w:p>
                                </w:txbxContent>
                              </wps:txbx>
                              <wps:bodyPr rot="0" spcFirstLastPara="1" vertOverflow="overflow" horzOverflow="overflow" vert="horz" wrap="square" lIns="50800" tIns="50800" rIns="50800" bIns="50800" numCol="1" spcCol="38100" rtlCol="0" fromWordArt="0" anchor="ctr" anchorCtr="0" forceAA="0" compatLnSpc="1">
                                <a:noAutofit/>
                              </wps:bodyPr>
                            </wps:wsp>
                            <wps:wsp>
                              <wps:cNvPr id="1729874632" name="连接符: 肘形 24"/>
                              <wps:cNvCnPr/>
                              <wps:spPr>
                                <a:xfrm flipV="1">
                                  <a:off x="1166914" y="650132"/>
                                  <a:ext cx="899142" cy="289102"/>
                                </a:xfrm>
                                <a:prstGeom prst="bentConnector3">
                                  <a:avLst>
                                    <a:gd name="adj1" fmla="val -848"/>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610090412" name="矩形 4"/>
                              <wps:cNvSpPr/>
                              <wps:spPr>
                                <a:xfrm>
                                  <a:off x="4143982" y="-25"/>
                                  <a:ext cx="1737954" cy="447274"/>
                                </a:xfrm>
                                <a:prstGeom prst="rect">
                                  <a:avLst/>
                                </a:prstGeom>
                                <a:solidFill>
                                  <a:schemeClr val="accent5">
                                    <a:lumMod val="20000"/>
                                    <a:lumOff val="80000"/>
                                  </a:schemeClr>
                                </a:solidFill>
                                <a:ln w="9525"/>
                              </wps:spPr>
                              <wps:style>
                                <a:lnRef idx="2">
                                  <a:schemeClr val="accent1"/>
                                </a:lnRef>
                                <a:fillRef idx="1">
                                  <a:schemeClr val="lt1"/>
                                </a:fillRef>
                                <a:effectRef idx="0">
                                  <a:schemeClr val="accent1"/>
                                </a:effectRef>
                                <a:fontRef idx="minor">
                                  <a:schemeClr val="dk1"/>
                                </a:fontRef>
                              </wps:style>
                              <wps:txbx>
                                <w:txbxContent>
                                  <w:p w14:paraId="01D74081">
                                    <w:pPr>
                                      <w:jc w:val="center"/>
                                      <w:rPr>
                                        <w:sz w:val="16"/>
                                        <w:szCs w:val="16"/>
                                      </w:rPr>
                                    </w:pPr>
                                    <w:r>
                                      <w:rPr>
                                        <w:sz w:val="16"/>
                                        <w:szCs w:val="16"/>
                                      </w:rPr>
                                      <w:t xml:space="preserve">Escalation group </w:t>
                                    </w:r>
                                    <w:r>
                                      <w:rPr>
                                        <w:sz w:val="16"/>
                                        <w:szCs w:val="16"/>
                                      </w:rPr>
                                      <w:br w:type="textWrapping"/>
                                    </w:r>
                                    <w:r>
                                      <w:rPr>
                                        <w:sz w:val="16"/>
                                        <w:szCs w:val="16"/>
                                      </w:rPr>
                                      <w:t>(group B-3)</w:t>
                                    </w:r>
                                  </w:p>
                                  <w:p w14:paraId="39D234B5">
                                    <w:pPr>
                                      <w:jc w:val="center"/>
                                      <w:rPr>
                                        <w:sz w:val="16"/>
                                        <w:szCs w:val="16"/>
                                      </w:rPr>
                                    </w:pPr>
                                    <w:r>
                                      <w:rPr>
                                        <w:sz w:val="16"/>
                                        <w:szCs w:val="16"/>
                                      </w:rPr>
                                      <w:t>X</w:t>
                                    </w:r>
                                    <w:r>
                                      <w:rPr>
                                        <w:sz w:val="16"/>
                                        <w:szCs w:val="16"/>
                                        <w:vertAlign w:val="subscript"/>
                                      </w:rPr>
                                      <w:t>2</w:t>
                                    </w:r>
                                    <w:r>
                                      <w:rPr>
                                        <w:sz w:val="16"/>
                                        <w:szCs w:val="16"/>
                                      </w:rPr>
                                      <w:t xml:space="preserve"> mg, 8A + 2P</w:t>
                                    </w:r>
                                  </w:p>
                                  <w:p w14:paraId="503CE52A">
                                    <w:pPr>
                                      <w:pStyle w:val="2"/>
                                      <w:rPr>
                                        <w:sz w:val="16"/>
                                        <w:szCs w:val="16"/>
                                        <w:lang w:eastAsia="zh-CN"/>
                                      </w:rPr>
                                    </w:pPr>
                                  </w:p>
                                </w:txbxContent>
                              </wps:txbx>
                              <wps:bodyPr rot="0" spcFirstLastPara="1" vertOverflow="overflow" horzOverflow="overflow" vert="horz" wrap="square" lIns="50800" tIns="50800" rIns="50800" bIns="50800" numCol="1" spcCol="38100" rtlCol="0" fromWordArt="0" anchor="ctr" anchorCtr="0" forceAA="0" compatLnSpc="1">
                                <a:noAutofit/>
                              </wps:bodyPr>
                            </wps:wsp>
                            <wps:wsp>
                              <wps:cNvPr id="210474122" name="矩形 2"/>
                              <wps:cNvSpPr/>
                              <wps:spPr>
                                <a:xfrm>
                                  <a:off x="4134256" y="476525"/>
                                  <a:ext cx="1738287" cy="462474"/>
                                </a:xfrm>
                                <a:prstGeom prst="rect">
                                  <a:avLst/>
                                </a:prstGeom>
                                <a:solidFill>
                                  <a:schemeClr val="accent4">
                                    <a:lumMod val="20000"/>
                                    <a:lumOff val="80000"/>
                                  </a:schemeClr>
                                </a:solidFill>
                                <a:ln w="9525">
                                  <a:solidFill>
                                    <a:schemeClr val="accent1">
                                      <a:lumMod val="40000"/>
                                      <a:lumOff val="60000"/>
                                    </a:schemeClr>
                                  </a:solidFill>
                                </a:ln>
                              </wps:spPr>
                              <wps:style>
                                <a:lnRef idx="2">
                                  <a:schemeClr val="accent1"/>
                                </a:lnRef>
                                <a:fillRef idx="1">
                                  <a:schemeClr val="lt1"/>
                                </a:fillRef>
                                <a:effectRef idx="0">
                                  <a:schemeClr val="accent1"/>
                                </a:effectRef>
                                <a:fontRef idx="minor">
                                  <a:schemeClr val="dk1"/>
                                </a:fontRef>
                              </wps:style>
                              <wps:txbx>
                                <w:txbxContent>
                                  <w:p w14:paraId="4B304BD5">
                                    <w:pPr>
                                      <w:jc w:val="center"/>
                                      <w:rPr>
                                        <w:sz w:val="16"/>
                                        <w:szCs w:val="16"/>
                                      </w:rPr>
                                    </w:pPr>
                                    <w:r>
                                      <w:rPr>
                                        <w:sz w:val="16"/>
                                        <w:szCs w:val="16"/>
                                      </w:rPr>
                                      <w:t xml:space="preserve">Expansion group </w:t>
                                    </w:r>
                                    <w:r>
                                      <w:rPr>
                                        <w:sz w:val="16"/>
                                        <w:szCs w:val="16"/>
                                      </w:rPr>
                                      <w:br w:type="textWrapping"/>
                                    </w:r>
                                    <w:r>
                                      <w:rPr>
                                        <w:sz w:val="16"/>
                                        <w:szCs w:val="16"/>
                                      </w:rPr>
                                      <w:t>(group K-2)</w:t>
                                    </w:r>
                                  </w:p>
                                  <w:p w14:paraId="16DA0079">
                                    <w:pPr>
                                      <w:jc w:val="center"/>
                                      <w:rPr>
                                        <w:sz w:val="16"/>
                                        <w:szCs w:val="16"/>
                                      </w:rPr>
                                    </w:pPr>
                                    <w:r>
                                      <w:rPr>
                                        <w:sz w:val="16"/>
                                        <w:szCs w:val="16"/>
                                      </w:rPr>
                                      <w:t>X</w:t>
                                    </w:r>
                                    <w:r>
                                      <w:rPr>
                                        <w:sz w:val="16"/>
                                        <w:szCs w:val="16"/>
                                        <w:vertAlign w:val="subscript"/>
                                      </w:rPr>
                                      <w:t>1</w:t>
                                    </w:r>
                                    <w:r>
                                      <w:rPr>
                                        <w:sz w:val="16"/>
                                        <w:szCs w:val="16"/>
                                      </w:rPr>
                                      <w:t xml:space="preserve"> mg, 32A + 8P</w:t>
                                    </w:r>
                                  </w:p>
                                  <w:p w14:paraId="4450F07B">
                                    <w:pPr>
                                      <w:pStyle w:val="2"/>
                                      <w:rPr>
                                        <w:sz w:val="16"/>
                                        <w:szCs w:val="16"/>
                                        <w:lang w:eastAsia="zh-CN"/>
                                      </w:rPr>
                                    </w:pPr>
                                  </w:p>
                                </w:txbxContent>
                              </wps:txbx>
                              <wps:bodyPr rot="0" spcFirstLastPara="1" vertOverflow="overflow" horzOverflow="overflow" vert="horz" wrap="square" lIns="50800" tIns="50800" rIns="50800" bIns="50800" numCol="1" spcCol="38100" rtlCol="0" fromWordArt="0" anchor="ctr" anchorCtr="0" forceAA="0" compatLnSpc="1">
                                <a:noAutofit/>
                              </wps:bodyPr>
                            </wps:wsp>
                            <wps:wsp>
                              <wps:cNvPr id="1649960486" name="连接符: 肘形 7"/>
                              <wps:cNvCnPr/>
                              <wps:spPr>
                                <a:xfrm>
                                  <a:off x="1819073" y="661481"/>
                                  <a:ext cx="233463" cy="476655"/>
                                </a:xfrm>
                                <a:prstGeom prst="bentConnector3">
                                  <a:avLst>
                                    <a:gd name="adj1" fmla="val 3443"/>
                                  </a:avLst>
                                </a:prstGeom>
                                <a:ln>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1097877832" name="连接符: 肘形 8"/>
                              <wps:cNvCnPr/>
                              <wps:spPr>
                                <a:xfrm>
                                  <a:off x="3891064" y="184826"/>
                                  <a:ext cx="223736" cy="462226"/>
                                </a:xfrm>
                                <a:prstGeom prst="bentConnector3">
                                  <a:avLst>
                                    <a:gd name="adj1" fmla="val 3443"/>
                                  </a:avLst>
                                </a:prstGeom>
                                <a:ln>
                                  <a:prstDash val="dash"/>
                                  <a:tailEnd type="triangle"/>
                                </a:ln>
                              </wps:spPr>
                              <wps:style>
                                <a:lnRef idx="1">
                                  <a:schemeClr val="accent1"/>
                                </a:lnRef>
                                <a:fillRef idx="0">
                                  <a:schemeClr val="accent1"/>
                                </a:fillRef>
                                <a:effectRef idx="0">
                                  <a:schemeClr val="accent1"/>
                                </a:effectRef>
                                <a:fontRef idx="minor">
                                  <a:schemeClr val="tx1"/>
                                </a:fontRef>
                              </wps:style>
                              <wps:bodyPr/>
                            </wps:wsp>
                          </wpg:grpSp>
                        </wpg:grpSp>
                      </wpg:grpSp>
                      <wps:wsp>
                        <wps:cNvPr id="1463933887" name="直接连接符 9"/>
                        <wps:cNvCnPr/>
                        <wps:spPr>
                          <a:xfrm>
                            <a:off x="4445289" y="106987"/>
                            <a:ext cx="0" cy="10697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id="组合 2" o:spid="_x0000_s1026" o:spt="203" style="height:182.55pt;width:454.2pt;" coordorigin="8100,106987" coordsize="6649966,2289734" o:gfxdata="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">
                <o:lock v:ext="edit" aspectratio="f"/>
                <v:group id="组合 14" o:spid="_x0000_s1026" o:spt="203" style="position:absolute;left:8100;top:106987;height:2289734;width:6649966;" coordorigin="9727,106987" coordsize="7984494,2289734" o:gfxdata="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">
                  <o:lock v:ext="edit" aspectratio="f"/>
                  <v:rect id="矩形 42" o:spid="_x0000_s1026" o:spt="1" style="position:absolute;left:9727;top:1705830;height:690891;width:7984494;v-text-anchor:middle;" fillcolor="#FFFFFF [3201]" filled="t" stroked="t" coordsize="21600,21600" o:gfxdata="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aWi/vQAA&#10;AOMAAAAPAAAAAAAAAAEAIAAAACIAAABkcnMvZG93bnJldi54bWxQSwECFAAUAAAACACHTuJAMy8F&#10;njsAAAA5AAAAEAAAAAAAAAABACAAAAAMAQAAZHJzL3NoYXBleG1sLnhtbFBLBQYAAAAABgAGAFsB&#10;AAC2AwAAAAA=&#10;">
                    <v:fill on="t" focussize="0,0"/>
                    <v:stroke weight="1pt" color="#6EC038 [3205]" joinstyle="round"/>
                    <v:imagedata o:title=""/>
                    <o:lock v:ext="edit" aspectratio="f"/>
                    <v:textbox inset="4pt,4pt,4pt,4pt">
                      <w:txbxContent>
                        <w:p w14:paraId="6380C336">
                          <w:pPr>
                            <w:pStyle w:val="78"/>
                            <w:numPr>
                              <w:ilvl w:val="0"/>
                              <w:numId w:val="21"/>
                            </w:numPr>
                            <w:jc w:val="left"/>
                            <w:rPr>
                              <w:rFonts w:hAnsi="Times New Roman" w:eastAsia="宋体" w:cs="Times New Roman"/>
                              <w:sz w:val="16"/>
                              <w:szCs w:val="16"/>
                            </w:rPr>
                          </w:pPr>
                          <w:r>
                            <w:rPr>
                              <w:rFonts w:hAnsi="Times New Roman"/>
                              <w:sz w:val="16"/>
                              <w:szCs w:val="16"/>
                            </w:rPr>
                            <w:t>Dose escalation groups: Subjects in each group will be evaluated for tolerability 14 days after the first dose of the target dose. If tolerated, the dose will be escalated to a higher target dose;</w:t>
                          </w:r>
                        </w:p>
                        <w:p w14:paraId="5DCDE42E">
                          <w:pPr>
                            <w:pStyle w:val="78"/>
                            <w:numPr>
                              <w:ilvl w:val="0"/>
                              <w:numId w:val="21"/>
                            </w:numPr>
                            <w:jc w:val="left"/>
                            <w:rPr>
                              <w:rFonts w:hAnsi="Times New Roman" w:eastAsia="宋体" w:cs="Times New Roman"/>
                              <w:sz w:val="16"/>
                              <w:szCs w:val="16"/>
                            </w:rPr>
                          </w:pPr>
                          <w:r>
                            <w:rPr>
                              <w:rFonts w:hAnsi="Times New Roman"/>
                              <w:sz w:val="16"/>
                              <w:szCs w:val="16"/>
                            </w:rPr>
                            <w:t>Dose expansion groups: If the target dose in the dose escalation study part is assessed as tolerable, the expansion study will be conducted with the corresponding target dose;</w:t>
                          </w:r>
                        </w:p>
                        <w:p w14:paraId="3EB79253">
                          <w:pPr>
                            <w:pStyle w:val="78"/>
                            <w:numPr>
                              <w:ilvl w:val="0"/>
                              <w:numId w:val="21"/>
                            </w:numPr>
                            <w:jc w:val="left"/>
                            <w:rPr>
                              <w:rFonts w:hAnsi="Times New Roman" w:eastAsia="宋体" w:cs="Times New Roman"/>
                              <w:sz w:val="16"/>
                              <w:szCs w:val="16"/>
                            </w:rPr>
                          </w:pPr>
                          <w:r>
                            <w:rPr>
                              <w:rFonts w:hAnsi="Times New Roman"/>
                              <w:sz w:val="16"/>
                              <w:szCs w:val="16"/>
                            </w:rPr>
                            <w:t>*The gastric emptying effect study will be conducted simultaneously in the Part B dose escalation group 1</w:t>
                          </w:r>
                        </w:p>
                      </w:txbxContent>
                    </v:textbox>
                  </v:rect>
                  <v:group id="组合 12" o:spid="_x0000_s1026" o:spt="203" style="position:absolute;left:9727;top:106987;height:1561039;width:7885834;" coordorigin="0,106987" coordsize="7885834,1561039" o:gfxdata="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">
                    <o:lock v:ext="edit" aspectratio="f"/>
                    <v:rect id="矩形 3" o:spid="_x0000_s1026" o:spt="1" style="position:absolute;left:6147880;top:213984;height:466695;width:1737954;v-text-anchor:middle;" fillcolor="#FFEED8 [663]" filled="t" stroked="t" coordsize="21600,21600" o:gfxdata="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BD5&#10;2qvCAAAA4wAAAA8AAAAAAAAAAQAgAAAAIgAAAGRycy9kb3ducmV2LnhtbFBLAQIUABQAAAAIAIdO&#10;4kAzLwWeOwAAADkAAAAQAAAAAAAAAAEAIAAAABEBAABkcnMvc2hhcGV4bWwueG1sUEsFBgAAAAAG&#10;AAYAWwEAALsDAAAAAA==&#10;">
                      <v:fill on="t" focussize="0,0"/>
                      <v:stroke color="#B6D7E9 [1300]" joinstyle="round"/>
                      <v:imagedata o:title=""/>
                      <o:lock v:ext="edit" aspectratio="f"/>
                      <v:textbox inset="4pt,4pt,4pt,4pt">
                        <w:txbxContent>
                          <w:p w14:paraId="23755D49">
                            <w:pPr>
                              <w:jc w:val="center"/>
                              <w:rPr>
                                <w:sz w:val="16"/>
                                <w:szCs w:val="16"/>
                              </w:rPr>
                            </w:pPr>
                            <w:r>
                              <w:rPr>
                                <w:sz w:val="16"/>
                                <w:szCs w:val="16"/>
                              </w:rPr>
                              <w:t xml:space="preserve">Expansion group </w:t>
                            </w:r>
                            <w:r>
                              <w:rPr>
                                <w:sz w:val="16"/>
                                <w:szCs w:val="16"/>
                              </w:rPr>
                              <w:br w:type="textWrapping"/>
                            </w:r>
                            <w:r>
                              <w:rPr>
                                <w:sz w:val="16"/>
                                <w:szCs w:val="16"/>
                              </w:rPr>
                              <w:t>(group K-3)</w:t>
                            </w:r>
                          </w:p>
                          <w:p w14:paraId="688878E8">
                            <w:pPr>
                              <w:jc w:val="center"/>
                              <w:rPr>
                                <w:sz w:val="16"/>
                                <w:szCs w:val="16"/>
                              </w:rPr>
                            </w:pPr>
                            <w:r>
                              <w:rPr>
                                <w:sz w:val="16"/>
                                <w:szCs w:val="16"/>
                              </w:rPr>
                              <w:t>X</w:t>
                            </w:r>
                            <w:r>
                              <w:rPr>
                                <w:sz w:val="16"/>
                                <w:szCs w:val="16"/>
                                <w:vertAlign w:val="subscript"/>
                              </w:rPr>
                              <w:t>2</w:t>
                            </w:r>
                            <w:r>
                              <w:rPr>
                                <w:sz w:val="16"/>
                                <w:szCs w:val="16"/>
                              </w:rPr>
                              <w:t xml:space="preserve"> mg, 32A + 8P</w:t>
                            </w:r>
                          </w:p>
                          <w:p w14:paraId="56934FBF">
                            <w:pPr>
                              <w:pStyle w:val="2"/>
                              <w:rPr>
                                <w:sz w:val="16"/>
                                <w:szCs w:val="16"/>
                                <w:lang w:eastAsia="zh-CN"/>
                              </w:rPr>
                            </w:pPr>
                          </w:p>
                        </w:txbxContent>
                      </v:textbox>
                    </v:rect>
                    <v:shape id="连接符: 肘形 6" o:spid="_x0000_s1026" o:spt="34" type="#_x0000_t34" style="position:absolute;left:5327803;top:106987;height:332074;width:819447;" filled="f" stroked="t" coordsize="21600,21600" o:gfxdata="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0X&#10;QALCAAAA4wAAAA8AAAAAAAAAAQAgAAAAIgAAAGRycy9kb3ducmV2LnhtbFBLAQIUABQAAAAIAIdO&#10;4kAzLwWeOwAAADkAAAAQAAAAAAAAAAEAIAAAABEBAABkcnMvc2hhcGV4bWwueG1sUEsFBgAAAAAG&#10;AAYAWwEAALsDAAAAAA==&#10;" adj="16829">
                      <v:fill on="f" focussize="0,0"/>
                      <v:stroke color="#4498C8 [3204]" joinstyle="round" dashstyle="dash" endarrow="block"/>
                      <v:imagedata o:title=""/>
                      <o:lock v:ext="edit" aspectratio="f"/>
                    </v:shape>
                    <v:group id="组合 11" o:spid="_x0000_s1026" o:spt="203" style="position:absolute;left:0;top:213983;height:1454043;width:5881936;" coordorigin="0,-25" coordsize="5881936,1454043" o:gfxdata="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">
                      <o:lock v:ext="edit" aspectratio="f"/>
                      <v:rect id="矩形 20" o:spid="_x0000_s1026" o:spt="1" style="position:absolute;left:0;top:982337;height:471681;width:1752406;v-text-anchor:middle;" fillcolor="#FFD5D3 [664]" filled="t" stroked="t" coordsize="21600,21600" o:gfxdata="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eYTzy&#10;wAAAAOIAAAAPAAAAAAAAAAEAIAAAACIAAABkcnMvZG93bnJldi54bWxQSwECFAAUAAAACACHTuJA&#10;My8FnjsAAAA5AAAAEAAAAAAAAAABACAAAAAPAQAAZHJzL3NoYXBleG1sLnhtbFBLBQYAAAAABgAG&#10;AFsBAAC5AwAAAAA=&#10;">
                        <v:fill on="t" focussize="0,0"/>
                        <v:stroke color="#499BC9 [3204]" joinstyle="round"/>
                        <v:imagedata o:title=""/>
                        <o:lock v:ext="edit" aspectratio="f"/>
                        <v:textbox inset="4pt,4pt,4pt,4pt">
                          <w:txbxContent>
                            <w:p w14:paraId="6C6728B4">
                              <w:pPr>
                                <w:jc w:val="center"/>
                                <w:rPr>
                                  <w:sz w:val="16"/>
                                  <w:szCs w:val="16"/>
                                </w:rPr>
                              </w:pPr>
                              <w:r>
                                <w:rPr>
                                  <w:sz w:val="16"/>
                                  <w:szCs w:val="16"/>
                                </w:rPr>
                                <w:t xml:space="preserve">Escalation group </w:t>
                              </w:r>
                              <w:r>
                                <w:rPr>
                                  <w:sz w:val="16"/>
                                  <w:szCs w:val="16"/>
                                </w:rPr>
                                <w:br w:type="textWrapping"/>
                              </w:r>
                              <w:r>
                                <w:rPr>
                                  <w:sz w:val="16"/>
                                  <w:szCs w:val="16"/>
                                </w:rPr>
                                <w:t>(group B-1)*</w:t>
                              </w:r>
                            </w:p>
                            <w:p w14:paraId="4C9164D2">
                              <w:pPr>
                                <w:jc w:val="center"/>
                                <w:rPr>
                                  <w:sz w:val="16"/>
                                  <w:szCs w:val="16"/>
                                </w:rPr>
                              </w:pPr>
                              <w:r>
                                <w:rPr>
                                  <w:sz w:val="16"/>
                                  <w:szCs w:val="16"/>
                                </w:rPr>
                                <w:t>9 mg, 8A + 2P</w:t>
                              </w:r>
                            </w:p>
                          </w:txbxContent>
                        </v:textbox>
                      </v:rect>
                      <v:shape id="连接符: 肘形 29" o:spid="_x0000_s1026" o:spt="34" type="#_x0000_t34" style="position:absolute;left:3200400;top:173477;flip:y;height:273898;width:904795;" filled="f" stroked="t" coordsize="21600,21600" o:gfxdata="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C8E&#10;NgLCAAAA4wAAAA8AAAAAAAAAAQAgAAAAIgAAAGRycy9kb3ducmV2LnhtbFBLAQIUABQAAAAIAIdO&#10;4kAzLwWeOwAAADkAAAAQAAAAAAAAAAEAIAAAABEBAABkcnMvc2hhcGV4bWwueG1sUEsFBgAAAAAG&#10;AAYAWwEAALsDAAAAAA==&#10;" adj="350">
                        <v:fill on="f" focussize="0,0"/>
                        <v:stroke color="#4498C8 [3204]" joinstyle="round" endarrow="block"/>
                        <v:imagedata o:title=""/>
                        <o:lock v:ext="edit" aspectratio="f"/>
                      </v:shape>
                      <v:rect id="矩形 25" o:spid="_x0000_s1026" o:spt="1" style="position:absolute;left:2062264;top:466799;height:441706;width:1738308;v-text-anchor:middle;" fillcolor="#FFD5D3 [664]" filled="t" stroked="t" coordsize="21600,21600" o:gfxdata="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FBF&#10;L87CAAAA4wAAAA8AAAAAAAAAAQAgAAAAIgAAAGRycy9kb3ducmV2LnhtbFBLAQIUABQAAAAIAIdO&#10;4kAzLwWeOwAAADkAAAAQAAAAAAAAAAEAIAAAABEBAABkcnMvc2hhcGV4bWwueG1sUEsFBgAAAAAG&#10;AAYAWwEAALsDAAAAAA==&#10;">
                        <v:fill on="t" focussize="0,0"/>
                        <v:stroke color="#499BC9 [3204]" joinstyle="round"/>
                        <v:imagedata o:title=""/>
                        <o:lock v:ext="edit" aspectratio="f"/>
                        <v:textbox inset="4pt,4pt,4pt,4pt">
                          <w:txbxContent>
                            <w:p w14:paraId="00D5A7A1">
                              <w:pPr>
                                <w:jc w:val="center"/>
                                <w:rPr>
                                  <w:sz w:val="16"/>
                                  <w:szCs w:val="16"/>
                                </w:rPr>
                              </w:pPr>
                              <w:r>
                                <w:rPr>
                                  <w:sz w:val="16"/>
                                  <w:szCs w:val="16"/>
                                </w:rPr>
                                <w:t xml:space="preserve">Escalation group </w:t>
                              </w:r>
                              <w:r>
                                <w:rPr>
                                  <w:sz w:val="16"/>
                                  <w:szCs w:val="16"/>
                                </w:rPr>
                                <w:br w:type="textWrapping"/>
                              </w:r>
                              <w:r>
                                <w:rPr>
                                  <w:sz w:val="16"/>
                                  <w:szCs w:val="16"/>
                                </w:rPr>
                                <w:t>(group B-2)</w:t>
                              </w:r>
                            </w:p>
                            <w:p w14:paraId="1F8C8F13">
                              <w:pPr>
                                <w:jc w:val="center"/>
                                <w:rPr>
                                  <w:sz w:val="16"/>
                                  <w:szCs w:val="16"/>
                                </w:rPr>
                              </w:pPr>
                              <w:r>
                                <w:rPr>
                                  <w:sz w:val="16"/>
                                  <w:szCs w:val="16"/>
                                </w:rPr>
                                <w:t>X</w:t>
                              </w:r>
                              <w:r>
                                <w:rPr>
                                  <w:sz w:val="16"/>
                                  <w:szCs w:val="16"/>
                                  <w:vertAlign w:val="subscript"/>
                                </w:rPr>
                                <w:t>1</w:t>
                              </w:r>
                              <w:r>
                                <w:rPr>
                                  <w:sz w:val="16"/>
                                  <w:szCs w:val="16"/>
                                </w:rPr>
                                <w:t xml:space="preserve"> mg, 8A + 2P</w:t>
                              </w:r>
                            </w:p>
                            <w:p w14:paraId="6E599F99">
                              <w:pPr>
                                <w:pStyle w:val="2"/>
                                <w:rPr>
                                  <w:sz w:val="16"/>
                                  <w:szCs w:val="16"/>
                                  <w:lang w:eastAsia="zh-CN"/>
                                </w:rPr>
                              </w:pPr>
                            </w:p>
                          </w:txbxContent>
                        </v:textbox>
                      </v:rect>
                      <v:rect id="矩形 22" o:spid="_x0000_s1026" o:spt="1" style="position:absolute;left:2062264;top:982494;height:471524;width:1738188;v-text-anchor:middle;" fillcolor="#FFEED8 [663]" filled="t" stroked="t" coordsize="21600,21600" o:gfxdata="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SGpZl8QAAADjAAAADwAAAAAAAAABACAAAAAiAAAAZHJzL2Rvd25yZXYueG1sUEsBAhQAFAAAAAgA&#10;h07iQDMvBZ47AAAAOQAAABAAAAAAAAAAAQAgAAAAEwEAAGRycy9zaGFwZXhtbC54bWxQSwUGAAAA&#10;AAYABgBbAQAAvQMAAAAA&#10;">
                        <v:fill on="t" focussize="0,0"/>
                        <v:stroke color="#B6D7E9 [1300]" joinstyle="round"/>
                        <v:imagedata o:title=""/>
                        <o:lock v:ext="edit" aspectratio="f"/>
                        <v:textbox inset="4pt,4pt,4pt,4pt">
                          <w:txbxContent>
                            <w:p w14:paraId="7F4C91CC">
                              <w:pPr>
                                <w:jc w:val="center"/>
                                <w:rPr>
                                  <w:sz w:val="16"/>
                                  <w:szCs w:val="16"/>
                                </w:rPr>
                              </w:pPr>
                              <w:r>
                                <w:rPr>
                                  <w:sz w:val="16"/>
                                  <w:szCs w:val="16"/>
                                </w:rPr>
                                <w:t xml:space="preserve">Expansion group </w:t>
                              </w:r>
                              <w:r>
                                <w:rPr>
                                  <w:sz w:val="16"/>
                                  <w:szCs w:val="16"/>
                                </w:rPr>
                                <w:br w:type="textWrapping"/>
                              </w:r>
                              <w:r>
                                <w:rPr>
                                  <w:sz w:val="16"/>
                                  <w:szCs w:val="16"/>
                                </w:rPr>
                                <w:t>(group K-1)</w:t>
                              </w:r>
                            </w:p>
                            <w:p w14:paraId="37824635">
                              <w:pPr>
                                <w:jc w:val="center"/>
                                <w:rPr>
                                  <w:sz w:val="16"/>
                                  <w:szCs w:val="16"/>
                                </w:rPr>
                              </w:pPr>
                              <w:r>
                                <w:rPr>
                                  <w:sz w:val="16"/>
                                  <w:szCs w:val="16"/>
                                </w:rPr>
                                <w:t>9 mg, 32A + 8P</w:t>
                              </w:r>
                            </w:p>
                            <w:p w14:paraId="1BCC25EA">
                              <w:pPr>
                                <w:pStyle w:val="2"/>
                                <w:rPr>
                                  <w:sz w:val="16"/>
                                  <w:szCs w:val="16"/>
                                  <w:lang w:eastAsia="zh-CN"/>
                                </w:rPr>
                              </w:pPr>
                            </w:p>
                          </w:txbxContent>
                        </v:textbox>
                      </v:rect>
                      <v:shape id="连接符: 肘形 24" o:spid="_x0000_s1026" o:spt="34" type="#_x0000_t34" style="position:absolute;left:1166914;top:650132;flip:y;height:289102;width:899142;" filled="f" stroked="t" coordsize="21600,21600" o:gfxdata="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slwJV&#10;wAAAAOMAAAAPAAAAAAAAAAEAIAAAACIAAABkcnMvZG93bnJldi54bWxQSwECFAAUAAAACACHTuJA&#10;My8FnjsAAAA5AAAAEAAAAAAAAAABACAAAAAPAQAAZHJzL3NoYXBleG1sLnhtbFBLBQYAAAAABgAG&#10;AFsBAAC5AwAAAAA=&#10;" adj="-183">
                        <v:fill on="f" focussize="0,0"/>
                        <v:stroke color="#4498C8 [3204]" joinstyle="round" endarrow="block"/>
                        <v:imagedata o:title=""/>
                        <o:lock v:ext="edit" aspectratio="f"/>
                      </v:shape>
                      <v:rect id="矩形 4" o:spid="_x0000_s1026" o:spt="1" style="position:absolute;left:4143982;top:-25;height:447274;width:1737954;v-text-anchor:middle;" fillcolor="#FFD5D3 [664]" filled="t" stroked="t" coordsize="21600,21600" o:gfxdata="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urE&#10;hsEAAADjAAAADwAAAAAAAAABACAAAAAiAAAAZHJzL2Rvd25yZXYueG1sUEsBAhQAFAAAAAgAh07i&#10;QDMvBZ47AAAAOQAAABAAAAAAAAAAAQAgAAAAEAEAAGRycy9zaGFwZXhtbC54bWxQSwUGAAAAAAYA&#10;BgBbAQAAugMAAAAA&#10;">
                        <v:fill on="t" focussize="0,0"/>
                        <v:stroke color="#499BC9 [3204]" joinstyle="round"/>
                        <v:imagedata o:title=""/>
                        <o:lock v:ext="edit" aspectratio="f"/>
                        <v:textbox inset="4pt,4pt,4pt,4pt">
                          <w:txbxContent>
                            <w:p w14:paraId="01D74081">
                              <w:pPr>
                                <w:jc w:val="center"/>
                                <w:rPr>
                                  <w:sz w:val="16"/>
                                  <w:szCs w:val="16"/>
                                </w:rPr>
                              </w:pPr>
                              <w:r>
                                <w:rPr>
                                  <w:sz w:val="16"/>
                                  <w:szCs w:val="16"/>
                                </w:rPr>
                                <w:t xml:space="preserve">Escalation group </w:t>
                              </w:r>
                              <w:r>
                                <w:rPr>
                                  <w:sz w:val="16"/>
                                  <w:szCs w:val="16"/>
                                </w:rPr>
                                <w:br w:type="textWrapping"/>
                              </w:r>
                              <w:r>
                                <w:rPr>
                                  <w:sz w:val="16"/>
                                  <w:szCs w:val="16"/>
                                </w:rPr>
                                <w:t>(group B-3)</w:t>
                              </w:r>
                            </w:p>
                            <w:p w14:paraId="39D234B5">
                              <w:pPr>
                                <w:jc w:val="center"/>
                                <w:rPr>
                                  <w:sz w:val="16"/>
                                  <w:szCs w:val="16"/>
                                </w:rPr>
                              </w:pPr>
                              <w:r>
                                <w:rPr>
                                  <w:sz w:val="16"/>
                                  <w:szCs w:val="16"/>
                                </w:rPr>
                                <w:t>X</w:t>
                              </w:r>
                              <w:r>
                                <w:rPr>
                                  <w:sz w:val="16"/>
                                  <w:szCs w:val="16"/>
                                  <w:vertAlign w:val="subscript"/>
                                </w:rPr>
                                <w:t>2</w:t>
                              </w:r>
                              <w:r>
                                <w:rPr>
                                  <w:sz w:val="16"/>
                                  <w:szCs w:val="16"/>
                                </w:rPr>
                                <w:t xml:space="preserve"> mg, 8A + 2P</w:t>
                              </w:r>
                            </w:p>
                            <w:p w14:paraId="503CE52A">
                              <w:pPr>
                                <w:pStyle w:val="2"/>
                                <w:rPr>
                                  <w:sz w:val="16"/>
                                  <w:szCs w:val="16"/>
                                  <w:lang w:eastAsia="zh-CN"/>
                                </w:rPr>
                              </w:pPr>
                            </w:p>
                          </w:txbxContent>
                        </v:textbox>
                      </v:rect>
                      <v:rect id="矩形 2" o:spid="_x0000_s1026" o:spt="1" style="position:absolute;left:4134256;top:476525;height:462474;width:1738287;v-text-anchor:middle;" fillcolor="#FFEED8 [663]" filled="t" stroked="t" coordsize="21600,21600" o:gfxdata="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GAv2L8QAAADiAAAADwAAAAAAAAABACAAAAAiAAAAZHJzL2Rvd25yZXYueG1sUEsBAhQAFAAAAAgA&#10;h07iQDMvBZ47AAAAOQAAABAAAAAAAAAAAQAgAAAAEwEAAGRycy9zaGFwZXhtbC54bWxQSwUGAAAA&#10;AAYABgBbAQAAvQMAAAAA&#10;">
                        <v:fill on="t" focussize="0,0"/>
                        <v:stroke color="#B6D7E9 [1300]" joinstyle="round"/>
                        <v:imagedata o:title=""/>
                        <o:lock v:ext="edit" aspectratio="f"/>
                        <v:textbox inset="4pt,4pt,4pt,4pt">
                          <w:txbxContent>
                            <w:p w14:paraId="4B304BD5">
                              <w:pPr>
                                <w:jc w:val="center"/>
                                <w:rPr>
                                  <w:sz w:val="16"/>
                                  <w:szCs w:val="16"/>
                                </w:rPr>
                              </w:pPr>
                              <w:r>
                                <w:rPr>
                                  <w:sz w:val="16"/>
                                  <w:szCs w:val="16"/>
                                </w:rPr>
                                <w:t xml:space="preserve">Expansion group </w:t>
                              </w:r>
                              <w:r>
                                <w:rPr>
                                  <w:sz w:val="16"/>
                                  <w:szCs w:val="16"/>
                                </w:rPr>
                                <w:br w:type="textWrapping"/>
                              </w:r>
                              <w:r>
                                <w:rPr>
                                  <w:sz w:val="16"/>
                                  <w:szCs w:val="16"/>
                                </w:rPr>
                                <w:t>(group K-2)</w:t>
                              </w:r>
                            </w:p>
                            <w:p w14:paraId="16DA0079">
                              <w:pPr>
                                <w:jc w:val="center"/>
                                <w:rPr>
                                  <w:sz w:val="16"/>
                                  <w:szCs w:val="16"/>
                                </w:rPr>
                              </w:pPr>
                              <w:r>
                                <w:rPr>
                                  <w:sz w:val="16"/>
                                  <w:szCs w:val="16"/>
                                </w:rPr>
                                <w:t>X</w:t>
                              </w:r>
                              <w:r>
                                <w:rPr>
                                  <w:sz w:val="16"/>
                                  <w:szCs w:val="16"/>
                                  <w:vertAlign w:val="subscript"/>
                                </w:rPr>
                                <w:t>1</w:t>
                              </w:r>
                              <w:r>
                                <w:rPr>
                                  <w:sz w:val="16"/>
                                  <w:szCs w:val="16"/>
                                </w:rPr>
                                <w:t xml:space="preserve"> mg, 32A + 8P</w:t>
                              </w:r>
                            </w:p>
                            <w:p w14:paraId="4450F07B">
                              <w:pPr>
                                <w:pStyle w:val="2"/>
                                <w:rPr>
                                  <w:sz w:val="16"/>
                                  <w:szCs w:val="16"/>
                                  <w:lang w:eastAsia="zh-CN"/>
                                </w:rPr>
                              </w:pPr>
                            </w:p>
                          </w:txbxContent>
                        </v:textbox>
                      </v:rect>
                      <v:shape id="连接符: 肘形 7" o:spid="_x0000_s1026" o:spt="34" type="#_x0000_t34" style="position:absolute;left:1819073;top:661481;height:476655;width:233463;" filled="f" stroked="t" coordsize="21600,21600" o:gfxdata="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S&#10;QnaHwwAAAOMAAAAPAAAAAAAAAAEAIAAAACIAAABkcnMvZG93bnJldi54bWxQSwECFAAUAAAACACH&#10;TuJAMy8FnjsAAAA5AAAAEAAAAAAAAAABACAAAAASAQAAZHJzL3NoYXBleG1sLnhtbFBLBQYAAAAA&#10;BgAGAFsBAAC8AwAAAAA=&#10;" adj="744">
                        <v:fill on="f" focussize="0,0"/>
                        <v:stroke color="#4498C8 [3204]" joinstyle="round" dashstyle="dash" endarrow="block"/>
                        <v:imagedata o:title=""/>
                        <o:lock v:ext="edit" aspectratio="f"/>
                      </v:shape>
                      <v:shape id="连接符: 肘形 8" o:spid="_x0000_s1026" o:spt="34" type="#_x0000_t34" style="position:absolute;left:3891064;top:184826;height:462226;width:223736;" filled="f" stroked="t" coordsize="21600,21600" o:gfxdata="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I&#10;HaZRwwAAAOMAAAAPAAAAAAAAAAEAIAAAACIAAABkcnMvZG93bnJldi54bWxQSwECFAAUAAAACACH&#10;TuJAMy8FnjsAAAA5AAAAEAAAAAAAAAABACAAAAASAQAAZHJzL3NoYXBleG1sLnhtbFBLBQYAAAAA&#10;BgAGAFsBAAC8AwAAAAA=&#10;" adj="744">
                        <v:fill on="f" focussize="0,0"/>
                        <v:stroke color="#4498C8 [3204]" joinstyle="round" dashstyle="dash" endarrow="block"/>
                        <v:imagedata o:title=""/>
                        <o:lock v:ext="edit" aspectratio="f"/>
                      </v:shape>
                    </v:group>
                  </v:group>
                </v:group>
                <v:line id="直接连接符 9" o:spid="_x0000_s1026" o:spt="20" style="position:absolute;left:4445289;top:106987;height:106970;width:0;" filled="f" stroked="t" coordsize="21600,21600" o:gfxdata="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JIS&#10;fyHCAAAA4wAAAA8AAAAAAAAAAQAgAAAAIgAAAGRycy9kb3ducmV2LnhtbFBLAQIUABQAAAAIAIdO&#10;4kAzLwWeOwAAADkAAAAQAAAAAAAAAAEAIAAAABEBAABkcnMvc2hhcGV4bWwueG1sUEsFBgAAAAAG&#10;AAYAWwEAALsDAAAAAA==&#10;">
                  <v:fill on="f" focussize="0,0"/>
                  <v:stroke color="#4498C8 [3204]" joinstyle="round" dashstyle="dash"/>
                  <v:imagedata o:title=""/>
                  <o:lock v:ext="edit" aspectratio="f"/>
                </v:line>
                <w10:wrap type="none"/>
                <w10:anchorlock/>
              </v:group>
            </w:pict>
          </mc:Fallback>
        </mc:AlternateContent>
      </w:r>
    </w:p>
    <w:p w14:paraId="1BF2442F">
      <w:pPr>
        <w:pStyle w:val="5"/>
      </w:pPr>
      <w:bookmarkStart w:id="136" w:name="_Toc159596233"/>
      <w:r>
        <w:t>Rationale for Study Design</w:t>
      </w:r>
      <w:bookmarkEnd w:id="136"/>
    </w:p>
    <w:p w14:paraId="638D4A05">
      <w:pPr>
        <w:pStyle w:val="6"/>
        <w:rPr>
          <w:rFonts w:eastAsia="宋体"/>
        </w:rPr>
      </w:pPr>
      <w:bookmarkStart w:id="137" w:name="_Toc159596234"/>
      <w:r>
        <w:t>Rationale for selection of primary efficacy endpoints</w:t>
      </w:r>
      <w:bookmarkEnd w:id="137"/>
    </w:p>
    <w:p w14:paraId="58137A9D">
      <w:pPr>
        <w:pStyle w:val="58"/>
        <w:overflowPunct w:val="0"/>
        <w:autoSpaceDE w:val="0"/>
        <w:autoSpaceDN w:val="0"/>
        <w:adjustRightInd w:val="0"/>
        <w:snapToGrid w:val="0"/>
        <w:spacing w:before="120" w:beforeLines="50" w:after="120" w:afterLines="50" w:line="288" w:lineRule="auto"/>
        <w:ind w:firstLine="0"/>
        <w:jc w:val="left"/>
        <w:rPr>
          <w:color w:val="auto"/>
          <w:kern w:val="0"/>
        </w:rPr>
      </w:pPr>
      <w:r>
        <w:rPr>
          <w:color w:val="auto"/>
        </w:rPr>
        <w:t xml:space="preserve">Since HbA1c reflects glycemic control, according to the "Technical Guidelines on Clinical </w:t>
      </w:r>
      <w:r>
        <w:rPr>
          <w:color w:val="auto"/>
          <w:spacing w:val="-6"/>
        </w:rPr>
        <w:t>Development of Type-2 Diabetes Mellitus Drugs for Adults (2023)"</w:t>
      </w:r>
      <w:r>
        <w:rPr>
          <w:color w:val="auto"/>
          <w:spacing w:val="-6"/>
          <w:vertAlign w:val="superscript"/>
        </w:rPr>
        <w:fldChar w:fldCharType="begin"/>
      </w:r>
      <w:r>
        <w:rPr>
          <w:color w:val="auto"/>
          <w:spacing w:val="-6"/>
          <w:vertAlign w:val="superscript"/>
        </w:rPr>
        <w:instrText xml:space="preserve"> REF _Ref155457142 \r \h  \* MERGEFORMAT </w:instrText>
      </w:r>
      <w:r>
        <w:rPr>
          <w:color w:val="auto"/>
          <w:spacing w:val="-6"/>
          <w:vertAlign w:val="superscript"/>
        </w:rPr>
        <w:fldChar w:fldCharType="separate"/>
      </w:r>
      <w:r>
        <w:rPr>
          <w:color w:val="auto"/>
          <w:spacing w:val="-6"/>
          <w:vertAlign w:val="superscript"/>
        </w:rPr>
        <w:t>[5]</w:t>
      </w:r>
      <w:r>
        <w:rPr>
          <w:color w:val="auto"/>
          <w:spacing w:val="-6"/>
          <w:vertAlign w:val="superscript"/>
        </w:rPr>
        <w:fldChar w:fldCharType="end"/>
      </w:r>
      <w:r>
        <w:rPr>
          <w:color w:val="auto"/>
          <w:spacing w:val="-6"/>
        </w:rPr>
        <w:t xml:space="preserve"> issued by NMPA, the change i</w:t>
      </w:r>
      <w:r>
        <w:rPr>
          <w:color w:val="auto"/>
        </w:rPr>
        <w:t>n HbA1c from baseline remains a well-established surrogate endpoint in current clinical studies of hypoglycemic agents and, as a primary efficacy endpoint, can assess the hypoglycemic effect of drugs. Therefore, HbA1c is selected as the primary endpoint for efficacy evaluation in this study.</w:t>
      </w:r>
    </w:p>
    <w:p w14:paraId="6E385391">
      <w:pPr>
        <w:pStyle w:val="6"/>
        <w:spacing w:line="288" w:lineRule="auto"/>
        <w:rPr>
          <w:rFonts w:eastAsia="宋体"/>
        </w:rPr>
      </w:pPr>
      <w:bookmarkStart w:id="138" w:name="_Toc159596235"/>
      <w:r>
        <w:t>Rationale for selection of control drug</w:t>
      </w:r>
      <w:bookmarkEnd w:id="138"/>
    </w:p>
    <w:p w14:paraId="29EB51DE">
      <w:pPr>
        <w:pStyle w:val="58"/>
        <w:overflowPunct w:val="0"/>
        <w:autoSpaceDE w:val="0"/>
        <w:autoSpaceDN w:val="0"/>
        <w:adjustRightInd w:val="0"/>
        <w:snapToGrid w:val="0"/>
        <w:spacing w:before="120" w:beforeLines="50" w:after="120" w:afterLines="50" w:line="288" w:lineRule="auto"/>
        <w:ind w:firstLine="0"/>
        <w:jc w:val="left"/>
        <w:rPr>
          <w:color w:val="auto"/>
          <w:kern w:val="0"/>
        </w:rPr>
      </w:pPr>
      <w:r>
        <w:t xml:space="preserve">According to the </w:t>
      </w:r>
      <w:r>
        <w:rPr>
          <w:color w:val="auto"/>
        </w:rPr>
        <w:t>"Technical Guidelines on Clinical Development of Type-2 Diabetes Mellitus Drugs for Adults (2023)"</w:t>
      </w:r>
      <w:r>
        <w:rPr>
          <w:color w:val="auto"/>
          <w:vertAlign w:val="superscript"/>
        </w:rPr>
        <w:fldChar w:fldCharType="begin"/>
      </w:r>
      <w:r>
        <w:rPr>
          <w:color w:val="auto"/>
          <w:vertAlign w:val="superscript"/>
        </w:rPr>
        <w:instrText xml:space="preserve"> REF _Ref155457142 \r \h  \* MERGEFORMAT </w:instrText>
      </w:r>
      <w:r>
        <w:rPr>
          <w:color w:val="auto"/>
          <w:vertAlign w:val="superscript"/>
        </w:rPr>
        <w:fldChar w:fldCharType="separate"/>
      </w:r>
      <w:r>
        <w:rPr>
          <w:color w:val="auto"/>
          <w:vertAlign w:val="superscript"/>
        </w:rPr>
        <w:t>[5]</w:t>
      </w:r>
      <w:r>
        <w:rPr>
          <w:color w:val="auto"/>
          <w:vertAlign w:val="superscript"/>
        </w:rPr>
        <w:fldChar w:fldCharType="end"/>
      </w:r>
      <w:r>
        <w:rPr>
          <w:color w:val="auto"/>
        </w:rPr>
        <w:t>, based on the general principles of innovative drug R&amp;D, generally, placebo should be selected as the control drug in pivotal studies. Therefore, placebo is used as a control in this study to more accurately evaluate the efficacy and safety of this product.</w:t>
      </w:r>
    </w:p>
    <w:p w14:paraId="64B95C0B">
      <w:pPr>
        <w:pStyle w:val="6"/>
        <w:spacing w:line="288" w:lineRule="auto"/>
        <w:rPr>
          <w:rFonts w:eastAsia="宋体"/>
        </w:rPr>
      </w:pPr>
      <w:bookmarkStart w:id="139" w:name="_Toc159596236"/>
      <w:r>
        <w:t>Rationale for dose selection</w:t>
      </w:r>
      <w:bookmarkEnd w:id="139"/>
    </w:p>
    <w:p w14:paraId="087032E0">
      <w:pPr>
        <w:pStyle w:val="58"/>
        <w:overflowPunct w:val="0"/>
        <w:autoSpaceDE w:val="0"/>
        <w:autoSpaceDN w:val="0"/>
        <w:adjustRightInd w:val="0"/>
        <w:snapToGrid w:val="0"/>
        <w:spacing w:before="120" w:beforeLines="50" w:after="120" w:afterLines="50" w:line="288" w:lineRule="auto"/>
        <w:ind w:firstLine="0"/>
        <w:jc w:val="left"/>
        <w:rPr>
          <w:color w:val="auto"/>
          <w:kern w:val="0"/>
        </w:rPr>
      </w:pPr>
      <w:r>
        <w:rPr>
          <w:color w:val="auto"/>
        </w:rPr>
        <w:t>In the phase I clinical studies of RAY1225 injection, healthy or obese subjects were safe and well tolerated at doses ranging from 0.5 mg to 6 mg.</w:t>
      </w:r>
    </w:p>
    <w:p w14:paraId="10B23A4E">
      <w:pPr>
        <w:pStyle w:val="58"/>
        <w:overflowPunct w:val="0"/>
        <w:autoSpaceDE w:val="0"/>
        <w:autoSpaceDN w:val="0"/>
        <w:adjustRightInd w:val="0"/>
        <w:snapToGrid w:val="0"/>
        <w:spacing w:before="120" w:beforeLines="50" w:after="120" w:afterLines="50" w:line="288" w:lineRule="auto"/>
        <w:ind w:firstLine="0"/>
        <w:jc w:val="left"/>
        <w:rPr>
          <w:color w:val="auto"/>
          <w:kern w:val="0"/>
        </w:rPr>
      </w:pPr>
      <w:r>
        <w:t xml:space="preserve">According to the </w:t>
      </w:r>
      <w:r>
        <w:rPr>
          <w:color w:val="auto"/>
        </w:rPr>
        <w:t>"Technical Guidelines on Clinical Development of Type-2 Diabetes Mellitus Drugs for Adults (2023)"</w:t>
      </w:r>
      <w:r>
        <w:rPr>
          <w:color w:val="auto"/>
          <w:vertAlign w:val="superscript"/>
        </w:rPr>
        <w:fldChar w:fldCharType="begin"/>
      </w:r>
      <w:r>
        <w:rPr>
          <w:color w:val="auto"/>
          <w:vertAlign w:val="superscript"/>
        </w:rPr>
        <w:instrText xml:space="preserve"> REF _Ref155457142 \r \h  \* MERGEFORMAT </w:instrText>
      </w:r>
      <w:r>
        <w:rPr>
          <w:color w:val="auto"/>
          <w:vertAlign w:val="superscript"/>
        </w:rPr>
        <w:fldChar w:fldCharType="separate"/>
      </w:r>
      <w:r>
        <w:rPr>
          <w:color w:val="auto"/>
          <w:vertAlign w:val="superscript"/>
        </w:rPr>
        <w:t>[5]</w:t>
      </w:r>
      <w:r>
        <w:rPr>
          <w:color w:val="auto"/>
          <w:vertAlign w:val="superscript"/>
        </w:rPr>
        <w:fldChar w:fldCharType="end"/>
      </w:r>
      <w:r>
        <w:rPr>
          <w:color w:val="auto"/>
        </w:rPr>
        <w:t>, in the exploratory study stage, to clarify the dose-effect relationship, no less than 3 dosage regimens are recommended for the test group. The PK/PD model is developed based on the data from phase I clinical study. The simulation results showed that the rate of change in body weight from baseline at week 24 after administration of 3, 6, and 9 mg RAY1225 Q2W was similar to that after administration of 5, 10, and 15 mg tirzepatide QW, and the titration starting dose of 1 mg was safer. Therefore, two target dose groups, 3 mg and 6 mg, are selected in Part A.</w:t>
      </w:r>
    </w:p>
    <w:p w14:paraId="2480E75A">
      <w:pPr>
        <w:pStyle w:val="58"/>
        <w:overflowPunct w:val="0"/>
        <w:autoSpaceDE w:val="0"/>
        <w:autoSpaceDN w:val="0"/>
        <w:adjustRightInd w:val="0"/>
        <w:snapToGrid w:val="0"/>
        <w:spacing w:before="120" w:beforeLines="50" w:after="120" w:afterLines="50" w:line="300" w:lineRule="auto"/>
        <w:ind w:firstLine="0"/>
        <w:jc w:val="left"/>
        <w:rPr>
          <w:color w:val="auto"/>
          <w:kern w:val="0"/>
        </w:rPr>
      </w:pPr>
      <w:r>
        <w:rPr>
          <w:color w:val="auto"/>
        </w:rPr>
        <w:t>In phase I clinical studies, AEs were mainly gastrointestinal adverse reactions. Clinical observations of similar drugs have found that most gastrointestinal adverse reactions gradually relieved, resolved, or disappeared with increasing administration time. This characteristic is also demonstrated in the phase I studies of this product, where the incidence and severity of gastrointestinal adverse reactions were significantly reduced through titration dosing. Since this product has a long half-life, the administration frequency is once every 2 weeks. In the phase I study, the safety and tolerability of subjects administered with 6 mg were good. However, considering that continued dose escalation will not allow adequate titration within 4 weeks, it is planned to continue the dose escalation study in Part B of this study to explore the maximum tolerated dose of RAY1225 in diabetic patients. The preset dose of dose escalation group 1 is 9 mg. Subjects in each group will be evaluated for tolerability 14 days after the first dose of the target dose. If tolerated, the dose may be escalated to a higher target dose. Based on the pharmacokinetic and tolerability results to be received, the investigator and sponsor will determine the target dose for subsequent dose groups.</w:t>
      </w:r>
    </w:p>
    <w:p w14:paraId="4F5CDA1E">
      <w:pPr>
        <w:pStyle w:val="3"/>
      </w:pPr>
      <w:bookmarkStart w:id="140" w:name="_Toc30686"/>
      <w:bookmarkStart w:id="141" w:name="_Toc3111"/>
      <w:bookmarkStart w:id="142" w:name="_Toc493637977"/>
      <w:bookmarkStart w:id="143" w:name="_Toc159596237"/>
      <w:bookmarkStart w:id="144" w:name="_Toc9785"/>
      <w:bookmarkStart w:id="145" w:name="_Toc447956193"/>
      <w:r>
        <w:t>STUDY POPULATION</w:t>
      </w:r>
      <w:bookmarkEnd w:id="140"/>
      <w:bookmarkEnd w:id="141"/>
      <w:bookmarkEnd w:id="142"/>
      <w:bookmarkEnd w:id="143"/>
      <w:bookmarkEnd w:id="144"/>
    </w:p>
    <w:p w14:paraId="382881D2">
      <w:pPr>
        <w:pStyle w:val="5"/>
      </w:pPr>
      <w:bookmarkStart w:id="146" w:name="_Toc159596238"/>
      <w:bookmarkStart w:id="147" w:name="_Toc26346"/>
      <w:bookmarkStart w:id="148" w:name="_Toc26486"/>
      <w:bookmarkStart w:id="149" w:name="_Toc14863"/>
      <w:r>
        <w:t>Subject Selection</w:t>
      </w:r>
      <w:bookmarkEnd w:id="146"/>
      <w:bookmarkEnd w:id="147"/>
      <w:bookmarkEnd w:id="148"/>
      <w:bookmarkEnd w:id="149"/>
    </w:p>
    <w:p w14:paraId="050935BA">
      <w:pPr>
        <w:pStyle w:val="6"/>
        <w:rPr>
          <w:rFonts w:eastAsia="宋体"/>
        </w:rPr>
      </w:pPr>
      <w:bookmarkStart w:id="150" w:name="_Toc22497"/>
      <w:bookmarkStart w:id="151" w:name="_Toc454282524"/>
      <w:bookmarkStart w:id="152" w:name="_Toc159596239"/>
      <w:bookmarkStart w:id="153" w:name="_Toc17608"/>
      <w:bookmarkStart w:id="154" w:name="_Toc492906508"/>
      <w:bookmarkStart w:id="155" w:name="_Toc11133"/>
      <w:r>
        <w:t>Inclusion criteria</w:t>
      </w:r>
      <w:bookmarkEnd w:id="150"/>
      <w:bookmarkEnd w:id="151"/>
      <w:bookmarkEnd w:id="152"/>
      <w:bookmarkEnd w:id="153"/>
      <w:bookmarkEnd w:id="154"/>
      <w:bookmarkEnd w:id="155"/>
    </w:p>
    <w:p w14:paraId="4D5ECB47">
      <w:pPr>
        <w:pStyle w:val="58"/>
        <w:overflowPunct w:val="0"/>
        <w:autoSpaceDE w:val="0"/>
        <w:autoSpaceDN w:val="0"/>
        <w:adjustRightInd w:val="0"/>
        <w:snapToGrid w:val="0"/>
        <w:spacing w:before="120" w:beforeLines="50" w:after="120" w:afterLines="50" w:line="300" w:lineRule="auto"/>
        <w:ind w:firstLine="0"/>
        <w:jc w:val="left"/>
      </w:pPr>
      <w:r>
        <w:t>Subjects who meet all of the inclusion criteria are eligible for inclusion.</w:t>
      </w:r>
    </w:p>
    <w:p w14:paraId="36AF1E50">
      <w:pPr>
        <w:pStyle w:val="67"/>
        <w:numPr>
          <w:ilvl w:val="0"/>
          <w:numId w:val="22"/>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Subjects who have signed the informed consent form and fully understood the content, process, and possible adverse reactions of the study;</w:t>
      </w:r>
    </w:p>
    <w:p w14:paraId="772AB3FB">
      <w:pPr>
        <w:pStyle w:val="67"/>
        <w:numPr>
          <w:ilvl w:val="0"/>
          <w:numId w:val="22"/>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Subjects who are able to complete the study as required by the study protocol;</w:t>
      </w:r>
    </w:p>
    <w:p w14:paraId="3C47AAFB">
      <w:pPr>
        <w:pStyle w:val="67"/>
        <w:numPr>
          <w:ilvl w:val="0"/>
          <w:numId w:val="22"/>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Subjects (including their partners) who agree to use an effective method of contraception during the course of the study and until 6 months after the last dose;</w:t>
      </w:r>
    </w:p>
    <w:p w14:paraId="24773055">
      <w:pPr>
        <w:pStyle w:val="67"/>
        <w:numPr>
          <w:ilvl w:val="0"/>
          <w:numId w:val="22"/>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Male and female subjects aged 18–70 years (both inclusive);</w:t>
      </w:r>
    </w:p>
    <w:p w14:paraId="0B85FBDB">
      <w:pPr>
        <w:pStyle w:val="67"/>
        <w:numPr>
          <w:ilvl w:val="0"/>
          <w:numId w:val="22"/>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 xml:space="preserve">Patients who have been diagnosed with T2DM for at least 12 weeks before screening according to the diagnostic criteria for T2DM in the "Guideline for the Prevention and Treatment of Type 2 Diabetes Mellitus in China (2020 Edition)" (see </w:t>
      </w:r>
      <w:r>
        <w:rPr>
          <w:rFonts w:hAnsi="Times New Roman" w:cs="Times New Roman"/>
          <w:color w:val="0000FF"/>
        </w:rPr>
        <w:fldChar w:fldCharType="begin"/>
      </w:r>
      <w:r>
        <w:rPr>
          <w:rFonts w:hAnsi="Times New Roman" w:cs="Times New Roman"/>
          <w:color w:val="0000FF"/>
        </w:rPr>
        <w:instrText xml:space="preserve"> REF F1 \h  \* MERGEFORMAT </w:instrText>
      </w:r>
      <w:r>
        <w:rPr>
          <w:rFonts w:hAnsi="Times New Roman" w:cs="Times New Roman"/>
          <w:color w:val="0000FF"/>
        </w:rPr>
        <w:fldChar w:fldCharType="separate"/>
      </w:r>
      <w:r>
        <w:rPr>
          <w:rFonts w:hAnsi="Times New Roman"/>
          <w:color w:val="0000FF"/>
        </w:rPr>
        <w:t>Appendix 1</w:t>
      </w:r>
      <w:r>
        <w:rPr>
          <w:rFonts w:hAnsi="Times New Roman" w:cs="Times New Roman"/>
          <w:color w:val="0000FF"/>
        </w:rPr>
        <w:fldChar w:fldCharType="end"/>
      </w:r>
      <w:r>
        <w:rPr>
          <w:rFonts w:hAnsi="Times New Roman" w:cs="Times New Roman"/>
          <w:color w:val="auto"/>
        </w:rPr>
        <w:t xml:space="preserve"> for the detailed diagnostic criteria). Subjects must meet one of the following conditions:</w:t>
      </w:r>
    </w:p>
    <w:p w14:paraId="2E1BC545">
      <w:pPr>
        <w:pStyle w:val="67"/>
        <w:numPr>
          <w:ilvl w:val="0"/>
          <w:numId w:val="23"/>
        </w:numPr>
        <w:overflowPunct w:val="0"/>
        <w:autoSpaceDE w:val="0"/>
        <w:autoSpaceDN w:val="0"/>
        <w:adjustRightInd w:val="0"/>
        <w:snapToGrid w:val="0"/>
        <w:spacing w:before="120" w:beforeLines="50" w:after="120" w:afterLines="50" w:line="300" w:lineRule="auto"/>
        <w:ind w:left="567"/>
        <w:jc w:val="left"/>
        <w:rPr>
          <w:rFonts w:hAnsi="Times New Roman" w:eastAsia="宋体" w:cs="Times New Roman"/>
          <w:color w:val="auto"/>
        </w:rPr>
      </w:pPr>
      <w:r>
        <w:rPr>
          <w:rFonts w:hAnsi="Times New Roman" w:cs="Times New Roman"/>
          <w:color w:val="auto"/>
        </w:rPr>
        <w:t>Treatment with only diet and exercise, without hypoglycemic agents. No treatment with hypoglycemic agents is defined as no treatment with any hypoglycemic agent before screening, or continuous use of hypoglycemic agents for no more than 1 week within 12 weeks before screening, and no treatment with any hypoglycemic agent within 4 weeks before screening; or treatment with only one oral hypoglycemic agent within 12 weeks before screening and no use within 4 weeks before screening;</w:t>
      </w:r>
    </w:p>
    <w:p w14:paraId="7A6BB131">
      <w:pPr>
        <w:pStyle w:val="67"/>
        <w:numPr>
          <w:ilvl w:val="0"/>
          <w:numId w:val="23"/>
        </w:numPr>
        <w:overflowPunct w:val="0"/>
        <w:autoSpaceDE w:val="0"/>
        <w:autoSpaceDN w:val="0"/>
        <w:adjustRightInd w:val="0"/>
        <w:snapToGrid w:val="0"/>
        <w:spacing w:before="120" w:beforeLines="50" w:after="120" w:afterLines="50" w:line="300" w:lineRule="auto"/>
        <w:ind w:left="567"/>
        <w:jc w:val="left"/>
        <w:rPr>
          <w:rFonts w:hAnsi="Times New Roman" w:eastAsia="宋体" w:cs="Times New Roman"/>
          <w:color w:val="auto"/>
        </w:rPr>
      </w:pPr>
      <w:r>
        <w:rPr>
          <w:rFonts w:hAnsi="Times New Roman" w:cs="Times New Roman"/>
          <w:color w:val="auto"/>
        </w:rPr>
        <w:t>Patients who have only received hypoglycemic agents of metformin, α-glucosidase inhibitors, or SGLT-2 inhibitors within 12 weeks before screening, and combination therapies with ≤ 2 kinds of drugs at stable drug types and doses;</w:t>
      </w:r>
    </w:p>
    <w:p w14:paraId="1079AFCC">
      <w:pPr>
        <w:pStyle w:val="67"/>
        <w:numPr>
          <w:ilvl w:val="0"/>
          <w:numId w:val="22"/>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The study site-assayed HbA1c ≥ 7.0% and ≤ 11.0% at screening;</w:t>
      </w:r>
    </w:p>
    <w:p w14:paraId="2759D67D">
      <w:pPr>
        <w:pStyle w:val="67"/>
        <w:numPr>
          <w:ilvl w:val="0"/>
          <w:numId w:val="22"/>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Fasting plasma glucose (FPG) &lt; 15 mmol/L at screening;</w:t>
      </w:r>
    </w:p>
    <w:p w14:paraId="3C8647C9">
      <w:pPr>
        <w:pStyle w:val="67"/>
        <w:numPr>
          <w:ilvl w:val="0"/>
          <w:numId w:val="22"/>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BMI ≥ 20 kg/m²;</w:t>
      </w:r>
    </w:p>
    <w:p w14:paraId="401FAB59">
      <w:pPr>
        <w:pStyle w:val="67"/>
        <w:numPr>
          <w:ilvl w:val="0"/>
          <w:numId w:val="22"/>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Weight change &lt; 5% [calculation formula: (maximum – minimum)/maximum × 100%] for at least 12 weeks before screening.</w:t>
      </w:r>
    </w:p>
    <w:p w14:paraId="19FD3E64">
      <w:pPr>
        <w:pStyle w:val="6"/>
        <w:rPr>
          <w:rFonts w:eastAsia="宋体"/>
        </w:rPr>
      </w:pPr>
      <w:bookmarkStart w:id="156" w:name="_Toc6283"/>
      <w:bookmarkStart w:id="157" w:name="_Toc159596240"/>
      <w:r>
        <w:t>Exclusion criteria</w:t>
      </w:r>
      <w:bookmarkEnd w:id="156"/>
      <w:bookmarkEnd w:id="157"/>
    </w:p>
    <w:p w14:paraId="491BBDE4">
      <w:pPr>
        <w:overflowPunct w:val="0"/>
        <w:autoSpaceDE w:val="0"/>
        <w:autoSpaceDN w:val="0"/>
        <w:adjustRightInd w:val="0"/>
        <w:snapToGrid w:val="0"/>
        <w:spacing w:before="120" w:beforeLines="50" w:after="120" w:afterLines="50" w:line="300" w:lineRule="auto"/>
        <w:ind w:firstLine="480" w:firstLineChars="200"/>
        <w:rPr>
          <w:rFonts w:eastAsia="宋体"/>
        </w:rPr>
      </w:pPr>
      <w:r>
        <w:t>Subjects who meet any of the following exclusion criteria are not eligible for inclusion.</w:t>
      </w:r>
    </w:p>
    <w:p w14:paraId="2575DA31">
      <w:pPr>
        <w:pStyle w:val="67"/>
        <w:numPr>
          <w:ilvl w:val="0"/>
          <w:numId w:val="24"/>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Other non-T2DM conditions, such as type 1 diabetes mellitus;</w:t>
      </w:r>
    </w:p>
    <w:p w14:paraId="3540581A">
      <w:pPr>
        <w:pStyle w:val="67"/>
        <w:numPr>
          <w:ilvl w:val="0"/>
          <w:numId w:val="24"/>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Known severe diabetic complications, including but not limited to proliferative diabetic retinopathy or maculopathy, severe diabetic neuropathy (such as urinary retention, urinary incontinence, and painful peripheral neuropathy), resting tachycardia, orthostatic hypotension, intermittent claudication, or diabetic foot; more than 2 episodes of ketoacidosis, lactic acidosis, or hyperosmolar state requiring hospitalization within 24 weeks before screening;</w:t>
      </w:r>
    </w:p>
    <w:p w14:paraId="0080B02C">
      <w:pPr>
        <w:pStyle w:val="67"/>
        <w:numPr>
          <w:ilvl w:val="0"/>
          <w:numId w:val="24"/>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 xml:space="preserve">History of grade 3 hypoglycemia within 12 months before screening, ≥ 3 episodes of grade 2 hypoglycemia (venous or peripheral glucose &lt; 3 mmol/L) or hypoglycemia-related symptoms within 3 months before screening (see </w:t>
      </w:r>
      <w:r>
        <w:rPr>
          <w:rFonts w:hAnsi="Times New Roman" w:cs="Times New Roman"/>
          <w:color w:val="0000FF"/>
        </w:rPr>
        <w:fldChar w:fldCharType="begin"/>
      </w:r>
      <w:r>
        <w:rPr>
          <w:rFonts w:hAnsi="Times New Roman" w:cs="Times New Roman"/>
          <w:color w:val="0000FF"/>
        </w:rPr>
        <w:instrText xml:space="preserve"> REF F2 \h  \* MERGEFORMAT </w:instrText>
      </w:r>
      <w:r>
        <w:rPr>
          <w:rFonts w:hAnsi="Times New Roman" w:cs="Times New Roman"/>
          <w:color w:val="0000FF"/>
        </w:rPr>
        <w:fldChar w:fldCharType="separate"/>
      </w:r>
      <w:r>
        <w:rPr>
          <w:rFonts w:hAnsi="Times New Roman"/>
          <w:color w:val="0000FF"/>
        </w:rPr>
        <w:t>Appendix 2</w:t>
      </w:r>
      <w:r>
        <w:rPr>
          <w:rFonts w:hAnsi="Times New Roman" w:cs="Times New Roman"/>
          <w:color w:val="0000FF"/>
        </w:rPr>
        <w:fldChar w:fldCharType="end"/>
      </w:r>
      <w:r>
        <w:rPr>
          <w:rFonts w:hAnsi="Times New Roman" w:cs="Times New Roman"/>
          <w:color w:val="auto"/>
        </w:rPr>
        <w:t xml:space="preserve"> for details);</w:t>
      </w:r>
    </w:p>
    <w:p w14:paraId="63F3297A">
      <w:pPr>
        <w:pStyle w:val="67"/>
        <w:numPr>
          <w:ilvl w:val="0"/>
          <w:numId w:val="24"/>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History of serious trauma, serious infection, or surgery that may affect glycemic control within 6 weeks before screening;</w:t>
      </w:r>
    </w:p>
    <w:p w14:paraId="2BBB203B">
      <w:pPr>
        <w:pStyle w:val="67"/>
        <w:numPr>
          <w:ilvl w:val="0"/>
          <w:numId w:val="24"/>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History of blood transfusion or blood donation/blood loss ≥ 400 mL within 12 weeks before screening, blood donation/blood loss ≥ 200 mL within 4 weeks before screening, or known hemoglobinopathy (thalassemia, hemolytic anemia, sickle cell anemia);</w:t>
      </w:r>
    </w:p>
    <w:p w14:paraId="44D03075">
      <w:pPr>
        <w:pStyle w:val="67"/>
        <w:numPr>
          <w:ilvl w:val="0"/>
          <w:numId w:val="24"/>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Known history of any digestive disorders or surgeries that may affect safety evaluation, including but not limited to:</w:t>
      </w:r>
    </w:p>
    <w:p w14:paraId="01DFCBC1">
      <w:pPr>
        <w:pStyle w:val="67"/>
        <w:numPr>
          <w:ilvl w:val="0"/>
          <w:numId w:val="25"/>
        </w:numPr>
        <w:overflowPunct w:val="0"/>
        <w:autoSpaceDE w:val="0"/>
        <w:autoSpaceDN w:val="0"/>
        <w:adjustRightInd w:val="0"/>
        <w:snapToGrid w:val="0"/>
        <w:spacing w:before="120" w:beforeLines="50" w:after="120" w:afterLines="50" w:line="300" w:lineRule="auto"/>
        <w:ind w:left="567"/>
        <w:jc w:val="left"/>
        <w:rPr>
          <w:rFonts w:hAnsi="Times New Roman" w:eastAsia="宋体" w:cs="Times New Roman"/>
          <w:color w:val="auto"/>
        </w:rPr>
      </w:pPr>
      <w:r>
        <w:rPr>
          <w:rFonts w:hAnsi="Times New Roman" w:cs="Times New Roman"/>
          <w:color w:val="auto"/>
        </w:rPr>
        <w:t>History of acute pancreatitis and chronic pancreatitis, presence of high risk factors leading to pancreatitis at screening (e.g., cholelithiasis or choledocholithiasis &lt; 10 mm in diameter), and history of symptomatic gallbladder and biliary tract disorders; patients who have their biliary calculi absent after treatment or have received cholecystectomy without sequelae may be enrolled;</w:t>
      </w:r>
    </w:p>
    <w:p w14:paraId="01985707">
      <w:pPr>
        <w:pStyle w:val="67"/>
        <w:numPr>
          <w:ilvl w:val="0"/>
          <w:numId w:val="25"/>
        </w:numPr>
        <w:overflowPunct w:val="0"/>
        <w:autoSpaceDE w:val="0"/>
        <w:autoSpaceDN w:val="0"/>
        <w:adjustRightInd w:val="0"/>
        <w:snapToGrid w:val="0"/>
        <w:spacing w:before="120" w:beforeLines="50" w:after="120" w:afterLines="50" w:line="300" w:lineRule="auto"/>
        <w:ind w:left="567"/>
        <w:jc w:val="left"/>
        <w:rPr>
          <w:rFonts w:hAnsi="Times New Roman" w:eastAsia="宋体" w:cs="Times New Roman"/>
          <w:color w:val="auto"/>
        </w:rPr>
      </w:pPr>
      <w:r>
        <w:rPr>
          <w:rFonts w:hAnsi="Times New Roman" w:cs="Times New Roman"/>
          <w:color w:val="auto"/>
        </w:rPr>
        <w:t>Any history of gastrointestinal diseases that may affect gastric emptying (e.g., gastroparesis, postoperative gastroparesis, idiopathic gastroparesis, gastrooesophageal reflux disease, pyloric stenosis or obstruction, and intestinal obstruction), severe chronic gastrointestinal diseases (e.g., active ulcer and intestinal tuberculosis within 6 months prior to screening), or long-term use of drugs that have a direct effect on gastrointestinal motility (including but not limited to domperidone, mosapride, and cisapride);</w:t>
      </w:r>
    </w:p>
    <w:p w14:paraId="4C4F4597">
      <w:pPr>
        <w:pStyle w:val="67"/>
        <w:numPr>
          <w:ilvl w:val="0"/>
          <w:numId w:val="25"/>
        </w:numPr>
        <w:overflowPunct w:val="0"/>
        <w:autoSpaceDE w:val="0"/>
        <w:autoSpaceDN w:val="0"/>
        <w:adjustRightInd w:val="0"/>
        <w:snapToGrid w:val="0"/>
        <w:spacing w:before="120" w:beforeLines="50" w:after="120" w:afterLines="50" w:line="288" w:lineRule="auto"/>
        <w:ind w:left="567"/>
        <w:jc w:val="left"/>
        <w:rPr>
          <w:rFonts w:hAnsi="Times New Roman" w:eastAsia="宋体" w:cs="Times New Roman"/>
          <w:color w:val="auto"/>
        </w:rPr>
      </w:pPr>
      <w:r>
        <w:rPr>
          <w:rFonts w:hAnsi="Times New Roman" w:cs="Times New Roman"/>
          <w:color w:val="auto"/>
        </w:rPr>
        <w:t>Previous metabolic surgery involving resection and/or reconstruction of any part of the gastrointestinal tract (gastrectomy, gastric bypass, bowel resection, gastroenterostomy, gastrointestinal bypass, gastric stapling or gastric banding, etc.) or use of minimally invasive/endoscopic bariatric devices (intragastric balloons, gastrostomy devices, vagal blockers, thermal ablation techniques of the duodenal mucosa, left gastric artery embolization, etc.). Subjects who have had appendectomy or simple herniorrhaphy, or who have had a reversible bariatric device (such as a gastric band or intragastric balloon) removed for more than 12 months at screening may be enrolled;</w:t>
      </w:r>
    </w:p>
    <w:p w14:paraId="182D9C7A">
      <w:pPr>
        <w:pStyle w:val="67"/>
        <w:numPr>
          <w:ilvl w:val="0"/>
          <w:numId w:val="25"/>
        </w:numPr>
        <w:overflowPunct w:val="0"/>
        <w:autoSpaceDE w:val="0"/>
        <w:autoSpaceDN w:val="0"/>
        <w:adjustRightInd w:val="0"/>
        <w:snapToGrid w:val="0"/>
        <w:spacing w:before="120" w:beforeLines="50" w:after="120" w:afterLines="50" w:line="288" w:lineRule="auto"/>
        <w:ind w:left="567"/>
        <w:jc w:val="left"/>
        <w:rPr>
          <w:rFonts w:hAnsi="Times New Roman" w:eastAsia="宋体" w:cs="Times New Roman"/>
          <w:color w:val="auto"/>
        </w:rPr>
      </w:pPr>
      <w:r>
        <w:rPr>
          <w:rFonts w:hAnsi="Times New Roman" w:cs="Times New Roman"/>
          <w:color w:val="auto"/>
        </w:rPr>
        <w:t>History of frequent nausea, vomiting, or irregular gastrointestinal motility due to any cause, such as habitual diarrhea, constipation, inflammatory bowel disease, or irritable bowel syndrome;</w:t>
      </w:r>
    </w:p>
    <w:p w14:paraId="28D8A6E6">
      <w:pPr>
        <w:pStyle w:val="67"/>
        <w:numPr>
          <w:ilvl w:val="0"/>
          <w:numId w:val="24"/>
        </w:numPr>
        <w:overflowPunct w:val="0"/>
        <w:autoSpaceDE w:val="0"/>
        <w:autoSpaceDN w:val="0"/>
        <w:adjustRightInd w:val="0"/>
        <w:snapToGrid w:val="0"/>
        <w:spacing w:before="120" w:beforeLines="50" w:after="120" w:afterLines="50" w:line="288" w:lineRule="auto"/>
        <w:jc w:val="left"/>
        <w:rPr>
          <w:rFonts w:hAnsi="Times New Roman" w:eastAsia="宋体" w:cs="Times New Roman"/>
          <w:color w:val="auto"/>
        </w:rPr>
      </w:pPr>
      <w:r>
        <w:rPr>
          <w:rFonts w:hAnsi="Times New Roman" w:cs="Times New Roman"/>
          <w:color w:val="auto"/>
        </w:rPr>
        <w:t>Known history or family history of thyroid C-cell tumor/carcinoma or multiple endocrine neoplasia type 2 (MEN2);</w:t>
      </w:r>
    </w:p>
    <w:p w14:paraId="5450FF9C">
      <w:pPr>
        <w:pStyle w:val="67"/>
        <w:numPr>
          <w:ilvl w:val="0"/>
          <w:numId w:val="24"/>
        </w:numPr>
        <w:overflowPunct w:val="0"/>
        <w:autoSpaceDE w:val="0"/>
        <w:autoSpaceDN w:val="0"/>
        <w:adjustRightInd w:val="0"/>
        <w:snapToGrid w:val="0"/>
        <w:spacing w:before="120" w:beforeLines="50" w:after="120" w:afterLines="50" w:line="288" w:lineRule="auto"/>
        <w:jc w:val="left"/>
        <w:rPr>
          <w:rFonts w:hAnsi="Times New Roman" w:eastAsia="宋体" w:cs="Times New Roman"/>
          <w:color w:val="auto"/>
        </w:rPr>
      </w:pPr>
      <w:r>
        <w:rPr>
          <w:rFonts w:hAnsi="Times New Roman" w:cs="Times New Roman"/>
          <w:color w:val="auto"/>
        </w:rPr>
        <w:t xml:space="preserve">Any suicidal behavior within the past 2 years, or any suicidal ideation of C-SSRS category 4 or 5 within 3 months prior to screening or during the screening period (see </w:t>
      </w:r>
      <w:r>
        <w:rPr>
          <w:rFonts w:hAnsi="Times New Roman" w:cs="Times New Roman"/>
          <w:color w:val="0000FF"/>
        </w:rPr>
        <w:fldChar w:fldCharType="begin"/>
      </w:r>
      <w:r>
        <w:rPr>
          <w:rFonts w:hAnsi="Times New Roman" w:cs="Times New Roman"/>
          <w:color w:val="0000FF"/>
        </w:rPr>
        <w:instrText xml:space="preserve"> REF F3 \h  \* MERGEFORMAT </w:instrText>
      </w:r>
      <w:r>
        <w:rPr>
          <w:rFonts w:hAnsi="Times New Roman" w:cs="Times New Roman"/>
          <w:color w:val="0000FF"/>
        </w:rPr>
        <w:fldChar w:fldCharType="separate"/>
      </w:r>
      <w:r>
        <w:rPr>
          <w:rFonts w:hAnsi="Times New Roman"/>
          <w:color w:val="0000FF"/>
        </w:rPr>
        <w:t>Appendix 3</w:t>
      </w:r>
      <w:r>
        <w:rPr>
          <w:rFonts w:hAnsi="Times New Roman" w:cs="Times New Roman"/>
          <w:color w:val="0000FF"/>
        </w:rPr>
        <w:fldChar w:fldCharType="end"/>
      </w:r>
      <w:r>
        <w:rPr>
          <w:rFonts w:hAnsi="Times New Roman" w:cs="Times New Roman"/>
          <w:color w:val="auto"/>
        </w:rPr>
        <w:t xml:space="preserve"> for details);</w:t>
      </w:r>
    </w:p>
    <w:p w14:paraId="426ADF16">
      <w:pPr>
        <w:pStyle w:val="67"/>
        <w:numPr>
          <w:ilvl w:val="0"/>
          <w:numId w:val="24"/>
        </w:numPr>
        <w:overflowPunct w:val="0"/>
        <w:autoSpaceDE w:val="0"/>
        <w:autoSpaceDN w:val="0"/>
        <w:adjustRightInd w:val="0"/>
        <w:snapToGrid w:val="0"/>
        <w:spacing w:before="120" w:beforeLines="50" w:after="120" w:afterLines="50" w:line="288" w:lineRule="auto"/>
        <w:jc w:val="left"/>
        <w:rPr>
          <w:rFonts w:hAnsi="Times New Roman" w:eastAsia="宋体" w:cs="Times New Roman"/>
          <w:color w:val="auto"/>
        </w:rPr>
      </w:pPr>
      <w:r>
        <w:rPr>
          <w:rFonts w:hAnsi="Times New Roman" w:cs="Times New Roman"/>
          <w:color w:val="auto"/>
        </w:rPr>
        <w:t>History of moderate to severe depression or a Patient Health Questionnaire-9 [PHQ-9] score ≥ 15 at screening (see</w:t>
      </w:r>
      <w:r>
        <w:rPr>
          <w:rFonts w:hAnsi="Times New Roman" w:cs="Times New Roman"/>
          <w:color w:val="0000FF"/>
        </w:rPr>
        <w:t xml:space="preserve"> </w:t>
      </w:r>
      <w:r>
        <w:rPr>
          <w:rFonts w:hAnsi="Times New Roman" w:cs="Times New Roman"/>
          <w:color w:val="0000FF"/>
        </w:rPr>
        <w:fldChar w:fldCharType="begin"/>
      </w:r>
      <w:r>
        <w:rPr>
          <w:rFonts w:hAnsi="Times New Roman" w:cs="Times New Roman"/>
          <w:color w:val="0000FF"/>
        </w:rPr>
        <w:instrText xml:space="preserve"> REF F4 \h  \* MERGEFORMAT </w:instrText>
      </w:r>
      <w:r>
        <w:rPr>
          <w:rFonts w:hAnsi="Times New Roman" w:cs="Times New Roman"/>
          <w:color w:val="0000FF"/>
        </w:rPr>
        <w:fldChar w:fldCharType="separate"/>
      </w:r>
      <w:r>
        <w:rPr>
          <w:rFonts w:hAnsi="Times New Roman"/>
          <w:color w:val="0000FF"/>
        </w:rPr>
        <w:t>Appendix 4</w:t>
      </w:r>
      <w:r>
        <w:rPr>
          <w:rFonts w:hAnsi="Times New Roman" w:cs="Times New Roman"/>
          <w:color w:val="0000FF"/>
        </w:rPr>
        <w:fldChar w:fldCharType="end"/>
      </w:r>
      <w:r>
        <w:rPr>
          <w:rFonts w:hAnsi="Times New Roman" w:cs="Times New Roman"/>
          <w:color w:val="auto"/>
        </w:rPr>
        <w:t xml:space="preserve"> for details);</w:t>
      </w:r>
    </w:p>
    <w:p w14:paraId="1A879056">
      <w:pPr>
        <w:pStyle w:val="67"/>
        <w:numPr>
          <w:ilvl w:val="0"/>
          <w:numId w:val="24"/>
        </w:numPr>
        <w:overflowPunct w:val="0"/>
        <w:autoSpaceDE w:val="0"/>
        <w:autoSpaceDN w:val="0"/>
        <w:adjustRightInd w:val="0"/>
        <w:snapToGrid w:val="0"/>
        <w:spacing w:before="120" w:beforeLines="50" w:after="120" w:afterLines="50" w:line="288" w:lineRule="auto"/>
        <w:jc w:val="left"/>
        <w:rPr>
          <w:rFonts w:hAnsi="Times New Roman" w:eastAsia="宋体" w:cs="Times New Roman"/>
          <w:color w:val="auto"/>
        </w:rPr>
      </w:pPr>
      <w:r>
        <w:rPr>
          <w:rFonts w:hAnsi="Times New Roman" w:cs="Times New Roman"/>
          <w:color w:val="auto"/>
        </w:rPr>
        <w:t xml:space="preserve">History of malignancy within 5 years prior to screening (except for clinically cured basal cell carcinoma or carcinoma </w:t>
      </w:r>
      <w:r>
        <w:rPr>
          <w:rFonts w:hAnsi="Times New Roman" w:cs="Times New Roman"/>
          <w:i/>
          <w:iCs/>
          <w:color w:val="auto"/>
        </w:rPr>
        <w:t>in situ</w:t>
      </w:r>
      <w:r>
        <w:rPr>
          <w:rFonts w:hAnsi="Times New Roman" w:cs="Times New Roman"/>
          <w:color w:val="auto"/>
        </w:rPr>
        <w:t>);</w:t>
      </w:r>
    </w:p>
    <w:p w14:paraId="54AE47D1">
      <w:pPr>
        <w:pStyle w:val="67"/>
        <w:numPr>
          <w:ilvl w:val="0"/>
          <w:numId w:val="24"/>
        </w:numPr>
        <w:overflowPunct w:val="0"/>
        <w:autoSpaceDE w:val="0"/>
        <w:autoSpaceDN w:val="0"/>
        <w:adjustRightInd w:val="0"/>
        <w:snapToGrid w:val="0"/>
        <w:spacing w:before="120" w:beforeLines="50" w:after="120" w:afterLines="50" w:line="288" w:lineRule="auto"/>
        <w:jc w:val="left"/>
        <w:rPr>
          <w:rFonts w:hAnsi="Times New Roman" w:eastAsia="宋体" w:cs="Times New Roman"/>
          <w:color w:val="auto"/>
        </w:rPr>
      </w:pPr>
      <w:r>
        <w:rPr>
          <w:rFonts w:hAnsi="Times New Roman" w:cs="Times New Roman"/>
          <w:color w:val="auto"/>
        </w:rPr>
        <w:t>History of major cardio-cerebrovascular disease, defined as a history of myocardial infarction, coronary angioplasty or bypass graft, valvular heart disease or valvular heart repair, clinically significant unstable arrhythmia, unstable angina, New York Heart Association (NYHA) class III or IV congestive heart failure, transient ischemic attack, or cerebrovascular accident within 24 weeks prior to screening;</w:t>
      </w:r>
    </w:p>
    <w:p w14:paraId="29542951">
      <w:pPr>
        <w:pStyle w:val="67"/>
        <w:numPr>
          <w:ilvl w:val="0"/>
          <w:numId w:val="24"/>
        </w:numPr>
        <w:overflowPunct w:val="0"/>
        <w:autoSpaceDE w:val="0"/>
        <w:autoSpaceDN w:val="0"/>
        <w:adjustRightInd w:val="0"/>
        <w:snapToGrid w:val="0"/>
        <w:spacing w:before="120" w:beforeLines="50" w:after="120" w:afterLines="50" w:line="288" w:lineRule="auto"/>
        <w:jc w:val="left"/>
        <w:rPr>
          <w:rFonts w:hAnsi="Times New Roman" w:eastAsia="宋体" w:cs="Times New Roman"/>
          <w:color w:val="auto"/>
        </w:rPr>
      </w:pPr>
      <w:r>
        <w:rPr>
          <w:rFonts w:hAnsi="Times New Roman" w:cs="Times New Roman"/>
          <w:color w:val="auto"/>
        </w:rPr>
        <w:t>Known ECG abnormalities or abnormal findings at screening that pose a significant safety risk or require further diagnosis and treatment, including but not limited to: arrhythmias that are not controllable or require medication (such as sustained ventricular tachycardia, second or third degree atrioventricular block), QTcF &gt; 450 ms, family history of long QT syndrome or Brugada syndrome; or heart rate &lt; 50 beats/min or &gt; 100 beats/min at screening;</w:t>
      </w:r>
    </w:p>
    <w:p w14:paraId="1CC1CA11">
      <w:pPr>
        <w:pStyle w:val="67"/>
        <w:numPr>
          <w:ilvl w:val="0"/>
          <w:numId w:val="24"/>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Systolic blood pressure ≥ 160 mmHg and/or diastolic blood pressure ≥ 100 mmHg during the screening period (measure repeatedly at a 10 min interval; exclude the subject only if the second measurement confirms blood pressure ≥ 160/100 mmHg); or initiation/change of antihypertensive drugs or dose adjustment of antihypertensive drugs within 4 weeks prior to screening;</w:t>
      </w:r>
    </w:p>
    <w:p w14:paraId="5171A625">
      <w:pPr>
        <w:pStyle w:val="67"/>
        <w:numPr>
          <w:ilvl w:val="0"/>
          <w:numId w:val="24"/>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Presence of the following significant laboratory abnormalities during the screening period, including but not limited to:</w:t>
      </w:r>
    </w:p>
    <w:p w14:paraId="0FFFCD95">
      <w:pPr>
        <w:pStyle w:val="67"/>
        <w:numPr>
          <w:ilvl w:val="0"/>
          <w:numId w:val="26"/>
        </w:numPr>
        <w:overflowPunct w:val="0"/>
        <w:autoSpaceDE w:val="0"/>
        <w:autoSpaceDN w:val="0"/>
        <w:adjustRightInd w:val="0"/>
        <w:snapToGrid w:val="0"/>
        <w:spacing w:before="120" w:beforeLines="50" w:after="120" w:afterLines="50" w:line="300" w:lineRule="auto"/>
        <w:ind w:left="567" w:hanging="425"/>
        <w:jc w:val="left"/>
        <w:rPr>
          <w:rFonts w:hAnsi="Times New Roman" w:eastAsia="宋体" w:cs="Times New Roman"/>
          <w:color w:val="auto"/>
        </w:rPr>
      </w:pPr>
      <w:r>
        <w:rPr>
          <w:rFonts w:hAnsi="Times New Roman" w:cs="Times New Roman"/>
          <w:color w:val="auto"/>
        </w:rPr>
        <w:t>Any positive results for hepatitis B surface antigen (HBsAg), hepatitis C virus antibody, human immunodeficiency virus (HIV) antibody, or treponema pallidum antibody;</w:t>
      </w:r>
    </w:p>
    <w:p w14:paraId="637E956F">
      <w:pPr>
        <w:pStyle w:val="67"/>
        <w:numPr>
          <w:ilvl w:val="0"/>
          <w:numId w:val="26"/>
        </w:numPr>
        <w:overflowPunct w:val="0"/>
        <w:autoSpaceDE w:val="0"/>
        <w:autoSpaceDN w:val="0"/>
        <w:adjustRightInd w:val="0"/>
        <w:snapToGrid w:val="0"/>
        <w:spacing w:before="120" w:beforeLines="50" w:after="120" w:afterLines="50" w:line="300" w:lineRule="auto"/>
        <w:ind w:left="567" w:hanging="425"/>
        <w:jc w:val="left"/>
        <w:rPr>
          <w:rFonts w:hAnsi="Times New Roman" w:eastAsia="宋体" w:cs="Times New Roman"/>
          <w:color w:val="auto"/>
        </w:rPr>
      </w:pPr>
      <w:r>
        <w:rPr>
          <w:rFonts w:hAnsi="Times New Roman" w:cs="Times New Roman"/>
          <w:color w:val="auto"/>
        </w:rPr>
        <w:t>Hemoglobin &lt; 100 g/L;</w:t>
      </w:r>
    </w:p>
    <w:p w14:paraId="0A37A808">
      <w:pPr>
        <w:pStyle w:val="67"/>
        <w:numPr>
          <w:ilvl w:val="0"/>
          <w:numId w:val="26"/>
        </w:numPr>
        <w:overflowPunct w:val="0"/>
        <w:autoSpaceDE w:val="0"/>
        <w:autoSpaceDN w:val="0"/>
        <w:adjustRightInd w:val="0"/>
        <w:snapToGrid w:val="0"/>
        <w:spacing w:before="120" w:beforeLines="50" w:after="120" w:afterLines="50" w:line="300" w:lineRule="auto"/>
        <w:ind w:left="567" w:hanging="425"/>
        <w:jc w:val="left"/>
        <w:rPr>
          <w:rFonts w:hAnsi="Times New Roman" w:eastAsia="宋体" w:cs="Times New Roman"/>
          <w:color w:val="auto"/>
        </w:rPr>
      </w:pPr>
      <w:r>
        <w:rPr>
          <w:rFonts w:hAnsi="Times New Roman" w:cs="Times New Roman"/>
          <w:color w:val="auto"/>
        </w:rPr>
        <w:t>Abnormal thyroid-stimulating hormone (TSH) with any abnormality in triiodothyronine (T3; total and free) and thyroxine (T4; total and free);</w:t>
      </w:r>
    </w:p>
    <w:p w14:paraId="1435F32E">
      <w:pPr>
        <w:pStyle w:val="67"/>
        <w:numPr>
          <w:ilvl w:val="0"/>
          <w:numId w:val="26"/>
        </w:numPr>
        <w:overflowPunct w:val="0"/>
        <w:autoSpaceDE w:val="0"/>
        <w:autoSpaceDN w:val="0"/>
        <w:adjustRightInd w:val="0"/>
        <w:snapToGrid w:val="0"/>
        <w:spacing w:before="120" w:beforeLines="50" w:after="120" w:afterLines="50" w:line="300" w:lineRule="auto"/>
        <w:ind w:left="567" w:hanging="425"/>
        <w:jc w:val="left"/>
        <w:rPr>
          <w:rFonts w:hAnsi="Times New Roman" w:eastAsia="宋体" w:cs="Times New Roman"/>
          <w:color w:val="auto"/>
        </w:rPr>
      </w:pPr>
      <w:r>
        <w:rPr>
          <w:rFonts w:hAnsi="Times New Roman" w:cs="Times New Roman"/>
          <w:color w:val="auto"/>
        </w:rPr>
        <w:t>Serum calcitonin &gt; 50 ng/L;</w:t>
      </w:r>
    </w:p>
    <w:p w14:paraId="74BEEEFE">
      <w:pPr>
        <w:pStyle w:val="67"/>
        <w:numPr>
          <w:ilvl w:val="0"/>
          <w:numId w:val="26"/>
        </w:numPr>
        <w:overflowPunct w:val="0"/>
        <w:autoSpaceDE w:val="0"/>
        <w:autoSpaceDN w:val="0"/>
        <w:adjustRightInd w:val="0"/>
        <w:snapToGrid w:val="0"/>
        <w:spacing w:before="120" w:beforeLines="50" w:after="120" w:afterLines="50" w:line="300" w:lineRule="auto"/>
        <w:ind w:left="567" w:hanging="425"/>
        <w:jc w:val="left"/>
        <w:rPr>
          <w:rFonts w:hAnsi="Times New Roman" w:eastAsia="宋体" w:cs="Times New Roman"/>
          <w:color w:val="auto"/>
        </w:rPr>
      </w:pPr>
      <w:r>
        <w:rPr>
          <w:rFonts w:hAnsi="Times New Roman" w:cs="Times New Roman"/>
          <w:color w:val="auto"/>
        </w:rPr>
        <w:t>Serum amylase or lipase &gt; 1.5 × upper limit of normal (ULN) (when the lipase assay is not available at some study sites, amylase-based determination only is acceptable);</w:t>
      </w:r>
    </w:p>
    <w:p w14:paraId="5BE38AD2">
      <w:pPr>
        <w:pStyle w:val="67"/>
        <w:numPr>
          <w:ilvl w:val="0"/>
          <w:numId w:val="26"/>
        </w:numPr>
        <w:overflowPunct w:val="0"/>
        <w:autoSpaceDE w:val="0"/>
        <w:autoSpaceDN w:val="0"/>
        <w:adjustRightInd w:val="0"/>
        <w:snapToGrid w:val="0"/>
        <w:spacing w:before="120" w:beforeLines="50" w:after="120" w:afterLines="50" w:line="300" w:lineRule="auto"/>
        <w:ind w:left="567" w:hanging="425"/>
        <w:jc w:val="left"/>
        <w:rPr>
          <w:rFonts w:hAnsi="Times New Roman" w:eastAsia="宋体" w:cs="Times New Roman"/>
          <w:color w:val="auto"/>
        </w:rPr>
      </w:pPr>
      <w:r>
        <w:rPr>
          <w:rFonts w:hAnsi="Times New Roman" w:cs="Times New Roman"/>
          <w:color w:val="auto"/>
        </w:rPr>
        <w:t>TG &gt; 5.7 mmol/L;</w:t>
      </w:r>
    </w:p>
    <w:p w14:paraId="43518091">
      <w:pPr>
        <w:pStyle w:val="67"/>
        <w:numPr>
          <w:ilvl w:val="0"/>
          <w:numId w:val="26"/>
        </w:numPr>
        <w:overflowPunct w:val="0"/>
        <w:autoSpaceDE w:val="0"/>
        <w:autoSpaceDN w:val="0"/>
        <w:adjustRightInd w:val="0"/>
        <w:snapToGrid w:val="0"/>
        <w:spacing w:before="120" w:beforeLines="50" w:after="120" w:afterLines="50" w:line="300" w:lineRule="auto"/>
        <w:ind w:left="567" w:hanging="425"/>
        <w:jc w:val="left"/>
        <w:rPr>
          <w:rFonts w:hAnsi="Times New Roman" w:eastAsia="宋体" w:cs="Times New Roman"/>
          <w:color w:val="auto"/>
        </w:rPr>
      </w:pPr>
      <w:r>
        <w:rPr>
          <w:rFonts w:hAnsi="Times New Roman" w:cs="Times New Roman"/>
          <w:color w:val="auto"/>
        </w:rPr>
        <w:t>ALT ≥ 2.5 × ULN, AST ≥ 2.5 × ULN, or total bilirubin ≥ 1.5 × ULN;</w:t>
      </w:r>
    </w:p>
    <w:p w14:paraId="28BE1232">
      <w:pPr>
        <w:pStyle w:val="67"/>
        <w:numPr>
          <w:ilvl w:val="0"/>
          <w:numId w:val="26"/>
        </w:numPr>
        <w:overflowPunct w:val="0"/>
        <w:autoSpaceDE w:val="0"/>
        <w:autoSpaceDN w:val="0"/>
        <w:adjustRightInd w:val="0"/>
        <w:snapToGrid w:val="0"/>
        <w:spacing w:before="120" w:beforeLines="50" w:after="120" w:afterLines="50" w:line="300" w:lineRule="auto"/>
        <w:ind w:left="567" w:hanging="425"/>
        <w:jc w:val="left"/>
        <w:rPr>
          <w:rFonts w:hAnsi="Times New Roman" w:eastAsia="宋体" w:cs="Times New Roman"/>
          <w:color w:val="auto"/>
        </w:rPr>
      </w:pPr>
      <w:r>
        <w:rPr>
          <w:rFonts w:hAnsi="Times New Roman" w:cs="Times New Roman"/>
          <w:color w:val="auto"/>
          <w:spacing w:val="-4"/>
        </w:rPr>
        <w:t>Estimated glomerular filtration rate (eGFR) &lt; 60 mL/min/1.73 m</w:t>
      </w:r>
      <w:r>
        <w:rPr>
          <w:rFonts w:hAnsi="Times New Roman" w:cs="Times New Roman"/>
          <w:color w:val="auto"/>
          <w:spacing w:val="-4"/>
          <w:vertAlign w:val="superscript"/>
        </w:rPr>
        <w:t>2</w:t>
      </w:r>
      <w:r>
        <w:rPr>
          <w:rFonts w:hAnsi="Times New Roman" w:cs="Times New Roman"/>
          <w:color w:val="auto"/>
          <w:spacing w:val="-4"/>
        </w:rPr>
        <w:t xml:space="preserve"> (calculated using the CKD-E</w:t>
      </w:r>
      <w:r>
        <w:rPr>
          <w:rFonts w:hAnsi="Times New Roman" w:cs="Times New Roman"/>
          <w:color w:val="auto"/>
        </w:rPr>
        <w:t xml:space="preserve">PI equation based on serum creatinine, see </w:t>
      </w:r>
      <w:r>
        <w:rPr>
          <w:rFonts w:hAnsi="Times New Roman" w:cs="Times New Roman"/>
          <w:color w:val="0000FF"/>
        </w:rPr>
        <w:fldChar w:fldCharType="begin"/>
      </w:r>
      <w:r>
        <w:rPr>
          <w:rFonts w:hAnsi="Times New Roman" w:cs="Times New Roman"/>
          <w:color w:val="0000FF"/>
        </w:rPr>
        <w:instrText xml:space="preserve"> REF F5 \h  \* MERGEFORMAT </w:instrText>
      </w:r>
      <w:r>
        <w:rPr>
          <w:rFonts w:hAnsi="Times New Roman" w:cs="Times New Roman"/>
          <w:color w:val="0000FF"/>
        </w:rPr>
        <w:fldChar w:fldCharType="separate"/>
      </w:r>
      <w:r>
        <w:rPr>
          <w:rFonts w:hAnsi="Times New Roman"/>
          <w:color w:val="0000FF"/>
        </w:rPr>
        <w:t>Appendix 5</w:t>
      </w:r>
      <w:r>
        <w:rPr>
          <w:rFonts w:hAnsi="Times New Roman" w:cs="Times New Roman"/>
          <w:color w:val="0000FF"/>
        </w:rPr>
        <w:fldChar w:fldCharType="end"/>
      </w:r>
      <w:r>
        <w:rPr>
          <w:rFonts w:hAnsi="Times New Roman" w:cs="Times New Roman"/>
          <w:color w:val="auto"/>
        </w:rPr>
        <w:t xml:space="preserve"> for details), or UACR ≥ 300 mg/g;</w:t>
      </w:r>
    </w:p>
    <w:p w14:paraId="1BB0FA76">
      <w:pPr>
        <w:pStyle w:val="67"/>
        <w:numPr>
          <w:ilvl w:val="0"/>
          <w:numId w:val="24"/>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Treatment with immunosuppressants (cyclosporine A, tacrolimus, mycophenolate, etc.), systemic glucocorticoids (intravenous, oral, intra-articular) within 12 weeks before screening;</w:t>
      </w:r>
    </w:p>
    <w:p w14:paraId="6F8534F1">
      <w:pPr>
        <w:pStyle w:val="67"/>
        <w:numPr>
          <w:ilvl w:val="0"/>
          <w:numId w:val="24"/>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Use of any medications or products within 12 weeks prior to screening that may cause weight instability, including but not limited to:</w:t>
      </w:r>
    </w:p>
    <w:p w14:paraId="644CE49B">
      <w:pPr>
        <w:pStyle w:val="67"/>
        <w:numPr>
          <w:ilvl w:val="0"/>
          <w:numId w:val="27"/>
        </w:numPr>
        <w:overflowPunct w:val="0"/>
        <w:autoSpaceDE w:val="0"/>
        <w:autoSpaceDN w:val="0"/>
        <w:adjustRightInd w:val="0"/>
        <w:snapToGrid w:val="0"/>
        <w:spacing w:before="120" w:beforeLines="50" w:after="120" w:afterLines="50" w:line="300" w:lineRule="auto"/>
        <w:ind w:left="567" w:hanging="425"/>
        <w:jc w:val="left"/>
        <w:rPr>
          <w:rFonts w:hAnsi="Times New Roman" w:eastAsia="宋体" w:cs="Times New Roman"/>
          <w:color w:val="auto"/>
        </w:rPr>
      </w:pPr>
      <w:r>
        <w:rPr>
          <w:rFonts w:hAnsi="Times New Roman" w:cs="Times New Roman"/>
          <w:color w:val="auto"/>
        </w:rPr>
        <w:t>Any approved or unapproved weight-loss drugs or Chinese herbal medicines, health care products, and meal replacements that affect body weight;</w:t>
      </w:r>
    </w:p>
    <w:p w14:paraId="739C42AE">
      <w:pPr>
        <w:pStyle w:val="67"/>
        <w:numPr>
          <w:ilvl w:val="0"/>
          <w:numId w:val="27"/>
        </w:numPr>
        <w:overflowPunct w:val="0"/>
        <w:autoSpaceDE w:val="0"/>
        <w:autoSpaceDN w:val="0"/>
        <w:adjustRightInd w:val="0"/>
        <w:snapToGrid w:val="0"/>
        <w:spacing w:before="120" w:beforeLines="50" w:after="120" w:afterLines="50" w:line="300" w:lineRule="auto"/>
        <w:ind w:left="567" w:hanging="425"/>
        <w:jc w:val="left"/>
        <w:rPr>
          <w:rFonts w:hAnsi="Times New Roman" w:eastAsia="宋体" w:cs="Times New Roman"/>
          <w:color w:val="auto"/>
        </w:rPr>
      </w:pPr>
      <w:r>
        <w:rPr>
          <w:rFonts w:hAnsi="Times New Roman" w:cs="Times New Roman"/>
          <w:color w:val="auto"/>
        </w:rPr>
        <w:t>Any GLP-1 receptor agonist (GLP-1RA), GLP-1 related multi-target agonists (e.g., dual GLP-1/glucose-dependent insulinotropic polypeptide [GIP] receptor agonist, GLP-1 receptor/glucagon receptor [GCGR] dual agonist, and triple GLP-1/GIP/GCG receptor agonist), or combination products containing GLP-1RA;</w:t>
      </w:r>
    </w:p>
    <w:p w14:paraId="4CB7016D">
      <w:pPr>
        <w:pStyle w:val="67"/>
        <w:pageBreakBefore/>
        <w:numPr>
          <w:ilvl w:val="0"/>
          <w:numId w:val="27"/>
        </w:numPr>
        <w:overflowPunct w:val="0"/>
        <w:autoSpaceDE w:val="0"/>
        <w:autoSpaceDN w:val="0"/>
        <w:adjustRightInd w:val="0"/>
        <w:snapToGrid w:val="0"/>
        <w:spacing w:before="120" w:beforeLines="50" w:after="120" w:afterLines="50" w:line="300" w:lineRule="auto"/>
        <w:ind w:left="567" w:hanging="425"/>
        <w:jc w:val="left"/>
        <w:rPr>
          <w:rFonts w:hAnsi="Times New Roman" w:eastAsia="宋体" w:cs="Times New Roman"/>
          <w:color w:val="auto"/>
        </w:rPr>
      </w:pPr>
      <w:r>
        <w:rPr>
          <w:rFonts w:hAnsi="Times New Roman" w:cs="Times New Roman"/>
          <w:color w:val="auto"/>
        </w:rPr>
        <w:t>growth hormone, antipsychotic or antiepileptic drugs (e.g., amitriptyline, maprotiline, clomipramine, imipramine, doxepin, fluoxetine, paroxetine, duloxetine, citalopram, escitalopram, mirtazapine, sertraline, chlorpromazine, clozapine, olanzapine, valproic acid, valproic acid derivatives, lithium, and bupropion), etc.;</w:t>
      </w:r>
    </w:p>
    <w:p w14:paraId="302D49E8">
      <w:pPr>
        <w:pStyle w:val="67"/>
        <w:numPr>
          <w:ilvl w:val="0"/>
          <w:numId w:val="24"/>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Previous surgery or treatment for the purpose of weight loss or plan to have such surgery or treatment during the study (except for acupuncture for weight loss, liposuction, and abdominal liposuction more than 1 year from the time of screening);</w:t>
      </w:r>
    </w:p>
    <w:p w14:paraId="54790BE4">
      <w:pPr>
        <w:pStyle w:val="67"/>
        <w:numPr>
          <w:ilvl w:val="0"/>
          <w:numId w:val="24"/>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Allergic constitution (allergy to multiple drugs or foods), or known allergy to acetaminophen (group B-1 only, if applicable), RAY1225, GLP-1 receptor agonists, and GLP-1 related drugs, or history of severe drug hypersensitivity (including but not limited to erythema multiforme, linear immunoglobulin A skin disease, toxic epidermal necrolysis, immediate hypersensitivity, angioedema, or exfoliative dermatitis), or previous severe atopic disease [e.g., asthma, severe pollen allergy requiring regular treatment or severe eczema (i.e., use of antihistamines and/or glucocorticoids more than 3 times weekly)];</w:t>
      </w:r>
    </w:p>
    <w:p w14:paraId="42CA1606">
      <w:pPr>
        <w:pStyle w:val="67"/>
        <w:numPr>
          <w:ilvl w:val="0"/>
          <w:numId w:val="24"/>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Subjects who are not suitable for subcutaneous injection (trauma, surgery, allergy, or skin lesions), or are unable to tolerate venepuncture, or have a history of fear of needles or blood;</w:t>
      </w:r>
    </w:p>
    <w:p w14:paraId="5DBBC91B">
      <w:pPr>
        <w:pStyle w:val="67"/>
        <w:numPr>
          <w:ilvl w:val="0"/>
          <w:numId w:val="24"/>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History of drug abuse or addiction;</w:t>
      </w:r>
    </w:p>
    <w:p w14:paraId="081F045A">
      <w:pPr>
        <w:pStyle w:val="67"/>
        <w:numPr>
          <w:ilvl w:val="0"/>
          <w:numId w:val="24"/>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Average daily alcohol consumption &gt; 25 g (equivalent to 580 mL of beer, 250 mL of wine, or 75 mL of distilled spirits) for men and &gt; 15 g (equivalent to 350 mL of beer, 150 mL of wine, or 45 mL of distilled spirits) for women within 12 weeks prior to screening;</w:t>
      </w:r>
    </w:p>
    <w:p w14:paraId="28F6A79F">
      <w:pPr>
        <w:pStyle w:val="67"/>
        <w:numPr>
          <w:ilvl w:val="0"/>
          <w:numId w:val="24"/>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Female subjects who are breastfeeding or have a positive pregnancy test result;</w:t>
      </w:r>
    </w:p>
    <w:p w14:paraId="198937B6">
      <w:pPr>
        <w:pStyle w:val="67"/>
        <w:numPr>
          <w:ilvl w:val="0"/>
          <w:numId w:val="24"/>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Subjects who have participated in clinical studies of other drugs within 12 weeks or 5 drug half-lives (whichever is longer) prior to screening;</w:t>
      </w:r>
    </w:p>
    <w:p w14:paraId="62FF8398">
      <w:pPr>
        <w:pStyle w:val="67"/>
        <w:numPr>
          <w:ilvl w:val="0"/>
          <w:numId w:val="24"/>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Have any other condition that, in the judgment of the investigator, may affect the completion of the trial or the assessment of study data, or is otherwise inappropriate for participation in this study.</w:t>
      </w:r>
    </w:p>
    <w:p w14:paraId="7E58A647">
      <w:pPr>
        <w:pStyle w:val="5"/>
      </w:pPr>
      <w:bookmarkStart w:id="158" w:name="_Toc159596241"/>
      <w:bookmarkStart w:id="159" w:name="_Toc29686"/>
      <w:bookmarkStart w:id="160" w:name="_Toc14332"/>
      <w:bookmarkStart w:id="161" w:name="_Toc32746"/>
      <w:bookmarkStart w:id="162" w:name="_Toc454282526"/>
      <w:bookmarkStart w:id="163" w:name="_Toc492906510"/>
      <w:bookmarkStart w:id="164" w:name="_Toc10982"/>
      <w:bookmarkStart w:id="165" w:name="_Toc11680"/>
      <w:bookmarkStart w:id="166" w:name="_Toc16323"/>
      <w:bookmarkStart w:id="167" w:name="OLE_LINK3"/>
      <w:r>
        <w:t>Screening Failure</w:t>
      </w:r>
      <w:bookmarkEnd w:id="158"/>
    </w:p>
    <w:p w14:paraId="48938D0F">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Screening failure occurs when a subject who has agreed to participate in the study and signed the informed consent form (ICF) is not randomized into any study group. The following information shall be entered on the electronic case report form (eCRF): date of signing the ICF, subject's demographic information, details of failing eligibility criteria, or reason for screening failure.</w:t>
      </w:r>
    </w:p>
    <w:p w14:paraId="1BF28D45">
      <w:pPr>
        <w:pStyle w:val="58"/>
        <w:pageBreakBefore/>
        <w:overflowPunct w:val="0"/>
        <w:autoSpaceDE w:val="0"/>
        <w:autoSpaceDN w:val="0"/>
        <w:adjustRightInd w:val="0"/>
        <w:snapToGrid w:val="0"/>
        <w:spacing w:before="120" w:beforeLines="50" w:after="120" w:afterLines="50" w:line="300" w:lineRule="auto"/>
        <w:ind w:firstLine="0"/>
        <w:jc w:val="left"/>
        <w:rPr>
          <w:color w:val="auto"/>
        </w:rPr>
      </w:pPr>
      <w:r>
        <w:rPr>
          <w:color w:val="auto"/>
        </w:rPr>
        <w:t>Subjects who fail the first screening and meet the requirements of the protocol after evaluation may be rescreened once at the investigator's discretion with due consideration for the subject's safety. Subjects may participate in this study if they meet all of the inclusion criteria and none of the exclusion criteria. A rescreened subject will be considered a new subject and shall be re-consented and re-entered into the screening process, and the rescreened subject will receive a new screening number. Each subject is allowed to be rescreened only once.</w:t>
      </w:r>
    </w:p>
    <w:p w14:paraId="29EFFE49">
      <w:pPr>
        <w:pStyle w:val="5"/>
      </w:pPr>
      <w:bookmarkStart w:id="168" w:name="_Toc159596242"/>
      <w:r>
        <w:t>Withdrawal of Subjects</w:t>
      </w:r>
      <w:bookmarkEnd w:id="159"/>
      <w:bookmarkEnd w:id="160"/>
      <w:bookmarkEnd w:id="161"/>
      <w:bookmarkEnd w:id="162"/>
      <w:bookmarkEnd w:id="163"/>
      <w:bookmarkEnd w:id="168"/>
    </w:p>
    <w:p w14:paraId="76FB002C">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Subjects who withdraw from the study during the screening period prior to randomization will be considered screening failures. Such cases must be recorded as screening failures in the source documents and no further follow-up is required.</w:t>
      </w:r>
    </w:p>
    <w:p w14:paraId="16428708">
      <w:pPr>
        <w:pStyle w:val="6"/>
        <w:rPr>
          <w:rFonts w:eastAsia="宋体"/>
        </w:rPr>
      </w:pPr>
      <w:bookmarkStart w:id="169" w:name="_Toc16569"/>
      <w:bookmarkStart w:id="170" w:name="_Toc23325"/>
      <w:bookmarkStart w:id="171" w:name="_Toc11299"/>
      <w:bookmarkStart w:id="172" w:name="_Toc159596243"/>
      <w:r>
        <w:t>Reasons</w:t>
      </w:r>
      <w:bookmarkEnd w:id="169"/>
      <w:bookmarkEnd w:id="170"/>
      <w:bookmarkEnd w:id="171"/>
      <w:bookmarkEnd w:id="172"/>
    </w:p>
    <w:p w14:paraId="1142F8E1">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All subjects who have signed the ICF and passed the screen for eligibility for randomization may request withdrawal from the study at any time during the study (including discontinuation of the study drugs and related study assessment). Reasons including:</w:t>
      </w:r>
    </w:p>
    <w:p w14:paraId="6538C9E2">
      <w:pPr>
        <w:pStyle w:val="21"/>
        <w:numPr>
          <w:ilvl w:val="2"/>
          <w:numId w:val="28"/>
        </w:numPr>
        <w:overflowPunct w:val="0"/>
        <w:autoSpaceDE w:val="0"/>
        <w:autoSpaceDN w:val="0"/>
        <w:adjustRightInd w:val="0"/>
        <w:snapToGrid w:val="0"/>
        <w:spacing w:before="120" w:beforeLines="50" w:after="120" w:afterLines="50" w:line="300" w:lineRule="auto"/>
        <w:ind w:left="851" w:firstLineChars="0"/>
        <w:jc w:val="left"/>
        <w:rPr>
          <w:rFonts w:ascii="Times New Roman" w:hAnsi="Times New Roman" w:eastAsia="宋体"/>
          <w:color w:val="auto"/>
          <w:kern w:val="2"/>
          <w:szCs w:val="24"/>
          <w:u w:color="000000"/>
        </w:rPr>
      </w:pPr>
      <w:r>
        <w:rPr>
          <w:rFonts w:ascii="Times New Roman" w:hAnsi="Times New Roman"/>
          <w:color w:val="auto"/>
          <w:szCs w:val="24"/>
          <w:u w:color="000000"/>
        </w:rPr>
        <w:t>The subject develops intolerable adverse events during the study, and the investigator believes that continuing to receive the study drug will pose a greater risk to the subject;</w:t>
      </w:r>
    </w:p>
    <w:p w14:paraId="4EA5D6CA">
      <w:pPr>
        <w:pStyle w:val="21"/>
        <w:numPr>
          <w:ilvl w:val="2"/>
          <w:numId w:val="28"/>
        </w:numPr>
        <w:overflowPunct w:val="0"/>
        <w:autoSpaceDE w:val="0"/>
        <w:autoSpaceDN w:val="0"/>
        <w:adjustRightInd w:val="0"/>
        <w:snapToGrid w:val="0"/>
        <w:spacing w:before="120" w:beforeLines="50" w:after="120" w:afterLines="50" w:line="300" w:lineRule="auto"/>
        <w:ind w:left="851" w:firstLineChars="0"/>
        <w:jc w:val="left"/>
        <w:rPr>
          <w:rFonts w:ascii="Times New Roman" w:hAnsi="Times New Roman" w:eastAsia="宋体"/>
          <w:color w:val="auto"/>
          <w:kern w:val="2"/>
          <w:szCs w:val="24"/>
          <w:u w:color="000000"/>
        </w:rPr>
      </w:pPr>
      <w:r>
        <w:rPr>
          <w:rFonts w:ascii="Times New Roman" w:hAnsi="Times New Roman"/>
          <w:color w:val="auto"/>
          <w:szCs w:val="24"/>
          <w:u w:color="000000"/>
        </w:rPr>
        <w:t>The subject develops unacceptable risks during the study that are assessed as requiring discontinuation of the investigational products, such as suspected or confirmed pancreatitis, thyroid C-cell tumor, proliferative retinopathy or macular edema, serious hypersensitivity reactions, pregnancy events, or other serious risks assessed by the investigator;</w:t>
      </w:r>
    </w:p>
    <w:p w14:paraId="4B2DEE9B">
      <w:pPr>
        <w:pStyle w:val="21"/>
        <w:numPr>
          <w:ilvl w:val="2"/>
          <w:numId w:val="28"/>
        </w:numPr>
        <w:overflowPunct w:val="0"/>
        <w:autoSpaceDE w:val="0"/>
        <w:autoSpaceDN w:val="0"/>
        <w:adjustRightInd w:val="0"/>
        <w:snapToGrid w:val="0"/>
        <w:spacing w:before="120" w:beforeLines="50" w:after="120" w:afterLines="50" w:line="300" w:lineRule="auto"/>
        <w:ind w:left="851" w:firstLineChars="0"/>
        <w:jc w:val="left"/>
        <w:rPr>
          <w:rFonts w:ascii="Times New Roman" w:hAnsi="Times New Roman" w:eastAsia="宋体"/>
          <w:color w:val="auto"/>
          <w:kern w:val="2"/>
          <w:szCs w:val="24"/>
          <w:u w:color="000000"/>
        </w:rPr>
      </w:pPr>
      <w:r>
        <w:rPr>
          <w:rFonts w:ascii="Times New Roman" w:hAnsi="Times New Roman"/>
          <w:color w:val="auto"/>
          <w:szCs w:val="24"/>
          <w:u w:color="000000"/>
        </w:rPr>
        <w:t>The subject develops other diseases during the study that affect the efficacy and safety determination;</w:t>
      </w:r>
    </w:p>
    <w:p w14:paraId="3C278760">
      <w:pPr>
        <w:pStyle w:val="21"/>
        <w:numPr>
          <w:ilvl w:val="2"/>
          <w:numId w:val="28"/>
        </w:numPr>
        <w:overflowPunct w:val="0"/>
        <w:autoSpaceDE w:val="0"/>
        <w:autoSpaceDN w:val="0"/>
        <w:adjustRightInd w:val="0"/>
        <w:snapToGrid w:val="0"/>
        <w:spacing w:before="120" w:beforeLines="50" w:after="120" w:afterLines="50" w:line="300" w:lineRule="auto"/>
        <w:ind w:left="851" w:firstLineChars="0"/>
        <w:jc w:val="left"/>
        <w:rPr>
          <w:rFonts w:ascii="Times New Roman" w:hAnsi="Times New Roman" w:eastAsia="宋体"/>
          <w:color w:val="auto"/>
          <w:kern w:val="2"/>
          <w:szCs w:val="24"/>
          <w:u w:color="000000"/>
        </w:rPr>
      </w:pPr>
      <w:r>
        <w:rPr>
          <w:rFonts w:ascii="Times New Roman" w:hAnsi="Times New Roman"/>
          <w:color w:val="auto"/>
          <w:szCs w:val="24"/>
          <w:u w:color="000000"/>
        </w:rPr>
        <w:t>The subject has poor compliance and is not suitable to continue the study;</w:t>
      </w:r>
    </w:p>
    <w:p w14:paraId="53814A43">
      <w:pPr>
        <w:pStyle w:val="21"/>
        <w:numPr>
          <w:ilvl w:val="2"/>
          <w:numId w:val="28"/>
        </w:numPr>
        <w:overflowPunct w:val="0"/>
        <w:autoSpaceDE w:val="0"/>
        <w:autoSpaceDN w:val="0"/>
        <w:adjustRightInd w:val="0"/>
        <w:snapToGrid w:val="0"/>
        <w:spacing w:before="120" w:beforeLines="50" w:after="120" w:afterLines="50" w:line="300" w:lineRule="auto"/>
        <w:ind w:left="851" w:firstLineChars="0"/>
        <w:jc w:val="left"/>
        <w:rPr>
          <w:rFonts w:ascii="Times New Roman" w:hAnsi="Times New Roman" w:eastAsia="宋体"/>
          <w:color w:val="auto"/>
          <w:kern w:val="2"/>
          <w:szCs w:val="24"/>
          <w:u w:color="000000"/>
        </w:rPr>
      </w:pPr>
      <w:r>
        <w:rPr>
          <w:rFonts w:ascii="Times New Roman" w:hAnsi="Times New Roman"/>
          <w:color w:val="auto"/>
          <w:szCs w:val="24"/>
          <w:u w:color="000000"/>
        </w:rPr>
        <w:t>The subject is lost to follow-up (</w:t>
      </w:r>
      <w:r>
        <w:rPr>
          <w:rFonts w:ascii="Times New Roman" w:hAnsi="Times New Roman"/>
          <w:color w:val="auto"/>
          <w:szCs w:val="24"/>
        </w:rPr>
        <w:t>the investigator must make appropriate efforts to reach the lost to follow-up subject, with a minimum of 3 telephone contacts</w:t>
      </w:r>
      <w:r>
        <w:rPr>
          <w:rFonts w:ascii="Times New Roman" w:hAnsi="Times New Roman"/>
          <w:color w:val="auto"/>
          <w:szCs w:val="24"/>
          <w:u w:color="000000"/>
        </w:rPr>
        <w:t>);</w:t>
      </w:r>
    </w:p>
    <w:p w14:paraId="220AC4C2">
      <w:pPr>
        <w:pStyle w:val="21"/>
        <w:numPr>
          <w:ilvl w:val="2"/>
          <w:numId w:val="28"/>
        </w:numPr>
        <w:overflowPunct w:val="0"/>
        <w:autoSpaceDE w:val="0"/>
        <w:autoSpaceDN w:val="0"/>
        <w:adjustRightInd w:val="0"/>
        <w:snapToGrid w:val="0"/>
        <w:spacing w:before="120" w:beforeLines="50" w:after="120" w:afterLines="50" w:line="300" w:lineRule="auto"/>
        <w:ind w:left="851" w:firstLineChars="0"/>
        <w:jc w:val="left"/>
        <w:rPr>
          <w:rFonts w:ascii="Times New Roman" w:hAnsi="Times New Roman" w:eastAsia="宋体"/>
          <w:color w:val="auto"/>
          <w:kern w:val="2"/>
          <w:szCs w:val="24"/>
          <w:u w:color="000000"/>
        </w:rPr>
      </w:pPr>
      <w:r>
        <w:rPr>
          <w:rFonts w:ascii="Times New Roman" w:hAnsi="Times New Roman"/>
          <w:color w:val="auto"/>
          <w:szCs w:val="24"/>
          <w:u w:color="000000"/>
        </w:rPr>
        <w:t>The subject believes that the treatment effect is poor and is unwilling to continue the study treatment;</w:t>
      </w:r>
    </w:p>
    <w:p w14:paraId="122B06D8">
      <w:pPr>
        <w:pStyle w:val="21"/>
        <w:numPr>
          <w:ilvl w:val="2"/>
          <w:numId w:val="28"/>
        </w:numPr>
        <w:overflowPunct w:val="0"/>
        <w:autoSpaceDE w:val="0"/>
        <w:autoSpaceDN w:val="0"/>
        <w:adjustRightInd w:val="0"/>
        <w:snapToGrid w:val="0"/>
        <w:spacing w:before="120" w:beforeLines="50" w:after="120" w:afterLines="50" w:line="300" w:lineRule="auto"/>
        <w:ind w:left="851" w:firstLineChars="0"/>
        <w:jc w:val="left"/>
        <w:rPr>
          <w:rFonts w:ascii="Times New Roman" w:hAnsi="Times New Roman" w:eastAsia="宋体"/>
          <w:color w:val="auto"/>
          <w:kern w:val="2"/>
          <w:szCs w:val="24"/>
          <w:u w:color="000000"/>
        </w:rPr>
      </w:pPr>
      <w:r>
        <w:rPr>
          <w:rFonts w:ascii="Times New Roman" w:hAnsi="Times New Roman"/>
          <w:color w:val="auto"/>
          <w:szCs w:val="24"/>
          <w:u w:color="000000"/>
        </w:rPr>
        <w:t>The subject believes the safety is poor and is unwilling to continue the study treatment;</w:t>
      </w:r>
    </w:p>
    <w:p w14:paraId="5D9F2F06">
      <w:pPr>
        <w:pStyle w:val="21"/>
        <w:numPr>
          <w:ilvl w:val="2"/>
          <w:numId w:val="28"/>
        </w:numPr>
        <w:overflowPunct w:val="0"/>
        <w:autoSpaceDE w:val="0"/>
        <w:autoSpaceDN w:val="0"/>
        <w:adjustRightInd w:val="0"/>
        <w:snapToGrid w:val="0"/>
        <w:spacing w:before="120" w:beforeLines="50" w:after="120" w:afterLines="50" w:line="300" w:lineRule="auto"/>
        <w:ind w:left="851" w:firstLineChars="0"/>
        <w:jc w:val="left"/>
        <w:rPr>
          <w:rFonts w:ascii="Times New Roman" w:hAnsi="Times New Roman" w:eastAsia="宋体"/>
          <w:color w:val="auto"/>
          <w:kern w:val="2"/>
          <w:szCs w:val="24"/>
          <w:u w:color="000000"/>
        </w:rPr>
      </w:pPr>
      <w:r>
        <w:rPr>
          <w:rFonts w:ascii="Times New Roman" w:hAnsi="Times New Roman"/>
          <w:color w:val="auto"/>
          <w:szCs w:val="24"/>
          <w:u w:color="000000"/>
        </w:rPr>
        <w:t>The subject requests withdrawal.</w:t>
      </w:r>
    </w:p>
    <w:p w14:paraId="17B24112">
      <w:pPr>
        <w:pStyle w:val="6"/>
        <w:rPr>
          <w:rFonts w:eastAsia="宋体"/>
        </w:rPr>
      </w:pPr>
      <w:bookmarkStart w:id="173" w:name="_Toc159596244"/>
      <w:bookmarkStart w:id="174" w:name="_Toc14731"/>
      <w:bookmarkStart w:id="175" w:name="_Toc10664"/>
      <w:bookmarkStart w:id="176" w:name="_Toc24421"/>
      <w:r>
        <w:t>Principle for handling subject withdrawals</w:t>
      </w:r>
      <w:bookmarkEnd w:id="173"/>
      <w:bookmarkEnd w:id="174"/>
      <w:bookmarkEnd w:id="175"/>
      <w:bookmarkEnd w:id="176"/>
    </w:p>
    <w:p w14:paraId="2C7716A6">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The handling of subjects withdrawn early shall follow the following principles:</w:t>
      </w:r>
    </w:p>
    <w:p w14:paraId="6FACA03D">
      <w:pPr>
        <w:pStyle w:val="58"/>
        <w:numPr>
          <w:ilvl w:val="0"/>
          <w:numId w:val="29"/>
        </w:numPr>
        <w:overflowPunct w:val="0"/>
        <w:autoSpaceDE w:val="0"/>
        <w:autoSpaceDN w:val="0"/>
        <w:adjustRightInd w:val="0"/>
        <w:snapToGrid w:val="0"/>
        <w:spacing w:before="120" w:beforeLines="50" w:after="120" w:afterLines="50" w:line="300" w:lineRule="auto"/>
        <w:jc w:val="left"/>
        <w:rPr>
          <w:color w:val="auto"/>
          <w:kern w:val="0"/>
        </w:rPr>
      </w:pPr>
      <w:r>
        <w:rPr>
          <w:color w:val="auto"/>
        </w:rPr>
        <w:t>The investigator shall try their best to meet the subject in person and learn from the subject about the cause of his/her withdrawal and occurrence of AE, if any. The reasons for early withdrawal of subjects shall be described in detail and recorded;</w:t>
      </w:r>
    </w:p>
    <w:p w14:paraId="4C8C3E5E">
      <w:pPr>
        <w:pStyle w:val="58"/>
        <w:numPr>
          <w:ilvl w:val="0"/>
          <w:numId w:val="29"/>
        </w:numPr>
        <w:overflowPunct w:val="0"/>
        <w:autoSpaceDE w:val="0"/>
        <w:autoSpaceDN w:val="0"/>
        <w:adjustRightInd w:val="0"/>
        <w:snapToGrid w:val="0"/>
        <w:spacing w:before="120" w:beforeLines="50" w:after="120" w:afterLines="50" w:line="300" w:lineRule="auto"/>
        <w:jc w:val="left"/>
        <w:rPr>
          <w:color w:val="auto"/>
        </w:rPr>
      </w:pPr>
      <w:r>
        <w:rPr>
          <w:color w:val="auto"/>
        </w:rPr>
        <w:t>Subjects who withdraw early from the study are required to undergo appropriate visit examinations as far as possible according to the protocol, including early withdrawal visit at 4 weeks (± 3 days) after the last dose; in addition, efficacy endpoints such as HbA1c, fasting plasma glucose, lipid profile, blood pressure, body weight, waist circumference, and hip circumference should be performed at 24 weeks (± 3 days) after the first dose as far as possible;</w:t>
      </w:r>
    </w:p>
    <w:p w14:paraId="3B417FE1">
      <w:pPr>
        <w:pStyle w:val="58"/>
        <w:numPr>
          <w:ilvl w:val="0"/>
          <w:numId w:val="29"/>
        </w:numPr>
        <w:overflowPunct w:val="0"/>
        <w:autoSpaceDE w:val="0"/>
        <w:autoSpaceDN w:val="0"/>
        <w:adjustRightInd w:val="0"/>
        <w:snapToGrid w:val="0"/>
        <w:spacing w:before="120" w:beforeLines="50" w:after="120" w:afterLines="50" w:line="300" w:lineRule="auto"/>
        <w:jc w:val="left"/>
        <w:rPr>
          <w:color w:val="auto"/>
        </w:rPr>
      </w:pPr>
      <w:r>
        <w:rPr>
          <w:color w:val="auto"/>
        </w:rPr>
        <w:t>Subjects who are randomized but early withdraw from the study for any reason before taking the study drug do not need to undergo the "early withdrawal examination";</w:t>
      </w:r>
    </w:p>
    <w:p w14:paraId="5AD3AB82">
      <w:pPr>
        <w:pStyle w:val="58"/>
        <w:numPr>
          <w:ilvl w:val="0"/>
          <w:numId w:val="29"/>
        </w:numPr>
        <w:overflowPunct w:val="0"/>
        <w:autoSpaceDE w:val="0"/>
        <w:autoSpaceDN w:val="0"/>
        <w:adjustRightInd w:val="0"/>
        <w:snapToGrid w:val="0"/>
        <w:spacing w:before="120" w:beforeLines="50" w:after="120" w:afterLines="50" w:line="300" w:lineRule="auto"/>
        <w:jc w:val="left"/>
        <w:rPr>
          <w:color w:val="auto"/>
        </w:rPr>
      </w:pPr>
      <w:r>
        <w:rPr>
          <w:color w:val="auto"/>
        </w:rPr>
        <w:t>The investigator shall confirm the health status of subjects and give suggestions on the subsequent hypoglycemic regimen;</w:t>
      </w:r>
    </w:p>
    <w:p w14:paraId="71828C4E">
      <w:pPr>
        <w:pStyle w:val="58"/>
        <w:numPr>
          <w:ilvl w:val="0"/>
          <w:numId w:val="29"/>
        </w:numPr>
        <w:overflowPunct w:val="0"/>
        <w:autoSpaceDE w:val="0"/>
        <w:autoSpaceDN w:val="0"/>
        <w:adjustRightInd w:val="0"/>
        <w:snapToGrid w:val="0"/>
        <w:spacing w:before="120" w:beforeLines="50" w:after="120" w:afterLines="50" w:line="300" w:lineRule="auto"/>
        <w:jc w:val="left"/>
        <w:rPr>
          <w:color w:val="auto"/>
        </w:rPr>
      </w:pPr>
      <w:r>
        <w:rPr>
          <w:color w:val="auto"/>
        </w:rPr>
        <w:t>For unacceptable risks (such as suspected or confirmed pancreatitis, thyroid C-cell tumor, proliferative retinopathy or macular edema, serious hypersensitivity reactions, and pregnancy events), the investigator shall perform timely, reasonable, and comprehensive examinations according to clinical practice or referring to the risk management manual provided by the sponsor to clearly rule out the relevant diseases; if a disease is confirmed, active and complete treatment and subsequent follow-up shall be performed.</w:t>
      </w:r>
    </w:p>
    <w:p w14:paraId="17F859AB">
      <w:pPr>
        <w:pStyle w:val="58"/>
        <w:numPr>
          <w:ilvl w:val="0"/>
          <w:numId w:val="29"/>
        </w:numPr>
        <w:overflowPunct w:val="0"/>
        <w:autoSpaceDE w:val="0"/>
        <w:autoSpaceDN w:val="0"/>
        <w:adjustRightInd w:val="0"/>
        <w:snapToGrid w:val="0"/>
        <w:spacing w:before="120" w:beforeLines="50" w:after="120" w:afterLines="50" w:line="300" w:lineRule="auto"/>
        <w:jc w:val="left"/>
        <w:rPr>
          <w:color w:val="auto"/>
        </w:rPr>
      </w:pPr>
      <w:r>
        <w:rPr>
          <w:color w:val="auto"/>
        </w:rPr>
        <w:t>If a subject is experiencing adverse events at the time of withdrawal, the subject shall be followed up until outcome, loss to follow-up, or 4 weeks after the last dose.</w:t>
      </w:r>
    </w:p>
    <w:p w14:paraId="384D79F5">
      <w:pPr>
        <w:pStyle w:val="5"/>
      </w:pPr>
      <w:bookmarkStart w:id="177" w:name="_Toc159596245"/>
      <w:r>
        <w:t>Study Suspension/Termination Criteria</w:t>
      </w:r>
      <w:bookmarkEnd w:id="177"/>
    </w:p>
    <w:p w14:paraId="0F4C7BF5">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The study may be suspended or prematurely terminated if there are sufficient justifiable reasons. The party suspending/terminating the study shall notify the subjects, investigator, sponsor, or regulatory authority and document the reasons for the suspension/termination of the study. The investigator will contact the subjects and inform them of changes in the scheduled visit time (if applicable). Circumstances that may require study suspension/termination include, but are not limited to:</w:t>
      </w:r>
    </w:p>
    <w:p w14:paraId="043C1237">
      <w:pPr>
        <w:pStyle w:val="21"/>
        <w:numPr>
          <w:ilvl w:val="0"/>
          <w:numId w:val="30"/>
        </w:numPr>
        <w:overflowPunct w:val="0"/>
        <w:autoSpaceDE w:val="0"/>
        <w:autoSpaceDN w:val="0"/>
        <w:adjustRightInd w:val="0"/>
        <w:snapToGrid w:val="0"/>
        <w:spacing w:before="120" w:beforeLines="50" w:after="120" w:afterLines="50" w:line="300" w:lineRule="auto"/>
        <w:ind w:left="854" w:hanging="428" w:firstLineChars="0"/>
        <w:jc w:val="left"/>
        <w:rPr>
          <w:rFonts w:ascii="Times New Roman" w:hAnsi="Times New Roman" w:eastAsia="宋体"/>
          <w:color w:val="auto"/>
          <w:kern w:val="2"/>
          <w:szCs w:val="24"/>
          <w:u w:color="000000"/>
        </w:rPr>
      </w:pPr>
      <w:r>
        <w:rPr>
          <w:rFonts w:ascii="Times New Roman" w:hAnsi="Times New Roman"/>
          <w:color w:val="auto"/>
          <w:szCs w:val="24"/>
          <w:u w:color="000000"/>
        </w:rPr>
        <w:t>Occurrence of serious safety events during the study for which the investigator considers it necessary to suspend/terminate the study;</w:t>
      </w:r>
    </w:p>
    <w:p w14:paraId="0F9381E7">
      <w:pPr>
        <w:pStyle w:val="21"/>
        <w:numPr>
          <w:ilvl w:val="0"/>
          <w:numId w:val="30"/>
        </w:numPr>
        <w:overflowPunct w:val="0"/>
        <w:autoSpaceDE w:val="0"/>
        <w:autoSpaceDN w:val="0"/>
        <w:adjustRightInd w:val="0"/>
        <w:snapToGrid w:val="0"/>
        <w:spacing w:before="120" w:beforeLines="50" w:after="120" w:afterLines="50" w:line="300" w:lineRule="auto"/>
        <w:ind w:left="854" w:hanging="428" w:firstLineChars="0"/>
        <w:jc w:val="left"/>
        <w:rPr>
          <w:rFonts w:ascii="Times New Roman" w:hAnsi="Times New Roman" w:eastAsia="宋体"/>
          <w:color w:val="auto"/>
          <w:kern w:val="2"/>
          <w:szCs w:val="24"/>
          <w:u w:color="000000"/>
        </w:rPr>
      </w:pPr>
      <w:r>
        <w:rPr>
          <w:rFonts w:ascii="Times New Roman" w:hAnsi="Times New Roman"/>
          <w:color w:val="auto"/>
          <w:szCs w:val="24"/>
          <w:u w:color="000000"/>
        </w:rPr>
        <w:t>Occurrence of events that seriously violate the clinical study protocol, GCP, or relevant laws and regulations during the study requiring suspension/termination of the study;</w:t>
      </w:r>
    </w:p>
    <w:p w14:paraId="28EB3E0E">
      <w:pPr>
        <w:pStyle w:val="21"/>
        <w:pageBreakBefore/>
        <w:numPr>
          <w:ilvl w:val="0"/>
          <w:numId w:val="30"/>
        </w:numPr>
        <w:overflowPunct w:val="0"/>
        <w:autoSpaceDE w:val="0"/>
        <w:autoSpaceDN w:val="0"/>
        <w:adjustRightInd w:val="0"/>
        <w:snapToGrid w:val="0"/>
        <w:spacing w:before="120" w:beforeLines="50" w:after="120" w:afterLines="50" w:line="300" w:lineRule="auto"/>
        <w:ind w:left="850" w:hanging="425" w:firstLineChars="0"/>
        <w:jc w:val="left"/>
        <w:rPr>
          <w:rFonts w:ascii="Times New Roman" w:hAnsi="Times New Roman" w:eastAsia="宋体"/>
          <w:color w:val="auto"/>
          <w:kern w:val="2"/>
          <w:szCs w:val="24"/>
          <w:u w:color="000000"/>
        </w:rPr>
      </w:pPr>
      <w:r>
        <w:rPr>
          <w:rFonts w:ascii="Times New Roman" w:hAnsi="Times New Roman"/>
          <w:color w:val="auto"/>
          <w:szCs w:val="24"/>
          <w:u w:color="000000"/>
        </w:rPr>
        <w:t>Suspension/termination requested by the sponsor under the premise of fully protecting the rights, interests, and safety of the subjects (for reasons such as funding, management, and efficacy);</w:t>
      </w:r>
    </w:p>
    <w:p w14:paraId="63B86F55">
      <w:pPr>
        <w:pStyle w:val="21"/>
        <w:numPr>
          <w:ilvl w:val="0"/>
          <w:numId w:val="30"/>
        </w:numPr>
        <w:overflowPunct w:val="0"/>
        <w:autoSpaceDE w:val="0"/>
        <w:autoSpaceDN w:val="0"/>
        <w:adjustRightInd w:val="0"/>
        <w:snapToGrid w:val="0"/>
        <w:spacing w:before="120" w:beforeLines="50" w:after="120" w:afterLines="50" w:line="300" w:lineRule="auto"/>
        <w:ind w:left="854" w:hanging="428" w:firstLineChars="0"/>
        <w:jc w:val="left"/>
        <w:rPr>
          <w:rFonts w:ascii="Times New Roman" w:hAnsi="Times New Roman" w:eastAsia="宋体"/>
          <w:color w:val="auto"/>
          <w:kern w:val="2"/>
          <w:szCs w:val="24"/>
          <w:u w:color="000000"/>
        </w:rPr>
      </w:pPr>
      <w:r>
        <w:rPr>
          <w:rFonts w:ascii="Times New Roman" w:hAnsi="Times New Roman"/>
          <w:color w:val="auto"/>
          <w:szCs w:val="24"/>
          <w:u w:color="000000"/>
        </w:rPr>
        <w:t>Suspension/termination of the study requested by the National Medical Products Administration or ethics committee due to certain reasons.</w:t>
      </w:r>
    </w:p>
    <w:p w14:paraId="3593FE53">
      <w:pPr>
        <w:pStyle w:val="5"/>
      </w:pPr>
      <w:bookmarkStart w:id="178" w:name="_Toc159596246"/>
      <w:r>
        <w:t>Removal Criteria</w:t>
      </w:r>
      <w:bookmarkEnd w:id="164"/>
      <w:bookmarkEnd w:id="165"/>
      <w:bookmarkEnd w:id="166"/>
      <w:bookmarkEnd w:id="178"/>
    </w:p>
    <w:p w14:paraId="099085F4">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In the case of the following circumstances, the principal investigator, the sponsor, and relevant responsible personnel of the statistical analysis agency will comprehensively judge whether to include the subject in or exclude the subject from the analysis population at the data review meeting before study database lock based on factors including the extent of study completion and the reason for withdrawal. The detailed criteria for the classification of each analysis population will be further specified in the statistical analysis plan (SAP).</w:t>
      </w:r>
    </w:p>
    <w:p w14:paraId="086FA647">
      <w:pPr>
        <w:pStyle w:val="58"/>
        <w:numPr>
          <w:ilvl w:val="0"/>
          <w:numId w:val="31"/>
        </w:numPr>
        <w:tabs>
          <w:tab w:val="left" w:pos="480"/>
        </w:tabs>
        <w:overflowPunct w:val="0"/>
        <w:autoSpaceDE w:val="0"/>
        <w:autoSpaceDN w:val="0"/>
        <w:adjustRightInd w:val="0"/>
        <w:snapToGrid w:val="0"/>
        <w:spacing w:before="120" w:beforeLines="50" w:after="120" w:afterLines="50" w:line="300" w:lineRule="auto"/>
        <w:jc w:val="left"/>
        <w:rPr>
          <w:color w:val="auto"/>
        </w:rPr>
      </w:pPr>
      <w:r>
        <w:rPr>
          <w:color w:val="auto"/>
        </w:rPr>
        <w:t>The subject shall not be enrolled because of failure to meet the inclusion/exclusion criteria.</w:t>
      </w:r>
    </w:p>
    <w:p w14:paraId="3E4AB3F5">
      <w:pPr>
        <w:pStyle w:val="58"/>
        <w:numPr>
          <w:ilvl w:val="0"/>
          <w:numId w:val="31"/>
        </w:numPr>
        <w:tabs>
          <w:tab w:val="left" w:pos="480"/>
        </w:tabs>
        <w:overflowPunct w:val="0"/>
        <w:autoSpaceDE w:val="0"/>
        <w:autoSpaceDN w:val="0"/>
        <w:adjustRightInd w:val="0"/>
        <w:snapToGrid w:val="0"/>
        <w:spacing w:before="120" w:beforeLines="50" w:after="120" w:afterLines="50" w:line="300" w:lineRule="auto"/>
        <w:jc w:val="left"/>
        <w:rPr>
          <w:color w:val="auto"/>
        </w:rPr>
      </w:pPr>
      <w:r>
        <w:rPr>
          <w:color w:val="auto"/>
        </w:rPr>
        <w:t>The subject cannot continue or complete the study as scheduled due to adverse events during the study.</w:t>
      </w:r>
    </w:p>
    <w:p w14:paraId="52E68064">
      <w:pPr>
        <w:pStyle w:val="58"/>
        <w:numPr>
          <w:ilvl w:val="0"/>
          <w:numId w:val="31"/>
        </w:numPr>
        <w:tabs>
          <w:tab w:val="left" w:pos="480"/>
        </w:tabs>
        <w:overflowPunct w:val="0"/>
        <w:autoSpaceDE w:val="0"/>
        <w:autoSpaceDN w:val="0"/>
        <w:adjustRightInd w:val="0"/>
        <w:snapToGrid w:val="0"/>
        <w:spacing w:before="120" w:beforeLines="50" w:after="120" w:afterLines="50" w:line="300" w:lineRule="auto"/>
        <w:jc w:val="left"/>
        <w:rPr>
          <w:color w:val="auto"/>
        </w:rPr>
      </w:pPr>
      <w:r>
        <w:rPr>
          <w:color w:val="auto"/>
        </w:rPr>
        <w:t>The subject fails to follow the study plan and has poor compliance during the study, such as not taking the investigational drug, failing to have samples collected for PK and safety evaluation as required by the protocol, or failing to provide data.</w:t>
      </w:r>
    </w:p>
    <w:p w14:paraId="6FD8539E">
      <w:pPr>
        <w:pStyle w:val="58"/>
        <w:numPr>
          <w:ilvl w:val="0"/>
          <w:numId w:val="31"/>
        </w:numPr>
        <w:tabs>
          <w:tab w:val="left" w:pos="480"/>
        </w:tabs>
        <w:overflowPunct w:val="0"/>
        <w:autoSpaceDE w:val="0"/>
        <w:autoSpaceDN w:val="0"/>
        <w:adjustRightInd w:val="0"/>
        <w:snapToGrid w:val="0"/>
        <w:spacing w:before="120" w:beforeLines="50" w:after="120" w:afterLines="50" w:line="300" w:lineRule="auto"/>
        <w:jc w:val="left"/>
        <w:rPr>
          <w:color w:val="auto"/>
        </w:rPr>
      </w:pPr>
      <w:r>
        <w:rPr>
          <w:color w:val="auto"/>
        </w:rPr>
        <w:t>During the study, the investigator determines that the subject shall discontinue the treatment due to other factors.</w:t>
      </w:r>
    </w:p>
    <w:bookmarkEnd w:id="167"/>
    <w:p w14:paraId="1D9BB3AF">
      <w:pPr>
        <w:pStyle w:val="3"/>
      </w:pPr>
      <w:bookmarkStart w:id="179" w:name="_Toc489119398"/>
      <w:bookmarkEnd w:id="179"/>
      <w:bookmarkStart w:id="180" w:name="_Toc489119405"/>
      <w:bookmarkEnd w:id="180"/>
      <w:bookmarkStart w:id="181" w:name="_Toc489119406"/>
      <w:bookmarkEnd w:id="181"/>
      <w:bookmarkStart w:id="182" w:name="_Toc489119400"/>
      <w:bookmarkEnd w:id="182"/>
      <w:bookmarkStart w:id="183" w:name="_Toc489119403"/>
      <w:bookmarkEnd w:id="183"/>
      <w:bookmarkStart w:id="184" w:name="_Toc489119402"/>
      <w:bookmarkEnd w:id="184"/>
      <w:bookmarkStart w:id="185" w:name="_Toc489119415"/>
      <w:bookmarkEnd w:id="185"/>
      <w:bookmarkStart w:id="186" w:name="_Toc489119397"/>
      <w:bookmarkEnd w:id="186"/>
      <w:bookmarkStart w:id="187" w:name="_Toc489119413"/>
      <w:bookmarkEnd w:id="187"/>
      <w:bookmarkStart w:id="188" w:name="_Toc489119412"/>
      <w:bookmarkEnd w:id="188"/>
      <w:bookmarkStart w:id="189" w:name="_Toc489119395"/>
      <w:bookmarkEnd w:id="189"/>
      <w:bookmarkStart w:id="190" w:name="_Toc489119404"/>
      <w:bookmarkEnd w:id="190"/>
      <w:bookmarkStart w:id="191" w:name="_Toc489119408"/>
      <w:bookmarkEnd w:id="191"/>
      <w:bookmarkStart w:id="192" w:name="_Toc489119407"/>
      <w:bookmarkEnd w:id="192"/>
      <w:bookmarkStart w:id="193" w:name="_Toc489119411"/>
      <w:bookmarkEnd w:id="193"/>
      <w:bookmarkStart w:id="194" w:name="_Toc489119401"/>
      <w:bookmarkEnd w:id="194"/>
      <w:bookmarkStart w:id="195" w:name="_Toc489119410"/>
      <w:bookmarkEnd w:id="195"/>
      <w:bookmarkStart w:id="196" w:name="_Toc489119414"/>
      <w:bookmarkEnd w:id="196"/>
      <w:bookmarkStart w:id="197" w:name="_Toc489119399"/>
      <w:bookmarkEnd w:id="197"/>
      <w:bookmarkStart w:id="198" w:name="_Toc489119396"/>
      <w:bookmarkEnd w:id="198"/>
      <w:bookmarkStart w:id="199" w:name="_Toc12370"/>
      <w:bookmarkStart w:id="200" w:name="_Toc159596247"/>
      <w:bookmarkStart w:id="201" w:name="_Toc22356"/>
      <w:bookmarkStart w:id="202" w:name="_Toc19252"/>
      <w:bookmarkStart w:id="203" w:name="_Toc493637978"/>
      <w:r>
        <w:t>INVESTIGATIONAL PRODUCTS AND DOSAGE REGIMEN</w:t>
      </w:r>
      <w:bookmarkEnd w:id="199"/>
      <w:bookmarkEnd w:id="200"/>
      <w:bookmarkEnd w:id="201"/>
      <w:bookmarkEnd w:id="202"/>
      <w:bookmarkEnd w:id="203"/>
    </w:p>
    <w:p w14:paraId="7948F997">
      <w:pPr>
        <w:pStyle w:val="5"/>
      </w:pPr>
      <w:bookmarkStart w:id="204" w:name="_Toc159596248"/>
      <w:bookmarkStart w:id="205" w:name="_Toc18812"/>
      <w:bookmarkStart w:id="206" w:name="_Toc27418"/>
      <w:bookmarkStart w:id="207" w:name="_Toc30364"/>
      <w:r>
        <w:t>Basic Information on Investigational Products</w:t>
      </w:r>
      <w:bookmarkEnd w:id="204"/>
      <w:bookmarkEnd w:id="205"/>
      <w:bookmarkEnd w:id="206"/>
      <w:bookmarkEnd w:id="207"/>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57" w:type="dxa"/>
          <w:bottom w:w="28" w:type="dxa"/>
          <w:right w:w="57" w:type="dxa"/>
        </w:tblCellMar>
      </w:tblPr>
      <w:tblGrid>
        <w:gridCol w:w="2326"/>
        <w:gridCol w:w="3413"/>
        <w:gridCol w:w="3735"/>
      </w:tblGrid>
      <w:tr w14:paraId="084A4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1228" w:type="pct"/>
            <w:shd w:val="clear" w:color="auto" w:fill="D8D8D8" w:themeFill="background1" w:themeFillShade="D9"/>
            <w:tcMar>
              <w:top w:w="28" w:type="dxa"/>
              <w:left w:w="57" w:type="dxa"/>
              <w:bottom w:w="28" w:type="dxa"/>
              <w:right w:w="57" w:type="dxa"/>
            </w:tcMar>
            <w:vAlign w:val="center"/>
          </w:tcPr>
          <w:p w14:paraId="23575FFE">
            <w:pPr>
              <w:pStyle w:val="21"/>
              <w:overflowPunct w:val="0"/>
              <w:autoSpaceDE w:val="0"/>
              <w:autoSpaceDN w:val="0"/>
              <w:adjustRightInd w:val="0"/>
              <w:snapToGrid w:val="0"/>
              <w:spacing w:line="240" w:lineRule="auto"/>
              <w:ind w:firstLine="0" w:firstLineChars="0"/>
              <w:jc w:val="center"/>
              <w:rPr>
                <w:rFonts w:ascii="Times New Roman" w:hAnsi="Times New Roman" w:eastAsia="宋体"/>
                <w:b/>
                <w:color w:val="auto"/>
                <w:sz w:val="20"/>
                <w:szCs w:val="20"/>
              </w:rPr>
            </w:pPr>
            <w:bookmarkStart w:id="208" w:name="_Toc18396"/>
            <w:bookmarkEnd w:id="208"/>
          </w:p>
        </w:tc>
        <w:tc>
          <w:tcPr>
            <w:tcW w:w="1801" w:type="pct"/>
            <w:shd w:val="clear" w:color="auto" w:fill="D8D8D8" w:themeFill="background1" w:themeFillShade="D9"/>
            <w:tcMar>
              <w:top w:w="28" w:type="dxa"/>
              <w:left w:w="57" w:type="dxa"/>
              <w:bottom w:w="28" w:type="dxa"/>
              <w:right w:w="57" w:type="dxa"/>
            </w:tcMar>
            <w:vAlign w:val="center"/>
          </w:tcPr>
          <w:p w14:paraId="29B5E97D">
            <w:pPr>
              <w:pStyle w:val="21"/>
              <w:overflowPunct w:val="0"/>
              <w:autoSpaceDE w:val="0"/>
              <w:autoSpaceDN w:val="0"/>
              <w:adjustRightInd w:val="0"/>
              <w:snapToGrid w:val="0"/>
              <w:spacing w:line="240" w:lineRule="auto"/>
              <w:ind w:firstLine="0" w:firstLineChars="0"/>
              <w:jc w:val="center"/>
              <w:rPr>
                <w:rFonts w:ascii="Times New Roman" w:hAnsi="Times New Roman" w:eastAsia="宋体"/>
                <w:b/>
                <w:color w:val="auto"/>
                <w:sz w:val="20"/>
                <w:szCs w:val="20"/>
              </w:rPr>
            </w:pPr>
            <w:r>
              <w:rPr>
                <w:rFonts w:ascii="Times New Roman" w:hAnsi="Times New Roman"/>
                <w:b/>
                <w:color w:val="auto"/>
                <w:sz w:val="20"/>
                <w:szCs w:val="20"/>
              </w:rPr>
              <w:t>RAY1225 injection</w:t>
            </w:r>
          </w:p>
        </w:tc>
        <w:tc>
          <w:tcPr>
            <w:tcW w:w="1971" w:type="pct"/>
            <w:shd w:val="clear" w:color="auto" w:fill="D8D8D8" w:themeFill="background1" w:themeFillShade="D9"/>
            <w:tcMar>
              <w:top w:w="28" w:type="dxa"/>
              <w:left w:w="57" w:type="dxa"/>
              <w:bottom w:w="28" w:type="dxa"/>
              <w:right w:w="57" w:type="dxa"/>
            </w:tcMar>
            <w:vAlign w:val="center"/>
          </w:tcPr>
          <w:p w14:paraId="42CB3202">
            <w:pPr>
              <w:pStyle w:val="21"/>
              <w:overflowPunct w:val="0"/>
              <w:autoSpaceDE w:val="0"/>
              <w:autoSpaceDN w:val="0"/>
              <w:adjustRightInd w:val="0"/>
              <w:snapToGrid w:val="0"/>
              <w:spacing w:line="240" w:lineRule="auto"/>
              <w:ind w:firstLine="0" w:firstLineChars="0"/>
              <w:jc w:val="center"/>
              <w:rPr>
                <w:rFonts w:ascii="Times New Roman" w:hAnsi="Times New Roman" w:eastAsia="宋体"/>
                <w:b/>
                <w:color w:val="auto"/>
                <w:sz w:val="20"/>
                <w:szCs w:val="20"/>
              </w:rPr>
            </w:pPr>
            <w:r>
              <w:rPr>
                <w:rFonts w:ascii="Times New Roman" w:hAnsi="Times New Roman"/>
                <w:b/>
                <w:color w:val="auto"/>
                <w:sz w:val="20"/>
                <w:szCs w:val="20"/>
              </w:rPr>
              <w:t>RAY1225 injection simulant</w:t>
            </w:r>
          </w:p>
        </w:tc>
      </w:tr>
      <w:tr w14:paraId="2C94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1228" w:type="pct"/>
            <w:tcMar>
              <w:top w:w="28" w:type="dxa"/>
              <w:left w:w="57" w:type="dxa"/>
              <w:bottom w:w="28" w:type="dxa"/>
              <w:right w:w="57" w:type="dxa"/>
            </w:tcMar>
            <w:vAlign w:val="center"/>
          </w:tcPr>
          <w:p w14:paraId="019CE88D">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r>
              <w:rPr>
                <w:rFonts w:ascii="Times New Roman" w:hAnsi="Times New Roman"/>
                <w:color w:val="auto"/>
                <w:sz w:val="20"/>
                <w:szCs w:val="20"/>
              </w:rPr>
              <w:t>Strength</w:t>
            </w:r>
          </w:p>
        </w:tc>
        <w:tc>
          <w:tcPr>
            <w:tcW w:w="1801" w:type="pct"/>
            <w:tcMar>
              <w:top w:w="28" w:type="dxa"/>
              <w:left w:w="57" w:type="dxa"/>
              <w:bottom w:w="28" w:type="dxa"/>
              <w:right w:w="57" w:type="dxa"/>
            </w:tcMar>
            <w:vAlign w:val="center"/>
          </w:tcPr>
          <w:p w14:paraId="2DD7228C">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bookmarkStart w:id="209" w:name="_Hlk120105193"/>
            <w:r>
              <w:rPr>
                <w:rFonts w:ascii="Times New Roman" w:hAnsi="Times New Roman"/>
                <w:color w:val="auto"/>
                <w:sz w:val="20"/>
                <w:szCs w:val="20"/>
              </w:rPr>
              <w:t>1 mL: 30 mg/vial</w:t>
            </w:r>
            <w:bookmarkEnd w:id="209"/>
          </w:p>
        </w:tc>
        <w:tc>
          <w:tcPr>
            <w:tcW w:w="1971" w:type="pct"/>
            <w:tcMar>
              <w:top w:w="28" w:type="dxa"/>
              <w:left w:w="57" w:type="dxa"/>
              <w:bottom w:w="28" w:type="dxa"/>
              <w:right w:w="57" w:type="dxa"/>
            </w:tcMar>
            <w:vAlign w:val="center"/>
          </w:tcPr>
          <w:p w14:paraId="3155330C">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r>
              <w:rPr>
                <w:rFonts w:ascii="Times New Roman" w:hAnsi="Times New Roman"/>
                <w:bCs/>
                <w:color w:val="auto"/>
                <w:sz w:val="20"/>
                <w:szCs w:val="20"/>
              </w:rPr>
              <w:t>Corresponding 1 mL: 0 mg/vial</w:t>
            </w:r>
          </w:p>
        </w:tc>
      </w:tr>
      <w:tr w14:paraId="23A9D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1228" w:type="pct"/>
            <w:tcMar>
              <w:top w:w="28" w:type="dxa"/>
              <w:left w:w="57" w:type="dxa"/>
              <w:bottom w:w="28" w:type="dxa"/>
              <w:right w:w="57" w:type="dxa"/>
            </w:tcMar>
            <w:vAlign w:val="center"/>
          </w:tcPr>
          <w:p w14:paraId="7A2628DA">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r>
              <w:rPr>
                <w:rFonts w:ascii="Times New Roman" w:hAnsi="Times New Roman"/>
                <w:color w:val="auto"/>
                <w:sz w:val="20"/>
                <w:szCs w:val="20"/>
              </w:rPr>
              <w:t>Batch no.</w:t>
            </w:r>
          </w:p>
        </w:tc>
        <w:tc>
          <w:tcPr>
            <w:tcW w:w="1801" w:type="pct"/>
            <w:tcMar>
              <w:top w:w="28" w:type="dxa"/>
              <w:left w:w="57" w:type="dxa"/>
              <w:bottom w:w="28" w:type="dxa"/>
              <w:right w:w="57" w:type="dxa"/>
            </w:tcMar>
            <w:vAlign w:val="center"/>
          </w:tcPr>
          <w:p w14:paraId="7A9AFBD3">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r>
              <w:rPr>
                <w:rFonts w:ascii="Times New Roman" w:hAnsi="Times New Roman"/>
                <w:color w:val="auto"/>
                <w:sz w:val="20"/>
                <w:szCs w:val="20"/>
              </w:rPr>
              <w:t>Based on the actual batch no.</w:t>
            </w:r>
          </w:p>
        </w:tc>
        <w:tc>
          <w:tcPr>
            <w:tcW w:w="1971" w:type="pct"/>
            <w:tcMar>
              <w:top w:w="28" w:type="dxa"/>
              <w:left w:w="57" w:type="dxa"/>
              <w:bottom w:w="28" w:type="dxa"/>
              <w:right w:w="57" w:type="dxa"/>
            </w:tcMar>
            <w:vAlign w:val="center"/>
          </w:tcPr>
          <w:p w14:paraId="7CCB708D">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r>
              <w:rPr>
                <w:rFonts w:ascii="Times New Roman" w:hAnsi="Times New Roman"/>
                <w:color w:val="auto"/>
                <w:sz w:val="20"/>
                <w:szCs w:val="20"/>
              </w:rPr>
              <w:t>Based on the actual batch no.</w:t>
            </w:r>
          </w:p>
        </w:tc>
      </w:tr>
      <w:tr w14:paraId="451B5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1228" w:type="pct"/>
            <w:tcMar>
              <w:top w:w="28" w:type="dxa"/>
              <w:left w:w="57" w:type="dxa"/>
              <w:bottom w:w="28" w:type="dxa"/>
              <w:right w:w="57" w:type="dxa"/>
            </w:tcMar>
            <w:vAlign w:val="center"/>
          </w:tcPr>
          <w:p w14:paraId="61D174E4">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r>
              <w:rPr>
                <w:rFonts w:ascii="Times New Roman" w:hAnsi="Times New Roman"/>
                <w:color w:val="auto"/>
                <w:sz w:val="20"/>
                <w:szCs w:val="20"/>
              </w:rPr>
              <w:t>Expiration dating period</w:t>
            </w:r>
          </w:p>
        </w:tc>
        <w:tc>
          <w:tcPr>
            <w:tcW w:w="1801" w:type="pct"/>
            <w:tcMar>
              <w:top w:w="28" w:type="dxa"/>
              <w:left w:w="57" w:type="dxa"/>
              <w:bottom w:w="28" w:type="dxa"/>
              <w:right w:w="57" w:type="dxa"/>
            </w:tcMar>
            <w:vAlign w:val="center"/>
          </w:tcPr>
          <w:p w14:paraId="7360A8FA">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r>
              <w:rPr>
                <w:rFonts w:ascii="Times New Roman" w:hAnsi="Times New Roman"/>
                <w:color w:val="auto"/>
                <w:sz w:val="20"/>
                <w:szCs w:val="20"/>
              </w:rPr>
              <w:t>Two years</w:t>
            </w:r>
          </w:p>
        </w:tc>
        <w:tc>
          <w:tcPr>
            <w:tcW w:w="1971" w:type="pct"/>
            <w:tcMar>
              <w:top w:w="28" w:type="dxa"/>
              <w:left w:w="57" w:type="dxa"/>
              <w:bottom w:w="28" w:type="dxa"/>
              <w:right w:w="57" w:type="dxa"/>
            </w:tcMar>
            <w:vAlign w:val="center"/>
          </w:tcPr>
          <w:p w14:paraId="5E3F7FEC">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r>
              <w:rPr>
                <w:rFonts w:ascii="Times New Roman" w:hAnsi="Times New Roman"/>
                <w:color w:val="auto"/>
                <w:sz w:val="20"/>
                <w:szCs w:val="20"/>
              </w:rPr>
              <w:t>Two years</w:t>
            </w:r>
          </w:p>
        </w:tc>
      </w:tr>
      <w:tr w14:paraId="26294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1228" w:type="pct"/>
            <w:tcMar>
              <w:top w:w="28" w:type="dxa"/>
              <w:left w:w="57" w:type="dxa"/>
              <w:bottom w:w="28" w:type="dxa"/>
              <w:right w:w="57" w:type="dxa"/>
            </w:tcMar>
            <w:vAlign w:val="center"/>
          </w:tcPr>
          <w:p w14:paraId="5873930A">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r>
              <w:rPr>
                <w:rFonts w:ascii="Times New Roman" w:hAnsi="Times New Roman"/>
                <w:color w:val="auto"/>
                <w:sz w:val="20"/>
                <w:szCs w:val="20"/>
              </w:rPr>
              <w:t>Storage condition</w:t>
            </w:r>
          </w:p>
        </w:tc>
        <w:tc>
          <w:tcPr>
            <w:tcW w:w="1801" w:type="pct"/>
            <w:tcMar>
              <w:top w:w="28" w:type="dxa"/>
              <w:left w:w="57" w:type="dxa"/>
              <w:bottom w:w="28" w:type="dxa"/>
              <w:right w:w="57" w:type="dxa"/>
            </w:tcMar>
            <w:vAlign w:val="center"/>
          </w:tcPr>
          <w:p w14:paraId="06ECEFCF">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r>
              <w:rPr>
                <w:rFonts w:ascii="Times New Roman" w:hAnsi="Times New Roman"/>
                <w:color w:val="auto"/>
                <w:sz w:val="20"/>
                <w:szCs w:val="20"/>
              </w:rPr>
              <w:t>Seal and store at 2–8 ℃, protected from light</w:t>
            </w:r>
          </w:p>
        </w:tc>
        <w:tc>
          <w:tcPr>
            <w:tcW w:w="1971" w:type="pct"/>
            <w:tcMar>
              <w:top w:w="28" w:type="dxa"/>
              <w:left w:w="57" w:type="dxa"/>
              <w:bottom w:w="28" w:type="dxa"/>
              <w:right w:w="57" w:type="dxa"/>
            </w:tcMar>
            <w:vAlign w:val="center"/>
          </w:tcPr>
          <w:p w14:paraId="4AB89497">
            <w:pPr>
              <w:pStyle w:val="21"/>
              <w:overflowPunct w:val="0"/>
              <w:autoSpaceDE w:val="0"/>
              <w:autoSpaceDN w:val="0"/>
              <w:adjustRightInd w:val="0"/>
              <w:snapToGrid w:val="0"/>
              <w:spacing w:line="240" w:lineRule="auto"/>
              <w:ind w:firstLine="0" w:firstLineChars="0"/>
              <w:jc w:val="center"/>
              <w:rPr>
                <w:rFonts w:ascii="Times New Roman" w:hAnsi="Times New Roman" w:eastAsia="宋体"/>
                <w:color w:val="auto"/>
                <w:sz w:val="20"/>
                <w:szCs w:val="20"/>
              </w:rPr>
            </w:pPr>
            <w:r>
              <w:rPr>
                <w:rFonts w:ascii="Times New Roman" w:hAnsi="Times New Roman"/>
                <w:color w:val="auto"/>
                <w:sz w:val="20"/>
                <w:szCs w:val="20"/>
              </w:rPr>
              <w:t>Seal and store at 2–8 ℃, protected from light</w:t>
            </w:r>
          </w:p>
        </w:tc>
      </w:tr>
    </w:tbl>
    <w:p w14:paraId="5540C6D2">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The study drug is provided by Guangdong Raynovent Biotech Co., Ltd. The study drug label must indicate "CAUTION: NEW DRUG — FOR CLINICAL STUDY USE ONLY, KEEP OUT OF REACH OF CHILDREN".</w:t>
      </w:r>
      <w:bookmarkStart w:id="210" w:name="_Toc494530782"/>
      <w:bookmarkEnd w:id="210"/>
      <w:bookmarkStart w:id="211" w:name="_Toc494530779"/>
      <w:bookmarkEnd w:id="211"/>
      <w:bookmarkStart w:id="212" w:name="_Toc494530783"/>
      <w:bookmarkEnd w:id="212"/>
      <w:bookmarkStart w:id="213" w:name="_Toc494530781"/>
      <w:bookmarkEnd w:id="213"/>
      <w:bookmarkStart w:id="214" w:name="_Toc494530780"/>
      <w:bookmarkEnd w:id="214"/>
    </w:p>
    <w:p w14:paraId="311840E1">
      <w:pPr>
        <w:pStyle w:val="5"/>
      </w:pPr>
      <w:bookmarkStart w:id="215" w:name="_Toc26126"/>
      <w:bookmarkStart w:id="216" w:name="_Toc32031"/>
      <w:bookmarkStart w:id="217" w:name="_Toc25518"/>
      <w:bookmarkStart w:id="218" w:name="_Toc159596249"/>
      <w:bookmarkStart w:id="219" w:name="OLE_LINK5"/>
      <w:bookmarkStart w:id="220" w:name="OLE_LINK11"/>
      <w:r>
        <w:t>Dosage Regimen</w:t>
      </w:r>
      <w:bookmarkEnd w:id="215"/>
      <w:bookmarkEnd w:id="216"/>
      <w:bookmarkEnd w:id="217"/>
      <w:r>
        <w:t xml:space="preserve"> and Method</w:t>
      </w:r>
      <w:bookmarkEnd w:id="218"/>
    </w:p>
    <w:bookmarkEnd w:id="219"/>
    <w:bookmarkEnd w:id="220"/>
    <w:p w14:paraId="0855959D">
      <w:pPr>
        <w:pStyle w:val="6"/>
        <w:rPr>
          <w:rFonts w:eastAsia="宋体"/>
        </w:rPr>
      </w:pPr>
      <w:bookmarkStart w:id="221" w:name="_Toc159596250"/>
      <w:r>
        <w:t>RAY1225 injection and simulant</w:t>
      </w:r>
      <w:bookmarkEnd w:id="221"/>
    </w:p>
    <w:p w14:paraId="2CCA35D1">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Subjects in all groups will be administered by titration at a frequency of once every two weeks for 12 consecutive doses with an administration time window of ± 3 days. The investigational drug RAY1225 injection or its simulant</w:t>
      </w:r>
      <w:bookmarkStart w:id="222" w:name="_Hlk155271116"/>
      <w:r>
        <w:rPr>
          <w:color w:val="auto"/>
        </w:rPr>
        <w:t xml:space="preserve"> will be subcutaneously injected into the abdomen using a 1-mL syringe on the injection day, and the volume administered each time is 0.5 mL</w:t>
      </w:r>
      <w:bookmarkEnd w:id="222"/>
      <w:r>
        <w:rPr>
          <w:color w:val="auto"/>
        </w:rPr>
        <w:t>.</w:t>
      </w:r>
    </w:p>
    <w:p w14:paraId="77DEC463">
      <w:pPr>
        <w:pStyle w:val="7"/>
      </w:pPr>
      <w:r>
        <w:t>Dosage and titration regimen</w:t>
      </w:r>
    </w:p>
    <w:p w14:paraId="5888A579">
      <w:pPr>
        <w:pStyle w:val="58"/>
        <w:numPr>
          <w:ilvl w:val="0"/>
          <w:numId w:val="32"/>
        </w:numPr>
        <w:overflowPunct w:val="0"/>
        <w:autoSpaceDE w:val="0"/>
        <w:autoSpaceDN w:val="0"/>
        <w:adjustRightInd w:val="0"/>
        <w:snapToGrid w:val="0"/>
        <w:spacing w:before="120" w:beforeLines="50" w:after="120" w:afterLines="50" w:line="300" w:lineRule="auto"/>
        <w:ind w:left="282" w:hanging="282" w:hangingChars="117"/>
        <w:rPr>
          <w:b/>
          <w:color w:val="auto"/>
        </w:rPr>
      </w:pPr>
      <w:r>
        <w:rPr>
          <w:b/>
          <w:color w:val="auto"/>
        </w:rPr>
        <w:t>Part A:</w:t>
      </w:r>
    </w:p>
    <w:p w14:paraId="6D256900">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This part includes the RAY1225 target dose groups (3 mg and 6 mg) and the placebo group. The titration dosage regimen is as follows:</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57" w:type="dxa"/>
          <w:bottom w:w="28" w:type="dxa"/>
          <w:right w:w="57" w:type="dxa"/>
        </w:tblCellMar>
      </w:tblPr>
      <w:tblGrid>
        <w:gridCol w:w="1426"/>
        <w:gridCol w:w="659"/>
        <w:gridCol w:w="659"/>
        <w:gridCol w:w="659"/>
        <w:gridCol w:w="660"/>
        <w:gridCol w:w="660"/>
        <w:gridCol w:w="660"/>
        <w:gridCol w:w="660"/>
        <w:gridCol w:w="660"/>
        <w:gridCol w:w="665"/>
        <w:gridCol w:w="706"/>
        <w:gridCol w:w="706"/>
        <w:gridCol w:w="694"/>
      </w:tblGrid>
      <w:tr w14:paraId="17117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9066" w:type="dxa"/>
            <w:gridSpan w:val="13"/>
            <w:tcBorders>
              <w:top w:val="nil"/>
              <w:left w:val="nil"/>
              <w:right w:val="nil"/>
            </w:tcBorders>
            <w:shd w:val="clear" w:color="auto" w:fill="auto"/>
            <w:tcMar>
              <w:top w:w="28" w:type="dxa"/>
              <w:left w:w="57" w:type="dxa"/>
              <w:bottom w:w="28" w:type="dxa"/>
              <w:right w:w="57" w:type="dxa"/>
            </w:tcMar>
          </w:tcPr>
          <w:p w14:paraId="75C16375">
            <w:pPr>
              <w:keepNext/>
              <w:overflowPunct w:val="0"/>
              <w:autoSpaceDE w:val="0"/>
              <w:autoSpaceDN w:val="0"/>
              <w:adjustRightInd w:val="0"/>
              <w:snapToGrid w:val="0"/>
              <w:jc w:val="center"/>
              <w:rPr>
                <w:rFonts w:eastAsia="宋体"/>
                <w:b/>
                <w:bCs/>
                <w:sz w:val="20"/>
                <w:szCs w:val="20"/>
              </w:rPr>
            </w:pPr>
            <w:r>
              <w:rPr>
                <w:b/>
                <w:sz w:val="20"/>
                <w:szCs w:val="20"/>
              </w:rPr>
              <w:t xml:space="preserve">Part A </w:t>
            </w:r>
            <w:bookmarkStart w:id="223" w:name="_Hlk155171041"/>
            <w:r>
              <w:rPr>
                <w:b/>
                <w:sz w:val="20"/>
                <w:szCs w:val="20"/>
              </w:rPr>
              <w:t>titration dosage regimen</w:t>
            </w:r>
            <w:bookmarkEnd w:id="223"/>
          </w:p>
        </w:tc>
      </w:tr>
      <w:tr w14:paraId="40313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569" w:type="dxa"/>
            <w:shd w:val="clear" w:color="auto" w:fill="F2F2F2" w:themeFill="background2" w:themeFillTint="33"/>
            <w:tcMar>
              <w:top w:w="28" w:type="dxa"/>
              <w:left w:w="57" w:type="dxa"/>
              <w:bottom w:w="28" w:type="dxa"/>
              <w:right w:w="57" w:type="dxa"/>
            </w:tcMar>
            <w:vAlign w:val="center"/>
          </w:tcPr>
          <w:p w14:paraId="1725EEFC">
            <w:pPr>
              <w:keepNext/>
              <w:overflowPunct w:val="0"/>
              <w:autoSpaceDE w:val="0"/>
              <w:autoSpaceDN w:val="0"/>
              <w:adjustRightInd w:val="0"/>
              <w:snapToGrid w:val="0"/>
              <w:jc w:val="center"/>
              <w:rPr>
                <w:rFonts w:eastAsia="宋体"/>
                <w:b/>
                <w:bCs/>
                <w:sz w:val="20"/>
                <w:szCs w:val="20"/>
              </w:rPr>
            </w:pPr>
            <w:r>
              <w:rPr>
                <w:b/>
                <w:bCs/>
                <w:sz w:val="20"/>
                <w:szCs w:val="20"/>
              </w:rPr>
              <w:t>Administration</w:t>
            </w:r>
          </w:p>
        </w:tc>
        <w:tc>
          <w:tcPr>
            <w:tcW w:w="698" w:type="dxa"/>
            <w:shd w:val="clear" w:color="auto" w:fill="F2F2F2" w:themeFill="background2" w:themeFillTint="33"/>
            <w:tcMar>
              <w:top w:w="28" w:type="dxa"/>
              <w:left w:w="57" w:type="dxa"/>
              <w:bottom w:w="28" w:type="dxa"/>
              <w:right w:w="57" w:type="dxa"/>
            </w:tcMar>
            <w:vAlign w:val="center"/>
          </w:tcPr>
          <w:p w14:paraId="254DFB09">
            <w:pPr>
              <w:keepNext/>
              <w:overflowPunct w:val="0"/>
              <w:autoSpaceDE w:val="0"/>
              <w:autoSpaceDN w:val="0"/>
              <w:adjustRightInd w:val="0"/>
              <w:snapToGrid w:val="0"/>
              <w:jc w:val="center"/>
              <w:rPr>
                <w:rFonts w:eastAsia="宋体"/>
                <w:b/>
                <w:bCs/>
                <w:sz w:val="20"/>
                <w:szCs w:val="20"/>
              </w:rPr>
            </w:pPr>
            <w:r>
              <w:rPr>
                <w:b/>
                <w:bCs/>
                <w:sz w:val="20"/>
                <w:szCs w:val="20"/>
              </w:rPr>
              <w:t>1</w:t>
            </w:r>
            <w:r>
              <w:rPr>
                <w:b/>
                <w:bCs/>
                <w:sz w:val="20"/>
                <w:szCs w:val="20"/>
                <w:vertAlign w:val="superscript"/>
              </w:rPr>
              <w:t>st</w:t>
            </w:r>
          </w:p>
        </w:tc>
        <w:tc>
          <w:tcPr>
            <w:tcW w:w="698" w:type="dxa"/>
            <w:shd w:val="clear" w:color="auto" w:fill="F2F2F2" w:themeFill="background2" w:themeFillTint="33"/>
            <w:tcMar>
              <w:top w:w="28" w:type="dxa"/>
              <w:left w:w="57" w:type="dxa"/>
              <w:bottom w:w="28" w:type="dxa"/>
              <w:right w:w="57" w:type="dxa"/>
            </w:tcMar>
            <w:vAlign w:val="center"/>
          </w:tcPr>
          <w:p w14:paraId="3BA458AB">
            <w:pPr>
              <w:keepNext/>
              <w:overflowPunct w:val="0"/>
              <w:autoSpaceDE w:val="0"/>
              <w:autoSpaceDN w:val="0"/>
              <w:adjustRightInd w:val="0"/>
              <w:snapToGrid w:val="0"/>
              <w:jc w:val="center"/>
              <w:rPr>
                <w:rFonts w:eastAsia="宋体"/>
                <w:b/>
                <w:bCs/>
                <w:sz w:val="20"/>
                <w:szCs w:val="20"/>
              </w:rPr>
            </w:pPr>
            <w:r>
              <w:rPr>
                <w:b/>
                <w:bCs/>
                <w:sz w:val="20"/>
                <w:szCs w:val="20"/>
              </w:rPr>
              <w:t>2</w:t>
            </w:r>
            <w:r>
              <w:rPr>
                <w:b/>
                <w:bCs/>
                <w:sz w:val="20"/>
                <w:szCs w:val="20"/>
                <w:vertAlign w:val="superscript"/>
              </w:rPr>
              <w:t>nd</w:t>
            </w:r>
          </w:p>
        </w:tc>
        <w:tc>
          <w:tcPr>
            <w:tcW w:w="698" w:type="dxa"/>
            <w:shd w:val="clear" w:color="auto" w:fill="F2F2F2" w:themeFill="background2" w:themeFillTint="33"/>
            <w:tcMar>
              <w:top w:w="28" w:type="dxa"/>
              <w:left w:w="57" w:type="dxa"/>
              <w:bottom w:w="28" w:type="dxa"/>
              <w:right w:w="57" w:type="dxa"/>
            </w:tcMar>
            <w:vAlign w:val="center"/>
          </w:tcPr>
          <w:p w14:paraId="2AEA6E24">
            <w:pPr>
              <w:keepNext/>
              <w:overflowPunct w:val="0"/>
              <w:autoSpaceDE w:val="0"/>
              <w:autoSpaceDN w:val="0"/>
              <w:adjustRightInd w:val="0"/>
              <w:snapToGrid w:val="0"/>
              <w:jc w:val="center"/>
              <w:rPr>
                <w:rFonts w:eastAsia="宋体"/>
                <w:b/>
                <w:bCs/>
                <w:sz w:val="20"/>
                <w:szCs w:val="20"/>
              </w:rPr>
            </w:pPr>
            <w:r>
              <w:rPr>
                <w:b/>
                <w:bCs/>
                <w:sz w:val="20"/>
                <w:szCs w:val="20"/>
              </w:rPr>
              <w:t>3</w:t>
            </w:r>
            <w:r>
              <w:rPr>
                <w:b/>
                <w:bCs/>
                <w:sz w:val="20"/>
                <w:szCs w:val="20"/>
                <w:vertAlign w:val="superscript"/>
              </w:rPr>
              <w:t>rd</w:t>
            </w:r>
          </w:p>
        </w:tc>
        <w:tc>
          <w:tcPr>
            <w:tcW w:w="698" w:type="dxa"/>
            <w:shd w:val="clear" w:color="auto" w:fill="F2F2F2" w:themeFill="background2" w:themeFillTint="33"/>
            <w:tcMar>
              <w:top w:w="28" w:type="dxa"/>
              <w:left w:w="57" w:type="dxa"/>
              <w:bottom w:w="28" w:type="dxa"/>
              <w:right w:w="57" w:type="dxa"/>
            </w:tcMar>
            <w:vAlign w:val="center"/>
          </w:tcPr>
          <w:p w14:paraId="7E9022A2">
            <w:pPr>
              <w:keepNext/>
              <w:overflowPunct w:val="0"/>
              <w:autoSpaceDE w:val="0"/>
              <w:autoSpaceDN w:val="0"/>
              <w:adjustRightInd w:val="0"/>
              <w:snapToGrid w:val="0"/>
              <w:jc w:val="center"/>
              <w:rPr>
                <w:rFonts w:eastAsia="宋体"/>
                <w:b/>
                <w:bCs/>
                <w:sz w:val="20"/>
                <w:szCs w:val="20"/>
              </w:rPr>
            </w:pPr>
            <w:r>
              <w:rPr>
                <w:b/>
                <w:bCs/>
                <w:sz w:val="20"/>
                <w:szCs w:val="20"/>
              </w:rPr>
              <w:t>4</w:t>
            </w:r>
            <w:r>
              <w:rPr>
                <w:b/>
                <w:bCs/>
                <w:sz w:val="20"/>
                <w:szCs w:val="20"/>
                <w:vertAlign w:val="superscript"/>
              </w:rPr>
              <w:t>th</w:t>
            </w:r>
          </w:p>
        </w:tc>
        <w:tc>
          <w:tcPr>
            <w:tcW w:w="698" w:type="dxa"/>
            <w:shd w:val="clear" w:color="auto" w:fill="F2F2F2" w:themeFill="background2" w:themeFillTint="33"/>
            <w:tcMar>
              <w:top w:w="28" w:type="dxa"/>
              <w:left w:w="57" w:type="dxa"/>
              <w:bottom w:w="28" w:type="dxa"/>
              <w:right w:w="57" w:type="dxa"/>
            </w:tcMar>
            <w:vAlign w:val="center"/>
          </w:tcPr>
          <w:p w14:paraId="7A8D8C98">
            <w:pPr>
              <w:keepNext/>
              <w:overflowPunct w:val="0"/>
              <w:autoSpaceDE w:val="0"/>
              <w:autoSpaceDN w:val="0"/>
              <w:adjustRightInd w:val="0"/>
              <w:snapToGrid w:val="0"/>
              <w:jc w:val="center"/>
              <w:rPr>
                <w:rFonts w:eastAsia="宋体"/>
                <w:b/>
                <w:bCs/>
                <w:sz w:val="20"/>
                <w:szCs w:val="20"/>
              </w:rPr>
            </w:pPr>
            <w:r>
              <w:rPr>
                <w:b/>
                <w:bCs/>
                <w:sz w:val="20"/>
                <w:szCs w:val="20"/>
              </w:rPr>
              <w:t>5</w:t>
            </w:r>
            <w:r>
              <w:rPr>
                <w:b/>
                <w:bCs/>
                <w:sz w:val="20"/>
                <w:szCs w:val="20"/>
                <w:vertAlign w:val="superscript"/>
              </w:rPr>
              <w:t>th</w:t>
            </w:r>
          </w:p>
        </w:tc>
        <w:tc>
          <w:tcPr>
            <w:tcW w:w="698" w:type="dxa"/>
            <w:shd w:val="clear" w:color="auto" w:fill="F2F2F2" w:themeFill="background2" w:themeFillTint="33"/>
            <w:tcMar>
              <w:top w:w="28" w:type="dxa"/>
              <w:left w:w="57" w:type="dxa"/>
              <w:bottom w:w="28" w:type="dxa"/>
              <w:right w:w="57" w:type="dxa"/>
            </w:tcMar>
            <w:vAlign w:val="center"/>
          </w:tcPr>
          <w:p w14:paraId="2357AB37">
            <w:pPr>
              <w:keepNext/>
              <w:overflowPunct w:val="0"/>
              <w:autoSpaceDE w:val="0"/>
              <w:autoSpaceDN w:val="0"/>
              <w:adjustRightInd w:val="0"/>
              <w:snapToGrid w:val="0"/>
              <w:jc w:val="center"/>
              <w:rPr>
                <w:rFonts w:eastAsia="宋体"/>
                <w:b/>
                <w:bCs/>
                <w:sz w:val="20"/>
                <w:szCs w:val="20"/>
              </w:rPr>
            </w:pPr>
            <w:r>
              <w:rPr>
                <w:b/>
                <w:bCs/>
                <w:sz w:val="20"/>
                <w:szCs w:val="20"/>
              </w:rPr>
              <w:t>6</w:t>
            </w:r>
            <w:r>
              <w:rPr>
                <w:b/>
                <w:bCs/>
                <w:sz w:val="20"/>
                <w:szCs w:val="20"/>
                <w:vertAlign w:val="superscript"/>
              </w:rPr>
              <w:t>th</w:t>
            </w:r>
          </w:p>
        </w:tc>
        <w:tc>
          <w:tcPr>
            <w:tcW w:w="698" w:type="dxa"/>
            <w:shd w:val="clear" w:color="auto" w:fill="F2F2F2" w:themeFill="background2" w:themeFillTint="33"/>
            <w:tcMar>
              <w:top w:w="28" w:type="dxa"/>
              <w:left w:w="57" w:type="dxa"/>
              <w:bottom w:w="28" w:type="dxa"/>
              <w:right w:w="57" w:type="dxa"/>
            </w:tcMar>
            <w:vAlign w:val="center"/>
          </w:tcPr>
          <w:p w14:paraId="75502A87">
            <w:pPr>
              <w:keepNext/>
              <w:overflowPunct w:val="0"/>
              <w:autoSpaceDE w:val="0"/>
              <w:autoSpaceDN w:val="0"/>
              <w:adjustRightInd w:val="0"/>
              <w:snapToGrid w:val="0"/>
              <w:jc w:val="center"/>
              <w:rPr>
                <w:rFonts w:eastAsia="宋体"/>
                <w:b/>
                <w:bCs/>
                <w:sz w:val="20"/>
                <w:szCs w:val="20"/>
              </w:rPr>
            </w:pPr>
            <w:r>
              <w:rPr>
                <w:b/>
                <w:bCs/>
                <w:sz w:val="20"/>
                <w:szCs w:val="20"/>
              </w:rPr>
              <w:t>7</w:t>
            </w:r>
            <w:r>
              <w:rPr>
                <w:b/>
                <w:bCs/>
                <w:sz w:val="20"/>
                <w:szCs w:val="20"/>
                <w:vertAlign w:val="superscript"/>
              </w:rPr>
              <w:t>th</w:t>
            </w:r>
          </w:p>
        </w:tc>
        <w:tc>
          <w:tcPr>
            <w:tcW w:w="698" w:type="dxa"/>
            <w:shd w:val="clear" w:color="auto" w:fill="F2F2F2" w:themeFill="background2" w:themeFillTint="33"/>
            <w:tcMar>
              <w:top w:w="28" w:type="dxa"/>
              <w:left w:w="57" w:type="dxa"/>
              <w:bottom w:w="28" w:type="dxa"/>
              <w:right w:w="57" w:type="dxa"/>
            </w:tcMar>
            <w:vAlign w:val="center"/>
          </w:tcPr>
          <w:p w14:paraId="1F7C7D2C">
            <w:pPr>
              <w:keepNext/>
              <w:overflowPunct w:val="0"/>
              <w:autoSpaceDE w:val="0"/>
              <w:autoSpaceDN w:val="0"/>
              <w:adjustRightInd w:val="0"/>
              <w:snapToGrid w:val="0"/>
              <w:jc w:val="center"/>
              <w:rPr>
                <w:rFonts w:eastAsia="宋体"/>
                <w:b/>
                <w:bCs/>
                <w:sz w:val="20"/>
                <w:szCs w:val="20"/>
              </w:rPr>
            </w:pPr>
            <w:r>
              <w:rPr>
                <w:b/>
                <w:bCs/>
                <w:sz w:val="20"/>
                <w:szCs w:val="20"/>
              </w:rPr>
              <w:t>8</w:t>
            </w:r>
            <w:r>
              <w:rPr>
                <w:b/>
                <w:bCs/>
                <w:sz w:val="20"/>
                <w:szCs w:val="20"/>
                <w:vertAlign w:val="superscript"/>
              </w:rPr>
              <w:t>th</w:t>
            </w:r>
          </w:p>
        </w:tc>
        <w:tc>
          <w:tcPr>
            <w:tcW w:w="698" w:type="dxa"/>
            <w:shd w:val="clear" w:color="auto" w:fill="F2F2F2" w:themeFill="background2" w:themeFillTint="33"/>
            <w:tcMar>
              <w:top w:w="28" w:type="dxa"/>
              <w:left w:w="57" w:type="dxa"/>
              <w:bottom w:w="28" w:type="dxa"/>
              <w:right w:w="57" w:type="dxa"/>
            </w:tcMar>
            <w:vAlign w:val="center"/>
          </w:tcPr>
          <w:p w14:paraId="05DACBD7">
            <w:pPr>
              <w:keepNext/>
              <w:overflowPunct w:val="0"/>
              <w:autoSpaceDE w:val="0"/>
              <w:autoSpaceDN w:val="0"/>
              <w:adjustRightInd w:val="0"/>
              <w:snapToGrid w:val="0"/>
              <w:jc w:val="center"/>
              <w:rPr>
                <w:rFonts w:eastAsia="宋体"/>
                <w:b/>
                <w:bCs/>
                <w:sz w:val="20"/>
                <w:szCs w:val="20"/>
              </w:rPr>
            </w:pPr>
            <w:r>
              <w:rPr>
                <w:b/>
                <w:bCs/>
                <w:sz w:val="20"/>
                <w:szCs w:val="20"/>
              </w:rPr>
              <w:t>9</w:t>
            </w:r>
            <w:r>
              <w:rPr>
                <w:b/>
                <w:bCs/>
                <w:sz w:val="20"/>
                <w:szCs w:val="20"/>
                <w:vertAlign w:val="superscript"/>
              </w:rPr>
              <w:t>th</w:t>
            </w:r>
          </w:p>
        </w:tc>
        <w:tc>
          <w:tcPr>
            <w:tcW w:w="743" w:type="dxa"/>
            <w:shd w:val="clear" w:color="auto" w:fill="F2F2F2" w:themeFill="background2" w:themeFillTint="33"/>
            <w:tcMar>
              <w:top w:w="28" w:type="dxa"/>
              <w:left w:w="57" w:type="dxa"/>
              <w:bottom w:w="28" w:type="dxa"/>
              <w:right w:w="57" w:type="dxa"/>
            </w:tcMar>
            <w:vAlign w:val="center"/>
          </w:tcPr>
          <w:p w14:paraId="35CABC31">
            <w:pPr>
              <w:keepNext/>
              <w:overflowPunct w:val="0"/>
              <w:autoSpaceDE w:val="0"/>
              <w:autoSpaceDN w:val="0"/>
              <w:adjustRightInd w:val="0"/>
              <w:snapToGrid w:val="0"/>
              <w:jc w:val="center"/>
              <w:rPr>
                <w:rFonts w:eastAsia="宋体"/>
                <w:b/>
                <w:bCs/>
                <w:sz w:val="20"/>
                <w:szCs w:val="20"/>
              </w:rPr>
            </w:pPr>
            <w:r>
              <w:rPr>
                <w:b/>
                <w:bCs/>
                <w:sz w:val="20"/>
                <w:szCs w:val="20"/>
              </w:rPr>
              <w:t>10</w:t>
            </w:r>
            <w:r>
              <w:rPr>
                <w:b/>
                <w:bCs/>
                <w:sz w:val="20"/>
                <w:szCs w:val="20"/>
                <w:vertAlign w:val="superscript"/>
              </w:rPr>
              <w:t>th</w:t>
            </w:r>
          </w:p>
        </w:tc>
        <w:tc>
          <w:tcPr>
            <w:tcW w:w="743" w:type="dxa"/>
            <w:shd w:val="clear" w:color="auto" w:fill="F2F2F2" w:themeFill="background2" w:themeFillTint="33"/>
            <w:tcMar>
              <w:top w:w="28" w:type="dxa"/>
              <w:left w:w="57" w:type="dxa"/>
              <w:bottom w:w="28" w:type="dxa"/>
              <w:right w:w="57" w:type="dxa"/>
            </w:tcMar>
            <w:vAlign w:val="center"/>
          </w:tcPr>
          <w:p w14:paraId="3DA26969">
            <w:pPr>
              <w:keepNext/>
              <w:overflowPunct w:val="0"/>
              <w:autoSpaceDE w:val="0"/>
              <w:autoSpaceDN w:val="0"/>
              <w:adjustRightInd w:val="0"/>
              <w:snapToGrid w:val="0"/>
              <w:jc w:val="center"/>
              <w:rPr>
                <w:rFonts w:eastAsia="宋体"/>
                <w:b/>
                <w:bCs/>
                <w:sz w:val="20"/>
                <w:szCs w:val="20"/>
              </w:rPr>
            </w:pPr>
            <w:r>
              <w:rPr>
                <w:b/>
                <w:bCs/>
                <w:sz w:val="20"/>
                <w:szCs w:val="20"/>
              </w:rPr>
              <w:t>11</w:t>
            </w:r>
            <w:r>
              <w:rPr>
                <w:b/>
                <w:bCs/>
                <w:sz w:val="20"/>
                <w:szCs w:val="20"/>
                <w:vertAlign w:val="superscript"/>
              </w:rPr>
              <w:t>th</w:t>
            </w:r>
          </w:p>
        </w:tc>
        <w:tc>
          <w:tcPr>
            <w:tcW w:w="729" w:type="dxa"/>
            <w:shd w:val="clear" w:color="auto" w:fill="F2F2F2" w:themeFill="background2" w:themeFillTint="33"/>
            <w:tcMar>
              <w:top w:w="28" w:type="dxa"/>
              <w:left w:w="57" w:type="dxa"/>
              <w:bottom w:w="28" w:type="dxa"/>
              <w:right w:w="57" w:type="dxa"/>
            </w:tcMar>
            <w:vAlign w:val="center"/>
          </w:tcPr>
          <w:p w14:paraId="1AB2B12C">
            <w:pPr>
              <w:keepNext/>
              <w:overflowPunct w:val="0"/>
              <w:autoSpaceDE w:val="0"/>
              <w:autoSpaceDN w:val="0"/>
              <w:adjustRightInd w:val="0"/>
              <w:snapToGrid w:val="0"/>
              <w:jc w:val="center"/>
              <w:rPr>
                <w:rFonts w:eastAsia="宋体"/>
                <w:b/>
                <w:bCs/>
                <w:sz w:val="20"/>
                <w:szCs w:val="20"/>
              </w:rPr>
            </w:pPr>
            <w:r>
              <w:rPr>
                <w:b/>
                <w:bCs/>
                <w:sz w:val="20"/>
                <w:szCs w:val="20"/>
              </w:rPr>
              <w:t>12</w:t>
            </w:r>
            <w:r>
              <w:rPr>
                <w:b/>
                <w:bCs/>
                <w:sz w:val="20"/>
                <w:szCs w:val="20"/>
                <w:vertAlign w:val="superscript"/>
              </w:rPr>
              <w:t>th</w:t>
            </w:r>
          </w:p>
        </w:tc>
      </w:tr>
      <w:tr w14:paraId="7E9FB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569" w:type="dxa"/>
            <w:shd w:val="clear" w:color="auto" w:fill="F2F2F2" w:themeFill="background2" w:themeFillTint="33"/>
            <w:tcMar>
              <w:top w:w="28" w:type="dxa"/>
              <w:left w:w="57" w:type="dxa"/>
              <w:bottom w:w="28" w:type="dxa"/>
              <w:right w:w="57" w:type="dxa"/>
            </w:tcMar>
            <w:vAlign w:val="center"/>
          </w:tcPr>
          <w:p w14:paraId="6B2F9C9E">
            <w:pPr>
              <w:keepNext/>
              <w:overflowPunct w:val="0"/>
              <w:autoSpaceDE w:val="0"/>
              <w:autoSpaceDN w:val="0"/>
              <w:adjustRightInd w:val="0"/>
              <w:snapToGrid w:val="0"/>
              <w:jc w:val="center"/>
              <w:rPr>
                <w:rFonts w:eastAsia="宋体"/>
                <w:b/>
                <w:bCs/>
                <w:sz w:val="20"/>
                <w:szCs w:val="20"/>
              </w:rPr>
            </w:pPr>
            <w:r>
              <w:rPr>
                <w:b/>
                <w:bCs/>
                <w:sz w:val="20"/>
                <w:szCs w:val="20"/>
              </w:rPr>
              <w:t>Week</w:t>
            </w:r>
          </w:p>
        </w:tc>
        <w:tc>
          <w:tcPr>
            <w:tcW w:w="698" w:type="dxa"/>
            <w:shd w:val="clear" w:color="auto" w:fill="F2F2F2" w:themeFill="background2" w:themeFillTint="33"/>
            <w:tcMar>
              <w:top w:w="28" w:type="dxa"/>
              <w:left w:w="57" w:type="dxa"/>
              <w:bottom w:w="28" w:type="dxa"/>
              <w:right w:w="57" w:type="dxa"/>
            </w:tcMar>
            <w:vAlign w:val="center"/>
          </w:tcPr>
          <w:p w14:paraId="1C9857CE">
            <w:pPr>
              <w:keepNext/>
              <w:overflowPunct w:val="0"/>
              <w:autoSpaceDE w:val="0"/>
              <w:autoSpaceDN w:val="0"/>
              <w:adjustRightInd w:val="0"/>
              <w:snapToGrid w:val="0"/>
              <w:jc w:val="center"/>
              <w:rPr>
                <w:rFonts w:eastAsia="宋体"/>
                <w:b/>
                <w:bCs/>
                <w:sz w:val="20"/>
                <w:szCs w:val="20"/>
              </w:rPr>
            </w:pPr>
            <w:r>
              <w:rPr>
                <w:b/>
                <w:bCs/>
                <w:sz w:val="20"/>
                <w:szCs w:val="20"/>
              </w:rPr>
              <w:t>0</w:t>
            </w:r>
          </w:p>
        </w:tc>
        <w:tc>
          <w:tcPr>
            <w:tcW w:w="698" w:type="dxa"/>
            <w:shd w:val="clear" w:color="auto" w:fill="F2F2F2" w:themeFill="background2" w:themeFillTint="33"/>
            <w:tcMar>
              <w:top w:w="28" w:type="dxa"/>
              <w:left w:w="57" w:type="dxa"/>
              <w:bottom w:w="28" w:type="dxa"/>
              <w:right w:w="57" w:type="dxa"/>
            </w:tcMar>
            <w:vAlign w:val="center"/>
          </w:tcPr>
          <w:p w14:paraId="1B6D3DCC">
            <w:pPr>
              <w:keepNext/>
              <w:overflowPunct w:val="0"/>
              <w:autoSpaceDE w:val="0"/>
              <w:autoSpaceDN w:val="0"/>
              <w:adjustRightInd w:val="0"/>
              <w:snapToGrid w:val="0"/>
              <w:jc w:val="center"/>
              <w:rPr>
                <w:rFonts w:eastAsia="宋体"/>
                <w:b/>
                <w:bCs/>
                <w:sz w:val="20"/>
                <w:szCs w:val="20"/>
              </w:rPr>
            </w:pPr>
            <w:r>
              <w:rPr>
                <w:b/>
                <w:bCs/>
                <w:sz w:val="20"/>
                <w:szCs w:val="20"/>
              </w:rPr>
              <w:t>2</w:t>
            </w:r>
          </w:p>
        </w:tc>
        <w:tc>
          <w:tcPr>
            <w:tcW w:w="698" w:type="dxa"/>
            <w:shd w:val="clear" w:color="auto" w:fill="F2F2F2" w:themeFill="background2" w:themeFillTint="33"/>
            <w:tcMar>
              <w:top w:w="28" w:type="dxa"/>
              <w:left w:w="57" w:type="dxa"/>
              <w:bottom w:w="28" w:type="dxa"/>
              <w:right w:w="57" w:type="dxa"/>
            </w:tcMar>
            <w:vAlign w:val="center"/>
          </w:tcPr>
          <w:p w14:paraId="48E88B48">
            <w:pPr>
              <w:keepNext/>
              <w:overflowPunct w:val="0"/>
              <w:autoSpaceDE w:val="0"/>
              <w:autoSpaceDN w:val="0"/>
              <w:adjustRightInd w:val="0"/>
              <w:snapToGrid w:val="0"/>
              <w:jc w:val="center"/>
              <w:rPr>
                <w:rFonts w:eastAsia="宋体"/>
                <w:b/>
                <w:bCs/>
                <w:sz w:val="20"/>
                <w:szCs w:val="20"/>
              </w:rPr>
            </w:pPr>
            <w:r>
              <w:rPr>
                <w:b/>
                <w:bCs/>
                <w:sz w:val="20"/>
                <w:szCs w:val="20"/>
              </w:rPr>
              <w:t>4</w:t>
            </w:r>
          </w:p>
        </w:tc>
        <w:tc>
          <w:tcPr>
            <w:tcW w:w="698" w:type="dxa"/>
            <w:shd w:val="clear" w:color="auto" w:fill="F2F2F2" w:themeFill="background2" w:themeFillTint="33"/>
            <w:tcMar>
              <w:top w:w="28" w:type="dxa"/>
              <w:left w:w="57" w:type="dxa"/>
              <w:bottom w:w="28" w:type="dxa"/>
              <w:right w:w="57" w:type="dxa"/>
            </w:tcMar>
            <w:vAlign w:val="center"/>
          </w:tcPr>
          <w:p w14:paraId="1C3430A2">
            <w:pPr>
              <w:keepNext/>
              <w:overflowPunct w:val="0"/>
              <w:autoSpaceDE w:val="0"/>
              <w:autoSpaceDN w:val="0"/>
              <w:adjustRightInd w:val="0"/>
              <w:snapToGrid w:val="0"/>
              <w:jc w:val="center"/>
              <w:rPr>
                <w:rFonts w:eastAsia="宋体"/>
                <w:b/>
                <w:bCs/>
                <w:sz w:val="20"/>
                <w:szCs w:val="20"/>
              </w:rPr>
            </w:pPr>
            <w:r>
              <w:rPr>
                <w:b/>
                <w:bCs/>
                <w:sz w:val="20"/>
                <w:szCs w:val="20"/>
              </w:rPr>
              <w:t>6</w:t>
            </w:r>
          </w:p>
        </w:tc>
        <w:tc>
          <w:tcPr>
            <w:tcW w:w="698" w:type="dxa"/>
            <w:shd w:val="clear" w:color="auto" w:fill="F2F2F2" w:themeFill="background2" w:themeFillTint="33"/>
            <w:tcMar>
              <w:top w:w="28" w:type="dxa"/>
              <w:left w:w="57" w:type="dxa"/>
              <w:bottom w:w="28" w:type="dxa"/>
              <w:right w:w="57" w:type="dxa"/>
            </w:tcMar>
            <w:vAlign w:val="center"/>
          </w:tcPr>
          <w:p w14:paraId="193A8AC6">
            <w:pPr>
              <w:keepNext/>
              <w:overflowPunct w:val="0"/>
              <w:autoSpaceDE w:val="0"/>
              <w:autoSpaceDN w:val="0"/>
              <w:adjustRightInd w:val="0"/>
              <w:snapToGrid w:val="0"/>
              <w:jc w:val="center"/>
              <w:rPr>
                <w:rFonts w:eastAsia="宋体"/>
                <w:b/>
                <w:bCs/>
                <w:sz w:val="20"/>
                <w:szCs w:val="20"/>
              </w:rPr>
            </w:pPr>
            <w:r>
              <w:rPr>
                <w:b/>
                <w:bCs/>
                <w:sz w:val="20"/>
                <w:szCs w:val="20"/>
              </w:rPr>
              <w:t>8</w:t>
            </w:r>
          </w:p>
        </w:tc>
        <w:tc>
          <w:tcPr>
            <w:tcW w:w="698" w:type="dxa"/>
            <w:shd w:val="clear" w:color="auto" w:fill="F2F2F2" w:themeFill="background2" w:themeFillTint="33"/>
            <w:tcMar>
              <w:top w:w="28" w:type="dxa"/>
              <w:left w:w="57" w:type="dxa"/>
              <w:bottom w:w="28" w:type="dxa"/>
              <w:right w:w="57" w:type="dxa"/>
            </w:tcMar>
            <w:vAlign w:val="center"/>
          </w:tcPr>
          <w:p w14:paraId="75EA9230">
            <w:pPr>
              <w:keepNext/>
              <w:overflowPunct w:val="0"/>
              <w:autoSpaceDE w:val="0"/>
              <w:autoSpaceDN w:val="0"/>
              <w:adjustRightInd w:val="0"/>
              <w:snapToGrid w:val="0"/>
              <w:jc w:val="center"/>
              <w:rPr>
                <w:rFonts w:eastAsia="宋体"/>
                <w:b/>
                <w:bCs/>
                <w:sz w:val="20"/>
                <w:szCs w:val="20"/>
              </w:rPr>
            </w:pPr>
            <w:r>
              <w:rPr>
                <w:b/>
                <w:bCs/>
                <w:sz w:val="20"/>
                <w:szCs w:val="20"/>
              </w:rPr>
              <w:t>10</w:t>
            </w:r>
          </w:p>
        </w:tc>
        <w:tc>
          <w:tcPr>
            <w:tcW w:w="698" w:type="dxa"/>
            <w:shd w:val="clear" w:color="auto" w:fill="F2F2F2" w:themeFill="background2" w:themeFillTint="33"/>
            <w:tcMar>
              <w:top w:w="28" w:type="dxa"/>
              <w:left w:w="57" w:type="dxa"/>
              <w:bottom w:w="28" w:type="dxa"/>
              <w:right w:w="57" w:type="dxa"/>
            </w:tcMar>
            <w:vAlign w:val="center"/>
          </w:tcPr>
          <w:p w14:paraId="42F7277C">
            <w:pPr>
              <w:keepNext/>
              <w:overflowPunct w:val="0"/>
              <w:autoSpaceDE w:val="0"/>
              <w:autoSpaceDN w:val="0"/>
              <w:adjustRightInd w:val="0"/>
              <w:snapToGrid w:val="0"/>
              <w:jc w:val="center"/>
              <w:rPr>
                <w:rFonts w:eastAsia="宋体"/>
                <w:b/>
                <w:bCs/>
                <w:sz w:val="20"/>
                <w:szCs w:val="20"/>
              </w:rPr>
            </w:pPr>
            <w:r>
              <w:rPr>
                <w:b/>
                <w:bCs/>
                <w:sz w:val="20"/>
                <w:szCs w:val="20"/>
              </w:rPr>
              <w:t>12</w:t>
            </w:r>
          </w:p>
        </w:tc>
        <w:tc>
          <w:tcPr>
            <w:tcW w:w="698" w:type="dxa"/>
            <w:shd w:val="clear" w:color="auto" w:fill="F2F2F2" w:themeFill="background2" w:themeFillTint="33"/>
            <w:tcMar>
              <w:top w:w="28" w:type="dxa"/>
              <w:left w:w="57" w:type="dxa"/>
              <w:bottom w:w="28" w:type="dxa"/>
              <w:right w:w="57" w:type="dxa"/>
            </w:tcMar>
            <w:vAlign w:val="center"/>
          </w:tcPr>
          <w:p w14:paraId="1EB29731">
            <w:pPr>
              <w:keepNext/>
              <w:overflowPunct w:val="0"/>
              <w:autoSpaceDE w:val="0"/>
              <w:autoSpaceDN w:val="0"/>
              <w:adjustRightInd w:val="0"/>
              <w:snapToGrid w:val="0"/>
              <w:jc w:val="center"/>
              <w:rPr>
                <w:rFonts w:eastAsia="宋体"/>
                <w:b/>
                <w:bCs/>
                <w:sz w:val="20"/>
                <w:szCs w:val="20"/>
              </w:rPr>
            </w:pPr>
            <w:r>
              <w:rPr>
                <w:b/>
                <w:bCs/>
                <w:sz w:val="20"/>
                <w:szCs w:val="20"/>
              </w:rPr>
              <w:t>14</w:t>
            </w:r>
          </w:p>
        </w:tc>
        <w:tc>
          <w:tcPr>
            <w:tcW w:w="698" w:type="dxa"/>
            <w:shd w:val="clear" w:color="auto" w:fill="F2F2F2" w:themeFill="background2" w:themeFillTint="33"/>
            <w:tcMar>
              <w:top w:w="28" w:type="dxa"/>
              <w:left w:w="57" w:type="dxa"/>
              <w:bottom w:w="28" w:type="dxa"/>
              <w:right w:w="57" w:type="dxa"/>
            </w:tcMar>
            <w:vAlign w:val="center"/>
          </w:tcPr>
          <w:p w14:paraId="445EEFCB">
            <w:pPr>
              <w:keepNext/>
              <w:overflowPunct w:val="0"/>
              <w:autoSpaceDE w:val="0"/>
              <w:autoSpaceDN w:val="0"/>
              <w:adjustRightInd w:val="0"/>
              <w:snapToGrid w:val="0"/>
              <w:jc w:val="center"/>
              <w:rPr>
                <w:rFonts w:eastAsia="宋体"/>
                <w:b/>
                <w:bCs/>
                <w:sz w:val="20"/>
                <w:szCs w:val="20"/>
              </w:rPr>
            </w:pPr>
            <w:r>
              <w:rPr>
                <w:b/>
                <w:bCs/>
                <w:sz w:val="20"/>
                <w:szCs w:val="20"/>
              </w:rPr>
              <w:t>16</w:t>
            </w:r>
          </w:p>
        </w:tc>
        <w:tc>
          <w:tcPr>
            <w:tcW w:w="743" w:type="dxa"/>
            <w:shd w:val="clear" w:color="auto" w:fill="F2F2F2" w:themeFill="background2" w:themeFillTint="33"/>
            <w:tcMar>
              <w:top w:w="28" w:type="dxa"/>
              <w:left w:w="57" w:type="dxa"/>
              <w:bottom w:w="28" w:type="dxa"/>
              <w:right w:w="57" w:type="dxa"/>
            </w:tcMar>
            <w:vAlign w:val="center"/>
          </w:tcPr>
          <w:p w14:paraId="0922130B">
            <w:pPr>
              <w:keepNext/>
              <w:overflowPunct w:val="0"/>
              <w:autoSpaceDE w:val="0"/>
              <w:autoSpaceDN w:val="0"/>
              <w:adjustRightInd w:val="0"/>
              <w:snapToGrid w:val="0"/>
              <w:jc w:val="center"/>
              <w:rPr>
                <w:rFonts w:eastAsia="宋体"/>
                <w:b/>
                <w:bCs/>
                <w:sz w:val="20"/>
                <w:szCs w:val="20"/>
              </w:rPr>
            </w:pPr>
            <w:r>
              <w:rPr>
                <w:b/>
                <w:bCs/>
                <w:sz w:val="20"/>
                <w:szCs w:val="20"/>
              </w:rPr>
              <w:t>18</w:t>
            </w:r>
          </w:p>
        </w:tc>
        <w:tc>
          <w:tcPr>
            <w:tcW w:w="743" w:type="dxa"/>
            <w:shd w:val="clear" w:color="auto" w:fill="F2F2F2" w:themeFill="background2" w:themeFillTint="33"/>
            <w:tcMar>
              <w:top w:w="28" w:type="dxa"/>
              <w:left w:w="57" w:type="dxa"/>
              <w:bottom w:w="28" w:type="dxa"/>
              <w:right w:w="57" w:type="dxa"/>
            </w:tcMar>
            <w:vAlign w:val="center"/>
          </w:tcPr>
          <w:p w14:paraId="7B414DBB">
            <w:pPr>
              <w:keepNext/>
              <w:overflowPunct w:val="0"/>
              <w:autoSpaceDE w:val="0"/>
              <w:autoSpaceDN w:val="0"/>
              <w:adjustRightInd w:val="0"/>
              <w:snapToGrid w:val="0"/>
              <w:jc w:val="center"/>
              <w:rPr>
                <w:rFonts w:eastAsia="宋体"/>
                <w:b/>
                <w:bCs/>
                <w:sz w:val="20"/>
                <w:szCs w:val="20"/>
              </w:rPr>
            </w:pPr>
            <w:r>
              <w:rPr>
                <w:b/>
                <w:bCs/>
                <w:sz w:val="20"/>
                <w:szCs w:val="20"/>
              </w:rPr>
              <w:t>20</w:t>
            </w:r>
          </w:p>
        </w:tc>
        <w:tc>
          <w:tcPr>
            <w:tcW w:w="729" w:type="dxa"/>
            <w:shd w:val="clear" w:color="auto" w:fill="F2F2F2" w:themeFill="background2" w:themeFillTint="33"/>
            <w:tcMar>
              <w:top w:w="28" w:type="dxa"/>
              <w:left w:w="57" w:type="dxa"/>
              <w:bottom w:w="28" w:type="dxa"/>
              <w:right w:w="57" w:type="dxa"/>
            </w:tcMar>
            <w:vAlign w:val="center"/>
          </w:tcPr>
          <w:p w14:paraId="134FFCBE">
            <w:pPr>
              <w:keepNext/>
              <w:overflowPunct w:val="0"/>
              <w:autoSpaceDE w:val="0"/>
              <w:autoSpaceDN w:val="0"/>
              <w:adjustRightInd w:val="0"/>
              <w:snapToGrid w:val="0"/>
              <w:jc w:val="center"/>
              <w:rPr>
                <w:rFonts w:eastAsia="宋体"/>
                <w:b/>
                <w:bCs/>
                <w:sz w:val="20"/>
                <w:szCs w:val="20"/>
              </w:rPr>
            </w:pPr>
            <w:r>
              <w:rPr>
                <w:b/>
                <w:bCs/>
                <w:sz w:val="20"/>
                <w:szCs w:val="20"/>
              </w:rPr>
              <w:t>22</w:t>
            </w:r>
          </w:p>
        </w:tc>
      </w:tr>
      <w:tr w14:paraId="04178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569" w:type="dxa"/>
            <w:shd w:val="clear" w:color="auto" w:fill="F2F2F2" w:themeFill="background2" w:themeFillTint="33"/>
            <w:tcMar>
              <w:top w:w="28" w:type="dxa"/>
              <w:left w:w="57" w:type="dxa"/>
              <w:bottom w:w="28" w:type="dxa"/>
              <w:right w:w="57" w:type="dxa"/>
            </w:tcMar>
            <w:vAlign w:val="center"/>
          </w:tcPr>
          <w:p w14:paraId="1231DA8E">
            <w:pPr>
              <w:keepNext/>
              <w:overflowPunct w:val="0"/>
              <w:autoSpaceDE w:val="0"/>
              <w:autoSpaceDN w:val="0"/>
              <w:adjustRightInd w:val="0"/>
              <w:snapToGrid w:val="0"/>
              <w:jc w:val="center"/>
              <w:rPr>
                <w:rFonts w:eastAsia="宋体"/>
                <w:b/>
                <w:bCs/>
                <w:sz w:val="20"/>
                <w:szCs w:val="20"/>
              </w:rPr>
            </w:pPr>
            <w:r>
              <w:rPr>
                <w:b/>
                <w:bCs/>
                <w:sz w:val="20"/>
                <w:szCs w:val="20"/>
              </w:rPr>
              <w:t>Day</w:t>
            </w:r>
          </w:p>
        </w:tc>
        <w:tc>
          <w:tcPr>
            <w:tcW w:w="698" w:type="dxa"/>
            <w:shd w:val="clear" w:color="auto" w:fill="F2F2F2" w:themeFill="background2" w:themeFillTint="33"/>
            <w:tcMar>
              <w:top w:w="28" w:type="dxa"/>
              <w:left w:w="57" w:type="dxa"/>
              <w:bottom w:w="28" w:type="dxa"/>
              <w:right w:w="57" w:type="dxa"/>
            </w:tcMar>
            <w:vAlign w:val="center"/>
          </w:tcPr>
          <w:p w14:paraId="1D9A40D8">
            <w:pPr>
              <w:keepNext/>
              <w:overflowPunct w:val="0"/>
              <w:autoSpaceDE w:val="0"/>
              <w:autoSpaceDN w:val="0"/>
              <w:adjustRightInd w:val="0"/>
              <w:snapToGrid w:val="0"/>
              <w:jc w:val="center"/>
              <w:rPr>
                <w:rFonts w:eastAsia="宋体"/>
                <w:b/>
                <w:bCs/>
                <w:sz w:val="20"/>
                <w:szCs w:val="20"/>
              </w:rPr>
            </w:pPr>
            <w:r>
              <w:rPr>
                <w:b/>
                <w:bCs/>
                <w:sz w:val="20"/>
                <w:szCs w:val="20"/>
              </w:rPr>
              <w:t>0</w:t>
            </w:r>
          </w:p>
        </w:tc>
        <w:tc>
          <w:tcPr>
            <w:tcW w:w="698" w:type="dxa"/>
            <w:shd w:val="clear" w:color="auto" w:fill="F2F2F2" w:themeFill="background2" w:themeFillTint="33"/>
            <w:tcMar>
              <w:top w:w="28" w:type="dxa"/>
              <w:left w:w="57" w:type="dxa"/>
              <w:bottom w:w="28" w:type="dxa"/>
              <w:right w:w="57" w:type="dxa"/>
            </w:tcMar>
            <w:vAlign w:val="center"/>
          </w:tcPr>
          <w:p w14:paraId="41B66E58">
            <w:pPr>
              <w:keepNext/>
              <w:overflowPunct w:val="0"/>
              <w:autoSpaceDE w:val="0"/>
              <w:autoSpaceDN w:val="0"/>
              <w:adjustRightInd w:val="0"/>
              <w:snapToGrid w:val="0"/>
              <w:jc w:val="center"/>
              <w:rPr>
                <w:rFonts w:eastAsia="宋体"/>
                <w:b/>
                <w:bCs/>
                <w:sz w:val="20"/>
                <w:szCs w:val="20"/>
              </w:rPr>
            </w:pPr>
            <w:r>
              <w:rPr>
                <w:b/>
                <w:bCs/>
                <w:sz w:val="20"/>
                <w:szCs w:val="20"/>
              </w:rPr>
              <w:t>14</w:t>
            </w:r>
          </w:p>
        </w:tc>
        <w:tc>
          <w:tcPr>
            <w:tcW w:w="698" w:type="dxa"/>
            <w:shd w:val="clear" w:color="auto" w:fill="F2F2F2" w:themeFill="background2" w:themeFillTint="33"/>
            <w:tcMar>
              <w:top w:w="28" w:type="dxa"/>
              <w:left w:w="57" w:type="dxa"/>
              <w:bottom w:w="28" w:type="dxa"/>
              <w:right w:w="57" w:type="dxa"/>
            </w:tcMar>
            <w:vAlign w:val="center"/>
          </w:tcPr>
          <w:p w14:paraId="0EB3F193">
            <w:pPr>
              <w:keepNext/>
              <w:overflowPunct w:val="0"/>
              <w:autoSpaceDE w:val="0"/>
              <w:autoSpaceDN w:val="0"/>
              <w:adjustRightInd w:val="0"/>
              <w:snapToGrid w:val="0"/>
              <w:jc w:val="center"/>
              <w:rPr>
                <w:rFonts w:eastAsia="宋体"/>
                <w:b/>
                <w:bCs/>
                <w:sz w:val="20"/>
                <w:szCs w:val="20"/>
              </w:rPr>
            </w:pPr>
            <w:r>
              <w:rPr>
                <w:b/>
                <w:bCs/>
                <w:sz w:val="20"/>
                <w:szCs w:val="20"/>
              </w:rPr>
              <w:t>28</w:t>
            </w:r>
          </w:p>
        </w:tc>
        <w:tc>
          <w:tcPr>
            <w:tcW w:w="698" w:type="dxa"/>
            <w:shd w:val="clear" w:color="auto" w:fill="F2F2F2" w:themeFill="background2" w:themeFillTint="33"/>
            <w:tcMar>
              <w:top w:w="28" w:type="dxa"/>
              <w:left w:w="57" w:type="dxa"/>
              <w:bottom w:w="28" w:type="dxa"/>
              <w:right w:w="57" w:type="dxa"/>
            </w:tcMar>
            <w:vAlign w:val="center"/>
          </w:tcPr>
          <w:p w14:paraId="28475272">
            <w:pPr>
              <w:keepNext/>
              <w:overflowPunct w:val="0"/>
              <w:autoSpaceDE w:val="0"/>
              <w:autoSpaceDN w:val="0"/>
              <w:adjustRightInd w:val="0"/>
              <w:snapToGrid w:val="0"/>
              <w:jc w:val="center"/>
              <w:rPr>
                <w:rFonts w:eastAsia="宋体"/>
                <w:b/>
                <w:bCs/>
                <w:sz w:val="20"/>
                <w:szCs w:val="20"/>
              </w:rPr>
            </w:pPr>
            <w:r>
              <w:rPr>
                <w:b/>
                <w:bCs/>
                <w:sz w:val="20"/>
                <w:szCs w:val="20"/>
              </w:rPr>
              <w:t>42</w:t>
            </w:r>
          </w:p>
        </w:tc>
        <w:tc>
          <w:tcPr>
            <w:tcW w:w="698" w:type="dxa"/>
            <w:shd w:val="clear" w:color="auto" w:fill="F2F2F2" w:themeFill="background2" w:themeFillTint="33"/>
            <w:tcMar>
              <w:top w:w="28" w:type="dxa"/>
              <w:left w:w="57" w:type="dxa"/>
              <w:bottom w:w="28" w:type="dxa"/>
              <w:right w:w="57" w:type="dxa"/>
            </w:tcMar>
            <w:vAlign w:val="center"/>
          </w:tcPr>
          <w:p w14:paraId="5332A22D">
            <w:pPr>
              <w:keepNext/>
              <w:overflowPunct w:val="0"/>
              <w:autoSpaceDE w:val="0"/>
              <w:autoSpaceDN w:val="0"/>
              <w:adjustRightInd w:val="0"/>
              <w:snapToGrid w:val="0"/>
              <w:jc w:val="center"/>
              <w:rPr>
                <w:rFonts w:eastAsia="宋体"/>
                <w:b/>
                <w:bCs/>
                <w:sz w:val="20"/>
                <w:szCs w:val="20"/>
              </w:rPr>
            </w:pPr>
            <w:r>
              <w:rPr>
                <w:b/>
                <w:bCs/>
                <w:sz w:val="20"/>
                <w:szCs w:val="20"/>
              </w:rPr>
              <w:t>56</w:t>
            </w:r>
          </w:p>
        </w:tc>
        <w:tc>
          <w:tcPr>
            <w:tcW w:w="698" w:type="dxa"/>
            <w:shd w:val="clear" w:color="auto" w:fill="F2F2F2" w:themeFill="background2" w:themeFillTint="33"/>
            <w:tcMar>
              <w:top w:w="28" w:type="dxa"/>
              <w:left w:w="57" w:type="dxa"/>
              <w:bottom w:w="28" w:type="dxa"/>
              <w:right w:w="57" w:type="dxa"/>
            </w:tcMar>
            <w:vAlign w:val="center"/>
          </w:tcPr>
          <w:p w14:paraId="58846C1E">
            <w:pPr>
              <w:keepNext/>
              <w:overflowPunct w:val="0"/>
              <w:autoSpaceDE w:val="0"/>
              <w:autoSpaceDN w:val="0"/>
              <w:adjustRightInd w:val="0"/>
              <w:snapToGrid w:val="0"/>
              <w:jc w:val="center"/>
              <w:rPr>
                <w:rFonts w:eastAsia="宋体"/>
                <w:b/>
                <w:bCs/>
                <w:sz w:val="20"/>
                <w:szCs w:val="20"/>
              </w:rPr>
            </w:pPr>
            <w:r>
              <w:rPr>
                <w:b/>
                <w:bCs/>
                <w:sz w:val="20"/>
                <w:szCs w:val="20"/>
              </w:rPr>
              <w:t>70</w:t>
            </w:r>
          </w:p>
        </w:tc>
        <w:tc>
          <w:tcPr>
            <w:tcW w:w="698" w:type="dxa"/>
            <w:shd w:val="clear" w:color="auto" w:fill="F2F2F2" w:themeFill="background2" w:themeFillTint="33"/>
            <w:tcMar>
              <w:top w:w="28" w:type="dxa"/>
              <w:left w:w="57" w:type="dxa"/>
              <w:bottom w:w="28" w:type="dxa"/>
              <w:right w:w="57" w:type="dxa"/>
            </w:tcMar>
            <w:vAlign w:val="center"/>
          </w:tcPr>
          <w:p w14:paraId="6B349795">
            <w:pPr>
              <w:keepNext/>
              <w:overflowPunct w:val="0"/>
              <w:autoSpaceDE w:val="0"/>
              <w:autoSpaceDN w:val="0"/>
              <w:adjustRightInd w:val="0"/>
              <w:snapToGrid w:val="0"/>
              <w:jc w:val="center"/>
              <w:rPr>
                <w:rFonts w:eastAsia="宋体"/>
                <w:b/>
                <w:bCs/>
                <w:sz w:val="20"/>
                <w:szCs w:val="20"/>
              </w:rPr>
            </w:pPr>
            <w:r>
              <w:rPr>
                <w:b/>
                <w:bCs/>
                <w:sz w:val="20"/>
                <w:szCs w:val="20"/>
              </w:rPr>
              <w:t>84</w:t>
            </w:r>
          </w:p>
        </w:tc>
        <w:tc>
          <w:tcPr>
            <w:tcW w:w="698" w:type="dxa"/>
            <w:shd w:val="clear" w:color="auto" w:fill="F2F2F2" w:themeFill="background2" w:themeFillTint="33"/>
            <w:tcMar>
              <w:top w:w="28" w:type="dxa"/>
              <w:left w:w="57" w:type="dxa"/>
              <w:bottom w:w="28" w:type="dxa"/>
              <w:right w:w="57" w:type="dxa"/>
            </w:tcMar>
            <w:vAlign w:val="center"/>
          </w:tcPr>
          <w:p w14:paraId="5BA8236B">
            <w:pPr>
              <w:keepNext/>
              <w:overflowPunct w:val="0"/>
              <w:autoSpaceDE w:val="0"/>
              <w:autoSpaceDN w:val="0"/>
              <w:adjustRightInd w:val="0"/>
              <w:snapToGrid w:val="0"/>
              <w:jc w:val="center"/>
              <w:rPr>
                <w:rFonts w:eastAsia="宋体"/>
                <w:b/>
                <w:bCs/>
                <w:sz w:val="20"/>
                <w:szCs w:val="20"/>
              </w:rPr>
            </w:pPr>
            <w:r>
              <w:rPr>
                <w:b/>
                <w:bCs/>
                <w:sz w:val="20"/>
                <w:szCs w:val="20"/>
              </w:rPr>
              <w:t>98</w:t>
            </w:r>
          </w:p>
        </w:tc>
        <w:tc>
          <w:tcPr>
            <w:tcW w:w="698" w:type="dxa"/>
            <w:shd w:val="clear" w:color="auto" w:fill="F2F2F2" w:themeFill="background2" w:themeFillTint="33"/>
            <w:tcMar>
              <w:top w:w="28" w:type="dxa"/>
              <w:left w:w="57" w:type="dxa"/>
              <w:bottom w:w="28" w:type="dxa"/>
              <w:right w:w="57" w:type="dxa"/>
            </w:tcMar>
            <w:vAlign w:val="center"/>
          </w:tcPr>
          <w:p w14:paraId="5C63961D">
            <w:pPr>
              <w:keepNext/>
              <w:overflowPunct w:val="0"/>
              <w:autoSpaceDE w:val="0"/>
              <w:autoSpaceDN w:val="0"/>
              <w:adjustRightInd w:val="0"/>
              <w:snapToGrid w:val="0"/>
              <w:jc w:val="center"/>
              <w:rPr>
                <w:rFonts w:eastAsia="宋体"/>
                <w:b/>
                <w:bCs/>
                <w:sz w:val="20"/>
                <w:szCs w:val="20"/>
              </w:rPr>
            </w:pPr>
            <w:r>
              <w:rPr>
                <w:b/>
                <w:bCs/>
                <w:sz w:val="20"/>
                <w:szCs w:val="20"/>
              </w:rPr>
              <w:t>112</w:t>
            </w:r>
          </w:p>
        </w:tc>
        <w:tc>
          <w:tcPr>
            <w:tcW w:w="743" w:type="dxa"/>
            <w:shd w:val="clear" w:color="auto" w:fill="F2F2F2" w:themeFill="background2" w:themeFillTint="33"/>
            <w:tcMar>
              <w:top w:w="28" w:type="dxa"/>
              <w:left w:w="57" w:type="dxa"/>
              <w:bottom w:w="28" w:type="dxa"/>
              <w:right w:w="57" w:type="dxa"/>
            </w:tcMar>
            <w:vAlign w:val="center"/>
          </w:tcPr>
          <w:p w14:paraId="7382B2FE">
            <w:pPr>
              <w:keepNext/>
              <w:overflowPunct w:val="0"/>
              <w:autoSpaceDE w:val="0"/>
              <w:autoSpaceDN w:val="0"/>
              <w:adjustRightInd w:val="0"/>
              <w:snapToGrid w:val="0"/>
              <w:jc w:val="center"/>
              <w:rPr>
                <w:rFonts w:eastAsia="宋体"/>
                <w:b/>
                <w:bCs/>
                <w:sz w:val="20"/>
                <w:szCs w:val="20"/>
              </w:rPr>
            </w:pPr>
            <w:r>
              <w:rPr>
                <w:b/>
                <w:bCs/>
                <w:sz w:val="20"/>
                <w:szCs w:val="20"/>
              </w:rPr>
              <w:t>126</w:t>
            </w:r>
          </w:p>
        </w:tc>
        <w:tc>
          <w:tcPr>
            <w:tcW w:w="743" w:type="dxa"/>
            <w:shd w:val="clear" w:color="auto" w:fill="F2F2F2" w:themeFill="background2" w:themeFillTint="33"/>
            <w:tcMar>
              <w:top w:w="28" w:type="dxa"/>
              <w:left w:w="57" w:type="dxa"/>
              <w:bottom w:w="28" w:type="dxa"/>
              <w:right w:w="57" w:type="dxa"/>
            </w:tcMar>
            <w:vAlign w:val="center"/>
          </w:tcPr>
          <w:p w14:paraId="7819C004">
            <w:pPr>
              <w:keepNext/>
              <w:overflowPunct w:val="0"/>
              <w:autoSpaceDE w:val="0"/>
              <w:autoSpaceDN w:val="0"/>
              <w:adjustRightInd w:val="0"/>
              <w:snapToGrid w:val="0"/>
              <w:jc w:val="center"/>
              <w:rPr>
                <w:rFonts w:eastAsia="宋体"/>
                <w:b/>
                <w:bCs/>
                <w:sz w:val="20"/>
                <w:szCs w:val="20"/>
              </w:rPr>
            </w:pPr>
            <w:r>
              <w:rPr>
                <w:b/>
                <w:bCs/>
                <w:sz w:val="20"/>
                <w:szCs w:val="20"/>
              </w:rPr>
              <w:t>140</w:t>
            </w:r>
          </w:p>
        </w:tc>
        <w:tc>
          <w:tcPr>
            <w:tcW w:w="729" w:type="dxa"/>
            <w:shd w:val="clear" w:color="auto" w:fill="F2F2F2" w:themeFill="background2" w:themeFillTint="33"/>
            <w:tcMar>
              <w:top w:w="28" w:type="dxa"/>
              <w:left w:w="57" w:type="dxa"/>
              <w:bottom w:w="28" w:type="dxa"/>
              <w:right w:w="57" w:type="dxa"/>
            </w:tcMar>
            <w:vAlign w:val="center"/>
          </w:tcPr>
          <w:p w14:paraId="0EE86280">
            <w:pPr>
              <w:keepNext/>
              <w:overflowPunct w:val="0"/>
              <w:autoSpaceDE w:val="0"/>
              <w:autoSpaceDN w:val="0"/>
              <w:adjustRightInd w:val="0"/>
              <w:snapToGrid w:val="0"/>
              <w:jc w:val="center"/>
              <w:rPr>
                <w:rFonts w:eastAsia="宋体"/>
                <w:b/>
                <w:bCs/>
                <w:sz w:val="20"/>
                <w:szCs w:val="20"/>
              </w:rPr>
            </w:pPr>
            <w:r>
              <w:rPr>
                <w:b/>
                <w:bCs/>
                <w:sz w:val="20"/>
                <w:szCs w:val="20"/>
              </w:rPr>
              <w:t>154</w:t>
            </w:r>
          </w:p>
        </w:tc>
      </w:tr>
      <w:tr w14:paraId="1072C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569" w:type="dxa"/>
            <w:shd w:val="clear" w:color="auto" w:fill="F2F2F2" w:themeFill="background2" w:themeFillTint="33"/>
            <w:tcMar>
              <w:top w:w="28" w:type="dxa"/>
              <w:left w:w="57" w:type="dxa"/>
              <w:bottom w:w="28" w:type="dxa"/>
              <w:right w:w="57" w:type="dxa"/>
            </w:tcMar>
            <w:vAlign w:val="center"/>
          </w:tcPr>
          <w:p w14:paraId="3B66B7F6">
            <w:pPr>
              <w:keepNext/>
              <w:overflowPunct w:val="0"/>
              <w:autoSpaceDE w:val="0"/>
              <w:autoSpaceDN w:val="0"/>
              <w:adjustRightInd w:val="0"/>
              <w:snapToGrid w:val="0"/>
              <w:jc w:val="center"/>
              <w:rPr>
                <w:rFonts w:eastAsia="宋体"/>
                <w:sz w:val="20"/>
                <w:szCs w:val="20"/>
              </w:rPr>
            </w:pPr>
            <w:r>
              <w:rPr>
                <w:sz w:val="20"/>
                <w:szCs w:val="20"/>
              </w:rPr>
              <w:t>A-1</w:t>
            </w:r>
          </w:p>
        </w:tc>
        <w:tc>
          <w:tcPr>
            <w:tcW w:w="698" w:type="dxa"/>
            <w:shd w:val="clear" w:color="auto" w:fill="auto"/>
            <w:tcMar>
              <w:top w:w="28" w:type="dxa"/>
              <w:left w:w="57" w:type="dxa"/>
              <w:bottom w:w="28" w:type="dxa"/>
              <w:right w:w="57" w:type="dxa"/>
            </w:tcMar>
            <w:vAlign w:val="center"/>
          </w:tcPr>
          <w:p w14:paraId="6EAC2517">
            <w:pPr>
              <w:keepNext/>
              <w:overflowPunct w:val="0"/>
              <w:autoSpaceDE w:val="0"/>
              <w:autoSpaceDN w:val="0"/>
              <w:adjustRightInd w:val="0"/>
              <w:snapToGrid w:val="0"/>
              <w:jc w:val="center"/>
              <w:rPr>
                <w:rFonts w:eastAsia="宋体"/>
                <w:sz w:val="20"/>
                <w:szCs w:val="20"/>
              </w:rPr>
            </w:pPr>
            <w:r>
              <w:rPr>
                <w:sz w:val="20"/>
                <w:szCs w:val="20"/>
              </w:rPr>
              <w:t>0 mg</w:t>
            </w:r>
          </w:p>
        </w:tc>
        <w:tc>
          <w:tcPr>
            <w:tcW w:w="698" w:type="dxa"/>
            <w:shd w:val="clear" w:color="auto" w:fill="auto"/>
            <w:tcMar>
              <w:top w:w="28" w:type="dxa"/>
              <w:left w:w="57" w:type="dxa"/>
              <w:bottom w:w="28" w:type="dxa"/>
              <w:right w:w="57" w:type="dxa"/>
            </w:tcMar>
          </w:tcPr>
          <w:p w14:paraId="5D17E38E">
            <w:pPr>
              <w:keepNext/>
              <w:overflowPunct w:val="0"/>
              <w:autoSpaceDE w:val="0"/>
              <w:autoSpaceDN w:val="0"/>
              <w:adjustRightInd w:val="0"/>
              <w:snapToGrid w:val="0"/>
              <w:jc w:val="center"/>
              <w:rPr>
                <w:rFonts w:eastAsia="宋体"/>
                <w:sz w:val="20"/>
                <w:szCs w:val="20"/>
              </w:rPr>
            </w:pPr>
            <w:r>
              <w:rPr>
                <w:sz w:val="20"/>
                <w:szCs w:val="20"/>
              </w:rPr>
              <w:t>0 mg</w:t>
            </w:r>
          </w:p>
        </w:tc>
        <w:tc>
          <w:tcPr>
            <w:tcW w:w="698" w:type="dxa"/>
            <w:shd w:val="clear" w:color="auto" w:fill="auto"/>
            <w:tcMar>
              <w:top w:w="28" w:type="dxa"/>
              <w:left w:w="57" w:type="dxa"/>
              <w:bottom w:w="28" w:type="dxa"/>
              <w:right w:w="57" w:type="dxa"/>
            </w:tcMar>
          </w:tcPr>
          <w:p w14:paraId="7881B6B1">
            <w:pPr>
              <w:keepNext/>
              <w:overflowPunct w:val="0"/>
              <w:autoSpaceDE w:val="0"/>
              <w:autoSpaceDN w:val="0"/>
              <w:adjustRightInd w:val="0"/>
              <w:snapToGrid w:val="0"/>
              <w:jc w:val="center"/>
              <w:rPr>
                <w:rFonts w:eastAsia="宋体"/>
                <w:sz w:val="20"/>
                <w:szCs w:val="20"/>
              </w:rPr>
            </w:pPr>
            <w:r>
              <w:rPr>
                <w:sz w:val="20"/>
                <w:szCs w:val="20"/>
              </w:rPr>
              <w:t>0 mg</w:t>
            </w:r>
          </w:p>
        </w:tc>
        <w:tc>
          <w:tcPr>
            <w:tcW w:w="698" w:type="dxa"/>
            <w:shd w:val="clear" w:color="auto" w:fill="auto"/>
            <w:tcMar>
              <w:top w:w="28" w:type="dxa"/>
              <w:left w:w="57" w:type="dxa"/>
              <w:bottom w:w="28" w:type="dxa"/>
              <w:right w:w="57" w:type="dxa"/>
            </w:tcMar>
          </w:tcPr>
          <w:p w14:paraId="234AAB06">
            <w:pPr>
              <w:keepNext/>
              <w:overflowPunct w:val="0"/>
              <w:autoSpaceDE w:val="0"/>
              <w:autoSpaceDN w:val="0"/>
              <w:adjustRightInd w:val="0"/>
              <w:snapToGrid w:val="0"/>
              <w:jc w:val="center"/>
              <w:rPr>
                <w:rFonts w:eastAsia="宋体"/>
                <w:sz w:val="20"/>
                <w:szCs w:val="20"/>
              </w:rPr>
            </w:pPr>
            <w:r>
              <w:rPr>
                <w:sz w:val="20"/>
                <w:szCs w:val="20"/>
              </w:rPr>
              <w:t>0 mg</w:t>
            </w:r>
          </w:p>
        </w:tc>
        <w:tc>
          <w:tcPr>
            <w:tcW w:w="698" w:type="dxa"/>
            <w:shd w:val="clear" w:color="auto" w:fill="auto"/>
            <w:tcMar>
              <w:top w:w="28" w:type="dxa"/>
              <w:left w:w="57" w:type="dxa"/>
              <w:bottom w:w="28" w:type="dxa"/>
              <w:right w:w="57" w:type="dxa"/>
            </w:tcMar>
          </w:tcPr>
          <w:p w14:paraId="028FCF70">
            <w:pPr>
              <w:keepNext/>
              <w:overflowPunct w:val="0"/>
              <w:autoSpaceDE w:val="0"/>
              <w:autoSpaceDN w:val="0"/>
              <w:adjustRightInd w:val="0"/>
              <w:snapToGrid w:val="0"/>
              <w:jc w:val="center"/>
              <w:rPr>
                <w:rFonts w:eastAsia="宋体"/>
                <w:sz w:val="20"/>
                <w:szCs w:val="20"/>
              </w:rPr>
            </w:pPr>
            <w:r>
              <w:rPr>
                <w:sz w:val="20"/>
                <w:szCs w:val="20"/>
              </w:rPr>
              <w:t>0 mg</w:t>
            </w:r>
          </w:p>
        </w:tc>
        <w:tc>
          <w:tcPr>
            <w:tcW w:w="698" w:type="dxa"/>
            <w:shd w:val="clear" w:color="auto" w:fill="auto"/>
            <w:tcMar>
              <w:top w:w="28" w:type="dxa"/>
              <w:left w:w="57" w:type="dxa"/>
              <w:bottom w:w="28" w:type="dxa"/>
              <w:right w:w="57" w:type="dxa"/>
            </w:tcMar>
          </w:tcPr>
          <w:p w14:paraId="6215AF63">
            <w:pPr>
              <w:keepNext/>
              <w:overflowPunct w:val="0"/>
              <w:autoSpaceDE w:val="0"/>
              <w:autoSpaceDN w:val="0"/>
              <w:adjustRightInd w:val="0"/>
              <w:snapToGrid w:val="0"/>
              <w:jc w:val="center"/>
              <w:rPr>
                <w:rFonts w:eastAsia="宋体"/>
                <w:sz w:val="20"/>
                <w:szCs w:val="20"/>
              </w:rPr>
            </w:pPr>
            <w:r>
              <w:rPr>
                <w:sz w:val="20"/>
                <w:szCs w:val="20"/>
              </w:rPr>
              <w:t>0 mg</w:t>
            </w:r>
          </w:p>
        </w:tc>
        <w:tc>
          <w:tcPr>
            <w:tcW w:w="698" w:type="dxa"/>
            <w:shd w:val="clear" w:color="auto" w:fill="auto"/>
            <w:tcMar>
              <w:top w:w="28" w:type="dxa"/>
              <w:left w:w="57" w:type="dxa"/>
              <w:bottom w:w="28" w:type="dxa"/>
              <w:right w:w="57" w:type="dxa"/>
            </w:tcMar>
          </w:tcPr>
          <w:p w14:paraId="74F64F8B">
            <w:pPr>
              <w:keepNext/>
              <w:overflowPunct w:val="0"/>
              <w:autoSpaceDE w:val="0"/>
              <w:autoSpaceDN w:val="0"/>
              <w:adjustRightInd w:val="0"/>
              <w:snapToGrid w:val="0"/>
              <w:jc w:val="center"/>
              <w:rPr>
                <w:rFonts w:eastAsia="宋体"/>
                <w:sz w:val="20"/>
                <w:szCs w:val="20"/>
              </w:rPr>
            </w:pPr>
            <w:r>
              <w:rPr>
                <w:sz w:val="20"/>
                <w:szCs w:val="20"/>
              </w:rPr>
              <w:t>0 mg</w:t>
            </w:r>
          </w:p>
        </w:tc>
        <w:tc>
          <w:tcPr>
            <w:tcW w:w="698" w:type="dxa"/>
            <w:shd w:val="clear" w:color="auto" w:fill="auto"/>
            <w:tcMar>
              <w:top w:w="28" w:type="dxa"/>
              <w:left w:w="57" w:type="dxa"/>
              <w:bottom w:w="28" w:type="dxa"/>
              <w:right w:w="57" w:type="dxa"/>
            </w:tcMar>
          </w:tcPr>
          <w:p w14:paraId="28566B87">
            <w:pPr>
              <w:keepNext/>
              <w:overflowPunct w:val="0"/>
              <w:autoSpaceDE w:val="0"/>
              <w:autoSpaceDN w:val="0"/>
              <w:adjustRightInd w:val="0"/>
              <w:snapToGrid w:val="0"/>
              <w:jc w:val="center"/>
              <w:rPr>
                <w:rFonts w:eastAsia="宋体"/>
                <w:sz w:val="20"/>
                <w:szCs w:val="20"/>
              </w:rPr>
            </w:pPr>
            <w:r>
              <w:rPr>
                <w:sz w:val="20"/>
                <w:szCs w:val="20"/>
              </w:rPr>
              <w:t>0 mg</w:t>
            </w:r>
          </w:p>
        </w:tc>
        <w:tc>
          <w:tcPr>
            <w:tcW w:w="698" w:type="dxa"/>
            <w:shd w:val="clear" w:color="auto" w:fill="auto"/>
            <w:tcMar>
              <w:top w:w="28" w:type="dxa"/>
              <w:left w:w="57" w:type="dxa"/>
              <w:bottom w:w="28" w:type="dxa"/>
              <w:right w:w="57" w:type="dxa"/>
            </w:tcMar>
          </w:tcPr>
          <w:p w14:paraId="1667E067">
            <w:pPr>
              <w:keepNext/>
              <w:overflowPunct w:val="0"/>
              <w:autoSpaceDE w:val="0"/>
              <w:autoSpaceDN w:val="0"/>
              <w:adjustRightInd w:val="0"/>
              <w:snapToGrid w:val="0"/>
              <w:jc w:val="center"/>
              <w:rPr>
                <w:rFonts w:eastAsia="宋体"/>
                <w:sz w:val="20"/>
                <w:szCs w:val="20"/>
              </w:rPr>
            </w:pPr>
            <w:r>
              <w:rPr>
                <w:sz w:val="20"/>
                <w:szCs w:val="20"/>
              </w:rPr>
              <w:t>0 mg</w:t>
            </w:r>
          </w:p>
        </w:tc>
        <w:tc>
          <w:tcPr>
            <w:tcW w:w="743" w:type="dxa"/>
            <w:shd w:val="clear" w:color="auto" w:fill="auto"/>
            <w:tcMar>
              <w:top w:w="28" w:type="dxa"/>
              <w:left w:w="57" w:type="dxa"/>
              <w:bottom w:w="28" w:type="dxa"/>
              <w:right w:w="57" w:type="dxa"/>
            </w:tcMar>
          </w:tcPr>
          <w:p w14:paraId="2A189866">
            <w:pPr>
              <w:keepNext/>
              <w:overflowPunct w:val="0"/>
              <w:autoSpaceDE w:val="0"/>
              <w:autoSpaceDN w:val="0"/>
              <w:adjustRightInd w:val="0"/>
              <w:snapToGrid w:val="0"/>
              <w:jc w:val="center"/>
              <w:rPr>
                <w:rFonts w:eastAsia="宋体"/>
                <w:sz w:val="20"/>
                <w:szCs w:val="20"/>
              </w:rPr>
            </w:pPr>
            <w:r>
              <w:rPr>
                <w:sz w:val="20"/>
                <w:szCs w:val="20"/>
              </w:rPr>
              <w:t>0 mg</w:t>
            </w:r>
          </w:p>
        </w:tc>
        <w:tc>
          <w:tcPr>
            <w:tcW w:w="743" w:type="dxa"/>
            <w:shd w:val="clear" w:color="auto" w:fill="auto"/>
            <w:tcMar>
              <w:top w:w="28" w:type="dxa"/>
              <w:left w:w="57" w:type="dxa"/>
              <w:bottom w:w="28" w:type="dxa"/>
              <w:right w:w="57" w:type="dxa"/>
            </w:tcMar>
          </w:tcPr>
          <w:p w14:paraId="0C9B57C0">
            <w:pPr>
              <w:keepNext/>
              <w:overflowPunct w:val="0"/>
              <w:autoSpaceDE w:val="0"/>
              <w:autoSpaceDN w:val="0"/>
              <w:adjustRightInd w:val="0"/>
              <w:snapToGrid w:val="0"/>
              <w:jc w:val="center"/>
              <w:rPr>
                <w:rFonts w:eastAsia="宋体"/>
                <w:sz w:val="20"/>
                <w:szCs w:val="20"/>
              </w:rPr>
            </w:pPr>
            <w:r>
              <w:rPr>
                <w:sz w:val="20"/>
                <w:szCs w:val="20"/>
              </w:rPr>
              <w:t>0 mg</w:t>
            </w:r>
          </w:p>
        </w:tc>
        <w:tc>
          <w:tcPr>
            <w:tcW w:w="729" w:type="dxa"/>
            <w:shd w:val="clear" w:color="auto" w:fill="auto"/>
            <w:tcMar>
              <w:top w:w="28" w:type="dxa"/>
              <w:left w:w="57" w:type="dxa"/>
              <w:bottom w:w="28" w:type="dxa"/>
              <w:right w:w="57" w:type="dxa"/>
            </w:tcMar>
          </w:tcPr>
          <w:p w14:paraId="3E821A4C">
            <w:pPr>
              <w:keepNext/>
              <w:overflowPunct w:val="0"/>
              <w:autoSpaceDE w:val="0"/>
              <w:autoSpaceDN w:val="0"/>
              <w:adjustRightInd w:val="0"/>
              <w:snapToGrid w:val="0"/>
              <w:jc w:val="center"/>
              <w:rPr>
                <w:rFonts w:eastAsia="宋体"/>
                <w:sz w:val="20"/>
                <w:szCs w:val="20"/>
              </w:rPr>
            </w:pPr>
            <w:r>
              <w:rPr>
                <w:sz w:val="20"/>
                <w:szCs w:val="20"/>
              </w:rPr>
              <w:t>0 mg</w:t>
            </w:r>
          </w:p>
        </w:tc>
      </w:tr>
      <w:tr w14:paraId="2E271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569" w:type="dxa"/>
            <w:shd w:val="clear" w:color="auto" w:fill="F2F2F2" w:themeFill="background2" w:themeFillTint="33"/>
            <w:tcMar>
              <w:top w:w="28" w:type="dxa"/>
              <w:left w:w="57" w:type="dxa"/>
              <w:bottom w:w="28" w:type="dxa"/>
              <w:right w:w="57" w:type="dxa"/>
            </w:tcMar>
            <w:vAlign w:val="center"/>
          </w:tcPr>
          <w:p w14:paraId="1D785129">
            <w:pPr>
              <w:keepNext/>
              <w:overflowPunct w:val="0"/>
              <w:autoSpaceDE w:val="0"/>
              <w:autoSpaceDN w:val="0"/>
              <w:adjustRightInd w:val="0"/>
              <w:snapToGrid w:val="0"/>
              <w:jc w:val="center"/>
              <w:rPr>
                <w:rFonts w:eastAsia="宋体"/>
                <w:sz w:val="20"/>
                <w:szCs w:val="20"/>
              </w:rPr>
            </w:pPr>
            <w:r>
              <w:rPr>
                <w:sz w:val="20"/>
                <w:szCs w:val="20"/>
              </w:rPr>
              <w:t>A-2</w:t>
            </w:r>
          </w:p>
        </w:tc>
        <w:tc>
          <w:tcPr>
            <w:tcW w:w="698" w:type="dxa"/>
            <w:shd w:val="clear" w:color="auto" w:fill="F2F2F2" w:themeFill="background2" w:themeFillTint="33"/>
            <w:tcMar>
              <w:top w:w="28" w:type="dxa"/>
              <w:left w:w="57" w:type="dxa"/>
              <w:bottom w:w="28" w:type="dxa"/>
              <w:right w:w="57" w:type="dxa"/>
            </w:tcMar>
            <w:vAlign w:val="center"/>
          </w:tcPr>
          <w:p w14:paraId="2BCE4CF1">
            <w:pPr>
              <w:keepNext/>
              <w:overflowPunct w:val="0"/>
              <w:autoSpaceDE w:val="0"/>
              <w:autoSpaceDN w:val="0"/>
              <w:adjustRightInd w:val="0"/>
              <w:snapToGrid w:val="0"/>
              <w:jc w:val="center"/>
              <w:rPr>
                <w:rFonts w:eastAsia="宋体"/>
                <w:sz w:val="20"/>
                <w:szCs w:val="20"/>
              </w:rPr>
            </w:pPr>
            <w:r>
              <w:rPr>
                <w:sz w:val="20"/>
                <w:szCs w:val="20"/>
              </w:rPr>
              <w:t>1 mg</w:t>
            </w:r>
          </w:p>
        </w:tc>
        <w:tc>
          <w:tcPr>
            <w:tcW w:w="698" w:type="dxa"/>
            <w:shd w:val="clear" w:color="auto" w:fill="F2F2F2" w:themeFill="background2" w:themeFillTint="33"/>
            <w:tcMar>
              <w:top w:w="28" w:type="dxa"/>
              <w:left w:w="57" w:type="dxa"/>
              <w:bottom w:w="28" w:type="dxa"/>
              <w:right w:w="57" w:type="dxa"/>
            </w:tcMar>
            <w:vAlign w:val="center"/>
          </w:tcPr>
          <w:p w14:paraId="246A7220">
            <w:pPr>
              <w:keepNext/>
              <w:overflowPunct w:val="0"/>
              <w:autoSpaceDE w:val="0"/>
              <w:autoSpaceDN w:val="0"/>
              <w:adjustRightInd w:val="0"/>
              <w:snapToGrid w:val="0"/>
              <w:jc w:val="center"/>
              <w:rPr>
                <w:rFonts w:eastAsia="宋体"/>
                <w:sz w:val="20"/>
                <w:szCs w:val="20"/>
              </w:rPr>
            </w:pPr>
            <w:r>
              <w:rPr>
                <w:sz w:val="20"/>
                <w:szCs w:val="20"/>
              </w:rPr>
              <w:t>1 mg</w:t>
            </w:r>
          </w:p>
        </w:tc>
        <w:tc>
          <w:tcPr>
            <w:tcW w:w="698" w:type="dxa"/>
            <w:shd w:val="clear" w:color="auto" w:fill="D8D8D8" w:themeFill="text2" w:themeFillTint="33"/>
            <w:tcMar>
              <w:top w:w="28" w:type="dxa"/>
              <w:left w:w="57" w:type="dxa"/>
              <w:bottom w:w="28" w:type="dxa"/>
              <w:right w:w="57" w:type="dxa"/>
            </w:tcMar>
            <w:vAlign w:val="center"/>
          </w:tcPr>
          <w:p w14:paraId="22A8EE6C">
            <w:pPr>
              <w:keepNext/>
              <w:overflowPunct w:val="0"/>
              <w:autoSpaceDE w:val="0"/>
              <w:autoSpaceDN w:val="0"/>
              <w:adjustRightInd w:val="0"/>
              <w:snapToGrid w:val="0"/>
              <w:jc w:val="center"/>
              <w:rPr>
                <w:rFonts w:eastAsia="宋体"/>
                <w:sz w:val="20"/>
                <w:szCs w:val="20"/>
              </w:rPr>
            </w:pPr>
            <w:r>
              <w:rPr>
                <w:sz w:val="20"/>
                <w:szCs w:val="20"/>
              </w:rPr>
              <w:t>2 mg</w:t>
            </w:r>
          </w:p>
        </w:tc>
        <w:tc>
          <w:tcPr>
            <w:tcW w:w="698" w:type="dxa"/>
            <w:shd w:val="clear" w:color="auto" w:fill="D8D8D8" w:themeFill="text2" w:themeFillTint="33"/>
            <w:tcMar>
              <w:top w:w="28" w:type="dxa"/>
              <w:left w:w="57" w:type="dxa"/>
              <w:bottom w:w="28" w:type="dxa"/>
              <w:right w:w="57" w:type="dxa"/>
            </w:tcMar>
            <w:vAlign w:val="center"/>
          </w:tcPr>
          <w:p w14:paraId="45CF72EF">
            <w:pPr>
              <w:keepNext/>
              <w:overflowPunct w:val="0"/>
              <w:autoSpaceDE w:val="0"/>
              <w:autoSpaceDN w:val="0"/>
              <w:adjustRightInd w:val="0"/>
              <w:snapToGrid w:val="0"/>
              <w:jc w:val="center"/>
              <w:rPr>
                <w:rFonts w:eastAsia="宋体"/>
                <w:sz w:val="20"/>
                <w:szCs w:val="20"/>
              </w:rPr>
            </w:pPr>
            <w:r>
              <w:rPr>
                <w:sz w:val="20"/>
                <w:szCs w:val="20"/>
              </w:rPr>
              <w:t>2 mg</w:t>
            </w:r>
          </w:p>
        </w:tc>
        <w:tc>
          <w:tcPr>
            <w:tcW w:w="698" w:type="dxa"/>
            <w:shd w:val="clear" w:color="auto" w:fill="A5A5A5" w:themeFill="background1" w:themeFillShade="A6"/>
            <w:tcMar>
              <w:top w:w="28" w:type="dxa"/>
              <w:left w:w="57" w:type="dxa"/>
              <w:bottom w:w="28" w:type="dxa"/>
              <w:right w:w="57" w:type="dxa"/>
            </w:tcMar>
            <w:vAlign w:val="center"/>
          </w:tcPr>
          <w:p w14:paraId="42792286">
            <w:pPr>
              <w:keepNext/>
              <w:overflowPunct w:val="0"/>
              <w:autoSpaceDE w:val="0"/>
              <w:autoSpaceDN w:val="0"/>
              <w:adjustRightInd w:val="0"/>
              <w:snapToGrid w:val="0"/>
              <w:jc w:val="center"/>
              <w:rPr>
                <w:rFonts w:eastAsia="宋体"/>
                <w:sz w:val="20"/>
                <w:szCs w:val="20"/>
              </w:rPr>
            </w:pPr>
            <w:r>
              <w:rPr>
                <w:sz w:val="20"/>
                <w:szCs w:val="20"/>
              </w:rPr>
              <w:t>3 mg</w:t>
            </w:r>
          </w:p>
        </w:tc>
        <w:tc>
          <w:tcPr>
            <w:tcW w:w="698" w:type="dxa"/>
            <w:shd w:val="clear" w:color="auto" w:fill="A5A5A5" w:themeFill="background1" w:themeFillShade="A6"/>
            <w:tcMar>
              <w:top w:w="28" w:type="dxa"/>
              <w:left w:w="57" w:type="dxa"/>
              <w:bottom w:w="28" w:type="dxa"/>
              <w:right w:w="57" w:type="dxa"/>
            </w:tcMar>
            <w:vAlign w:val="center"/>
          </w:tcPr>
          <w:p w14:paraId="3C2E5781">
            <w:pPr>
              <w:keepNext/>
              <w:overflowPunct w:val="0"/>
              <w:autoSpaceDE w:val="0"/>
              <w:autoSpaceDN w:val="0"/>
              <w:adjustRightInd w:val="0"/>
              <w:snapToGrid w:val="0"/>
              <w:jc w:val="center"/>
              <w:rPr>
                <w:rFonts w:eastAsia="宋体"/>
                <w:sz w:val="20"/>
                <w:szCs w:val="20"/>
              </w:rPr>
            </w:pPr>
            <w:r>
              <w:rPr>
                <w:sz w:val="20"/>
                <w:szCs w:val="20"/>
              </w:rPr>
              <w:t>3 mg</w:t>
            </w:r>
          </w:p>
        </w:tc>
        <w:tc>
          <w:tcPr>
            <w:tcW w:w="698" w:type="dxa"/>
            <w:shd w:val="clear" w:color="auto" w:fill="A5A5A5" w:themeFill="background1" w:themeFillShade="A6"/>
            <w:tcMar>
              <w:top w:w="28" w:type="dxa"/>
              <w:left w:w="57" w:type="dxa"/>
              <w:bottom w:w="28" w:type="dxa"/>
              <w:right w:w="57" w:type="dxa"/>
            </w:tcMar>
            <w:vAlign w:val="center"/>
          </w:tcPr>
          <w:p w14:paraId="58DFCE1F">
            <w:pPr>
              <w:keepNext/>
              <w:overflowPunct w:val="0"/>
              <w:autoSpaceDE w:val="0"/>
              <w:autoSpaceDN w:val="0"/>
              <w:adjustRightInd w:val="0"/>
              <w:snapToGrid w:val="0"/>
              <w:jc w:val="center"/>
              <w:rPr>
                <w:rFonts w:eastAsia="宋体"/>
                <w:sz w:val="20"/>
                <w:szCs w:val="20"/>
              </w:rPr>
            </w:pPr>
            <w:r>
              <w:rPr>
                <w:sz w:val="20"/>
                <w:szCs w:val="20"/>
              </w:rPr>
              <w:t>3 mg</w:t>
            </w:r>
          </w:p>
        </w:tc>
        <w:tc>
          <w:tcPr>
            <w:tcW w:w="698" w:type="dxa"/>
            <w:shd w:val="clear" w:color="auto" w:fill="A5A5A5" w:themeFill="background1" w:themeFillShade="A6"/>
            <w:tcMar>
              <w:top w:w="28" w:type="dxa"/>
              <w:left w:w="57" w:type="dxa"/>
              <w:bottom w:w="28" w:type="dxa"/>
              <w:right w:w="57" w:type="dxa"/>
            </w:tcMar>
            <w:vAlign w:val="center"/>
          </w:tcPr>
          <w:p w14:paraId="1CF3686F">
            <w:pPr>
              <w:keepNext/>
              <w:overflowPunct w:val="0"/>
              <w:autoSpaceDE w:val="0"/>
              <w:autoSpaceDN w:val="0"/>
              <w:adjustRightInd w:val="0"/>
              <w:snapToGrid w:val="0"/>
              <w:jc w:val="center"/>
              <w:rPr>
                <w:rFonts w:eastAsia="宋体"/>
                <w:sz w:val="20"/>
                <w:szCs w:val="20"/>
              </w:rPr>
            </w:pPr>
            <w:r>
              <w:rPr>
                <w:sz w:val="20"/>
                <w:szCs w:val="20"/>
              </w:rPr>
              <w:t>3 mg</w:t>
            </w:r>
          </w:p>
        </w:tc>
        <w:tc>
          <w:tcPr>
            <w:tcW w:w="698" w:type="dxa"/>
            <w:shd w:val="clear" w:color="auto" w:fill="A5A5A5" w:themeFill="background1" w:themeFillShade="A6"/>
            <w:tcMar>
              <w:top w:w="28" w:type="dxa"/>
              <w:left w:w="57" w:type="dxa"/>
              <w:bottom w:w="28" w:type="dxa"/>
              <w:right w:w="57" w:type="dxa"/>
            </w:tcMar>
            <w:vAlign w:val="center"/>
          </w:tcPr>
          <w:p w14:paraId="40FA36C0">
            <w:pPr>
              <w:keepNext/>
              <w:overflowPunct w:val="0"/>
              <w:autoSpaceDE w:val="0"/>
              <w:autoSpaceDN w:val="0"/>
              <w:adjustRightInd w:val="0"/>
              <w:snapToGrid w:val="0"/>
              <w:jc w:val="center"/>
              <w:rPr>
                <w:rFonts w:eastAsia="宋体"/>
                <w:sz w:val="20"/>
                <w:szCs w:val="20"/>
              </w:rPr>
            </w:pPr>
            <w:r>
              <w:rPr>
                <w:sz w:val="20"/>
                <w:szCs w:val="20"/>
              </w:rPr>
              <w:t>3 mg</w:t>
            </w:r>
          </w:p>
        </w:tc>
        <w:tc>
          <w:tcPr>
            <w:tcW w:w="743" w:type="dxa"/>
            <w:shd w:val="clear" w:color="auto" w:fill="A5A5A5" w:themeFill="background1" w:themeFillShade="A6"/>
            <w:tcMar>
              <w:top w:w="28" w:type="dxa"/>
              <w:left w:w="57" w:type="dxa"/>
              <w:bottom w:w="28" w:type="dxa"/>
              <w:right w:w="57" w:type="dxa"/>
            </w:tcMar>
            <w:vAlign w:val="center"/>
          </w:tcPr>
          <w:p w14:paraId="5A134814">
            <w:pPr>
              <w:keepNext/>
              <w:overflowPunct w:val="0"/>
              <w:autoSpaceDE w:val="0"/>
              <w:autoSpaceDN w:val="0"/>
              <w:adjustRightInd w:val="0"/>
              <w:snapToGrid w:val="0"/>
              <w:jc w:val="center"/>
              <w:rPr>
                <w:rFonts w:eastAsia="宋体"/>
                <w:sz w:val="20"/>
                <w:szCs w:val="20"/>
              </w:rPr>
            </w:pPr>
            <w:r>
              <w:rPr>
                <w:sz w:val="20"/>
                <w:szCs w:val="20"/>
              </w:rPr>
              <w:t>3 mg</w:t>
            </w:r>
          </w:p>
        </w:tc>
        <w:tc>
          <w:tcPr>
            <w:tcW w:w="743" w:type="dxa"/>
            <w:shd w:val="clear" w:color="auto" w:fill="A5A5A5" w:themeFill="background1" w:themeFillShade="A6"/>
            <w:tcMar>
              <w:top w:w="28" w:type="dxa"/>
              <w:left w:w="57" w:type="dxa"/>
              <w:bottom w:w="28" w:type="dxa"/>
              <w:right w:w="57" w:type="dxa"/>
            </w:tcMar>
            <w:vAlign w:val="center"/>
          </w:tcPr>
          <w:p w14:paraId="30C1096C">
            <w:pPr>
              <w:keepNext/>
              <w:overflowPunct w:val="0"/>
              <w:autoSpaceDE w:val="0"/>
              <w:autoSpaceDN w:val="0"/>
              <w:adjustRightInd w:val="0"/>
              <w:snapToGrid w:val="0"/>
              <w:jc w:val="center"/>
              <w:rPr>
                <w:rFonts w:eastAsia="宋体"/>
                <w:sz w:val="20"/>
                <w:szCs w:val="20"/>
              </w:rPr>
            </w:pPr>
            <w:r>
              <w:rPr>
                <w:sz w:val="20"/>
                <w:szCs w:val="20"/>
              </w:rPr>
              <w:t>3 mg</w:t>
            </w:r>
          </w:p>
        </w:tc>
        <w:tc>
          <w:tcPr>
            <w:tcW w:w="729" w:type="dxa"/>
            <w:shd w:val="clear" w:color="auto" w:fill="A5A5A5" w:themeFill="background1" w:themeFillShade="A6"/>
            <w:tcMar>
              <w:top w:w="28" w:type="dxa"/>
              <w:left w:w="57" w:type="dxa"/>
              <w:bottom w:w="28" w:type="dxa"/>
              <w:right w:w="57" w:type="dxa"/>
            </w:tcMar>
            <w:vAlign w:val="center"/>
          </w:tcPr>
          <w:p w14:paraId="78934C1F">
            <w:pPr>
              <w:keepNext/>
              <w:overflowPunct w:val="0"/>
              <w:autoSpaceDE w:val="0"/>
              <w:autoSpaceDN w:val="0"/>
              <w:adjustRightInd w:val="0"/>
              <w:snapToGrid w:val="0"/>
              <w:jc w:val="center"/>
              <w:rPr>
                <w:rFonts w:eastAsia="宋体"/>
                <w:sz w:val="20"/>
                <w:szCs w:val="20"/>
              </w:rPr>
            </w:pPr>
            <w:r>
              <w:rPr>
                <w:sz w:val="20"/>
                <w:szCs w:val="20"/>
              </w:rPr>
              <w:t>3 mg</w:t>
            </w:r>
          </w:p>
        </w:tc>
      </w:tr>
      <w:tr w14:paraId="696DE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569" w:type="dxa"/>
            <w:shd w:val="clear" w:color="auto" w:fill="F2F2F2" w:themeFill="background2" w:themeFillTint="33"/>
            <w:tcMar>
              <w:top w:w="28" w:type="dxa"/>
              <w:left w:w="57" w:type="dxa"/>
              <w:bottom w:w="28" w:type="dxa"/>
              <w:right w:w="57" w:type="dxa"/>
            </w:tcMar>
            <w:vAlign w:val="center"/>
          </w:tcPr>
          <w:p w14:paraId="2DF574B3">
            <w:pPr>
              <w:keepNext/>
              <w:overflowPunct w:val="0"/>
              <w:autoSpaceDE w:val="0"/>
              <w:autoSpaceDN w:val="0"/>
              <w:adjustRightInd w:val="0"/>
              <w:snapToGrid w:val="0"/>
              <w:jc w:val="center"/>
              <w:rPr>
                <w:rFonts w:eastAsia="宋体"/>
                <w:sz w:val="20"/>
                <w:szCs w:val="20"/>
              </w:rPr>
            </w:pPr>
            <w:r>
              <w:rPr>
                <w:sz w:val="20"/>
                <w:szCs w:val="20"/>
              </w:rPr>
              <w:t>A-3</w:t>
            </w:r>
          </w:p>
        </w:tc>
        <w:tc>
          <w:tcPr>
            <w:tcW w:w="698" w:type="dxa"/>
            <w:shd w:val="clear" w:color="auto" w:fill="auto"/>
            <w:tcMar>
              <w:top w:w="28" w:type="dxa"/>
              <w:left w:w="57" w:type="dxa"/>
              <w:bottom w:w="28" w:type="dxa"/>
              <w:right w:w="57" w:type="dxa"/>
            </w:tcMar>
            <w:vAlign w:val="center"/>
          </w:tcPr>
          <w:p w14:paraId="3C8AD19E">
            <w:pPr>
              <w:keepNext/>
              <w:overflowPunct w:val="0"/>
              <w:autoSpaceDE w:val="0"/>
              <w:autoSpaceDN w:val="0"/>
              <w:adjustRightInd w:val="0"/>
              <w:snapToGrid w:val="0"/>
              <w:jc w:val="center"/>
              <w:rPr>
                <w:rFonts w:eastAsia="宋体"/>
                <w:sz w:val="20"/>
                <w:szCs w:val="20"/>
              </w:rPr>
            </w:pPr>
            <w:r>
              <w:rPr>
                <w:sz w:val="20"/>
                <w:szCs w:val="20"/>
              </w:rPr>
              <w:t>1 mg</w:t>
            </w:r>
          </w:p>
        </w:tc>
        <w:tc>
          <w:tcPr>
            <w:tcW w:w="698" w:type="dxa"/>
            <w:shd w:val="clear" w:color="auto" w:fill="auto"/>
            <w:tcMar>
              <w:top w:w="28" w:type="dxa"/>
              <w:left w:w="57" w:type="dxa"/>
              <w:bottom w:w="28" w:type="dxa"/>
              <w:right w:w="57" w:type="dxa"/>
            </w:tcMar>
            <w:vAlign w:val="center"/>
          </w:tcPr>
          <w:p w14:paraId="34986507">
            <w:pPr>
              <w:keepNext/>
              <w:overflowPunct w:val="0"/>
              <w:autoSpaceDE w:val="0"/>
              <w:autoSpaceDN w:val="0"/>
              <w:adjustRightInd w:val="0"/>
              <w:snapToGrid w:val="0"/>
              <w:jc w:val="center"/>
              <w:rPr>
                <w:rFonts w:eastAsia="宋体"/>
                <w:sz w:val="20"/>
                <w:szCs w:val="20"/>
              </w:rPr>
            </w:pPr>
            <w:r>
              <w:rPr>
                <w:sz w:val="20"/>
                <w:szCs w:val="20"/>
              </w:rPr>
              <w:t>1 mg</w:t>
            </w:r>
          </w:p>
        </w:tc>
        <w:tc>
          <w:tcPr>
            <w:tcW w:w="698" w:type="dxa"/>
            <w:shd w:val="clear" w:color="auto" w:fill="E5E5E5" w:themeFill="background2" w:themeFillTint="66"/>
            <w:tcMar>
              <w:top w:w="28" w:type="dxa"/>
              <w:left w:w="57" w:type="dxa"/>
              <w:bottom w:w="28" w:type="dxa"/>
              <w:right w:w="57" w:type="dxa"/>
            </w:tcMar>
            <w:vAlign w:val="center"/>
          </w:tcPr>
          <w:p w14:paraId="55689416">
            <w:pPr>
              <w:keepNext/>
              <w:overflowPunct w:val="0"/>
              <w:autoSpaceDE w:val="0"/>
              <w:autoSpaceDN w:val="0"/>
              <w:adjustRightInd w:val="0"/>
              <w:snapToGrid w:val="0"/>
              <w:jc w:val="center"/>
              <w:rPr>
                <w:rFonts w:eastAsia="宋体"/>
                <w:sz w:val="20"/>
                <w:szCs w:val="20"/>
              </w:rPr>
            </w:pPr>
            <w:r>
              <w:rPr>
                <w:sz w:val="20"/>
                <w:szCs w:val="20"/>
              </w:rPr>
              <w:t>2 mg</w:t>
            </w:r>
          </w:p>
        </w:tc>
        <w:tc>
          <w:tcPr>
            <w:tcW w:w="698" w:type="dxa"/>
            <w:shd w:val="clear" w:color="auto" w:fill="E5E5E5" w:themeFill="background2" w:themeFillTint="66"/>
            <w:tcMar>
              <w:top w:w="28" w:type="dxa"/>
              <w:left w:w="57" w:type="dxa"/>
              <w:bottom w:w="28" w:type="dxa"/>
              <w:right w:w="57" w:type="dxa"/>
            </w:tcMar>
            <w:vAlign w:val="center"/>
          </w:tcPr>
          <w:p w14:paraId="2805E1F7">
            <w:pPr>
              <w:keepNext/>
              <w:overflowPunct w:val="0"/>
              <w:autoSpaceDE w:val="0"/>
              <w:autoSpaceDN w:val="0"/>
              <w:adjustRightInd w:val="0"/>
              <w:snapToGrid w:val="0"/>
              <w:jc w:val="center"/>
              <w:rPr>
                <w:rFonts w:eastAsia="宋体"/>
                <w:sz w:val="20"/>
                <w:szCs w:val="20"/>
              </w:rPr>
            </w:pPr>
            <w:r>
              <w:rPr>
                <w:sz w:val="20"/>
                <w:szCs w:val="20"/>
              </w:rPr>
              <w:t>2 mg</w:t>
            </w:r>
          </w:p>
        </w:tc>
        <w:tc>
          <w:tcPr>
            <w:tcW w:w="698" w:type="dxa"/>
            <w:shd w:val="clear" w:color="auto" w:fill="BEBEBE" w:themeFill="background1" w:themeFillShade="BF"/>
            <w:tcMar>
              <w:top w:w="28" w:type="dxa"/>
              <w:left w:w="57" w:type="dxa"/>
              <w:bottom w:w="28" w:type="dxa"/>
              <w:right w:w="57" w:type="dxa"/>
            </w:tcMar>
            <w:vAlign w:val="center"/>
          </w:tcPr>
          <w:p w14:paraId="04BA8FA2">
            <w:pPr>
              <w:keepNext/>
              <w:overflowPunct w:val="0"/>
              <w:autoSpaceDE w:val="0"/>
              <w:autoSpaceDN w:val="0"/>
              <w:adjustRightInd w:val="0"/>
              <w:snapToGrid w:val="0"/>
              <w:jc w:val="center"/>
              <w:rPr>
                <w:rFonts w:eastAsia="宋体"/>
                <w:sz w:val="20"/>
                <w:szCs w:val="20"/>
              </w:rPr>
            </w:pPr>
            <w:r>
              <w:rPr>
                <w:sz w:val="20"/>
                <w:szCs w:val="20"/>
              </w:rPr>
              <w:t>4 mg</w:t>
            </w:r>
          </w:p>
        </w:tc>
        <w:tc>
          <w:tcPr>
            <w:tcW w:w="698" w:type="dxa"/>
            <w:shd w:val="clear" w:color="auto" w:fill="BEBEBE" w:themeFill="background1" w:themeFillShade="BF"/>
            <w:tcMar>
              <w:top w:w="28" w:type="dxa"/>
              <w:left w:w="57" w:type="dxa"/>
              <w:bottom w:w="28" w:type="dxa"/>
              <w:right w:w="57" w:type="dxa"/>
            </w:tcMar>
            <w:vAlign w:val="center"/>
          </w:tcPr>
          <w:p w14:paraId="0424F799">
            <w:pPr>
              <w:keepNext/>
              <w:overflowPunct w:val="0"/>
              <w:autoSpaceDE w:val="0"/>
              <w:autoSpaceDN w:val="0"/>
              <w:adjustRightInd w:val="0"/>
              <w:snapToGrid w:val="0"/>
              <w:jc w:val="center"/>
              <w:rPr>
                <w:rFonts w:eastAsia="宋体"/>
                <w:sz w:val="20"/>
                <w:szCs w:val="20"/>
              </w:rPr>
            </w:pPr>
            <w:r>
              <w:rPr>
                <w:sz w:val="20"/>
                <w:szCs w:val="20"/>
              </w:rPr>
              <w:t>4 mg</w:t>
            </w:r>
          </w:p>
        </w:tc>
        <w:tc>
          <w:tcPr>
            <w:tcW w:w="698" w:type="dxa"/>
            <w:shd w:val="clear" w:color="auto" w:fill="A5A5A5" w:themeFill="background1" w:themeFillShade="A6"/>
            <w:tcMar>
              <w:top w:w="28" w:type="dxa"/>
              <w:left w:w="57" w:type="dxa"/>
              <w:bottom w:w="28" w:type="dxa"/>
              <w:right w:w="57" w:type="dxa"/>
            </w:tcMar>
            <w:vAlign w:val="center"/>
          </w:tcPr>
          <w:p w14:paraId="193B4F79">
            <w:pPr>
              <w:keepNext/>
              <w:overflowPunct w:val="0"/>
              <w:autoSpaceDE w:val="0"/>
              <w:autoSpaceDN w:val="0"/>
              <w:adjustRightInd w:val="0"/>
              <w:snapToGrid w:val="0"/>
              <w:jc w:val="center"/>
              <w:rPr>
                <w:rFonts w:eastAsia="宋体"/>
                <w:sz w:val="20"/>
                <w:szCs w:val="20"/>
              </w:rPr>
            </w:pPr>
            <w:r>
              <w:rPr>
                <w:sz w:val="20"/>
                <w:szCs w:val="20"/>
              </w:rPr>
              <w:t>6 mg</w:t>
            </w:r>
          </w:p>
        </w:tc>
        <w:tc>
          <w:tcPr>
            <w:tcW w:w="698" w:type="dxa"/>
            <w:shd w:val="clear" w:color="auto" w:fill="A5A5A5" w:themeFill="background1" w:themeFillShade="A6"/>
            <w:tcMar>
              <w:top w:w="28" w:type="dxa"/>
              <w:left w:w="57" w:type="dxa"/>
              <w:bottom w:w="28" w:type="dxa"/>
              <w:right w:w="57" w:type="dxa"/>
            </w:tcMar>
            <w:vAlign w:val="center"/>
          </w:tcPr>
          <w:p w14:paraId="136492DA">
            <w:pPr>
              <w:keepNext/>
              <w:overflowPunct w:val="0"/>
              <w:autoSpaceDE w:val="0"/>
              <w:autoSpaceDN w:val="0"/>
              <w:adjustRightInd w:val="0"/>
              <w:snapToGrid w:val="0"/>
              <w:jc w:val="center"/>
              <w:rPr>
                <w:rFonts w:eastAsia="宋体"/>
                <w:sz w:val="20"/>
                <w:szCs w:val="20"/>
              </w:rPr>
            </w:pPr>
            <w:r>
              <w:rPr>
                <w:sz w:val="20"/>
                <w:szCs w:val="20"/>
              </w:rPr>
              <w:t>6 mg</w:t>
            </w:r>
          </w:p>
        </w:tc>
        <w:tc>
          <w:tcPr>
            <w:tcW w:w="698" w:type="dxa"/>
            <w:shd w:val="clear" w:color="auto" w:fill="A5A5A5" w:themeFill="background1" w:themeFillShade="A6"/>
            <w:tcMar>
              <w:top w:w="28" w:type="dxa"/>
              <w:left w:w="57" w:type="dxa"/>
              <w:bottom w:w="28" w:type="dxa"/>
              <w:right w:w="57" w:type="dxa"/>
            </w:tcMar>
            <w:vAlign w:val="center"/>
          </w:tcPr>
          <w:p w14:paraId="14626A06">
            <w:pPr>
              <w:keepNext/>
              <w:overflowPunct w:val="0"/>
              <w:autoSpaceDE w:val="0"/>
              <w:autoSpaceDN w:val="0"/>
              <w:adjustRightInd w:val="0"/>
              <w:snapToGrid w:val="0"/>
              <w:jc w:val="center"/>
              <w:rPr>
                <w:rFonts w:eastAsia="宋体"/>
                <w:sz w:val="20"/>
                <w:szCs w:val="20"/>
              </w:rPr>
            </w:pPr>
            <w:r>
              <w:rPr>
                <w:sz w:val="20"/>
                <w:szCs w:val="20"/>
              </w:rPr>
              <w:t>6 mg</w:t>
            </w:r>
          </w:p>
        </w:tc>
        <w:tc>
          <w:tcPr>
            <w:tcW w:w="743" w:type="dxa"/>
            <w:shd w:val="clear" w:color="auto" w:fill="A5A5A5" w:themeFill="background1" w:themeFillShade="A6"/>
            <w:tcMar>
              <w:top w:w="28" w:type="dxa"/>
              <w:left w:w="57" w:type="dxa"/>
              <w:bottom w:w="28" w:type="dxa"/>
              <w:right w:w="57" w:type="dxa"/>
            </w:tcMar>
            <w:vAlign w:val="center"/>
          </w:tcPr>
          <w:p w14:paraId="1E8A1DD5">
            <w:pPr>
              <w:keepNext/>
              <w:overflowPunct w:val="0"/>
              <w:autoSpaceDE w:val="0"/>
              <w:autoSpaceDN w:val="0"/>
              <w:adjustRightInd w:val="0"/>
              <w:snapToGrid w:val="0"/>
              <w:jc w:val="center"/>
              <w:rPr>
                <w:rFonts w:eastAsia="宋体"/>
                <w:sz w:val="20"/>
                <w:szCs w:val="20"/>
              </w:rPr>
            </w:pPr>
            <w:r>
              <w:rPr>
                <w:sz w:val="20"/>
                <w:szCs w:val="20"/>
              </w:rPr>
              <w:t>6 mg</w:t>
            </w:r>
          </w:p>
        </w:tc>
        <w:tc>
          <w:tcPr>
            <w:tcW w:w="743" w:type="dxa"/>
            <w:shd w:val="clear" w:color="auto" w:fill="A5A5A5" w:themeFill="background1" w:themeFillShade="A6"/>
            <w:tcMar>
              <w:top w:w="28" w:type="dxa"/>
              <w:left w:w="57" w:type="dxa"/>
              <w:bottom w:w="28" w:type="dxa"/>
              <w:right w:w="57" w:type="dxa"/>
            </w:tcMar>
            <w:vAlign w:val="center"/>
          </w:tcPr>
          <w:p w14:paraId="33A729F4">
            <w:pPr>
              <w:keepNext/>
              <w:overflowPunct w:val="0"/>
              <w:autoSpaceDE w:val="0"/>
              <w:autoSpaceDN w:val="0"/>
              <w:adjustRightInd w:val="0"/>
              <w:snapToGrid w:val="0"/>
              <w:jc w:val="center"/>
              <w:rPr>
                <w:rFonts w:eastAsia="宋体"/>
                <w:sz w:val="20"/>
                <w:szCs w:val="20"/>
              </w:rPr>
            </w:pPr>
            <w:r>
              <w:rPr>
                <w:sz w:val="20"/>
                <w:szCs w:val="20"/>
              </w:rPr>
              <w:t>6 mg</w:t>
            </w:r>
          </w:p>
        </w:tc>
        <w:tc>
          <w:tcPr>
            <w:tcW w:w="729" w:type="dxa"/>
            <w:shd w:val="clear" w:color="auto" w:fill="A5A5A5" w:themeFill="background1" w:themeFillShade="A6"/>
            <w:tcMar>
              <w:top w:w="28" w:type="dxa"/>
              <w:left w:w="57" w:type="dxa"/>
              <w:bottom w:w="28" w:type="dxa"/>
              <w:right w:w="57" w:type="dxa"/>
            </w:tcMar>
            <w:vAlign w:val="center"/>
          </w:tcPr>
          <w:p w14:paraId="2F014A9C">
            <w:pPr>
              <w:keepNext/>
              <w:overflowPunct w:val="0"/>
              <w:autoSpaceDE w:val="0"/>
              <w:autoSpaceDN w:val="0"/>
              <w:adjustRightInd w:val="0"/>
              <w:snapToGrid w:val="0"/>
              <w:jc w:val="center"/>
              <w:rPr>
                <w:rFonts w:eastAsia="宋体"/>
                <w:sz w:val="20"/>
                <w:szCs w:val="20"/>
              </w:rPr>
            </w:pPr>
            <w:r>
              <w:rPr>
                <w:sz w:val="20"/>
                <w:szCs w:val="20"/>
              </w:rPr>
              <w:t>6 mg</w:t>
            </w:r>
          </w:p>
        </w:tc>
      </w:tr>
      <w:tr w14:paraId="36600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9066" w:type="dxa"/>
            <w:gridSpan w:val="13"/>
            <w:tcBorders>
              <w:left w:val="nil"/>
              <w:bottom w:val="nil"/>
              <w:right w:val="nil"/>
            </w:tcBorders>
            <w:tcMar>
              <w:top w:w="28" w:type="dxa"/>
              <w:left w:w="57" w:type="dxa"/>
              <w:bottom w:w="28" w:type="dxa"/>
              <w:right w:w="57" w:type="dxa"/>
            </w:tcMar>
            <w:vAlign w:val="center"/>
          </w:tcPr>
          <w:p w14:paraId="7A6CAE1A">
            <w:pPr>
              <w:keepNext/>
              <w:overflowPunct w:val="0"/>
              <w:autoSpaceDE w:val="0"/>
              <w:autoSpaceDN w:val="0"/>
              <w:adjustRightInd w:val="0"/>
              <w:snapToGrid w:val="0"/>
              <w:rPr>
                <w:rFonts w:eastAsia="宋体"/>
                <w:sz w:val="20"/>
                <w:szCs w:val="20"/>
              </w:rPr>
            </w:pPr>
            <w:r>
              <w:rPr>
                <w:sz w:val="20"/>
                <w:szCs w:val="20"/>
              </w:rPr>
              <w:t>A-1: placebo group, A-2: 3 mg group, A-3: 6 mg group</w:t>
            </w:r>
          </w:p>
        </w:tc>
      </w:tr>
    </w:tbl>
    <w:p w14:paraId="67BDB727">
      <w:pPr>
        <w:pStyle w:val="58"/>
        <w:numPr>
          <w:ilvl w:val="0"/>
          <w:numId w:val="32"/>
        </w:numPr>
        <w:overflowPunct w:val="0"/>
        <w:autoSpaceDE w:val="0"/>
        <w:autoSpaceDN w:val="0"/>
        <w:adjustRightInd w:val="0"/>
        <w:snapToGrid w:val="0"/>
        <w:spacing w:before="120" w:beforeLines="50" w:after="120" w:afterLines="50" w:line="300" w:lineRule="auto"/>
        <w:ind w:left="282" w:hanging="282" w:hangingChars="117"/>
        <w:rPr>
          <w:b/>
          <w:color w:val="auto"/>
        </w:rPr>
      </w:pPr>
      <w:r>
        <w:rPr>
          <w:b/>
          <w:color w:val="auto"/>
        </w:rPr>
        <w:t>Part B:</w:t>
      </w:r>
    </w:p>
    <w:p w14:paraId="7428491B">
      <w:pPr>
        <w:pStyle w:val="58"/>
        <w:numPr>
          <w:ilvl w:val="2"/>
          <w:numId w:val="33"/>
        </w:numPr>
        <w:overflowPunct w:val="0"/>
        <w:autoSpaceDE w:val="0"/>
        <w:autoSpaceDN w:val="0"/>
        <w:adjustRightInd w:val="0"/>
        <w:snapToGrid w:val="0"/>
        <w:spacing w:before="120" w:beforeLines="50" w:after="120" w:afterLines="50" w:line="300" w:lineRule="auto"/>
        <w:rPr>
          <w:b/>
          <w:bCs/>
          <w:color w:val="auto"/>
        </w:rPr>
      </w:pPr>
      <w:r>
        <w:rPr>
          <w:b/>
          <w:bCs/>
          <w:color w:val="auto"/>
        </w:rPr>
        <w:t>Dose escalation study</w:t>
      </w:r>
    </w:p>
    <w:p w14:paraId="48897DE7">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In this part, no more than 3 groups will be set and the highest target dose will be not more than 20 mg. Based on the pharmacokinetic and tolerability results to be received, the investigator and sponsor will determine the target dose and titration dosage regimen for subsequent dose groups. The tentative titration dosage regimen is as follows:</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57" w:type="dxa"/>
          <w:bottom w:w="28" w:type="dxa"/>
          <w:right w:w="57" w:type="dxa"/>
        </w:tblCellMar>
      </w:tblPr>
      <w:tblGrid>
        <w:gridCol w:w="1328"/>
        <w:gridCol w:w="677"/>
        <w:gridCol w:w="678"/>
        <w:gridCol w:w="676"/>
        <w:gridCol w:w="676"/>
        <w:gridCol w:w="678"/>
        <w:gridCol w:w="676"/>
        <w:gridCol w:w="678"/>
        <w:gridCol w:w="676"/>
        <w:gridCol w:w="679"/>
        <w:gridCol w:w="683"/>
        <w:gridCol w:w="681"/>
        <w:gridCol w:w="688"/>
      </w:tblGrid>
      <w:tr w14:paraId="0BF4B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66" w:type="dxa"/>
            <w:gridSpan w:val="13"/>
            <w:tcBorders>
              <w:top w:val="nil"/>
              <w:left w:val="nil"/>
              <w:right w:val="nil"/>
            </w:tcBorders>
            <w:shd w:val="clear" w:color="auto" w:fill="auto"/>
            <w:tcMar>
              <w:top w:w="28" w:type="dxa"/>
              <w:left w:w="57" w:type="dxa"/>
              <w:bottom w:w="28" w:type="dxa"/>
              <w:right w:w="57" w:type="dxa"/>
            </w:tcMar>
            <w:vAlign w:val="center"/>
          </w:tcPr>
          <w:p w14:paraId="5859E6B6">
            <w:pPr>
              <w:overflowPunct w:val="0"/>
              <w:autoSpaceDE w:val="0"/>
              <w:autoSpaceDN w:val="0"/>
              <w:adjustRightInd w:val="0"/>
              <w:snapToGrid w:val="0"/>
              <w:jc w:val="center"/>
              <w:rPr>
                <w:rFonts w:eastAsia="宋体"/>
                <w:b/>
                <w:bCs/>
                <w:sz w:val="20"/>
                <w:szCs w:val="20"/>
              </w:rPr>
            </w:pPr>
            <w:r>
              <w:rPr>
                <w:b/>
                <w:sz w:val="20"/>
                <w:szCs w:val="20"/>
              </w:rPr>
              <w:t>Part B titration dosage regimen for dose escalation group 1 (9 mg group)</w:t>
            </w:r>
          </w:p>
        </w:tc>
      </w:tr>
      <w:tr w14:paraId="19E74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697" w:type="dxa"/>
            <w:shd w:val="clear" w:color="auto" w:fill="F2F2F2" w:themeFill="background2" w:themeFillTint="33"/>
            <w:tcMar>
              <w:top w:w="28" w:type="dxa"/>
              <w:left w:w="57" w:type="dxa"/>
              <w:bottom w:w="28" w:type="dxa"/>
              <w:right w:w="57" w:type="dxa"/>
            </w:tcMar>
            <w:vAlign w:val="center"/>
          </w:tcPr>
          <w:p w14:paraId="46ADEB90">
            <w:pPr>
              <w:overflowPunct w:val="0"/>
              <w:autoSpaceDE w:val="0"/>
              <w:autoSpaceDN w:val="0"/>
              <w:adjustRightInd w:val="0"/>
              <w:snapToGrid w:val="0"/>
              <w:ind w:left="-4" w:leftChars="-41" w:hanging="94" w:hangingChars="47"/>
              <w:jc w:val="center"/>
              <w:rPr>
                <w:rFonts w:eastAsia="宋体"/>
                <w:b/>
                <w:bCs/>
                <w:sz w:val="20"/>
                <w:szCs w:val="20"/>
              </w:rPr>
            </w:pPr>
            <w:r>
              <w:rPr>
                <w:b/>
                <w:bCs/>
                <w:sz w:val="20"/>
                <w:szCs w:val="20"/>
              </w:rPr>
              <w:t>Administration</w:t>
            </w:r>
          </w:p>
        </w:tc>
        <w:tc>
          <w:tcPr>
            <w:tcW w:w="697" w:type="dxa"/>
            <w:shd w:val="clear" w:color="auto" w:fill="F2F2F2" w:themeFill="background2" w:themeFillTint="33"/>
            <w:tcMar>
              <w:top w:w="28" w:type="dxa"/>
              <w:left w:w="57" w:type="dxa"/>
              <w:bottom w:w="28" w:type="dxa"/>
              <w:right w:w="57" w:type="dxa"/>
            </w:tcMar>
            <w:vAlign w:val="center"/>
          </w:tcPr>
          <w:p w14:paraId="1932BE8B">
            <w:pPr>
              <w:overflowPunct w:val="0"/>
              <w:autoSpaceDE w:val="0"/>
              <w:autoSpaceDN w:val="0"/>
              <w:adjustRightInd w:val="0"/>
              <w:snapToGrid w:val="0"/>
              <w:jc w:val="center"/>
              <w:rPr>
                <w:rFonts w:eastAsia="宋体"/>
                <w:b/>
                <w:bCs/>
                <w:sz w:val="20"/>
                <w:szCs w:val="20"/>
              </w:rPr>
            </w:pPr>
            <w:r>
              <w:rPr>
                <w:b/>
                <w:bCs/>
                <w:sz w:val="20"/>
                <w:szCs w:val="20"/>
              </w:rPr>
              <w:t>1</w:t>
            </w:r>
            <w:r>
              <w:rPr>
                <w:b/>
                <w:bCs/>
                <w:sz w:val="20"/>
                <w:szCs w:val="20"/>
                <w:vertAlign w:val="superscript"/>
              </w:rPr>
              <w:t>st</w:t>
            </w:r>
          </w:p>
        </w:tc>
        <w:tc>
          <w:tcPr>
            <w:tcW w:w="698" w:type="dxa"/>
            <w:shd w:val="clear" w:color="auto" w:fill="F2F2F2" w:themeFill="background2" w:themeFillTint="33"/>
            <w:tcMar>
              <w:top w:w="28" w:type="dxa"/>
              <w:left w:w="57" w:type="dxa"/>
              <w:bottom w:w="28" w:type="dxa"/>
              <w:right w:w="57" w:type="dxa"/>
            </w:tcMar>
            <w:vAlign w:val="center"/>
          </w:tcPr>
          <w:p w14:paraId="4AC49C0F">
            <w:pPr>
              <w:overflowPunct w:val="0"/>
              <w:autoSpaceDE w:val="0"/>
              <w:autoSpaceDN w:val="0"/>
              <w:adjustRightInd w:val="0"/>
              <w:snapToGrid w:val="0"/>
              <w:jc w:val="center"/>
              <w:rPr>
                <w:rFonts w:eastAsia="宋体"/>
                <w:b/>
                <w:bCs/>
                <w:sz w:val="20"/>
                <w:szCs w:val="20"/>
              </w:rPr>
            </w:pPr>
            <w:r>
              <w:rPr>
                <w:b/>
                <w:bCs/>
                <w:sz w:val="20"/>
                <w:szCs w:val="20"/>
              </w:rPr>
              <w:t>2</w:t>
            </w:r>
            <w:r>
              <w:rPr>
                <w:b/>
                <w:bCs/>
                <w:sz w:val="20"/>
                <w:szCs w:val="20"/>
                <w:vertAlign w:val="superscript"/>
              </w:rPr>
              <w:t>nd</w:t>
            </w:r>
          </w:p>
        </w:tc>
        <w:tc>
          <w:tcPr>
            <w:tcW w:w="696" w:type="dxa"/>
            <w:shd w:val="clear" w:color="auto" w:fill="F2F2F2" w:themeFill="background2" w:themeFillTint="33"/>
            <w:tcMar>
              <w:top w:w="28" w:type="dxa"/>
              <w:left w:w="57" w:type="dxa"/>
              <w:bottom w:w="28" w:type="dxa"/>
              <w:right w:w="57" w:type="dxa"/>
            </w:tcMar>
            <w:vAlign w:val="center"/>
          </w:tcPr>
          <w:p w14:paraId="73A3C2D0">
            <w:pPr>
              <w:overflowPunct w:val="0"/>
              <w:autoSpaceDE w:val="0"/>
              <w:autoSpaceDN w:val="0"/>
              <w:adjustRightInd w:val="0"/>
              <w:snapToGrid w:val="0"/>
              <w:jc w:val="center"/>
              <w:rPr>
                <w:rFonts w:eastAsia="宋体"/>
                <w:b/>
                <w:bCs/>
                <w:sz w:val="20"/>
                <w:szCs w:val="20"/>
              </w:rPr>
            </w:pPr>
            <w:r>
              <w:rPr>
                <w:b/>
                <w:bCs/>
                <w:sz w:val="20"/>
                <w:szCs w:val="20"/>
              </w:rPr>
              <w:t>3</w:t>
            </w:r>
            <w:r>
              <w:rPr>
                <w:b/>
                <w:bCs/>
                <w:sz w:val="20"/>
                <w:szCs w:val="20"/>
                <w:vertAlign w:val="superscript"/>
              </w:rPr>
              <w:t>rd</w:t>
            </w:r>
          </w:p>
        </w:tc>
        <w:tc>
          <w:tcPr>
            <w:tcW w:w="696" w:type="dxa"/>
            <w:shd w:val="clear" w:color="auto" w:fill="F2F2F2" w:themeFill="background2" w:themeFillTint="33"/>
            <w:tcMar>
              <w:top w:w="28" w:type="dxa"/>
              <w:left w:w="57" w:type="dxa"/>
              <w:bottom w:w="28" w:type="dxa"/>
              <w:right w:w="57" w:type="dxa"/>
            </w:tcMar>
            <w:vAlign w:val="center"/>
          </w:tcPr>
          <w:p w14:paraId="6C759DD2">
            <w:pPr>
              <w:overflowPunct w:val="0"/>
              <w:autoSpaceDE w:val="0"/>
              <w:autoSpaceDN w:val="0"/>
              <w:adjustRightInd w:val="0"/>
              <w:snapToGrid w:val="0"/>
              <w:jc w:val="center"/>
              <w:rPr>
                <w:rFonts w:eastAsia="宋体"/>
                <w:b/>
                <w:bCs/>
                <w:sz w:val="20"/>
                <w:szCs w:val="20"/>
              </w:rPr>
            </w:pPr>
            <w:r>
              <w:rPr>
                <w:b/>
                <w:bCs/>
                <w:sz w:val="20"/>
                <w:szCs w:val="20"/>
              </w:rPr>
              <w:t>4</w:t>
            </w:r>
            <w:r>
              <w:rPr>
                <w:b/>
                <w:bCs/>
                <w:sz w:val="20"/>
                <w:szCs w:val="20"/>
                <w:vertAlign w:val="superscript"/>
              </w:rPr>
              <w:t>th</w:t>
            </w:r>
          </w:p>
        </w:tc>
        <w:tc>
          <w:tcPr>
            <w:tcW w:w="698" w:type="dxa"/>
            <w:shd w:val="clear" w:color="auto" w:fill="F2F2F2" w:themeFill="background2" w:themeFillTint="33"/>
            <w:tcMar>
              <w:top w:w="28" w:type="dxa"/>
              <w:left w:w="57" w:type="dxa"/>
              <w:bottom w:w="28" w:type="dxa"/>
              <w:right w:w="57" w:type="dxa"/>
            </w:tcMar>
            <w:vAlign w:val="center"/>
          </w:tcPr>
          <w:p w14:paraId="77346FA8">
            <w:pPr>
              <w:overflowPunct w:val="0"/>
              <w:autoSpaceDE w:val="0"/>
              <w:autoSpaceDN w:val="0"/>
              <w:adjustRightInd w:val="0"/>
              <w:snapToGrid w:val="0"/>
              <w:jc w:val="center"/>
              <w:rPr>
                <w:rFonts w:eastAsia="宋体"/>
                <w:b/>
                <w:bCs/>
                <w:sz w:val="20"/>
                <w:szCs w:val="20"/>
              </w:rPr>
            </w:pPr>
            <w:r>
              <w:rPr>
                <w:b/>
                <w:bCs/>
                <w:sz w:val="20"/>
                <w:szCs w:val="20"/>
              </w:rPr>
              <w:t>5</w:t>
            </w:r>
            <w:r>
              <w:rPr>
                <w:b/>
                <w:bCs/>
                <w:sz w:val="20"/>
                <w:szCs w:val="20"/>
                <w:vertAlign w:val="superscript"/>
              </w:rPr>
              <w:t>th</w:t>
            </w:r>
          </w:p>
        </w:tc>
        <w:tc>
          <w:tcPr>
            <w:tcW w:w="696" w:type="dxa"/>
            <w:shd w:val="clear" w:color="auto" w:fill="F2F2F2" w:themeFill="background2" w:themeFillTint="33"/>
            <w:tcMar>
              <w:top w:w="28" w:type="dxa"/>
              <w:left w:w="57" w:type="dxa"/>
              <w:bottom w:w="28" w:type="dxa"/>
              <w:right w:w="57" w:type="dxa"/>
            </w:tcMar>
            <w:vAlign w:val="center"/>
          </w:tcPr>
          <w:p w14:paraId="31AC6F4D">
            <w:pPr>
              <w:overflowPunct w:val="0"/>
              <w:autoSpaceDE w:val="0"/>
              <w:autoSpaceDN w:val="0"/>
              <w:adjustRightInd w:val="0"/>
              <w:snapToGrid w:val="0"/>
              <w:jc w:val="center"/>
              <w:rPr>
                <w:rFonts w:eastAsia="宋体"/>
                <w:b/>
                <w:bCs/>
                <w:sz w:val="20"/>
                <w:szCs w:val="20"/>
              </w:rPr>
            </w:pPr>
            <w:r>
              <w:rPr>
                <w:b/>
                <w:bCs/>
                <w:sz w:val="20"/>
                <w:szCs w:val="20"/>
              </w:rPr>
              <w:t>6</w:t>
            </w:r>
            <w:r>
              <w:rPr>
                <w:b/>
                <w:bCs/>
                <w:sz w:val="20"/>
                <w:szCs w:val="20"/>
                <w:vertAlign w:val="superscript"/>
              </w:rPr>
              <w:t>th</w:t>
            </w:r>
          </w:p>
        </w:tc>
        <w:tc>
          <w:tcPr>
            <w:tcW w:w="698" w:type="dxa"/>
            <w:shd w:val="clear" w:color="auto" w:fill="F2F2F2" w:themeFill="background2" w:themeFillTint="33"/>
            <w:tcMar>
              <w:top w:w="28" w:type="dxa"/>
              <w:left w:w="57" w:type="dxa"/>
              <w:bottom w:w="28" w:type="dxa"/>
              <w:right w:w="57" w:type="dxa"/>
            </w:tcMar>
            <w:vAlign w:val="center"/>
          </w:tcPr>
          <w:p w14:paraId="3F36ACC6">
            <w:pPr>
              <w:overflowPunct w:val="0"/>
              <w:autoSpaceDE w:val="0"/>
              <w:autoSpaceDN w:val="0"/>
              <w:adjustRightInd w:val="0"/>
              <w:snapToGrid w:val="0"/>
              <w:jc w:val="center"/>
              <w:rPr>
                <w:rFonts w:eastAsia="宋体"/>
                <w:b/>
                <w:bCs/>
                <w:sz w:val="20"/>
                <w:szCs w:val="20"/>
              </w:rPr>
            </w:pPr>
            <w:r>
              <w:rPr>
                <w:b/>
                <w:bCs/>
                <w:sz w:val="20"/>
                <w:szCs w:val="20"/>
              </w:rPr>
              <w:t>7</w:t>
            </w:r>
            <w:r>
              <w:rPr>
                <w:b/>
                <w:bCs/>
                <w:sz w:val="20"/>
                <w:szCs w:val="20"/>
                <w:vertAlign w:val="superscript"/>
              </w:rPr>
              <w:t>th</w:t>
            </w:r>
          </w:p>
        </w:tc>
        <w:tc>
          <w:tcPr>
            <w:tcW w:w="696" w:type="dxa"/>
            <w:shd w:val="clear" w:color="auto" w:fill="F2F2F2" w:themeFill="background2" w:themeFillTint="33"/>
            <w:tcMar>
              <w:top w:w="28" w:type="dxa"/>
              <w:left w:w="57" w:type="dxa"/>
              <w:bottom w:w="28" w:type="dxa"/>
              <w:right w:w="57" w:type="dxa"/>
            </w:tcMar>
            <w:vAlign w:val="center"/>
          </w:tcPr>
          <w:p w14:paraId="2F8EEC91">
            <w:pPr>
              <w:overflowPunct w:val="0"/>
              <w:autoSpaceDE w:val="0"/>
              <w:autoSpaceDN w:val="0"/>
              <w:adjustRightInd w:val="0"/>
              <w:snapToGrid w:val="0"/>
              <w:jc w:val="center"/>
              <w:rPr>
                <w:rFonts w:eastAsia="宋体"/>
                <w:b/>
                <w:bCs/>
                <w:sz w:val="20"/>
                <w:szCs w:val="20"/>
              </w:rPr>
            </w:pPr>
            <w:r>
              <w:rPr>
                <w:b/>
                <w:bCs/>
                <w:sz w:val="20"/>
                <w:szCs w:val="20"/>
              </w:rPr>
              <w:t>8</w:t>
            </w:r>
            <w:r>
              <w:rPr>
                <w:b/>
                <w:bCs/>
                <w:sz w:val="20"/>
                <w:szCs w:val="20"/>
                <w:vertAlign w:val="superscript"/>
              </w:rPr>
              <w:t>th</w:t>
            </w:r>
          </w:p>
        </w:tc>
        <w:tc>
          <w:tcPr>
            <w:tcW w:w="696" w:type="dxa"/>
            <w:shd w:val="clear" w:color="auto" w:fill="F2F2F2" w:themeFill="background2" w:themeFillTint="33"/>
            <w:tcMar>
              <w:top w:w="28" w:type="dxa"/>
              <w:left w:w="57" w:type="dxa"/>
              <w:bottom w:w="28" w:type="dxa"/>
              <w:right w:w="57" w:type="dxa"/>
            </w:tcMar>
            <w:vAlign w:val="center"/>
          </w:tcPr>
          <w:p w14:paraId="191638D7">
            <w:pPr>
              <w:overflowPunct w:val="0"/>
              <w:autoSpaceDE w:val="0"/>
              <w:autoSpaceDN w:val="0"/>
              <w:adjustRightInd w:val="0"/>
              <w:snapToGrid w:val="0"/>
              <w:jc w:val="center"/>
              <w:rPr>
                <w:rFonts w:eastAsia="宋体"/>
                <w:b/>
                <w:bCs/>
                <w:sz w:val="20"/>
                <w:szCs w:val="20"/>
              </w:rPr>
            </w:pPr>
            <w:r>
              <w:rPr>
                <w:b/>
                <w:bCs/>
                <w:sz w:val="20"/>
                <w:szCs w:val="20"/>
              </w:rPr>
              <w:t>9</w:t>
            </w:r>
            <w:r>
              <w:rPr>
                <w:b/>
                <w:bCs/>
                <w:sz w:val="20"/>
                <w:szCs w:val="20"/>
                <w:vertAlign w:val="superscript"/>
              </w:rPr>
              <w:t>th</w:t>
            </w:r>
          </w:p>
        </w:tc>
        <w:tc>
          <w:tcPr>
            <w:tcW w:w="698" w:type="dxa"/>
            <w:shd w:val="clear" w:color="auto" w:fill="F2F2F2" w:themeFill="background2" w:themeFillTint="33"/>
            <w:tcMar>
              <w:top w:w="28" w:type="dxa"/>
              <w:left w:w="57" w:type="dxa"/>
              <w:bottom w:w="28" w:type="dxa"/>
              <w:right w:w="57" w:type="dxa"/>
            </w:tcMar>
            <w:vAlign w:val="center"/>
          </w:tcPr>
          <w:p w14:paraId="048F527F">
            <w:pPr>
              <w:overflowPunct w:val="0"/>
              <w:autoSpaceDE w:val="0"/>
              <w:autoSpaceDN w:val="0"/>
              <w:adjustRightInd w:val="0"/>
              <w:snapToGrid w:val="0"/>
              <w:jc w:val="center"/>
              <w:rPr>
                <w:rFonts w:eastAsia="宋体"/>
                <w:b/>
                <w:bCs/>
                <w:sz w:val="20"/>
                <w:szCs w:val="20"/>
              </w:rPr>
            </w:pPr>
            <w:r>
              <w:rPr>
                <w:b/>
                <w:bCs/>
                <w:sz w:val="20"/>
                <w:szCs w:val="20"/>
              </w:rPr>
              <w:t>10</w:t>
            </w:r>
            <w:r>
              <w:rPr>
                <w:b/>
                <w:bCs/>
                <w:sz w:val="20"/>
                <w:szCs w:val="20"/>
                <w:vertAlign w:val="superscript"/>
              </w:rPr>
              <w:t>th</w:t>
            </w:r>
          </w:p>
        </w:tc>
        <w:tc>
          <w:tcPr>
            <w:tcW w:w="696" w:type="dxa"/>
            <w:shd w:val="clear" w:color="auto" w:fill="F2F2F2" w:themeFill="background2" w:themeFillTint="33"/>
            <w:tcMar>
              <w:top w:w="28" w:type="dxa"/>
              <w:left w:w="57" w:type="dxa"/>
              <w:bottom w:w="28" w:type="dxa"/>
              <w:right w:w="57" w:type="dxa"/>
            </w:tcMar>
            <w:vAlign w:val="center"/>
          </w:tcPr>
          <w:p w14:paraId="095C8312">
            <w:pPr>
              <w:overflowPunct w:val="0"/>
              <w:autoSpaceDE w:val="0"/>
              <w:autoSpaceDN w:val="0"/>
              <w:adjustRightInd w:val="0"/>
              <w:snapToGrid w:val="0"/>
              <w:jc w:val="center"/>
              <w:rPr>
                <w:rFonts w:eastAsia="宋体"/>
                <w:b/>
                <w:bCs/>
                <w:sz w:val="20"/>
                <w:szCs w:val="20"/>
              </w:rPr>
            </w:pPr>
            <w:r>
              <w:rPr>
                <w:b/>
                <w:bCs/>
                <w:sz w:val="20"/>
                <w:szCs w:val="20"/>
              </w:rPr>
              <w:t>11</w:t>
            </w:r>
            <w:r>
              <w:rPr>
                <w:b/>
                <w:bCs/>
                <w:sz w:val="20"/>
                <w:szCs w:val="20"/>
                <w:vertAlign w:val="superscript"/>
              </w:rPr>
              <w:t>th</w:t>
            </w:r>
          </w:p>
        </w:tc>
        <w:tc>
          <w:tcPr>
            <w:tcW w:w="704" w:type="dxa"/>
            <w:shd w:val="clear" w:color="auto" w:fill="F2F2F2" w:themeFill="background2" w:themeFillTint="33"/>
            <w:tcMar>
              <w:top w:w="28" w:type="dxa"/>
              <w:left w:w="57" w:type="dxa"/>
              <w:bottom w:w="28" w:type="dxa"/>
              <w:right w:w="57" w:type="dxa"/>
            </w:tcMar>
            <w:vAlign w:val="center"/>
          </w:tcPr>
          <w:p w14:paraId="3D1CEE1B">
            <w:pPr>
              <w:overflowPunct w:val="0"/>
              <w:autoSpaceDE w:val="0"/>
              <w:autoSpaceDN w:val="0"/>
              <w:adjustRightInd w:val="0"/>
              <w:snapToGrid w:val="0"/>
              <w:jc w:val="center"/>
              <w:rPr>
                <w:rFonts w:eastAsia="宋体"/>
                <w:b/>
                <w:bCs/>
                <w:sz w:val="20"/>
                <w:szCs w:val="20"/>
              </w:rPr>
            </w:pPr>
            <w:r>
              <w:rPr>
                <w:b/>
                <w:bCs/>
                <w:sz w:val="20"/>
                <w:szCs w:val="20"/>
              </w:rPr>
              <w:t>12</w:t>
            </w:r>
            <w:r>
              <w:rPr>
                <w:b/>
                <w:bCs/>
                <w:sz w:val="20"/>
                <w:szCs w:val="20"/>
                <w:vertAlign w:val="superscript"/>
              </w:rPr>
              <w:t>th</w:t>
            </w:r>
          </w:p>
        </w:tc>
      </w:tr>
      <w:tr w14:paraId="616AA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697" w:type="dxa"/>
            <w:shd w:val="clear" w:color="auto" w:fill="F2F2F2" w:themeFill="background2" w:themeFillTint="33"/>
            <w:tcMar>
              <w:top w:w="28" w:type="dxa"/>
              <w:left w:w="57" w:type="dxa"/>
              <w:bottom w:w="28" w:type="dxa"/>
              <w:right w:w="57" w:type="dxa"/>
            </w:tcMar>
            <w:vAlign w:val="center"/>
          </w:tcPr>
          <w:p w14:paraId="59A2D8C5">
            <w:pPr>
              <w:overflowPunct w:val="0"/>
              <w:autoSpaceDE w:val="0"/>
              <w:autoSpaceDN w:val="0"/>
              <w:adjustRightInd w:val="0"/>
              <w:snapToGrid w:val="0"/>
              <w:ind w:left="-4" w:leftChars="-41" w:hanging="94" w:hangingChars="47"/>
              <w:jc w:val="center"/>
              <w:rPr>
                <w:rFonts w:eastAsia="宋体"/>
                <w:b/>
                <w:bCs/>
                <w:sz w:val="20"/>
                <w:szCs w:val="20"/>
              </w:rPr>
            </w:pPr>
            <w:r>
              <w:rPr>
                <w:b/>
                <w:bCs/>
                <w:sz w:val="20"/>
                <w:szCs w:val="20"/>
              </w:rPr>
              <w:t>Week</w:t>
            </w:r>
          </w:p>
        </w:tc>
        <w:tc>
          <w:tcPr>
            <w:tcW w:w="697" w:type="dxa"/>
            <w:shd w:val="clear" w:color="auto" w:fill="F2F2F2" w:themeFill="background2" w:themeFillTint="33"/>
            <w:tcMar>
              <w:top w:w="28" w:type="dxa"/>
              <w:left w:w="57" w:type="dxa"/>
              <w:bottom w:w="28" w:type="dxa"/>
              <w:right w:w="57" w:type="dxa"/>
            </w:tcMar>
            <w:vAlign w:val="center"/>
          </w:tcPr>
          <w:p w14:paraId="5762F454">
            <w:pPr>
              <w:overflowPunct w:val="0"/>
              <w:autoSpaceDE w:val="0"/>
              <w:autoSpaceDN w:val="0"/>
              <w:adjustRightInd w:val="0"/>
              <w:snapToGrid w:val="0"/>
              <w:jc w:val="center"/>
              <w:rPr>
                <w:rFonts w:eastAsia="宋体"/>
                <w:b/>
                <w:bCs/>
                <w:sz w:val="20"/>
                <w:szCs w:val="20"/>
              </w:rPr>
            </w:pPr>
            <w:r>
              <w:rPr>
                <w:b/>
                <w:bCs/>
                <w:sz w:val="20"/>
                <w:szCs w:val="20"/>
              </w:rPr>
              <w:t>0</w:t>
            </w:r>
          </w:p>
        </w:tc>
        <w:tc>
          <w:tcPr>
            <w:tcW w:w="698" w:type="dxa"/>
            <w:shd w:val="clear" w:color="auto" w:fill="F2F2F2" w:themeFill="background2" w:themeFillTint="33"/>
            <w:tcMar>
              <w:top w:w="28" w:type="dxa"/>
              <w:left w:w="57" w:type="dxa"/>
              <w:bottom w:w="28" w:type="dxa"/>
              <w:right w:w="57" w:type="dxa"/>
            </w:tcMar>
            <w:vAlign w:val="center"/>
          </w:tcPr>
          <w:p w14:paraId="0A441089">
            <w:pPr>
              <w:overflowPunct w:val="0"/>
              <w:autoSpaceDE w:val="0"/>
              <w:autoSpaceDN w:val="0"/>
              <w:adjustRightInd w:val="0"/>
              <w:snapToGrid w:val="0"/>
              <w:jc w:val="center"/>
              <w:rPr>
                <w:rFonts w:eastAsia="宋体"/>
                <w:b/>
                <w:bCs/>
                <w:sz w:val="20"/>
                <w:szCs w:val="20"/>
              </w:rPr>
            </w:pPr>
            <w:r>
              <w:rPr>
                <w:b/>
                <w:bCs/>
                <w:sz w:val="20"/>
                <w:szCs w:val="20"/>
              </w:rPr>
              <w:t>2</w:t>
            </w:r>
          </w:p>
        </w:tc>
        <w:tc>
          <w:tcPr>
            <w:tcW w:w="696" w:type="dxa"/>
            <w:shd w:val="clear" w:color="auto" w:fill="F2F2F2" w:themeFill="background2" w:themeFillTint="33"/>
            <w:tcMar>
              <w:top w:w="28" w:type="dxa"/>
              <w:left w:w="57" w:type="dxa"/>
              <w:bottom w:w="28" w:type="dxa"/>
              <w:right w:w="57" w:type="dxa"/>
            </w:tcMar>
            <w:vAlign w:val="center"/>
          </w:tcPr>
          <w:p w14:paraId="703B1F53">
            <w:pPr>
              <w:overflowPunct w:val="0"/>
              <w:autoSpaceDE w:val="0"/>
              <w:autoSpaceDN w:val="0"/>
              <w:adjustRightInd w:val="0"/>
              <w:snapToGrid w:val="0"/>
              <w:jc w:val="center"/>
              <w:rPr>
                <w:rFonts w:eastAsia="宋体"/>
                <w:b/>
                <w:bCs/>
                <w:sz w:val="20"/>
                <w:szCs w:val="20"/>
              </w:rPr>
            </w:pPr>
            <w:r>
              <w:rPr>
                <w:b/>
                <w:bCs/>
                <w:sz w:val="20"/>
                <w:szCs w:val="20"/>
              </w:rPr>
              <w:t>4</w:t>
            </w:r>
          </w:p>
        </w:tc>
        <w:tc>
          <w:tcPr>
            <w:tcW w:w="696" w:type="dxa"/>
            <w:shd w:val="clear" w:color="auto" w:fill="F2F2F2" w:themeFill="background2" w:themeFillTint="33"/>
            <w:tcMar>
              <w:top w:w="28" w:type="dxa"/>
              <w:left w:w="57" w:type="dxa"/>
              <w:bottom w:w="28" w:type="dxa"/>
              <w:right w:w="57" w:type="dxa"/>
            </w:tcMar>
            <w:vAlign w:val="center"/>
          </w:tcPr>
          <w:p w14:paraId="272D9EE7">
            <w:pPr>
              <w:overflowPunct w:val="0"/>
              <w:autoSpaceDE w:val="0"/>
              <w:autoSpaceDN w:val="0"/>
              <w:adjustRightInd w:val="0"/>
              <w:snapToGrid w:val="0"/>
              <w:jc w:val="center"/>
              <w:rPr>
                <w:rFonts w:eastAsia="宋体"/>
                <w:b/>
                <w:bCs/>
                <w:sz w:val="20"/>
                <w:szCs w:val="20"/>
              </w:rPr>
            </w:pPr>
            <w:r>
              <w:rPr>
                <w:b/>
                <w:bCs/>
                <w:sz w:val="20"/>
                <w:szCs w:val="20"/>
              </w:rPr>
              <w:t>6</w:t>
            </w:r>
          </w:p>
        </w:tc>
        <w:tc>
          <w:tcPr>
            <w:tcW w:w="698" w:type="dxa"/>
            <w:shd w:val="clear" w:color="auto" w:fill="F2F2F2" w:themeFill="background2" w:themeFillTint="33"/>
            <w:tcMar>
              <w:top w:w="28" w:type="dxa"/>
              <w:left w:w="57" w:type="dxa"/>
              <w:bottom w:w="28" w:type="dxa"/>
              <w:right w:w="57" w:type="dxa"/>
            </w:tcMar>
            <w:vAlign w:val="center"/>
          </w:tcPr>
          <w:p w14:paraId="1C35BF30">
            <w:pPr>
              <w:overflowPunct w:val="0"/>
              <w:autoSpaceDE w:val="0"/>
              <w:autoSpaceDN w:val="0"/>
              <w:adjustRightInd w:val="0"/>
              <w:snapToGrid w:val="0"/>
              <w:jc w:val="center"/>
              <w:rPr>
                <w:rFonts w:eastAsia="宋体"/>
                <w:b/>
                <w:bCs/>
                <w:sz w:val="20"/>
                <w:szCs w:val="20"/>
              </w:rPr>
            </w:pPr>
            <w:r>
              <w:rPr>
                <w:b/>
                <w:bCs/>
                <w:sz w:val="20"/>
                <w:szCs w:val="20"/>
              </w:rPr>
              <w:t>8</w:t>
            </w:r>
          </w:p>
        </w:tc>
        <w:tc>
          <w:tcPr>
            <w:tcW w:w="696" w:type="dxa"/>
            <w:shd w:val="clear" w:color="auto" w:fill="F2F2F2" w:themeFill="background2" w:themeFillTint="33"/>
            <w:tcMar>
              <w:top w:w="28" w:type="dxa"/>
              <w:left w:w="57" w:type="dxa"/>
              <w:bottom w:w="28" w:type="dxa"/>
              <w:right w:w="57" w:type="dxa"/>
            </w:tcMar>
            <w:vAlign w:val="center"/>
          </w:tcPr>
          <w:p w14:paraId="54F461EA">
            <w:pPr>
              <w:overflowPunct w:val="0"/>
              <w:autoSpaceDE w:val="0"/>
              <w:autoSpaceDN w:val="0"/>
              <w:adjustRightInd w:val="0"/>
              <w:snapToGrid w:val="0"/>
              <w:jc w:val="center"/>
              <w:rPr>
                <w:rFonts w:eastAsia="宋体"/>
                <w:b/>
                <w:bCs/>
                <w:sz w:val="20"/>
                <w:szCs w:val="20"/>
              </w:rPr>
            </w:pPr>
            <w:r>
              <w:rPr>
                <w:b/>
                <w:bCs/>
                <w:sz w:val="20"/>
                <w:szCs w:val="20"/>
              </w:rPr>
              <w:t>10</w:t>
            </w:r>
          </w:p>
        </w:tc>
        <w:tc>
          <w:tcPr>
            <w:tcW w:w="698" w:type="dxa"/>
            <w:shd w:val="clear" w:color="auto" w:fill="F2F2F2" w:themeFill="background2" w:themeFillTint="33"/>
            <w:tcMar>
              <w:top w:w="28" w:type="dxa"/>
              <w:left w:w="57" w:type="dxa"/>
              <w:bottom w:w="28" w:type="dxa"/>
              <w:right w:w="57" w:type="dxa"/>
            </w:tcMar>
            <w:vAlign w:val="center"/>
          </w:tcPr>
          <w:p w14:paraId="3E5D20CE">
            <w:pPr>
              <w:overflowPunct w:val="0"/>
              <w:autoSpaceDE w:val="0"/>
              <w:autoSpaceDN w:val="0"/>
              <w:adjustRightInd w:val="0"/>
              <w:snapToGrid w:val="0"/>
              <w:jc w:val="center"/>
              <w:rPr>
                <w:rFonts w:eastAsia="宋体"/>
                <w:b/>
                <w:bCs/>
                <w:sz w:val="20"/>
                <w:szCs w:val="20"/>
              </w:rPr>
            </w:pPr>
            <w:r>
              <w:rPr>
                <w:b/>
                <w:bCs/>
                <w:sz w:val="20"/>
                <w:szCs w:val="20"/>
              </w:rPr>
              <w:t>12</w:t>
            </w:r>
          </w:p>
        </w:tc>
        <w:tc>
          <w:tcPr>
            <w:tcW w:w="696" w:type="dxa"/>
            <w:shd w:val="clear" w:color="auto" w:fill="F2F2F2" w:themeFill="background2" w:themeFillTint="33"/>
            <w:tcMar>
              <w:top w:w="28" w:type="dxa"/>
              <w:left w:w="57" w:type="dxa"/>
              <w:bottom w:w="28" w:type="dxa"/>
              <w:right w:w="57" w:type="dxa"/>
            </w:tcMar>
            <w:vAlign w:val="center"/>
          </w:tcPr>
          <w:p w14:paraId="15C04DAA">
            <w:pPr>
              <w:overflowPunct w:val="0"/>
              <w:autoSpaceDE w:val="0"/>
              <w:autoSpaceDN w:val="0"/>
              <w:adjustRightInd w:val="0"/>
              <w:snapToGrid w:val="0"/>
              <w:jc w:val="center"/>
              <w:rPr>
                <w:rFonts w:eastAsia="宋体"/>
                <w:b/>
                <w:bCs/>
                <w:sz w:val="20"/>
                <w:szCs w:val="20"/>
              </w:rPr>
            </w:pPr>
            <w:r>
              <w:rPr>
                <w:b/>
                <w:bCs/>
                <w:sz w:val="20"/>
                <w:szCs w:val="20"/>
              </w:rPr>
              <w:t>14</w:t>
            </w:r>
          </w:p>
        </w:tc>
        <w:tc>
          <w:tcPr>
            <w:tcW w:w="696" w:type="dxa"/>
            <w:shd w:val="clear" w:color="auto" w:fill="F2F2F2" w:themeFill="background2" w:themeFillTint="33"/>
            <w:tcMar>
              <w:top w:w="28" w:type="dxa"/>
              <w:left w:w="57" w:type="dxa"/>
              <w:bottom w:w="28" w:type="dxa"/>
              <w:right w:w="57" w:type="dxa"/>
            </w:tcMar>
            <w:vAlign w:val="center"/>
          </w:tcPr>
          <w:p w14:paraId="0D702989">
            <w:pPr>
              <w:overflowPunct w:val="0"/>
              <w:autoSpaceDE w:val="0"/>
              <w:autoSpaceDN w:val="0"/>
              <w:adjustRightInd w:val="0"/>
              <w:snapToGrid w:val="0"/>
              <w:jc w:val="center"/>
              <w:rPr>
                <w:rFonts w:eastAsia="宋体"/>
                <w:b/>
                <w:bCs/>
                <w:sz w:val="20"/>
                <w:szCs w:val="20"/>
              </w:rPr>
            </w:pPr>
            <w:r>
              <w:rPr>
                <w:b/>
                <w:bCs/>
                <w:sz w:val="20"/>
                <w:szCs w:val="20"/>
              </w:rPr>
              <w:t>16</w:t>
            </w:r>
          </w:p>
        </w:tc>
        <w:tc>
          <w:tcPr>
            <w:tcW w:w="698" w:type="dxa"/>
            <w:shd w:val="clear" w:color="auto" w:fill="F2F2F2" w:themeFill="background2" w:themeFillTint="33"/>
            <w:tcMar>
              <w:top w:w="28" w:type="dxa"/>
              <w:left w:w="57" w:type="dxa"/>
              <w:bottom w:w="28" w:type="dxa"/>
              <w:right w:w="57" w:type="dxa"/>
            </w:tcMar>
            <w:vAlign w:val="center"/>
          </w:tcPr>
          <w:p w14:paraId="22F617C8">
            <w:pPr>
              <w:overflowPunct w:val="0"/>
              <w:autoSpaceDE w:val="0"/>
              <w:autoSpaceDN w:val="0"/>
              <w:adjustRightInd w:val="0"/>
              <w:snapToGrid w:val="0"/>
              <w:jc w:val="center"/>
              <w:rPr>
                <w:rFonts w:eastAsia="宋体"/>
                <w:b/>
                <w:bCs/>
                <w:sz w:val="20"/>
                <w:szCs w:val="20"/>
              </w:rPr>
            </w:pPr>
            <w:r>
              <w:rPr>
                <w:b/>
                <w:bCs/>
                <w:sz w:val="20"/>
                <w:szCs w:val="20"/>
              </w:rPr>
              <w:t>18</w:t>
            </w:r>
          </w:p>
        </w:tc>
        <w:tc>
          <w:tcPr>
            <w:tcW w:w="696" w:type="dxa"/>
            <w:shd w:val="clear" w:color="auto" w:fill="F2F2F2" w:themeFill="background2" w:themeFillTint="33"/>
            <w:tcMar>
              <w:top w:w="28" w:type="dxa"/>
              <w:left w:w="57" w:type="dxa"/>
              <w:bottom w:w="28" w:type="dxa"/>
              <w:right w:w="57" w:type="dxa"/>
            </w:tcMar>
            <w:vAlign w:val="center"/>
          </w:tcPr>
          <w:p w14:paraId="55FB112C">
            <w:pPr>
              <w:overflowPunct w:val="0"/>
              <w:autoSpaceDE w:val="0"/>
              <w:autoSpaceDN w:val="0"/>
              <w:adjustRightInd w:val="0"/>
              <w:snapToGrid w:val="0"/>
              <w:jc w:val="center"/>
              <w:rPr>
                <w:rFonts w:eastAsia="宋体"/>
                <w:b/>
                <w:bCs/>
                <w:sz w:val="20"/>
                <w:szCs w:val="20"/>
              </w:rPr>
            </w:pPr>
            <w:r>
              <w:rPr>
                <w:b/>
                <w:bCs/>
                <w:sz w:val="20"/>
                <w:szCs w:val="20"/>
              </w:rPr>
              <w:t>20</w:t>
            </w:r>
          </w:p>
        </w:tc>
        <w:tc>
          <w:tcPr>
            <w:tcW w:w="704" w:type="dxa"/>
            <w:shd w:val="clear" w:color="auto" w:fill="F2F2F2" w:themeFill="background2" w:themeFillTint="33"/>
            <w:tcMar>
              <w:top w:w="28" w:type="dxa"/>
              <w:left w:w="57" w:type="dxa"/>
              <w:bottom w:w="28" w:type="dxa"/>
              <w:right w:w="57" w:type="dxa"/>
            </w:tcMar>
            <w:vAlign w:val="center"/>
          </w:tcPr>
          <w:p w14:paraId="1BCEA3B2">
            <w:pPr>
              <w:overflowPunct w:val="0"/>
              <w:autoSpaceDE w:val="0"/>
              <w:autoSpaceDN w:val="0"/>
              <w:adjustRightInd w:val="0"/>
              <w:snapToGrid w:val="0"/>
              <w:jc w:val="center"/>
              <w:rPr>
                <w:rFonts w:eastAsia="宋体"/>
                <w:b/>
                <w:bCs/>
                <w:sz w:val="20"/>
                <w:szCs w:val="20"/>
              </w:rPr>
            </w:pPr>
            <w:r>
              <w:rPr>
                <w:b/>
                <w:bCs/>
                <w:sz w:val="20"/>
                <w:szCs w:val="20"/>
              </w:rPr>
              <w:t>22</w:t>
            </w:r>
          </w:p>
        </w:tc>
      </w:tr>
      <w:tr w14:paraId="29154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697" w:type="dxa"/>
            <w:shd w:val="clear" w:color="auto" w:fill="F2F2F2" w:themeFill="background2" w:themeFillTint="33"/>
            <w:tcMar>
              <w:top w:w="28" w:type="dxa"/>
              <w:left w:w="57" w:type="dxa"/>
              <w:bottom w:w="28" w:type="dxa"/>
              <w:right w:w="57" w:type="dxa"/>
            </w:tcMar>
            <w:vAlign w:val="center"/>
          </w:tcPr>
          <w:p w14:paraId="549EEA6F">
            <w:pPr>
              <w:overflowPunct w:val="0"/>
              <w:autoSpaceDE w:val="0"/>
              <w:autoSpaceDN w:val="0"/>
              <w:adjustRightInd w:val="0"/>
              <w:snapToGrid w:val="0"/>
              <w:ind w:left="-4" w:leftChars="-41" w:hanging="94" w:hangingChars="47"/>
              <w:jc w:val="center"/>
              <w:rPr>
                <w:rFonts w:eastAsia="宋体"/>
                <w:b/>
                <w:bCs/>
                <w:sz w:val="20"/>
                <w:szCs w:val="20"/>
              </w:rPr>
            </w:pPr>
            <w:r>
              <w:rPr>
                <w:b/>
                <w:bCs/>
                <w:sz w:val="20"/>
                <w:szCs w:val="20"/>
              </w:rPr>
              <w:t>Day</w:t>
            </w:r>
          </w:p>
        </w:tc>
        <w:tc>
          <w:tcPr>
            <w:tcW w:w="697" w:type="dxa"/>
            <w:shd w:val="clear" w:color="auto" w:fill="F2F2F2" w:themeFill="background2" w:themeFillTint="33"/>
            <w:tcMar>
              <w:top w:w="28" w:type="dxa"/>
              <w:left w:w="57" w:type="dxa"/>
              <w:bottom w:w="28" w:type="dxa"/>
              <w:right w:w="57" w:type="dxa"/>
            </w:tcMar>
            <w:vAlign w:val="center"/>
          </w:tcPr>
          <w:p w14:paraId="6F948AE6">
            <w:pPr>
              <w:overflowPunct w:val="0"/>
              <w:autoSpaceDE w:val="0"/>
              <w:autoSpaceDN w:val="0"/>
              <w:adjustRightInd w:val="0"/>
              <w:snapToGrid w:val="0"/>
              <w:jc w:val="center"/>
              <w:rPr>
                <w:rFonts w:eastAsia="宋体"/>
                <w:b/>
                <w:bCs/>
                <w:sz w:val="20"/>
                <w:szCs w:val="20"/>
              </w:rPr>
            </w:pPr>
            <w:r>
              <w:rPr>
                <w:b/>
                <w:bCs/>
                <w:sz w:val="20"/>
                <w:szCs w:val="20"/>
              </w:rPr>
              <w:t>0</w:t>
            </w:r>
          </w:p>
        </w:tc>
        <w:tc>
          <w:tcPr>
            <w:tcW w:w="698" w:type="dxa"/>
            <w:shd w:val="clear" w:color="auto" w:fill="F2F2F2" w:themeFill="background2" w:themeFillTint="33"/>
            <w:tcMar>
              <w:top w:w="28" w:type="dxa"/>
              <w:left w:w="57" w:type="dxa"/>
              <w:bottom w:w="28" w:type="dxa"/>
              <w:right w:w="57" w:type="dxa"/>
            </w:tcMar>
            <w:vAlign w:val="center"/>
          </w:tcPr>
          <w:p w14:paraId="30A18CF2">
            <w:pPr>
              <w:overflowPunct w:val="0"/>
              <w:autoSpaceDE w:val="0"/>
              <w:autoSpaceDN w:val="0"/>
              <w:adjustRightInd w:val="0"/>
              <w:snapToGrid w:val="0"/>
              <w:jc w:val="center"/>
              <w:rPr>
                <w:rFonts w:eastAsia="宋体"/>
                <w:b/>
                <w:bCs/>
                <w:sz w:val="20"/>
                <w:szCs w:val="20"/>
              </w:rPr>
            </w:pPr>
            <w:r>
              <w:rPr>
                <w:b/>
                <w:bCs/>
                <w:sz w:val="20"/>
                <w:szCs w:val="20"/>
              </w:rPr>
              <w:t>14</w:t>
            </w:r>
          </w:p>
        </w:tc>
        <w:tc>
          <w:tcPr>
            <w:tcW w:w="696" w:type="dxa"/>
            <w:shd w:val="clear" w:color="auto" w:fill="F2F2F2" w:themeFill="background2" w:themeFillTint="33"/>
            <w:tcMar>
              <w:top w:w="28" w:type="dxa"/>
              <w:left w:w="57" w:type="dxa"/>
              <w:bottom w:w="28" w:type="dxa"/>
              <w:right w:w="57" w:type="dxa"/>
            </w:tcMar>
            <w:vAlign w:val="center"/>
          </w:tcPr>
          <w:p w14:paraId="40A8EF43">
            <w:pPr>
              <w:overflowPunct w:val="0"/>
              <w:autoSpaceDE w:val="0"/>
              <w:autoSpaceDN w:val="0"/>
              <w:adjustRightInd w:val="0"/>
              <w:snapToGrid w:val="0"/>
              <w:jc w:val="center"/>
              <w:rPr>
                <w:rFonts w:eastAsia="宋体"/>
                <w:b/>
                <w:bCs/>
                <w:sz w:val="20"/>
                <w:szCs w:val="20"/>
              </w:rPr>
            </w:pPr>
            <w:r>
              <w:rPr>
                <w:b/>
                <w:bCs/>
                <w:sz w:val="20"/>
                <w:szCs w:val="20"/>
              </w:rPr>
              <w:t>28</w:t>
            </w:r>
          </w:p>
        </w:tc>
        <w:tc>
          <w:tcPr>
            <w:tcW w:w="696" w:type="dxa"/>
            <w:shd w:val="clear" w:color="auto" w:fill="F2F2F2" w:themeFill="background2" w:themeFillTint="33"/>
            <w:tcMar>
              <w:top w:w="28" w:type="dxa"/>
              <w:left w:w="57" w:type="dxa"/>
              <w:bottom w:w="28" w:type="dxa"/>
              <w:right w:w="57" w:type="dxa"/>
            </w:tcMar>
            <w:vAlign w:val="center"/>
          </w:tcPr>
          <w:p w14:paraId="2BEFC4E4">
            <w:pPr>
              <w:overflowPunct w:val="0"/>
              <w:autoSpaceDE w:val="0"/>
              <w:autoSpaceDN w:val="0"/>
              <w:adjustRightInd w:val="0"/>
              <w:snapToGrid w:val="0"/>
              <w:jc w:val="center"/>
              <w:rPr>
                <w:rFonts w:eastAsia="宋体"/>
                <w:b/>
                <w:bCs/>
                <w:sz w:val="20"/>
                <w:szCs w:val="20"/>
              </w:rPr>
            </w:pPr>
            <w:r>
              <w:rPr>
                <w:b/>
                <w:bCs/>
                <w:sz w:val="20"/>
                <w:szCs w:val="20"/>
              </w:rPr>
              <w:t>42</w:t>
            </w:r>
          </w:p>
        </w:tc>
        <w:tc>
          <w:tcPr>
            <w:tcW w:w="698" w:type="dxa"/>
            <w:shd w:val="clear" w:color="auto" w:fill="F2F2F2" w:themeFill="background2" w:themeFillTint="33"/>
            <w:tcMar>
              <w:top w:w="28" w:type="dxa"/>
              <w:left w:w="57" w:type="dxa"/>
              <w:bottom w:w="28" w:type="dxa"/>
              <w:right w:w="57" w:type="dxa"/>
            </w:tcMar>
            <w:vAlign w:val="center"/>
          </w:tcPr>
          <w:p w14:paraId="286139B8">
            <w:pPr>
              <w:overflowPunct w:val="0"/>
              <w:autoSpaceDE w:val="0"/>
              <w:autoSpaceDN w:val="0"/>
              <w:adjustRightInd w:val="0"/>
              <w:snapToGrid w:val="0"/>
              <w:jc w:val="center"/>
              <w:rPr>
                <w:rFonts w:eastAsia="宋体"/>
                <w:b/>
                <w:bCs/>
                <w:sz w:val="20"/>
                <w:szCs w:val="20"/>
              </w:rPr>
            </w:pPr>
            <w:r>
              <w:rPr>
                <w:b/>
                <w:bCs/>
                <w:sz w:val="20"/>
                <w:szCs w:val="20"/>
              </w:rPr>
              <w:t>56</w:t>
            </w:r>
          </w:p>
        </w:tc>
        <w:tc>
          <w:tcPr>
            <w:tcW w:w="696" w:type="dxa"/>
            <w:shd w:val="clear" w:color="auto" w:fill="F2F2F2" w:themeFill="background2" w:themeFillTint="33"/>
            <w:tcMar>
              <w:top w:w="28" w:type="dxa"/>
              <w:left w:w="57" w:type="dxa"/>
              <w:bottom w:w="28" w:type="dxa"/>
              <w:right w:w="57" w:type="dxa"/>
            </w:tcMar>
            <w:vAlign w:val="center"/>
          </w:tcPr>
          <w:p w14:paraId="34F007FC">
            <w:pPr>
              <w:overflowPunct w:val="0"/>
              <w:autoSpaceDE w:val="0"/>
              <w:autoSpaceDN w:val="0"/>
              <w:adjustRightInd w:val="0"/>
              <w:snapToGrid w:val="0"/>
              <w:jc w:val="center"/>
              <w:rPr>
                <w:rFonts w:eastAsia="宋体"/>
                <w:b/>
                <w:bCs/>
                <w:sz w:val="20"/>
                <w:szCs w:val="20"/>
              </w:rPr>
            </w:pPr>
            <w:r>
              <w:rPr>
                <w:b/>
                <w:bCs/>
                <w:sz w:val="20"/>
                <w:szCs w:val="20"/>
              </w:rPr>
              <w:t>70</w:t>
            </w:r>
          </w:p>
        </w:tc>
        <w:tc>
          <w:tcPr>
            <w:tcW w:w="698" w:type="dxa"/>
            <w:shd w:val="clear" w:color="auto" w:fill="F2F2F2" w:themeFill="background2" w:themeFillTint="33"/>
            <w:tcMar>
              <w:top w:w="28" w:type="dxa"/>
              <w:left w:w="57" w:type="dxa"/>
              <w:bottom w:w="28" w:type="dxa"/>
              <w:right w:w="57" w:type="dxa"/>
            </w:tcMar>
            <w:vAlign w:val="center"/>
          </w:tcPr>
          <w:p w14:paraId="776F149A">
            <w:pPr>
              <w:overflowPunct w:val="0"/>
              <w:autoSpaceDE w:val="0"/>
              <w:autoSpaceDN w:val="0"/>
              <w:adjustRightInd w:val="0"/>
              <w:snapToGrid w:val="0"/>
              <w:jc w:val="center"/>
              <w:rPr>
                <w:rFonts w:eastAsia="宋体"/>
                <w:b/>
                <w:bCs/>
                <w:sz w:val="20"/>
                <w:szCs w:val="20"/>
              </w:rPr>
            </w:pPr>
            <w:r>
              <w:rPr>
                <w:b/>
                <w:bCs/>
                <w:sz w:val="20"/>
                <w:szCs w:val="20"/>
              </w:rPr>
              <w:t>84</w:t>
            </w:r>
          </w:p>
        </w:tc>
        <w:tc>
          <w:tcPr>
            <w:tcW w:w="696" w:type="dxa"/>
            <w:shd w:val="clear" w:color="auto" w:fill="F2F2F2" w:themeFill="background2" w:themeFillTint="33"/>
            <w:tcMar>
              <w:top w:w="28" w:type="dxa"/>
              <w:left w:w="57" w:type="dxa"/>
              <w:bottom w:w="28" w:type="dxa"/>
              <w:right w:w="57" w:type="dxa"/>
            </w:tcMar>
            <w:vAlign w:val="center"/>
          </w:tcPr>
          <w:p w14:paraId="7B7651C7">
            <w:pPr>
              <w:overflowPunct w:val="0"/>
              <w:autoSpaceDE w:val="0"/>
              <w:autoSpaceDN w:val="0"/>
              <w:adjustRightInd w:val="0"/>
              <w:snapToGrid w:val="0"/>
              <w:jc w:val="center"/>
              <w:rPr>
                <w:rFonts w:eastAsia="宋体"/>
                <w:b/>
                <w:bCs/>
                <w:sz w:val="20"/>
                <w:szCs w:val="20"/>
              </w:rPr>
            </w:pPr>
            <w:r>
              <w:rPr>
                <w:b/>
                <w:bCs/>
                <w:sz w:val="20"/>
                <w:szCs w:val="20"/>
              </w:rPr>
              <w:t>98</w:t>
            </w:r>
          </w:p>
        </w:tc>
        <w:tc>
          <w:tcPr>
            <w:tcW w:w="696" w:type="dxa"/>
            <w:shd w:val="clear" w:color="auto" w:fill="F2F2F2" w:themeFill="background2" w:themeFillTint="33"/>
            <w:tcMar>
              <w:top w:w="28" w:type="dxa"/>
              <w:left w:w="57" w:type="dxa"/>
              <w:bottom w:w="28" w:type="dxa"/>
              <w:right w:w="57" w:type="dxa"/>
            </w:tcMar>
            <w:vAlign w:val="center"/>
          </w:tcPr>
          <w:p w14:paraId="052C269F">
            <w:pPr>
              <w:overflowPunct w:val="0"/>
              <w:autoSpaceDE w:val="0"/>
              <w:autoSpaceDN w:val="0"/>
              <w:adjustRightInd w:val="0"/>
              <w:snapToGrid w:val="0"/>
              <w:jc w:val="center"/>
              <w:rPr>
                <w:rFonts w:eastAsia="宋体"/>
                <w:b/>
                <w:bCs/>
                <w:sz w:val="20"/>
                <w:szCs w:val="20"/>
              </w:rPr>
            </w:pPr>
            <w:r>
              <w:rPr>
                <w:b/>
                <w:bCs/>
                <w:sz w:val="20"/>
                <w:szCs w:val="20"/>
              </w:rPr>
              <w:t>112</w:t>
            </w:r>
          </w:p>
        </w:tc>
        <w:tc>
          <w:tcPr>
            <w:tcW w:w="698" w:type="dxa"/>
            <w:shd w:val="clear" w:color="auto" w:fill="F2F2F2" w:themeFill="background2" w:themeFillTint="33"/>
            <w:tcMar>
              <w:top w:w="28" w:type="dxa"/>
              <w:left w:w="57" w:type="dxa"/>
              <w:bottom w:w="28" w:type="dxa"/>
              <w:right w:w="57" w:type="dxa"/>
            </w:tcMar>
            <w:vAlign w:val="center"/>
          </w:tcPr>
          <w:p w14:paraId="09D267D3">
            <w:pPr>
              <w:overflowPunct w:val="0"/>
              <w:autoSpaceDE w:val="0"/>
              <w:autoSpaceDN w:val="0"/>
              <w:adjustRightInd w:val="0"/>
              <w:snapToGrid w:val="0"/>
              <w:jc w:val="center"/>
              <w:rPr>
                <w:rFonts w:eastAsia="宋体"/>
                <w:b/>
                <w:bCs/>
                <w:sz w:val="20"/>
                <w:szCs w:val="20"/>
              </w:rPr>
            </w:pPr>
            <w:r>
              <w:rPr>
                <w:b/>
                <w:bCs/>
                <w:sz w:val="20"/>
                <w:szCs w:val="20"/>
              </w:rPr>
              <w:t>126</w:t>
            </w:r>
          </w:p>
        </w:tc>
        <w:tc>
          <w:tcPr>
            <w:tcW w:w="696" w:type="dxa"/>
            <w:shd w:val="clear" w:color="auto" w:fill="F2F2F2" w:themeFill="background2" w:themeFillTint="33"/>
            <w:tcMar>
              <w:top w:w="28" w:type="dxa"/>
              <w:left w:w="57" w:type="dxa"/>
              <w:bottom w:w="28" w:type="dxa"/>
              <w:right w:w="57" w:type="dxa"/>
            </w:tcMar>
            <w:vAlign w:val="center"/>
          </w:tcPr>
          <w:p w14:paraId="67E5B6C2">
            <w:pPr>
              <w:overflowPunct w:val="0"/>
              <w:autoSpaceDE w:val="0"/>
              <w:autoSpaceDN w:val="0"/>
              <w:adjustRightInd w:val="0"/>
              <w:snapToGrid w:val="0"/>
              <w:jc w:val="center"/>
              <w:rPr>
                <w:rFonts w:eastAsia="宋体"/>
                <w:b/>
                <w:bCs/>
                <w:sz w:val="20"/>
                <w:szCs w:val="20"/>
              </w:rPr>
            </w:pPr>
            <w:r>
              <w:rPr>
                <w:b/>
                <w:bCs/>
                <w:sz w:val="20"/>
                <w:szCs w:val="20"/>
              </w:rPr>
              <w:t>140</w:t>
            </w:r>
          </w:p>
        </w:tc>
        <w:tc>
          <w:tcPr>
            <w:tcW w:w="704" w:type="dxa"/>
            <w:shd w:val="clear" w:color="auto" w:fill="F2F2F2" w:themeFill="background2" w:themeFillTint="33"/>
            <w:tcMar>
              <w:top w:w="28" w:type="dxa"/>
              <w:left w:w="57" w:type="dxa"/>
              <w:bottom w:w="28" w:type="dxa"/>
              <w:right w:w="57" w:type="dxa"/>
            </w:tcMar>
            <w:vAlign w:val="center"/>
          </w:tcPr>
          <w:p w14:paraId="72A117A6">
            <w:pPr>
              <w:overflowPunct w:val="0"/>
              <w:autoSpaceDE w:val="0"/>
              <w:autoSpaceDN w:val="0"/>
              <w:adjustRightInd w:val="0"/>
              <w:snapToGrid w:val="0"/>
              <w:jc w:val="center"/>
              <w:rPr>
                <w:rFonts w:eastAsia="宋体"/>
                <w:b/>
                <w:bCs/>
                <w:sz w:val="20"/>
                <w:szCs w:val="20"/>
              </w:rPr>
            </w:pPr>
            <w:r>
              <w:rPr>
                <w:b/>
                <w:bCs/>
                <w:sz w:val="20"/>
                <w:szCs w:val="20"/>
              </w:rPr>
              <w:t>154</w:t>
            </w:r>
          </w:p>
        </w:tc>
      </w:tr>
      <w:tr w14:paraId="376DD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697" w:type="dxa"/>
            <w:shd w:val="clear" w:color="auto" w:fill="F2F2F2" w:themeFill="background2" w:themeFillTint="33"/>
            <w:tcMar>
              <w:top w:w="28" w:type="dxa"/>
              <w:left w:w="57" w:type="dxa"/>
              <w:bottom w:w="28" w:type="dxa"/>
              <w:right w:w="57" w:type="dxa"/>
            </w:tcMar>
            <w:vAlign w:val="center"/>
          </w:tcPr>
          <w:p w14:paraId="2F481403">
            <w:pPr>
              <w:overflowPunct w:val="0"/>
              <w:autoSpaceDE w:val="0"/>
              <w:autoSpaceDN w:val="0"/>
              <w:adjustRightInd w:val="0"/>
              <w:snapToGrid w:val="0"/>
              <w:jc w:val="center"/>
              <w:rPr>
                <w:rFonts w:eastAsia="宋体"/>
                <w:sz w:val="20"/>
                <w:szCs w:val="20"/>
              </w:rPr>
            </w:pPr>
            <w:r>
              <w:rPr>
                <w:sz w:val="20"/>
                <w:szCs w:val="20"/>
              </w:rPr>
              <w:t>B-1</w:t>
            </w:r>
          </w:p>
        </w:tc>
        <w:tc>
          <w:tcPr>
            <w:tcW w:w="697" w:type="dxa"/>
            <w:shd w:val="clear" w:color="auto" w:fill="auto"/>
            <w:tcMar>
              <w:top w:w="28" w:type="dxa"/>
              <w:left w:w="57" w:type="dxa"/>
              <w:bottom w:w="28" w:type="dxa"/>
              <w:right w:w="57" w:type="dxa"/>
            </w:tcMar>
            <w:vAlign w:val="center"/>
          </w:tcPr>
          <w:p w14:paraId="7B347B45">
            <w:pPr>
              <w:overflowPunct w:val="0"/>
              <w:autoSpaceDE w:val="0"/>
              <w:autoSpaceDN w:val="0"/>
              <w:adjustRightInd w:val="0"/>
              <w:snapToGrid w:val="0"/>
              <w:jc w:val="center"/>
              <w:rPr>
                <w:rFonts w:eastAsia="宋体"/>
                <w:sz w:val="20"/>
                <w:szCs w:val="20"/>
              </w:rPr>
            </w:pPr>
            <w:r>
              <w:rPr>
                <w:sz w:val="20"/>
                <w:szCs w:val="20"/>
              </w:rPr>
              <w:t>1 mg</w:t>
            </w:r>
          </w:p>
        </w:tc>
        <w:tc>
          <w:tcPr>
            <w:tcW w:w="698" w:type="dxa"/>
            <w:shd w:val="clear" w:color="auto" w:fill="auto"/>
            <w:tcMar>
              <w:top w:w="28" w:type="dxa"/>
              <w:left w:w="57" w:type="dxa"/>
              <w:bottom w:w="28" w:type="dxa"/>
              <w:right w:w="57" w:type="dxa"/>
            </w:tcMar>
            <w:vAlign w:val="center"/>
          </w:tcPr>
          <w:p w14:paraId="276A1183">
            <w:pPr>
              <w:overflowPunct w:val="0"/>
              <w:autoSpaceDE w:val="0"/>
              <w:autoSpaceDN w:val="0"/>
              <w:adjustRightInd w:val="0"/>
              <w:snapToGrid w:val="0"/>
              <w:jc w:val="center"/>
              <w:rPr>
                <w:rFonts w:eastAsia="宋体"/>
                <w:sz w:val="20"/>
                <w:szCs w:val="20"/>
              </w:rPr>
            </w:pPr>
            <w:r>
              <w:rPr>
                <w:sz w:val="20"/>
                <w:szCs w:val="20"/>
              </w:rPr>
              <w:t>1 mg</w:t>
            </w:r>
          </w:p>
        </w:tc>
        <w:tc>
          <w:tcPr>
            <w:tcW w:w="696" w:type="dxa"/>
            <w:shd w:val="clear" w:color="auto" w:fill="auto"/>
            <w:tcMar>
              <w:top w:w="28" w:type="dxa"/>
              <w:left w:w="57" w:type="dxa"/>
              <w:bottom w:w="28" w:type="dxa"/>
              <w:right w:w="57" w:type="dxa"/>
            </w:tcMar>
            <w:vAlign w:val="center"/>
          </w:tcPr>
          <w:p w14:paraId="2B2E836A">
            <w:pPr>
              <w:overflowPunct w:val="0"/>
              <w:autoSpaceDE w:val="0"/>
              <w:autoSpaceDN w:val="0"/>
              <w:adjustRightInd w:val="0"/>
              <w:snapToGrid w:val="0"/>
              <w:jc w:val="center"/>
              <w:rPr>
                <w:rFonts w:eastAsia="宋体"/>
                <w:sz w:val="20"/>
                <w:szCs w:val="20"/>
              </w:rPr>
            </w:pPr>
            <w:r>
              <w:rPr>
                <w:sz w:val="20"/>
                <w:szCs w:val="20"/>
              </w:rPr>
              <w:t>3 mg</w:t>
            </w:r>
          </w:p>
        </w:tc>
        <w:tc>
          <w:tcPr>
            <w:tcW w:w="696" w:type="dxa"/>
            <w:shd w:val="clear" w:color="auto" w:fill="auto"/>
            <w:tcMar>
              <w:top w:w="28" w:type="dxa"/>
              <w:left w:w="57" w:type="dxa"/>
              <w:bottom w:w="28" w:type="dxa"/>
              <w:right w:w="57" w:type="dxa"/>
            </w:tcMar>
            <w:vAlign w:val="center"/>
          </w:tcPr>
          <w:p w14:paraId="32745585">
            <w:pPr>
              <w:overflowPunct w:val="0"/>
              <w:autoSpaceDE w:val="0"/>
              <w:autoSpaceDN w:val="0"/>
              <w:adjustRightInd w:val="0"/>
              <w:snapToGrid w:val="0"/>
              <w:jc w:val="center"/>
              <w:rPr>
                <w:rFonts w:eastAsia="宋体"/>
                <w:sz w:val="20"/>
                <w:szCs w:val="20"/>
              </w:rPr>
            </w:pPr>
            <w:r>
              <w:rPr>
                <w:sz w:val="20"/>
                <w:szCs w:val="20"/>
              </w:rPr>
              <w:t>3 mg</w:t>
            </w:r>
          </w:p>
        </w:tc>
        <w:tc>
          <w:tcPr>
            <w:tcW w:w="698" w:type="dxa"/>
            <w:shd w:val="clear" w:color="auto" w:fill="auto"/>
            <w:tcMar>
              <w:top w:w="28" w:type="dxa"/>
              <w:left w:w="57" w:type="dxa"/>
              <w:bottom w:w="28" w:type="dxa"/>
              <w:right w:w="57" w:type="dxa"/>
            </w:tcMar>
            <w:vAlign w:val="center"/>
          </w:tcPr>
          <w:p w14:paraId="3401AB41">
            <w:pPr>
              <w:overflowPunct w:val="0"/>
              <w:autoSpaceDE w:val="0"/>
              <w:autoSpaceDN w:val="0"/>
              <w:adjustRightInd w:val="0"/>
              <w:snapToGrid w:val="0"/>
              <w:jc w:val="center"/>
              <w:rPr>
                <w:rFonts w:eastAsia="宋体"/>
                <w:sz w:val="20"/>
                <w:szCs w:val="20"/>
              </w:rPr>
            </w:pPr>
            <w:r>
              <w:rPr>
                <w:sz w:val="20"/>
                <w:szCs w:val="20"/>
              </w:rPr>
              <w:t>5 mg</w:t>
            </w:r>
          </w:p>
        </w:tc>
        <w:tc>
          <w:tcPr>
            <w:tcW w:w="696" w:type="dxa"/>
            <w:shd w:val="clear" w:color="auto" w:fill="auto"/>
            <w:tcMar>
              <w:top w:w="28" w:type="dxa"/>
              <w:left w:w="57" w:type="dxa"/>
              <w:bottom w:w="28" w:type="dxa"/>
              <w:right w:w="57" w:type="dxa"/>
            </w:tcMar>
            <w:vAlign w:val="center"/>
          </w:tcPr>
          <w:p w14:paraId="3F13B195">
            <w:pPr>
              <w:overflowPunct w:val="0"/>
              <w:autoSpaceDE w:val="0"/>
              <w:autoSpaceDN w:val="0"/>
              <w:adjustRightInd w:val="0"/>
              <w:snapToGrid w:val="0"/>
              <w:jc w:val="center"/>
              <w:rPr>
                <w:rFonts w:eastAsia="宋体"/>
                <w:sz w:val="20"/>
                <w:szCs w:val="20"/>
              </w:rPr>
            </w:pPr>
            <w:r>
              <w:rPr>
                <w:sz w:val="20"/>
                <w:szCs w:val="20"/>
              </w:rPr>
              <w:t>5 mg</w:t>
            </w:r>
          </w:p>
        </w:tc>
        <w:tc>
          <w:tcPr>
            <w:tcW w:w="698" w:type="dxa"/>
            <w:shd w:val="clear" w:color="auto" w:fill="auto"/>
            <w:tcMar>
              <w:top w:w="28" w:type="dxa"/>
              <w:left w:w="57" w:type="dxa"/>
              <w:bottom w:w="28" w:type="dxa"/>
              <w:right w:w="57" w:type="dxa"/>
            </w:tcMar>
            <w:vAlign w:val="center"/>
          </w:tcPr>
          <w:p w14:paraId="71907A37">
            <w:pPr>
              <w:overflowPunct w:val="0"/>
              <w:autoSpaceDE w:val="0"/>
              <w:autoSpaceDN w:val="0"/>
              <w:adjustRightInd w:val="0"/>
              <w:snapToGrid w:val="0"/>
              <w:jc w:val="center"/>
              <w:rPr>
                <w:rFonts w:eastAsia="宋体"/>
                <w:sz w:val="20"/>
                <w:szCs w:val="20"/>
              </w:rPr>
            </w:pPr>
            <w:r>
              <w:rPr>
                <w:sz w:val="20"/>
                <w:szCs w:val="20"/>
              </w:rPr>
              <w:t>7 mg</w:t>
            </w:r>
          </w:p>
        </w:tc>
        <w:tc>
          <w:tcPr>
            <w:tcW w:w="696" w:type="dxa"/>
            <w:shd w:val="clear" w:color="auto" w:fill="auto"/>
            <w:tcMar>
              <w:top w:w="28" w:type="dxa"/>
              <w:left w:w="57" w:type="dxa"/>
              <w:bottom w:w="28" w:type="dxa"/>
              <w:right w:w="57" w:type="dxa"/>
            </w:tcMar>
            <w:vAlign w:val="center"/>
          </w:tcPr>
          <w:p w14:paraId="4EAD8F0F">
            <w:pPr>
              <w:overflowPunct w:val="0"/>
              <w:autoSpaceDE w:val="0"/>
              <w:autoSpaceDN w:val="0"/>
              <w:adjustRightInd w:val="0"/>
              <w:snapToGrid w:val="0"/>
              <w:jc w:val="center"/>
              <w:rPr>
                <w:rFonts w:eastAsia="宋体"/>
                <w:sz w:val="20"/>
                <w:szCs w:val="20"/>
              </w:rPr>
            </w:pPr>
            <w:r>
              <w:rPr>
                <w:sz w:val="20"/>
                <w:szCs w:val="20"/>
              </w:rPr>
              <w:t>7 mg</w:t>
            </w:r>
          </w:p>
        </w:tc>
        <w:tc>
          <w:tcPr>
            <w:tcW w:w="696" w:type="dxa"/>
            <w:shd w:val="clear" w:color="auto" w:fill="A5A5A5" w:themeFill="background1" w:themeFillShade="A6"/>
            <w:tcMar>
              <w:top w:w="28" w:type="dxa"/>
              <w:left w:w="57" w:type="dxa"/>
              <w:bottom w:w="28" w:type="dxa"/>
              <w:right w:w="57" w:type="dxa"/>
            </w:tcMar>
            <w:vAlign w:val="center"/>
          </w:tcPr>
          <w:p w14:paraId="73560EAF">
            <w:pPr>
              <w:overflowPunct w:val="0"/>
              <w:autoSpaceDE w:val="0"/>
              <w:autoSpaceDN w:val="0"/>
              <w:adjustRightInd w:val="0"/>
              <w:snapToGrid w:val="0"/>
              <w:jc w:val="center"/>
              <w:rPr>
                <w:rFonts w:eastAsia="宋体"/>
                <w:sz w:val="20"/>
                <w:szCs w:val="20"/>
              </w:rPr>
            </w:pPr>
            <w:r>
              <w:rPr>
                <w:sz w:val="20"/>
                <w:szCs w:val="20"/>
              </w:rPr>
              <w:t>9 mg</w:t>
            </w:r>
          </w:p>
        </w:tc>
        <w:tc>
          <w:tcPr>
            <w:tcW w:w="698" w:type="dxa"/>
            <w:shd w:val="clear" w:color="auto" w:fill="A5A5A5" w:themeFill="background1" w:themeFillShade="A6"/>
            <w:tcMar>
              <w:top w:w="28" w:type="dxa"/>
              <w:left w:w="57" w:type="dxa"/>
              <w:bottom w:w="28" w:type="dxa"/>
              <w:right w:w="57" w:type="dxa"/>
            </w:tcMar>
            <w:vAlign w:val="center"/>
          </w:tcPr>
          <w:p w14:paraId="477E406B">
            <w:pPr>
              <w:overflowPunct w:val="0"/>
              <w:autoSpaceDE w:val="0"/>
              <w:autoSpaceDN w:val="0"/>
              <w:adjustRightInd w:val="0"/>
              <w:snapToGrid w:val="0"/>
              <w:jc w:val="center"/>
              <w:rPr>
                <w:rFonts w:eastAsia="宋体"/>
                <w:sz w:val="20"/>
                <w:szCs w:val="20"/>
              </w:rPr>
            </w:pPr>
            <w:r>
              <w:rPr>
                <w:sz w:val="20"/>
                <w:szCs w:val="20"/>
              </w:rPr>
              <w:t>9 mg</w:t>
            </w:r>
          </w:p>
        </w:tc>
        <w:tc>
          <w:tcPr>
            <w:tcW w:w="696" w:type="dxa"/>
            <w:shd w:val="clear" w:color="auto" w:fill="A5A5A5" w:themeFill="background1" w:themeFillShade="A6"/>
            <w:tcMar>
              <w:top w:w="28" w:type="dxa"/>
              <w:left w:w="57" w:type="dxa"/>
              <w:bottom w:w="28" w:type="dxa"/>
              <w:right w:w="57" w:type="dxa"/>
            </w:tcMar>
            <w:vAlign w:val="center"/>
          </w:tcPr>
          <w:p w14:paraId="517A11A0">
            <w:pPr>
              <w:overflowPunct w:val="0"/>
              <w:autoSpaceDE w:val="0"/>
              <w:autoSpaceDN w:val="0"/>
              <w:adjustRightInd w:val="0"/>
              <w:snapToGrid w:val="0"/>
              <w:jc w:val="center"/>
              <w:rPr>
                <w:rFonts w:eastAsia="宋体"/>
                <w:sz w:val="20"/>
                <w:szCs w:val="20"/>
              </w:rPr>
            </w:pPr>
            <w:r>
              <w:rPr>
                <w:sz w:val="20"/>
                <w:szCs w:val="20"/>
              </w:rPr>
              <w:t>9 mg</w:t>
            </w:r>
          </w:p>
        </w:tc>
        <w:tc>
          <w:tcPr>
            <w:tcW w:w="704" w:type="dxa"/>
            <w:shd w:val="clear" w:color="auto" w:fill="A5A5A5" w:themeFill="background1" w:themeFillShade="A6"/>
            <w:tcMar>
              <w:top w:w="28" w:type="dxa"/>
              <w:left w:w="57" w:type="dxa"/>
              <w:bottom w:w="28" w:type="dxa"/>
              <w:right w:w="57" w:type="dxa"/>
            </w:tcMar>
            <w:vAlign w:val="center"/>
          </w:tcPr>
          <w:p w14:paraId="53030F46">
            <w:pPr>
              <w:overflowPunct w:val="0"/>
              <w:autoSpaceDE w:val="0"/>
              <w:autoSpaceDN w:val="0"/>
              <w:adjustRightInd w:val="0"/>
              <w:snapToGrid w:val="0"/>
              <w:jc w:val="center"/>
              <w:rPr>
                <w:rFonts w:eastAsia="宋体"/>
                <w:sz w:val="20"/>
                <w:szCs w:val="20"/>
              </w:rPr>
            </w:pPr>
            <w:r>
              <w:rPr>
                <w:sz w:val="20"/>
                <w:szCs w:val="20"/>
              </w:rPr>
              <w:t>9 mg</w:t>
            </w:r>
          </w:p>
        </w:tc>
      </w:tr>
      <w:tr w14:paraId="7DF97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697" w:type="dxa"/>
            <w:shd w:val="clear" w:color="auto" w:fill="F2F2F2" w:themeFill="background2" w:themeFillTint="33"/>
            <w:tcMar>
              <w:top w:w="28" w:type="dxa"/>
              <w:left w:w="57" w:type="dxa"/>
              <w:bottom w:w="28" w:type="dxa"/>
              <w:right w:w="57" w:type="dxa"/>
            </w:tcMar>
            <w:vAlign w:val="center"/>
          </w:tcPr>
          <w:p w14:paraId="6B5A1E55">
            <w:pPr>
              <w:overflowPunct w:val="0"/>
              <w:autoSpaceDE w:val="0"/>
              <w:autoSpaceDN w:val="0"/>
              <w:adjustRightInd w:val="0"/>
              <w:snapToGrid w:val="0"/>
              <w:jc w:val="center"/>
              <w:rPr>
                <w:rFonts w:eastAsia="宋体"/>
                <w:sz w:val="20"/>
                <w:szCs w:val="20"/>
              </w:rPr>
            </w:pPr>
            <w:r>
              <w:rPr>
                <w:sz w:val="20"/>
                <w:szCs w:val="20"/>
              </w:rPr>
              <w:t>B-2</w:t>
            </w:r>
          </w:p>
        </w:tc>
        <w:tc>
          <w:tcPr>
            <w:tcW w:w="5575" w:type="dxa"/>
            <w:gridSpan w:val="8"/>
            <w:shd w:val="clear" w:color="auto" w:fill="auto"/>
            <w:tcMar>
              <w:top w:w="28" w:type="dxa"/>
              <w:left w:w="57" w:type="dxa"/>
              <w:bottom w:w="28" w:type="dxa"/>
              <w:right w:w="57" w:type="dxa"/>
            </w:tcMar>
            <w:vAlign w:val="center"/>
          </w:tcPr>
          <w:p w14:paraId="6B71E87B">
            <w:pPr>
              <w:overflowPunct w:val="0"/>
              <w:autoSpaceDE w:val="0"/>
              <w:autoSpaceDN w:val="0"/>
              <w:adjustRightInd w:val="0"/>
              <w:snapToGrid w:val="0"/>
              <w:jc w:val="center"/>
              <w:rPr>
                <w:rFonts w:eastAsia="宋体"/>
                <w:sz w:val="20"/>
                <w:szCs w:val="20"/>
              </w:rPr>
            </w:pPr>
            <w:r>
              <w:rPr>
                <w:sz w:val="20"/>
                <w:szCs w:val="20"/>
              </w:rPr>
              <w:t>Titration from low dose to 9 mg</w:t>
            </w:r>
          </w:p>
        </w:tc>
        <w:tc>
          <w:tcPr>
            <w:tcW w:w="696" w:type="dxa"/>
            <w:shd w:val="clear" w:color="auto" w:fill="A5A5A5" w:themeFill="background1" w:themeFillShade="A6"/>
            <w:tcMar>
              <w:top w:w="28" w:type="dxa"/>
              <w:left w:w="57" w:type="dxa"/>
              <w:bottom w:w="28" w:type="dxa"/>
              <w:right w:w="57" w:type="dxa"/>
            </w:tcMar>
            <w:vAlign w:val="center"/>
          </w:tcPr>
          <w:p w14:paraId="0BF0A488">
            <w:pPr>
              <w:overflowPunct w:val="0"/>
              <w:autoSpaceDE w:val="0"/>
              <w:autoSpaceDN w:val="0"/>
              <w:adjustRightInd w:val="0"/>
              <w:snapToGrid w:val="0"/>
              <w:jc w:val="center"/>
              <w:rPr>
                <w:rFonts w:eastAsia="宋体"/>
                <w:sz w:val="20"/>
                <w:szCs w:val="20"/>
              </w:rPr>
            </w:pPr>
            <w:r>
              <w:rPr>
                <w:sz w:val="20"/>
                <w:szCs w:val="20"/>
              </w:rPr>
              <w:t>X</w:t>
            </w:r>
            <w:r>
              <w:rPr>
                <w:sz w:val="20"/>
                <w:szCs w:val="20"/>
                <w:vertAlign w:val="subscript"/>
              </w:rPr>
              <w:t>1</w:t>
            </w:r>
            <w:r>
              <w:rPr>
                <w:sz w:val="20"/>
                <w:szCs w:val="20"/>
              </w:rPr>
              <w:t xml:space="preserve"> mg</w:t>
            </w:r>
          </w:p>
        </w:tc>
        <w:tc>
          <w:tcPr>
            <w:tcW w:w="698" w:type="dxa"/>
            <w:shd w:val="clear" w:color="auto" w:fill="A5A5A5" w:themeFill="background1" w:themeFillShade="A6"/>
            <w:tcMar>
              <w:top w:w="28" w:type="dxa"/>
              <w:left w:w="57" w:type="dxa"/>
              <w:bottom w:w="28" w:type="dxa"/>
              <w:right w:w="57" w:type="dxa"/>
            </w:tcMar>
            <w:vAlign w:val="center"/>
          </w:tcPr>
          <w:p w14:paraId="29E4B3F9">
            <w:pPr>
              <w:overflowPunct w:val="0"/>
              <w:autoSpaceDE w:val="0"/>
              <w:autoSpaceDN w:val="0"/>
              <w:adjustRightInd w:val="0"/>
              <w:snapToGrid w:val="0"/>
              <w:jc w:val="center"/>
              <w:rPr>
                <w:rFonts w:eastAsia="宋体"/>
                <w:sz w:val="20"/>
                <w:szCs w:val="20"/>
              </w:rPr>
            </w:pPr>
            <w:r>
              <w:rPr>
                <w:sz w:val="20"/>
                <w:szCs w:val="20"/>
              </w:rPr>
              <w:t>X</w:t>
            </w:r>
            <w:r>
              <w:rPr>
                <w:sz w:val="20"/>
                <w:szCs w:val="20"/>
                <w:vertAlign w:val="subscript"/>
              </w:rPr>
              <w:t>1</w:t>
            </w:r>
            <w:r>
              <w:rPr>
                <w:sz w:val="20"/>
                <w:szCs w:val="20"/>
              </w:rPr>
              <w:t xml:space="preserve"> mg</w:t>
            </w:r>
          </w:p>
        </w:tc>
        <w:tc>
          <w:tcPr>
            <w:tcW w:w="696" w:type="dxa"/>
            <w:shd w:val="clear" w:color="auto" w:fill="A5A5A5" w:themeFill="background1" w:themeFillShade="A6"/>
            <w:tcMar>
              <w:top w:w="28" w:type="dxa"/>
              <w:left w:w="57" w:type="dxa"/>
              <w:bottom w:w="28" w:type="dxa"/>
              <w:right w:w="57" w:type="dxa"/>
            </w:tcMar>
            <w:vAlign w:val="center"/>
          </w:tcPr>
          <w:p w14:paraId="45D924A2">
            <w:pPr>
              <w:overflowPunct w:val="0"/>
              <w:autoSpaceDE w:val="0"/>
              <w:autoSpaceDN w:val="0"/>
              <w:adjustRightInd w:val="0"/>
              <w:snapToGrid w:val="0"/>
              <w:jc w:val="center"/>
              <w:rPr>
                <w:rFonts w:eastAsia="宋体"/>
                <w:sz w:val="20"/>
                <w:szCs w:val="20"/>
              </w:rPr>
            </w:pPr>
            <w:r>
              <w:rPr>
                <w:sz w:val="20"/>
                <w:szCs w:val="20"/>
              </w:rPr>
              <w:t>X</w:t>
            </w:r>
            <w:r>
              <w:rPr>
                <w:sz w:val="20"/>
                <w:szCs w:val="20"/>
                <w:vertAlign w:val="subscript"/>
              </w:rPr>
              <w:t>1</w:t>
            </w:r>
            <w:r>
              <w:rPr>
                <w:sz w:val="20"/>
                <w:szCs w:val="20"/>
              </w:rPr>
              <w:t xml:space="preserve"> mg</w:t>
            </w:r>
          </w:p>
        </w:tc>
        <w:tc>
          <w:tcPr>
            <w:tcW w:w="704" w:type="dxa"/>
            <w:shd w:val="clear" w:color="auto" w:fill="A5A5A5" w:themeFill="background1" w:themeFillShade="A6"/>
            <w:tcMar>
              <w:top w:w="28" w:type="dxa"/>
              <w:left w:w="57" w:type="dxa"/>
              <w:bottom w:w="28" w:type="dxa"/>
              <w:right w:w="57" w:type="dxa"/>
            </w:tcMar>
            <w:vAlign w:val="center"/>
          </w:tcPr>
          <w:p w14:paraId="365F3823">
            <w:pPr>
              <w:overflowPunct w:val="0"/>
              <w:autoSpaceDE w:val="0"/>
              <w:autoSpaceDN w:val="0"/>
              <w:adjustRightInd w:val="0"/>
              <w:snapToGrid w:val="0"/>
              <w:jc w:val="center"/>
              <w:rPr>
                <w:rFonts w:eastAsia="宋体"/>
                <w:sz w:val="20"/>
                <w:szCs w:val="20"/>
              </w:rPr>
            </w:pPr>
            <w:r>
              <w:rPr>
                <w:sz w:val="20"/>
                <w:szCs w:val="20"/>
              </w:rPr>
              <w:t>X</w:t>
            </w:r>
            <w:r>
              <w:rPr>
                <w:sz w:val="20"/>
                <w:szCs w:val="20"/>
                <w:vertAlign w:val="subscript"/>
              </w:rPr>
              <w:t>1</w:t>
            </w:r>
            <w:r>
              <w:rPr>
                <w:sz w:val="20"/>
                <w:szCs w:val="20"/>
              </w:rPr>
              <w:t xml:space="preserve"> mg</w:t>
            </w:r>
          </w:p>
        </w:tc>
      </w:tr>
      <w:tr w14:paraId="542A2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697" w:type="dxa"/>
            <w:shd w:val="clear" w:color="auto" w:fill="F2F2F2" w:themeFill="background2" w:themeFillTint="33"/>
            <w:tcMar>
              <w:top w:w="28" w:type="dxa"/>
              <w:left w:w="57" w:type="dxa"/>
              <w:bottom w:w="28" w:type="dxa"/>
              <w:right w:w="57" w:type="dxa"/>
            </w:tcMar>
            <w:vAlign w:val="center"/>
          </w:tcPr>
          <w:p w14:paraId="7F3AE6B7">
            <w:pPr>
              <w:overflowPunct w:val="0"/>
              <w:autoSpaceDE w:val="0"/>
              <w:autoSpaceDN w:val="0"/>
              <w:adjustRightInd w:val="0"/>
              <w:snapToGrid w:val="0"/>
              <w:jc w:val="center"/>
              <w:rPr>
                <w:rFonts w:eastAsia="宋体"/>
                <w:sz w:val="20"/>
                <w:szCs w:val="20"/>
              </w:rPr>
            </w:pPr>
            <w:r>
              <w:rPr>
                <w:sz w:val="20"/>
                <w:szCs w:val="20"/>
              </w:rPr>
              <w:t>B-3</w:t>
            </w:r>
          </w:p>
        </w:tc>
        <w:tc>
          <w:tcPr>
            <w:tcW w:w="5575" w:type="dxa"/>
            <w:gridSpan w:val="8"/>
            <w:shd w:val="clear" w:color="auto" w:fill="auto"/>
            <w:tcMar>
              <w:top w:w="28" w:type="dxa"/>
              <w:left w:w="57" w:type="dxa"/>
              <w:bottom w:w="28" w:type="dxa"/>
              <w:right w:w="57" w:type="dxa"/>
            </w:tcMar>
            <w:vAlign w:val="center"/>
          </w:tcPr>
          <w:p w14:paraId="3EC96FFC">
            <w:pPr>
              <w:overflowPunct w:val="0"/>
              <w:autoSpaceDE w:val="0"/>
              <w:autoSpaceDN w:val="0"/>
              <w:adjustRightInd w:val="0"/>
              <w:snapToGrid w:val="0"/>
              <w:jc w:val="center"/>
              <w:rPr>
                <w:rFonts w:eastAsia="宋体"/>
                <w:sz w:val="20"/>
                <w:szCs w:val="20"/>
              </w:rPr>
            </w:pPr>
            <w:r>
              <w:rPr>
                <w:sz w:val="20"/>
                <w:szCs w:val="20"/>
              </w:rPr>
              <w:t>Titration from low dose to X</w:t>
            </w:r>
            <w:r>
              <w:rPr>
                <w:sz w:val="20"/>
                <w:szCs w:val="20"/>
                <w:vertAlign w:val="subscript"/>
              </w:rPr>
              <w:t>1</w:t>
            </w:r>
            <w:r>
              <w:rPr>
                <w:sz w:val="20"/>
                <w:szCs w:val="20"/>
              </w:rPr>
              <w:t xml:space="preserve"> mg</w:t>
            </w:r>
          </w:p>
        </w:tc>
        <w:tc>
          <w:tcPr>
            <w:tcW w:w="696" w:type="dxa"/>
            <w:shd w:val="clear" w:color="auto" w:fill="A5A5A5" w:themeFill="background1" w:themeFillShade="A6"/>
            <w:tcMar>
              <w:top w:w="28" w:type="dxa"/>
              <w:left w:w="57" w:type="dxa"/>
              <w:bottom w:w="28" w:type="dxa"/>
              <w:right w:w="57" w:type="dxa"/>
            </w:tcMar>
            <w:vAlign w:val="center"/>
          </w:tcPr>
          <w:p w14:paraId="50D9F794">
            <w:pPr>
              <w:overflowPunct w:val="0"/>
              <w:autoSpaceDE w:val="0"/>
              <w:autoSpaceDN w:val="0"/>
              <w:adjustRightInd w:val="0"/>
              <w:snapToGrid w:val="0"/>
              <w:jc w:val="center"/>
              <w:rPr>
                <w:rFonts w:eastAsia="宋体"/>
                <w:sz w:val="20"/>
                <w:szCs w:val="20"/>
              </w:rPr>
            </w:pPr>
            <w:r>
              <w:rPr>
                <w:sz w:val="20"/>
                <w:szCs w:val="20"/>
              </w:rPr>
              <w:t>X</w:t>
            </w:r>
            <w:r>
              <w:rPr>
                <w:sz w:val="20"/>
                <w:szCs w:val="20"/>
                <w:vertAlign w:val="subscript"/>
              </w:rPr>
              <w:t>2</w:t>
            </w:r>
            <w:r>
              <w:rPr>
                <w:sz w:val="20"/>
                <w:szCs w:val="20"/>
              </w:rPr>
              <w:t xml:space="preserve"> mg</w:t>
            </w:r>
          </w:p>
        </w:tc>
        <w:tc>
          <w:tcPr>
            <w:tcW w:w="698" w:type="dxa"/>
            <w:shd w:val="clear" w:color="auto" w:fill="A5A5A5" w:themeFill="background1" w:themeFillShade="A6"/>
            <w:tcMar>
              <w:top w:w="28" w:type="dxa"/>
              <w:left w:w="57" w:type="dxa"/>
              <w:bottom w:w="28" w:type="dxa"/>
              <w:right w:w="57" w:type="dxa"/>
            </w:tcMar>
            <w:vAlign w:val="center"/>
          </w:tcPr>
          <w:p w14:paraId="54FBCB38">
            <w:pPr>
              <w:overflowPunct w:val="0"/>
              <w:autoSpaceDE w:val="0"/>
              <w:autoSpaceDN w:val="0"/>
              <w:adjustRightInd w:val="0"/>
              <w:snapToGrid w:val="0"/>
              <w:jc w:val="center"/>
              <w:rPr>
                <w:rFonts w:eastAsia="宋体"/>
                <w:sz w:val="20"/>
                <w:szCs w:val="20"/>
              </w:rPr>
            </w:pPr>
            <w:r>
              <w:rPr>
                <w:sz w:val="20"/>
                <w:szCs w:val="20"/>
              </w:rPr>
              <w:t>X</w:t>
            </w:r>
            <w:r>
              <w:rPr>
                <w:sz w:val="20"/>
                <w:szCs w:val="20"/>
                <w:vertAlign w:val="subscript"/>
              </w:rPr>
              <w:t>2</w:t>
            </w:r>
            <w:r>
              <w:rPr>
                <w:sz w:val="20"/>
                <w:szCs w:val="20"/>
              </w:rPr>
              <w:t xml:space="preserve"> mg</w:t>
            </w:r>
          </w:p>
        </w:tc>
        <w:tc>
          <w:tcPr>
            <w:tcW w:w="696" w:type="dxa"/>
            <w:shd w:val="clear" w:color="auto" w:fill="A5A5A5" w:themeFill="background1" w:themeFillShade="A6"/>
            <w:tcMar>
              <w:top w:w="28" w:type="dxa"/>
              <w:left w:w="57" w:type="dxa"/>
              <w:bottom w:w="28" w:type="dxa"/>
              <w:right w:w="57" w:type="dxa"/>
            </w:tcMar>
            <w:vAlign w:val="center"/>
          </w:tcPr>
          <w:p w14:paraId="5AB0171B">
            <w:pPr>
              <w:overflowPunct w:val="0"/>
              <w:autoSpaceDE w:val="0"/>
              <w:autoSpaceDN w:val="0"/>
              <w:adjustRightInd w:val="0"/>
              <w:snapToGrid w:val="0"/>
              <w:jc w:val="center"/>
              <w:rPr>
                <w:rFonts w:eastAsia="宋体"/>
                <w:sz w:val="20"/>
                <w:szCs w:val="20"/>
              </w:rPr>
            </w:pPr>
            <w:r>
              <w:rPr>
                <w:sz w:val="20"/>
                <w:szCs w:val="20"/>
              </w:rPr>
              <w:t>X</w:t>
            </w:r>
            <w:r>
              <w:rPr>
                <w:sz w:val="20"/>
                <w:szCs w:val="20"/>
                <w:vertAlign w:val="subscript"/>
              </w:rPr>
              <w:t>2</w:t>
            </w:r>
            <w:r>
              <w:rPr>
                <w:sz w:val="20"/>
                <w:szCs w:val="20"/>
              </w:rPr>
              <w:t xml:space="preserve"> mg</w:t>
            </w:r>
          </w:p>
        </w:tc>
        <w:tc>
          <w:tcPr>
            <w:tcW w:w="704" w:type="dxa"/>
            <w:shd w:val="clear" w:color="auto" w:fill="A5A5A5" w:themeFill="background1" w:themeFillShade="A6"/>
            <w:tcMar>
              <w:top w:w="28" w:type="dxa"/>
              <w:left w:w="57" w:type="dxa"/>
              <w:bottom w:w="28" w:type="dxa"/>
              <w:right w:w="57" w:type="dxa"/>
            </w:tcMar>
            <w:vAlign w:val="center"/>
          </w:tcPr>
          <w:p w14:paraId="30735900">
            <w:pPr>
              <w:overflowPunct w:val="0"/>
              <w:autoSpaceDE w:val="0"/>
              <w:autoSpaceDN w:val="0"/>
              <w:adjustRightInd w:val="0"/>
              <w:snapToGrid w:val="0"/>
              <w:jc w:val="center"/>
              <w:rPr>
                <w:rFonts w:eastAsia="宋体"/>
                <w:sz w:val="20"/>
                <w:szCs w:val="20"/>
              </w:rPr>
            </w:pPr>
            <w:r>
              <w:rPr>
                <w:sz w:val="20"/>
                <w:szCs w:val="20"/>
              </w:rPr>
              <w:t>X</w:t>
            </w:r>
            <w:r>
              <w:rPr>
                <w:sz w:val="20"/>
                <w:szCs w:val="20"/>
                <w:vertAlign w:val="subscript"/>
              </w:rPr>
              <w:t>2</w:t>
            </w:r>
            <w:r>
              <w:rPr>
                <w:sz w:val="20"/>
                <w:szCs w:val="20"/>
              </w:rPr>
              <w:t xml:space="preserve"> mg</w:t>
            </w:r>
          </w:p>
        </w:tc>
      </w:tr>
      <w:tr w14:paraId="3556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9066" w:type="dxa"/>
            <w:gridSpan w:val="13"/>
            <w:tcBorders>
              <w:left w:val="nil"/>
              <w:bottom w:val="nil"/>
              <w:right w:val="nil"/>
            </w:tcBorders>
            <w:tcMar>
              <w:top w:w="28" w:type="dxa"/>
              <w:left w:w="57" w:type="dxa"/>
              <w:bottom w:w="28" w:type="dxa"/>
              <w:right w:w="57" w:type="dxa"/>
            </w:tcMar>
            <w:vAlign w:val="center"/>
          </w:tcPr>
          <w:p w14:paraId="24BE5885">
            <w:pPr>
              <w:overflowPunct w:val="0"/>
              <w:autoSpaceDE w:val="0"/>
              <w:autoSpaceDN w:val="0"/>
              <w:adjustRightInd w:val="0"/>
              <w:snapToGrid w:val="0"/>
              <w:rPr>
                <w:rFonts w:eastAsia="宋体"/>
                <w:sz w:val="20"/>
                <w:szCs w:val="20"/>
              </w:rPr>
            </w:pPr>
            <w:r>
              <w:rPr>
                <w:sz w:val="20"/>
                <w:szCs w:val="20"/>
              </w:rPr>
              <w:t>B-1: 9 mg group</w:t>
            </w:r>
          </w:p>
        </w:tc>
      </w:tr>
    </w:tbl>
    <w:p w14:paraId="4200251C">
      <w:pPr>
        <w:pStyle w:val="58"/>
        <w:keepNext/>
        <w:pageBreakBefore/>
        <w:numPr>
          <w:ilvl w:val="2"/>
          <w:numId w:val="33"/>
        </w:numPr>
        <w:overflowPunct w:val="0"/>
        <w:autoSpaceDE w:val="0"/>
        <w:autoSpaceDN w:val="0"/>
        <w:adjustRightInd w:val="0"/>
        <w:snapToGrid w:val="0"/>
        <w:spacing w:before="120" w:beforeLines="50" w:after="120" w:afterLines="50" w:line="300" w:lineRule="auto"/>
        <w:rPr>
          <w:b/>
          <w:bCs/>
          <w:color w:val="auto"/>
        </w:rPr>
      </w:pPr>
      <w:r>
        <w:rPr>
          <w:b/>
          <w:bCs/>
          <w:color w:val="auto"/>
        </w:rPr>
        <w:t>Expansion study</w:t>
      </w:r>
    </w:p>
    <w:p w14:paraId="43F88500">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If the target dose in the dose escalation study part is assessed as tolerable, the expansion study will be conducted with the corresponding target dose. The target dose and titration regimen are allowed to be adjusted and the target dose should not exceed the tolerated dose in the dose escalation study.</w:t>
      </w:r>
    </w:p>
    <w:p w14:paraId="5F8E2980">
      <w:pPr>
        <w:pStyle w:val="7"/>
      </w:pPr>
      <w:r>
        <w:t>Dose modification</w:t>
      </w:r>
    </w:p>
    <w:p w14:paraId="17A0DC08">
      <w:pPr>
        <w:pStyle w:val="58"/>
        <w:numPr>
          <w:ilvl w:val="0"/>
          <w:numId w:val="34"/>
        </w:numPr>
        <w:overflowPunct w:val="0"/>
        <w:autoSpaceDE w:val="0"/>
        <w:autoSpaceDN w:val="0"/>
        <w:adjustRightInd w:val="0"/>
        <w:snapToGrid w:val="0"/>
        <w:spacing w:before="120" w:beforeLines="50" w:after="120" w:afterLines="50" w:line="300" w:lineRule="auto"/>
        <w:ind w:left="426" w:hanging="426"/>
        <w:rPr>
          <w:b/>
          <w:color w:val="auto"/>
        </w:rPr>
      </w:pPr>
      <w:bookmarkStart w:id="224" w:name="_Hlk155195070"/>
      <w:r>
        <w:rPr>
          <w:b/>
          <w:color w:val="auto"/>
        </w:rPr>
        <w:t>Part A and Part B expansion study</w:t>
      </w:r>
      <w:bookmarkEnd w:id="224"/>
      <w:r>
        <w:rPr>
          <w:b/>
          <w:color w:val="auto"/>
        </w:rPr>
        <w:t>:</w:t>
      </w:r>
    </w:p>
    <w:p w14:paraId="5D8F6FE5">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For individual subjects in Part A and Part B expansion study, if intolerable gastrointestinal adverse reactions listed in the table below occur and persist before the next dose after symptomatic treatment (if applicable), titration dose escalation may be suspended (if applicable) or the dose will be reduced back to the previous lower dose after evaluation by the investigator. Subsequently, if circumstances permit, titration dose escalation may be performed again after evaluation by the investigator. Subsequent doses will be postponed according to the planned titration regimen.</w:t>
      </w:r>
    </w:p>
    <w:tbl>
      <w:tblPr>
        <w:tblStyle w:val="192"/>
        <w:tblW w:w="5000" w:type="pct"/>
        <w:tblInd w:w="0" w:type="dxa"/>
        <w:tblLayout w:type="autofit"/>
        <w:tblCellMar>
          <w:top w:w="28" w:type="dxa"/>
          <w:left w:w="57" w:type="dxa"/>
          <w:bottom w:w="28" w:type="dxa"/>
          <w:right w:w="57" w:type="dxa"/>
        </w:tblCellMar>
      </w:tblPr>
      <w:tblGrid>
        <w:gridCol w:w="2075"/>
        <w:gridCol w:w="7399"/>
      </w:tblGrid>
      <w:tr w14:paraId="467C65C8">
        <w:tblPrEx>
          <w:tblCellMar>
            <w:top w:w="28" w:type="dxa"/>
            <w:left w:w="57" w:type="dxa"/>
            <w:bottom w:w="28" w:type="dxa"/>
            <w:right w:w="57" w:type="dxa"/>
          </w:tblCellMar>
        </w:tblPrEx>
        <w:tc>
          <w:tcPr>
            <w:tcW w:w="1095" w:type="pct"/>
            <w:tcBorders>
              <w:top w:val="single" w:color="auto" w:sz="4" w:space="0"/>
              <w:bottom w:val="single" w:color="auto" w:sz="4" w:space="0"/>
            </w:tcBorders>
            <w:tcMar>
              <w:top w:w="28" w:type="dxa"/>
              <w:left w:w="57" w:type="dxa"/>
              <w:bottom w:w="28" w:type="dxa"/>
              <w:right w:w="57" w:type="dxa"/>
            </w:tcMar>
            <w:vAlign w:val="center"/>
          </w:tcPr>
          <w:p w14:paraId="5068F744">
            <w:pPr>
              <w:pStyle w:val="58"/>
              <w:overflowPunct w:val="0"/>
              <w:autoSpaceDE w:val="0"/>
              <w:autoSpaceDN w:val="0"/>
              <w:adjustRightInd w:val="0"/>
              <w:snapToGrid w:val="0"/>
              <w:spacing w:line="240" w:lineRule="auto"/>
              <w:ind w:firstLine="0"/>
              <w:jc w:val="left"/>
              <w:rPr>
                <w:b/>
                <w:bCs/>
                <w:color w:val="auto"/>
                <w:sz w:val="20"/>
                <w:szCs w:val="20"/>
              </w:rPr>
            </w:pPr>
            <w:r>
              <w:rPr>
                <w:b/>
                <w:bCs/>
                <w:color w:val="auto"/>
                <w:sz w:val="20"/>
                <w:szCs w:val="20"/>
              </w:rPr>
              <w:t>Gastrointestinal adverse reaction</w:t>
            </w:r>
          </w:p>
        </w:tc>
        <w:tc>
          <w:tcPr>
            <w:tcW w:w="3905" w:type="pct"/>
            <w:tcBorders>
              <w:top w:val="single" w:color="auto" w:sz="4" w:space="0"/>
              <w:bottom w:val="single" w:color="auto" w:sz="4" w:space="0"/>
            </w:tcBorders>
            <w:tcMar>
              <w:top w:w="28" w:type="dxa"/>
              <w:left w:w="57" w:type="dxa"/>
              <w:bottom w:w="28" w:type="dxa"/>
              <w:right w:w="57" w:type="dxa"/>
            </w:tcMar>
            <w:vAlign w:val="center"/>
          </w:tcPr>
          <w:p w14:paraId="65E2BD13">
            <w:pPr>
              <w:pStyle w:val="58"/>
              <w:overflowPunct w:val="0"/>
              <w:autoSpaceDE w:val="0"/>
              <w:autoSpaceDN w:val="0"/>
              <w:adjustRightInd w:val="0"/>
              <w:snapToGrid w:val="0"/>
              <w:spacing w:line="240" w:lineRule="auto"/>
              <w:ind w:firstLine="0"/>
              <w:jc w:val="left"/>
              <w:rPr>
                <w:b/>
                <w:bCs/>
                <w:color w:val="auto"/>
                <w:sz w:val="20"/>
                <w:szCs w:val="20"/>
              </w:rPr>
            </w:pPr>
            <w:r>
              <w:rPr>
                <w:b/>
                <w:bCs/>
                <w:color w:val="auto"/>
                <w:sz w:val="20"/>
                <w:szCs w:val="20"/>
              </w:rPr>
              <w:t>Circumstance allowing dose modification</w:t>
            </w:r>
          </w:p>
        </w:tc>
      </w:tr>
      <w:tr w14:paraId="1DD3717C">
        <w:tblPrEx>
          <w:tblCellMar>
            <w:top w:w="28" w:type="dxa"/>
            <w:left w:w="57" w:type="dxa"/>
            <w:bottom w:w="28" w:type="dxa"/>
            <w:right w:w="57" w:type="dxa"/>
          </w:tblCellMar>
        </w:tblPrEx>
        <w:tc>
          <w:tcPr>
            <w:tcW w:w="1095" w:type="pct"/>
            <w:tcBorders>
              <w:top w:val="single" w:color="auto" w:sz="4" w:space="0"/>
            </w:tcBorders>
            <w:shd w:val="clear" w:color="auto" w:fill="F1F1F1" w:themeFill="background1" w:themeFillShade="F2"/>
            <w:tcMar>
              <w:top w:w="28" w:type="dxa"/>
              <w:left w:w="57" w:type="dxa"/>
              <w:bottom w:w="28" w:type="dxa"/>
              <w:right w:w="57" w:type="dxa"/>
            </w:tcMar>
            <w:vAlign w:val="center"/>
          </w:tcPr>
          <w:p w14:paraId="2D59885E">
            <w:pPr>
              <w:pStyle w:val="58"/>
              <w:overflowPunct w:val="0"/>
              <w:autoSpaceDE w:val="0"/>
              <w:autoSpaceDN w:val="0"/>
              <w:adjustRightInd w:val="0"/>
              <w:snapToGrid w:val="0"/>
              <w:spacing w:line="240" w:lineRule="auto"/>
              <w:ind w:firstLine="35"/>
              <w:jc w:val="left"/>
              <w:rPr>
                <w:b/>
                <w:bCs/>
                <w:color w:val="auto"/>
                <w:sz w:val="20"/>
                <w:szCs w:val="20"/>
              </w:rPr>
            </w:pPr>
            <w:r>
              <w:rPr>
                <w:b/>
                <w:bCs/>
                <w:color w:val="auto"/>
                <w:sz w:val="20"/>
                <w:szCs w:val="20"/>
              </w:rPr>
              <w:t>Nausea</w:t>
            </w:r>
          </w:p>
        </w:tc>
        <w:tc>
          <w:tcPr>
            <w:tcW w:w="3905" w:type="pct"/>
            <w:tcBorders>
              <w:top w:val="single" w:color="auto" w:sz="4" w:space="0"/>
            </w:tcBorders>
            <w:shd w:val="clear" w:color="auto" w:fill="F1F1F1" w:themeFill="background1" w:themeFillShade="F2"/>
            <w:tcMar>
              <w:top w:w="28" w:type="dxa"/>
              <w:left w:w="57" w:type="dxa"/>
              <w:bottom w:w="28" w:type="dxa"/>
              <w:right w:w="57" w:type="dxa"/>
            </w:tcMar>
            <w:vAlign w:val="center"/>
          </w:tcPr>
          <w:p w14:paraId="5ED14867">
            <w:pPr>
              <w:pStyle w:val="58"/>
              <w:overflowPunct w:val="0"/>
              <w:autoSpaceDE w:val="0"/>
              <w:autoSpaceDN w:val="0"/>
              <w:adjustRightInd w:val="0"/>
              <w:snapToGrid w:val="0"/>
              <w:spacing w:line="240" w:lineRule="auto"/>
              <w:ind w:firstLine="0"/>
              <w:jc w:val="left"/>
              <w:rPr>
                <w:color w:val="auto"/>
                <w:sz w:val="20"/>
                <w:szCs w:val="20"/>
              </w:rPr>
            </w:pPr>
            <w:r>
              <w:rPr>
                <w:color w:val="auto"/>
                <w:sz w:val="20"/>
                <w:szCs w:val="20"/>
              </w:rPr>
              <w:t>Limited self-care activities of daily living; dehydration or malnutrition; total parenteral nutrition required.</w:t>
            </w:r>
          </w:p>
        </w:tc>
      </w:tr>
      <w:tr w14:paraId="1714F280">
        <w:tblPrEx>
          <w:tblCellMar>
            <w:top w:w="28" w:type="dxa"/>
            <w:left w:w="57" w:type="dxa"/>
            <w:bottom w:w="28" w:type="dxa"/>
            <w:right w:w="57" w:type="dxa"/>
          </w:tblCellMar>
        </w:tblPrEx>
        <w:tc>
          <w:tcPr>
            <w:tcW w:w="1095" w:type="pct"/>
            <w:tcMar>
              <w:top w:w="28" w:type="dxa"/>
              <w:left w:w="57" w:type="dxa"/>
              <w:bottom w:w="28" w:type="dxa"/>
              <w:right w:w="57" w:type="dxa"/>
            </w:tcMar>
            <w:vAlign w:val="center"/>
          </w:tcPr>
          <w:p w14:paraId="53B56242">
            <w:pPr>
              <w:pStyle w:val="58"/>
              <w:overflowPunct w:val="0"/>
              <w:autoSpaceDE w:val="0"/>
              <w:autoSpaceDN w:val="0"/>
              <w:adjustRightInd w:val="0"/>
              <w:snapToGrid w:val="0"/>
              <w:spacing w:line="240" w:lineRule="auto"/>
              <w:ind w:firstLine="35"/>
              <w:jc w:val="left"/>
              <w:rPr>
                <w:b/>
                <w:bCs/>
                <w:color w:val="auto"/>
                <w:sz w:val="20"/>
                <w:szCs w:val="20"/>
              </w:rPr>
            </w:pPr>
            <w:r>
              <w:rPr>
                <w:b/>
                <w:bCs/>
                <w:color w:val="auto"/>
                <w:sz w:val="20"/>
                <w:szCs w:val="20"/>
              </w:rPr>
              <w:t>Vomiting</w:t>
            </w:r>
          </w:p>
        </w:tc>
        <w:tc>
          <w:tcPr>
            <w:tcW w:w="3905" w:type="pct"/>
            <w:tcMar>
              <w:top w:w="28" w:type="dxa"/>
              <w:left w:w="57" w:type="dxa"/>
              <w:bottom w:w="28" w:type="dxa"/>
              <w:right w:w="57" w:type="dxa"/>
            </w:tcMar>
            <w:vAlign w:val="center"/>
          </w:tcPr>
          <w:p w14:paraId="7087715D">
            <w:pPr>
              <w:pStyle w:val="58"/>
              <w:overflowPunct w:val="0"/>
              <w:autoSpaceDE w:val="0"/>
              <w:autoSpaceDN w:val="0"/>
              <w:adjustRightInd w:val="0"/>
              <w:snapToGrid w:val="0"/>
              <w:spacing w:line="240" w:lineRule="auto"/>
              <w:ind w:firstLine="0"/>
              <w:jc w:val="left"/>
              <w:rPr>
                <w:color w:val="auto"/>
                <w:sz w:val="20"/>
                <w:szCs w:val="20"/>
              </w:rPr>
            </w:pPr>
            <w:r>
              <w:rPr>
                <w:color w:val="auto"/>
                <w:sz w:val="20"/>
                <w:szCs w:val="20"/>
              </w:rPr>
              <w:t>Limited self-care activities of daily living; dehydration or malnutrition; total parenteral nutrition required.</w:t>
            </w:r>
          </w:p>
        </w:tc>
      </w:tr>
      <w:tr w14:paraId="304D620C">
        <w:tblPrEx>
          <w:tblCellMar>
            <w:top w:w="28" w:type="dxa"/>
            <w:left w:w="57" w:type="dxa"/>
            <w:bottom w:w="28" w:type="dxa"/>
            <w:right w:w="57" w:type="dxa"/>
          </w:tblCellMar>
        </w:tblPrEx>
        <w:tc>
          <w:tcPr>
            <w:tcW w:w="1095" w:type="pct"/>
            <w:shd w:val="clear" w:color="auto" w:fill="F1F1F1" w:themeFill="background1" w:themeFillShade="F2"/>
            <w:tcMar>
              <w:top w:w="28" w:type="dxa"/>
              <w:left w:w="57" w:type="dxa"/>
              <w:bottom w:w="28" w:type="dxa"/>
              <w:right w:w="57" w:type="dxa"/>
            </w:tcMar>
            <w:vAlign w:val="center"/>
          </w:tcPr>
          <w:p w14:paraId="19A7D9C4">
            <w:pPr>
              <w:pStyle w:val="58"/>
              <w:overflowPunct w:val="0"/>
              <w:autoSpaceDE w:val="0"/>
              <w:autoSpaceDN w:val="0"/>
              <w:adjustRightInd w:val="0"/>
              <w:snapToGrid w:val="0"/>
              <w:spacing w:line="240" w:lineRule="auto"/>
              <w:ind w:firstLine="35"/>
              <w:jc w:val="left"/>
              <w:rPr>
                <w:b/>
                <w:bCs/>
                <w:color w:val="auto"/>
                <w:sz w:val="20"/>
                <w:szCs w:val="20"/>
              </w:rPr>
            </w:pPr>
            <w:r>
              <w:rPr>
                <w:b/>
                <w:bCs/>
                <w:color w:val="auto"/>
                <w:sz w:val="20"/>
                <w:szCs w:val="20"/>
              </w:rPr>
              <w:t>Diarrhea</w:t>
            </w:r>
          </w:p>
        </w:tc>
        <w:tc>
          <w:tcPr>
            <w:tcW w:w="3905" w:type="pct"/>
            <w:shd w:val="clear" w:color="auto" w:fill="F1F1F1" w:themeFill="background1" w:themeFillShade="F2"/>
            <w:tcMar>
              <w:top w:w="28" w:type="dxa"/>
              <w:left w:w="57" w:type="dxa"/>
              <w:bottom w:w="28" w:type="dxa"/>
              <w:right w:w="57" w:type="dxa"/>
            </w:tcMar>
            <w:vAlign w:val="center"/>
          </w:tcPr>
          <w:p w14:paraId="5759EFB2">
            <w:pPr>
              <w:pStyle w:val="58"/>
              <w:overflowPunct w:val="0"/>
              <w:autoSpaceDE w:val="0"/>
              <w:autoSpaceDN w:val="0"/>
              <w:adjustRightInd w:val="0"/>
              <w:snapToGrid w:val="0"/>
              <w:spacing w:line="240" w:lineRule="auto"/>
              <w:ind w:firstLine="0"/>
              <w:jc w:val="left"/>
              <w:rPr>
                <w:color w:val="auto"/>
                <w:sz w:val="20"/>
                <w:szCs w:val="20"/>
              </w:rPr>
            </w:pPr>
            <w:r>
              <w:rPr>
                <w:color w:val="auto"/>
                <w:sz w:val="20"/>
                <w:szCs w:val="20"/>
              </w:rPr>
              <w:t>Grade 3 (increase in bowel movement frequency from baseline ≥ 7 bowel movements per day) with limited self-care activities of daily living; dehydration or malnutrition; total parenteral nutrition required.</w:t>
            </w:r>
          </w:p>
        </w:tc>
      </w:tr>
      <w:tr w14:paraId="7EEB7A3B">
        <w:tblPrEx>
          <w:tblCellMar>
            <w:top w:w="28" w:type="dxa"/>
            <w:left w:w="57" w:type="dxa"/>
            <w:bottom w:w="28" w:type="dxa"/>
            <w:right w:w="57" w:type="dxa"/>
          </w:tblCellMar>
        </w:tblPrEx>
        <w:tc>
          <w:tcPr>
            <w:tcW w:w="1095" w:type="pct"/>
            <w:tcMar>
              <w:top w:w="28" w:type="dxa"/>
              <w:left w:w="57" w:type="dxa"/>
              <w:bottom w:w="28" w:type="dxa"/>
              <w:right w:w="57" w:type="dxa"/>
            </w:tcMar>
            <w:vAlign w:val="center"/>
          </w:tcPr>
          <w:p w14:paraId="23B72CCB">
            <w:pPr>
              <w:pStyle w:val="58"/>
              <w:overflowPunct w:val="0"/>
              <w:autoSpaceDE w:val="0"/>
              <w:autoSpaceDN w:val="0"/>
              <w:adjustRightInd w:val="0"/>
              <w:snapToGrid w:val="0"/>
              <w:spacing w:line="240" w:lineRule="auto"/>
              <w:ind w:firstLine="35"/>
              <w:jc w:val="left"/>
              <w:rPr>
                <w:b/>
                <w:bCs/>
                <w:color w:val="auto"/>
                <w:sz w:val="20"/>
                <w:szCs w:val="20"/>
              </w:rPr>
            </w:pPr>
            <w:r>
              <w:rPr>
                <w:b/>
                <w:bCs/>
                <w:color w:val="auto"/>
                <w:sz w:val="20"/>
                <w:szCs w:val="20"/>
              </w:rPr>
              <w:t>Abdominal distension</w:t>
            </w:r>
          </w:p>
        </w:tc>
        <w:tc>
          <w:tcPr>
            <w:tcW w:w="3905" w:type="pct"/>
            <w:tcMar>
              <w:top w:w="28" w:type="dxa"/>
              <w:left w:w="57" w:type="dxa"/>
              <w:bottom w:w="28" w:type="dxa"/>
              <w:right w:w="57" w:type="dxa"/>
            </w:tcMar>
            <w:vAlign w:val="center"/>
          </w:tcPr>
          <w:p w14:paraId="453E37B2">
            <w:pPr>
              <w:pStyle w:val="58"/>
              <w:overflowPunct w:val="0"/>
              <w:autoSpaceDE w:val="0"/>
              <w:autoSpaceDN w:val="0"/>
              <w:adjustRightInd w:val="0"/>
              <w:snapToGrid w:val="0"/>
              <w:spacing w:line="240" w:lineRule="auto"/>
              <w:ind w:firstLine="0"/>
              <w:jc w:val="left"/>
              <w:rPr>
                <w:color w:val="auto"/>
                <w:sz w:val="20"/>
                <w:szCs w:val="20"/>
              </w:rPr>
            </w:pPr>
            <w:r>
              <w:rPr>
                <w:color w:val="auto"/>
                <w:sz w:val="20"/>
                <w:szCs w:val="20"/>
              </w:rPr>
              <w:t>Extreme discomfort; limited self-care activities of daily living.</w:t>
            </w:r>
          </w:p>
        </w:tc>
      </w:tr>
      <w:tr w14:paraId="575F0752">
        <w:tblPrEx>
          <w:tblCellMar>
            <w:top w:w="28" w:type="dxa"/>
            <w:left w:w="57" w:type="dxa"/>
            <w:bottom w:w="28" w:type="dxa"/>
            <w:right w:w="57" w:type="dxa"/>
          </w:tblCellMar>
        </w:tblPrEx>
        <w:tc>
          <w:tcPr>
            <w:tcW w:w="1095" w:type="pct"/>
            <w:tcBorders>
              <w:bottom w:val="single" w:color="auto" w:sz="4" w:space="0"/>
            </w:tcBorders>
            <w:shd w:val="clear" w:color="auto" w:fill="F1F1F1" w:themeFill="background1" w:themeFillShade="F2"/>
            <w:tcMar>
              <w:top w:w="28" w:type="dxa"/>
              <w:left w:w="57" w:type="dxa"/>
              <w:bottom w:w="28" w:type="dxa"/>
              <w:right w:w="57" w:type="dxa"/>
            </w:tcMar>
            <w:vAlign w:val="center"/>
          </w:tcPr>
          <w:p w14:paraId="2ABD3015">
            <w:pPr>
              <w:pStyle w:val="58"/>
              <w:overflowPunct w:val="0"/>
              <w:autoSpaceDE w:val="0"/>
              <w:autoSpaceDN w:val="0"/>
              <w:adjustRightInd w:val="0"/>
              <w:snapToGrid w:val="0"/>
              <w:spacing w:line="240" w:lineRule="auto"/>
              <w:ind w:firstLine="35"/>
              <w:jc w:val="left"/>
              <w:rPr>
                <w:b/>
                <w:bCs/>
                <w:color w:val="auto"/>
                <w:sz w:val="20"/>
                <w:szCs w:val="20"/>
              </w:rPr>
            </w:pPr>
            <w:r>
              <w:rPr>
                <w:b/>
                <w:bCs/>
                <w:color w:val="auto"/>
                <w:sz w:val="20"/>
                <w:szCs w:val="20"/>
              </w:rPr>
              <w:t>Decreased appetite</w:t>
            </w:r>
          </w:p>
        </w:tc>
        <w:tc>
          <w:tcPr>
            <w:tcW w:w="3905" w:type="pct"/>
            <w:tcBorders>
              <w:bottom w:val="single" w:color="auto" w:sz="4" w:space="0"/>
            </w:tcBorders>
            <w:shd w:val="clear" w:color="auto" w:fill="F1F1F1" w:themeFill="background1" w:themeFillShade="F2"/>
            <w:tcMar>
              <w:top w:w="28" w:type="dxa"/>
              <w:left w:w="57" w:type="dxa"/>
              <w:bottom w:w="28" w:type="dxa"/>
              <w:right w:w="57" w:type="dxa"/>
            </w:tcMar>
            <w:vAlign w:val="center"/>
          </w:tcPr>
          <w:p w14:paraId="36EA58D7">
            <w:pPr>
              <w:pStyle w:val="58"/>
              <w:overflowPunct w:val="0"/>
              <w:autoSpaceDE w:val="0"/>
              <w:autoSpaceDN w:val="0"/>
              <w:adjustRightInd w:val="0"/>
              <w:snapToGrid w:val="0"/>
              <w:spacing w:line="240" w:lineRule="auto"/>
              <w:ind w:firstLine="0"/>
              <w:jc w:val="left"/>
              <w:rPr>
                <w:color w:val="auto"/>
                <w:sz w:val="20"/>
                <w:szCs w:val="20"/>
              </w:rPr>
            </w:pPr>
            <w:r>
              <w:rPr>
                <w:color w:val="auto"/>
                <w:sz w:val="20"/>
                <w:szCs w:val="20"/>
              </w:rPr>
              <w:t>Total parenteral nutrition required.</w:t>
            </w:r>
          </w:p>
        </w:tc>
      </w:tr>
      <w:tr w14:paraId="61D48661">
        <w:tblPrEx>
          <w:tblCellMar>
            <w:top w:w="28" w:type="dxa"/>
            <w:left w:w="57" w:type="dxa"/>
            <w:bottom w:w="28" w:type="dxa"/>
            <w:right w:w="57" w:type="dxa"/>
          </w:tblCellMar>
        </w:tblPrEx>
        <w:tc>
          <w:tcPr>
            <w:tcW w:w="0" w:type="pct"/>
            <w:gridSpan w:val="2"/>
            <w:tcBorders>
              <w:top w:val="single" w:color="auto" w:sz="4" w:space="0"/>
            </w:tcBorders>
            <w:tcMar>
              <w:top w:w="28" w:type="dxa"/>
              <w:left w:w="57" w:type="dxa"/>
              <w:bottom w:w="28" w:type="dxa"/>
              <w:right w:w="57" w:type="dxa"/>
            </w:tcMar>
          </w:tcPr>
          <w:p w14:paraId="2BB88BB6">
            <w:pPr>
              <w:pStyle w:val="58"/>
              <w:overflowPunct w:val="0"/>
              <w:autoSpaceDE w:val="0"/>
              <w:autoSpaceDN w:val="0"/>
              <w:adjustRightInd w:val="0"/>
              <w:snapToGrid w:val="0"/>
              <w:spacing w:line="240" w:lineRule="auto"/>
              <w:ind w:firstLine="0"/>
              <w:jc w:val="left"/>
              <w:rPr>
                <w:b w:val="0"/>
                <w:bCs w:val="0"/>
                <w:color w:val="auto"/>
                <w:sz w:val="20"/>
                <w:szCs w:val="20"/>
              </w:rPr>
            </w:pPr>
            <w:r>
              <w:rPr>
                <w:b w:val="0"/>
                <w:bCs w:val="0"/>
                <w:color w:val="auto"/>
                <w:sz w:val="20"/>
                <w:szCs w:val="20"/>
              </w:rPr>
              <w:t>Self-care activities of daily living refer to bathing, dressing and undressing, eating, washing, taking medicine, and not being bedridden.</w:t>
            </w:r>
          </w:p>
        </w:tc>
      </w:tr>
    </w:tbl>
    <w:p w14:paraId="7F171559">
      <w:pPr>
        <w:pStyle w:val="58"/>
        <w:numPr>
          <w:ilvl w:val="0"/>
          <w:numId w:val="34"/>
        </w:numPr>
        <w:overflowPunct w:val="0"/>
        <w:autoSpaceDE w:val="0"/>
        <w:autoSpaceDN w:val="0"/>
        <w:adjustRightInd w:val="0"/>
        <w:snapToGrid w:val="0"/>
        <w:spacing w:before="120" w:beforeLines="50" w:after="120" w:afterLines="50" w:line="300" w:lineRule="auto"/>
        <w:ind w:left="426" w:hanging="426"/>
        <w:rPr>
          <w:b/>
          <w:color w:val="auto"/>
        </w:rPr>
      </w:pPr>
      <w:r>
        <w:rPr>
          <w:b/>
          <w:color w:val="auto"/>
        </w:rPr>
        <w:t>Part B escalation study</w:t>
      </w:r>
    </w:p>
    <w:p w14:paraId="6090CAD3">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For individual subjects in Part B escalation study, dose modification is not allowed during the tolerability observation period; in case of intolerance after the end of the tolerability observation period, refer to the dose modification strategy in Part A and Part B expansion study.</w:t>
      </w:r>
    </w:p>
    <w:p w14:paraId="2ACBB6F9">
      <w:pPr>
        <w:pStyle w:val="7"/>
      </w:pPr>
      <w:r>
        <w:t>Handling of missed doses</w:t>
      </w:r>
    </w:p>
    <w:p w14:paraId="4BDA69BB">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The handling of missed doses is shown in the table below:</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57" w:type="dxa"/>
          <w:bottom w:w="28" w:type="dxa"/>
          <w:right w:w="57" w:type="dxa"/>
        </w:tblCellMar>
      </w:tblPr>
      <w:tblGrid>
        <w:gridCol w:w="2814"/>
        <w:gridCol w:w="6660"/>
      </w:tblGrid>
      <w:tr w14:paraId="6F6DE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1485" w:type="pct"/>
            <w:tcMar>
              <w:top w:w="28" w:type="dxa"/>
              <w:left w:w="57" w:type="dxa"/>
              <w:bottom w:w="28" w:type="dxa"/>
              <w:right w:w="57" w:type="dxa"/>
            </w:tcMar>
            <w:vAlign w:val="center"/>
          </w:tcPr>
          <w:p w14:paraId="18200393">
            <w:pPr>
              <w:pStyle w:val="58"/>
              <w:overflowPunct w:val="0"/>
              <w:autoSpaceDE w:val="0"/>
              <w:autoSpaceDN w:val="0"/>
              <w:adjustRightInd w:val="0"/>
              <w:snapToGrid w:val="0"/>
              <w:spacing w:line="240" w:lineRule="auto"/>
              <w:ind w:firstLine="0"/>
              <w:rPr>
                <w:b/>
                <w:bCs/>
                <w:color w:val="auto"/>
                <w:sz w:val="20"/>
                <w:szCs w:val="20"/>
              </w:rPr>
            </w:pPr>
            <w:r>
              <w:rPr>
                <w:b/>
                <w:bCs/>
                <w:color w:val="auto"/>
                <w:sz w:val="20"/>
                <w:szCs w:val="20"/>
              </w:rPr>
              <w:t>Time to the next scheduled dose</w:t>
            </w:r>
          </w:p>
        </w:tc>
        <w:tc>
          <w:tcPr>
            <w:tcW w:w="3515" w:type="pct"/>
            <w:tcMar>
              <w:top w:w="28" w:type="dxa"/>
              <w:left w:w="57" w:type="dxa"/>
              <w:bottom w:w="28" w:type="dxa"/>
              <w:right w:w="57" w:type="dxa"/>
            </w:tcMar>
            <w:vAlign w:val="center"/>
          </w:tcPr>
          <w:p w14:paraId="1F35D660">
            <w:pPr>
              <w:pStyle w:val="58"/>
              <w:overflowPunct w:val="0"/>
              <w:autoSpaceDE w:val="0"/>
              <w:autoSpaceDN w:val="0"/>
              <w:adjustRightInd w:val="0"/>
              <w:snapToGrid w:val="0"/>
              <w:spacing w:line="240" w:lineRule="auto"/>
              <w:ind w:firstLine="0"/>
              <w:rPr>
                <w:b/>
                <w:bCs/>
                <w:color w:val="auto"/>
                <w:sz w:val="20"/>
                <w:szCs w:val="20"/>
              </w:rPr>
            </w:pPr>
            <w:r>
              <w:rPr>
                <w:b/>
                <w:bCs/>
                <w:color w:val="auto"/>
                <w:sz w:val="20"/>
                <w:szCs w:val="20"/>
              </w:rPr>
              <w:t>Administration principle</w:t>
            </w:r>
          </w:p>
        </w:tc>
      </w:tr>
      <w:tr w14:paraId="64EBB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1485" w:type="pct"/>
            <w:tcMar>
              <w:top w:w="28" w:type="dxa"/>
              <w:left w:w="57" w:type="dxa"/>
              <w:bottom w:w="28" w:type="dxa"/>
              <w:right w:w="57" w:type="dxa"/>
            </w:tcMar>
            <w:vAlign w:val="center"/>
          </w:tcPr>
          <w:p w14:paraId="1DA9FC22">
            <w:pPr>
              <w:pStyle w:val="58"/>
              <w:overflowPunct w:val="0"/>
              <w:autoSpaceDE w:val="0"/>
              <w:autoSpaceDN w:val="0"/>
              <w:adjustRightInd w:val="0"/>
              <w:snapToGrid w:val="0"/>
              <w:spacing w:line="240" w:lineRule="auto"/>
              <w:ind w:firstLine="0"/>
              <w:jc w:val="left"/>
              <w:rPr>
                <w:color w:val="auto"/>
                <w:sz w:val="20"/>
                <w:szCs w:val="20"/>
              </w:rPr>
            </w:pPr>
            <w:r>
              <w:rPr>
                <w:color w:val="auto"/>
                <w:sz w:val="20"/>
                <w:szCs w:val="20"/>
              </w:rPr>
              <w:t>7–14 days (≥ 144 h)</w:t>
            </w:r>
          </w:p>
        </w:tc>
        <w:tc>
          <w:tcPr>
            <w:tcW w:w="3515" w:type="pct"/>
            <w:tcMar>
              <w:top w:w="28" w:type="dxa"/>
              <w:left w:w="57" w:type="dxa"/>
              <w:bottom w:w="28" w:type="dxa"/>
              <w:right w:w="57" w:type="dxa"/>
            </w:tcMar>
            <w:vAlign w:val="center"/>
          </w:tcPr>
          <w:p w14:paraId="1D3A6970">
            <w:pPr>
              <w:pStyle w:val="58"/>
              <w:overflowPunct w:val="0"/>
              <w:autoSpaceDE w:val="0"/>
              <w:autoSpaceDN w:val="0"/>
              <w:adjustRightInd w:val="0"/>
              <w:snapToGrid w:val="0"/>
              <w:spacing w:line="240" w:lineRule="auto"/>
              <w:ind w:firstLine="0"/>
              <w:jc w:val="left"/>
              <w:rPr>
                <w:color w:val="auto"/>
                <w:sz w:val="20"/>
                <w:szCs w:val="20"/>
              </w:rPr>
            </w:pPr>
            <w:r>
              <w:rPr>
                <w:color w:val="auto"/>
                <w:sz w:val="20"/>
                <w:szCs w:val="20"/>
              </w:rPr>
              <w:t>Administer as soon as possible on the same day, and maintain the scheduled time and dosage for the next dose.</w:t>
            </w:r>
          </w:p>
        </w:tc>
      </w:tr>
      <w:tr w14:paraId="150B8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1485" w:type="pct"/>
            <w:tcMar>
              <w:top w:w="28" w:type="dxa"/>
              <w:left w:w="57" w:type="dxa"/>
              <w:bottom w:w="28" w:type="dxa"/>
              <w:right w:w="57" w:type="dxa"/>
            </w:tcMar>
            <w:vAlign w:val="center"/>
          </w:tcPr>
          <w:p w14:paraId="676944F9">
            <w:pPr>
              <w:pStyle w:val="58"/>
              <w:overflowPunct w:val="0"/>
              <w:autoSpaceDE w:val="0"/>
              <w:autoSpaceDN w:val="0"/>
              <w:adjustRightInd w:val="0"/>
              <w:snapToGrid w:val="0"/>
              <w:spacing w:line="240" w:lineRule="auto"/>
              <w:ind w:firstLine="0"/>
              <w:jc w:val="left"/>
              <w:rPr>
                <w:color w:val="auto"/>
                <w:sz w:val="20"/>
                <w:szCs w:val="20"/>
              </w:rPr>
            </w:pPr>
            <w:r>
              <w:rPr>
                <w:color w:val="auto"/>
                <w:sz w:val="20"/>
                <w:szCs w:val="20"/>
              </w:rPr>
              <w:t>1–6 days (&lt; 144 h)</w:t>
            </w:r>
          </w:p>
        </w:tc>
        <w:tc>
          <w:tcPr>
            <w:tcW w:w="3515" w:type="pct"/>
            <w:tcMar>
              <w:top w:w="28" w:type="dxa"/>
              <w:left w:w="57" w:type="dxa"/>
              <w:bottom w:w="28" w:type="dxa"/>
              <w:right w:w="57" w:type="dxa"/>
            </w:tcMar>
            <w:vAlign w:val="center"/>
          </w:tcPr>
          <w:p w14:paraId="4C87E93C">
            <w:pPr>
              <w:pStyle w:val="58"/>
              <w:overflowPunct w:val="0"/>
              <w:autoSpaceDE w:val="0"/>
              <w:autoSpaceDN w:val="0"/>
              <w:adjustRightInd w:val="0"/>
              <w:snapToGrid w:val="0"/>
              <w:spacing w:line="240" w:lineRule="auto"/>
              <w:ind w:firstLine="0"/>
              <w:jc w:val="left"/>
              <w:rPr>
                <w:color w:val="auto"/>
                <w:sz w:val="20"/>
                <w:szCs w:val="20"/>
              </w:rPr>
            </w:pPr>
            <w:r>
              <w:rPr>
                <w:color w:val="auto"/>
                <w:sz w:val="20"/>
                <w:szCs w:val="20"/>
              </w:rPr>
              <w:t>Skip this dose, and maintain the scheduled time and dosage for the next dose.</w:t>
            </w:r>
          </w:p>
        </w:tc>
      </w:tr>
    </w:tbl>
    <w:p w14:paraId="3F51DFB7">
      <w:pPr>
        <w:pStyle w:val="7"/>
      </w:pPr>
      <w:r>
        <w:t>Route of administration</w:t>
      </w:r>
    </w:p>
    <w:p w14:paraId="43004247">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Both RAY1225 injection and its simulant are administered by subcutaneous injection either before or after meals. RAY1225 injection or simulant with a strength of 1 mL: 30 mg/vial is supplied by the sponsor, which is prepared at the study site to the corresponding concentration, with a volume of 0.5 mL per dose. With the administration site of the abdomen, during multiple dosing, the injection site of the previous dose shall be avoided. Alternate injections will be performed among the four sites of the abdomen (divided into left and right upper quadrants and left and right lower quadrants according to the four-quadrant method, with the navel as the boundary), with administration conditions (injection site, dose volume, administration time, etc.) recorded.</w:t>
      </w:r>
    </w:p>
    <w:p w14:paraId="1AB1E872">
      <w:pPr>
        <w:pStyle w:val="6"/>
        <w:rPr>
          <w:rFonts w:eastAsia="宋体"/>
        </w:rPr>
      </w:pPr>
      <w:bookmarkStart w:id="225" w:name="_Toc159596251"/>
      <w:r>
        <w:t>Acetaminophen tablets (for group 1 in dose escalation study only)</w:t>
      </w:r>
      <w:bookmarkEnd w:id="225"/>
    </w:p>
    <w:p w14:paraId="362F29D8">
      <w:pPr>
        <w:pStyle w:val="58"/>
        <w:overflowPunct w:val="0"/>
        <w:autoSpaceDE w:val="0"/>
        <w:autoSpaceDN w:val="0"/>
        <w:adjustRightInd w:val="0"/>
        <w:snapToGrid w:val="0"/>
        <w:spacing w:before="120" w:beforeLines="50" w:after="120" w:afterLines="50" w:line="300" w:lineRule="auto"/>
        <w:ind w:firstLine="0"/>
        <w:jc w:val="left"/>
        <w:rPr>
          <w:color w:val="auto"/>
        </w:rPr>
      </w:pPr>
      <w:r>
        <w:t xml:space="preserve">Subjects in dose escalation group 1 (including subjects given placebo) will take 2 doses of </w:t>
      </w:r>
      <w:bookmarkStart w:id="226" w:name="_Hlk155193469"/>
      <w:r>
        <w:t>acetaminophen</w:t>
      </w:r>
      <w:bookmarkEnd w:id="226"/>
      <w:r>
        <w:t xml:space="preserve"> (0.5 g each) in order to investigate the effect on gastric emptying. The first one will be given at least 24 h prior to the first dose of RAY1225 and the second one will be given 24 ± 2 h after the second dose of RAY1225 injection at 5 mg.</w:t>
      </w:r>
    </w:p>
    <w:p w14:paraId="52652C58">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After the subjects have fasted overnight for at least 6 h, they will take 0.5 g of acetaminophen tablets with about 240 mL of warm water in the morning of the administration day under fasting conditions. Subjects will refrain from drinking water for 2 h before oral administration of acetaminophen tablets and refrain from eating for 2 h after administration.</w:t>
      </w:r>
    </w:p>
    <w:bookmarkEnd w:id="129"/>
    <w:bookmarkEnd w:id="145"/>
    <w:p w14:paraId="7920B39C">
      <w:pPr>
        <w:pStyle w:val="5"/>
      </w:pPr>
      <w:bookmarkStart w:id="227" w:name="_Toc19741"/>
      <w:bookmarkStart w:id="228" w:name="_Toc447956195"/>
      <w:bookmarkStart w:id="229" w:name="_Toc1938"/>
      <w:bookmarkStart w:id="230" w:name="_Toc405299758"/>
      <w:bookmarkStart w:id="231" w:name="_Toc8244"/>
      <w:bookmarkStart w:id="232" w:name="_Toc159596252"/>
      <w:r>
        <w:t>Randomization</w:t>
      </w:r>
      <w:bookmarkEnd w:id="227"/>
      <w:bookmarkEnd w:id="228"/>
      <w:bookmarkEnd w:id="229"/>
      <w:bookmarkEnd w:id="230"/>
      <w:bookmarkEnd w:id="231"/>
      <w:r>
        <w:t xml:space="preserve"> and Blinding</w:t>
      </w:r>
      <w:bookmarkEnd w:id="232"/>
    </w:p>
    <w:p w14:paraId="76974E78">
      <w:pPr>
        <w:pStyle w:val="6"/>
        <w:rPr>
          <w:rFonts w:eastAsia="宋体"/>
        </w:rPr>
      </w:pPr>
      <w:bookmarkStart w:id="233" w:name="_Toc28290"/>
      <w:bookmarkStart w:id="234" w:name="_Toc7573"/>
      <w:bookmarkStart w:id="235" w:name="_Toc159596253"/>
      <w:bookmarkStart w:id="236" w:name="_Toc32001"/>
      <w:r>
        <w:t>Randomization method</w:t>
      </w:r>
      <w:bookmarkEnd w:id="233"/>
      <w:bookmarkEnd w:id="234"/>
      <w:bookmarkEnd w:id="235"/>
      <w:bookmarkEnd w:id="236"/>
    </w:p>
    <w:p w14:paraId="25AA59E4">
      <w:pPr>
        <w:pStyle w:val="58"/>
        <w:overflowPunct w:val="0"/>
        <w:autoSpaceDE w:val="0"/>
        <w:autoSpaceDN w:val="0"/>
        <w:adjustRightInd w:val="0"/>
        <w:snapToGrid w:val="0"/>
        <w:spacing w:before="120" w:beforeLines="50" w:after="120" w:afterLines="50" w:line="300" w:lineRule="auto"/>
        <w:ind w:firstLine="0"/>
        <w:jc w:val="left"/>
      </w:pPr>
      <w:r>
        <w:t>After the signing of the informed consent form and prior to any study-related tests, each subject will be assigned a screening number containing 5 digits (Sxxxxx): the letter "S" represents screening, the first two digits are the study site number, and the last three digits are the subject screening serial number.</w:t>
      </w:r>
    </w:p>
    <w:p w14:paraId="5B3AD2A5">
      <w:pPr>
        <w:pStyle w:val="58"/>
        <w:overflowPunct w:val="0"/>
        <w:autoSpaceDE w:val="0"/>
        <w:autoSpaceDN w:val="0"/>
        <w:adjustRightInd w:val="0"/>
        <w:snapToGrid w:val="0"/>
        <w:spacing w:before="120" w:beforeLines="50" w:after="120" w:afterLines="50" w:line="300" w:lineRule="auto"/>
        <w:ind w:firstLine="0"/>
        <w:jc w:val="left"/>
      </w:pPr>
      <w:r>
        <w:t>The randomization schedule will be generated by an unblinded statistician using SAS version 9.4 or later. Subjects in the Part A and Part B expansion study will be subjected to block randomization with stratification by diabetes treatment status (treatment-naive/treated), and subjects in the Part B dose escalation study will be subjected to block randomization. The randomization schedule of each dose group in Part A study, Part B dose escalation study, and Part B expansion study will be separately generated by the unblinded statistician. In Part A, subjects will be assigned in a 1:1:1 ratio to RAY1225 injection 3 mg group, 6 mg group, or placebo group; in Part B, subjects will be assigned in a 4:1 ratio to the corresponding dose group of RAY1225 injection or placebo group. The randomization schedule containing the subject's randomization number and group assignment information will be uploaded to the central randomization system, i.e. the Interactive Web Response System (IWRS). After confirming that the subject is qualified for screening, the investigator or the authorized designee will log into IWRS to perform randomization.</w:t>
      </w:r>
    </w:p>
    <w:p w14:paraId="7F69A07C">
      <w:pPr>
        <w:pStyle w:val="58"/>
        <w:overflowPunct w:val="0"/>
        <w:autoSpaceDE w:val="0"/>
        <w:autoSpaceDN w:val="0"/>
        <w:adjustRightInd w:val="0"/>
        <w:snapToGrid w:val="0"/>
        <w:spacing w:before="120" w:beforeLines="50" w:after="120" w:afterLines="50" w:line="300" w:lineRule="auto"/>
        <w:ind w:firstLine="0"/>
        <w:jc w:val="left"/>
        <w:rPr>
          <w:color w:val="auto"/>
        </w:rPr>
      </w:pPr>
      <w:bookmarkStart w:id="237" w:name="_Hlk155643247"/>
      <w:r>
        <w:rPr>
          <w:color w:val="auto"/>
        </w:rPr>
        <w:t xml:space="preserve">The randomization number in Part A consists of study code (A) and 4-digit serial number, for example, A0001 represents subject 0001 in Part A. The randomization number in Part B consists of study code of each part + group number + serial number. The study code includes B (for Part B dose escalation study) and K (for Part B expansion study); the group number consists of 1 digit, and the serial number consists of 3 digits; for example, B2002 represents subject 002 in </w:t>
      </w:r>
      <w:r>
        <w:rPr>
          <w:color w:val="auto"/>
          <w:spacing w:val="-4"/>
        </w:rPr>
        <w:t>group 2 of dose escalation study, and K2003 represents subject 003 in group 2 of expansion study.</w:t>
      </w:r>
    </w:p>
    <w:bookmarkEnd w:id="237"/>
    <w:p w14:paraId="2FDDEE1C">
      <w:pPr>
        <w:pStyle w:val="58"/>
        <w:overflowPunct w:val="0"/>
        <w:autoSpaceDE w:val="0"/>
        <w:autoSpaceDN w:val="0"/>
        <w:adjustRightInd w:val="0"/>
        <w:snapToGrid w:val="0"/>
        <w:spacing w:before="120" w:beforeLines="50" w:after="120" w:afterLines="50" w:line="300" w:lineRule="auto"/>
        <w:ind w:firstLine="0"/>
        <w:jc w:val="left"/>
      </w:pPr>
      <w:bookmarkStart w:id="238" w:name="OLE_LINK12"/>
      <w:r>
        <w:t xml:space="preserve">If subjects who have obtained randomization numbers withdraw from the study before the first dose, replacement of the same number of subjects is required. </w:t>
      </w:r>
      <w:bookmarkEnd w:id="238"/>
      <w:r>
        <w:t>The numbering rule for replacement randomization number in Part A is the original randomization number plus "1000", for example, the replacement randomization number for A0001 is A1001. The numbering rule for replacement randomization number in Part B is the original randomization number plus "100", for example, the replacement randomization number for B1001 is B1101.</w:t>
      </w:r>
    </w:p>
    <w:p w14:paraId="7004745F">
      <w:pPr>
        <w:pStyle w:val="58"/>
        <w:overflowPunct w:val="0"/>
        <w:autoSpaceDE w:val="0"/>
        <w:autoSpaceDN w:val="0"/>
        <w:adjustRightInd w:val="0"/>
        <w:snapToGrid w:val="0"/>
        <w:spacing w:before="120" w:beforeLines="50" w:after="120" w:afterLines="50" w:line="300" w:lineRule="auto"/>
        <w:ind w:firstLine="0"/>
        <w:jc w:val="left"/>
      </w:pPr>
      <w:r>
        <w:t>After subject randomization, the dispensing operator will log into IWRS to receive drugs for the corresponding group for dispensing according to the dispensing visit.</w:t>
      </w:r>
      <w:bookmarkStart w:id="239" w:name="_Toc489119486"/>
      <w:bookmarkStart w:id="240" w:name="_Toc454282545"/>
    </w:p>
    <w:bookmarkEnd w:id="239"/>
    <w:bookmarkEnd w:id="240"/>
    <w:p w14:paraId="75F1564C">
      <w:pPr>
        <w:pStyle w:val="6"/>
        <w:rPr>
          <w:rFonts w:eastAsia="宋体"/>
        </w:rPr>
      </w:pPr>
      <w:bookmarkStart w:id="241" w:name="_Toc159596254"/>
      <w:bookmarkStart w:id="242" w:name="_Toc4667"/>
      <w:bookmarkStart w:id="243" w:name="_Toc20076"/>
      <w:bookmarkStart w:id="244" w:name="_Toc22459"/>
      <w:r>
        <w:t>Blinding</w:t>
      </w:r>
      <w:bookmarkEnd w:id="241"/>
    </w:p>
    <w:p w14:paraId="46889021">
      <w:pPr>
        <w:pStyle w:val="58"/>
        <w:overflowPunct w:val="0"/>
        <w:autoSpaceDE w:val="0"/>
        <w:autoSpaceDN w:val="0"/>
        <w:adjustRightInd w:val="0"/>
        <w:snapToGrid w:val="0"/>
        <w:spacing w:before="120" w:beforeLines="50" w:after="120" w:afterLines="50" w:line="288" w:lineRule="auto"/>
        <w:ind w:firstLine="0"/>
        <w:jc w:val="left"/>
        <w:rPr>
          <w:bCs/>
        </w:rPr>
      </w:pPr>
      <w:r>
        <w:t>This study will be conducted in a double-blind manner. During the administration period, the dispensing and administration operators will be unblinded (unblinded information will be available through the IWRS access configuration), while both the investigators and the subjects will remain blinded. The biological sample detection and analysis personnel may obtain a blind code to support sample detection (the blood samples of subjects using simulant will not be detected) and perform secondary coding to provide the detection data to the PK analysis personnel and project team of this study in a blind manner. The study drug and study drug simulant will be provided by the sponsor to ensure that the smell, shape, volume, color, and clarity of the study drug simulant are similar to those of the study drug. The drugs for each group will be blinded by the unblinded personnel of the statistical analysis agency. The randomization schedule for each dose group will be generated by an unblinded statistician using SAS Version 9.4 or later.</w:t>
      </w:r>
    </w:p>
    <w:p w14:paraId="51A3915D">
      <w:pPr>
        <w:pStyle w:val="58"/>
        <w:overflowPunct w:val="0"/>
        <w:autoSpaceDE w:val="0"/>
        <w:autoSpaceDN w:val="0"/>
        <w:adjustRightInd w:val="0"/>
        <w:snapToGrid w:val="0"/>
        <w:spacing w:before="120" w:beforeLines="50" w:after="120" w:afterLines="50" w:line="288" w:lineRule="auto"/>
        <w:ind w:firstLine="0"/>
        <w:jc w:val="left"/>
      </w:pPr>
      <w:r>
        <w:t>All blind code information in this study will be kept by an unblinded statistician. In order to facilitate biological sample testing analysts for sample testing (blood samples from subjects treated with simulants will not be tested), the grouping information, as blind codes, will be sent to the designated personnel of the test facility. The specific transmission mode will be specified in the data transmission protocol.</w:t>
      </w:r>
    </w:p>
    <w:p w14:paraId="37DB6ADC">
      <w:pPr>
        <w:pStyle w:val="6"/>
        <w:rPr>
          <w:rFonts w:eastAsia="宋体"/>
        </w:rPr>
      </w:pPr>
      <w:bookmarkStart w:id="245" w:name="_Toc159596255"/>
      <w:r>
        <w:t>On-site blinding</w:t>
      </w:r>
      <w:bookmarkEnd w:id="245"/>
    </w:p>
    <w:p w14:paraId="779F5EB3">
      <w:pPr>
        <w:pStyle w:val="58"/>
        <w:overflowPunct w:val="0"/>
        <w:autoSpaceDE w:val="0"/>
        <w:autoSpaceDN w:val="0"/>
        <w:adjustRightInd w:val="0"/>
        <w:snapToGrid w:val="0"/>
        <w:spacing w:before="120" w:beforeLines="50" w:after="120" w:afterLines="50" w:line="300" w:lineRule="auto"/>
        <w:ind w:firstLine="0"/>
        <w:jc w:val="left"/>
        <w:rPr>
          <w:bCs/>
        </w:rPr>
      </w:pPr>
      <w:r>
        <w:t>The process of on-site blinding should be documented and signed by all involved personnel, and kept as documentation of the clinical study at the blinding site and the statistical analysis agency.</w:t>
      </w:r>
    </w:p>
    <w:bookmarkEnd w:id="242"/>
    <w:bookmarkEnd w:id="243"/>
    <w:bookmarkEnd w:id="244"/>
    <w:p w14:paraId="1B0DFBDB">
      <w:pPr>
        <w:pStyle w:val="6"/>
        <w:rPr>
          <w:rFonts w:eastAsia="宋体"/>
        </w:rPr>
      </w:pPr>
      <w:bookmarkStart w:id="246" w:name="_Toc159596256"/>
      <w:bookmarkStart w:id="247" w:name="_Toc27562"/>
      <w:bookmarkStart w:id="248" w:name="_Toc3435"/>
      <w:bookmarkStart w:id="249" w:name="_Toc16553"/>
      <w:r>
        <w:t>Emergency unblinding</w:t>
      </w:r>
      <w:bookmarkEnd w:id="246"/>
      <w:bookmarkEnd w:id="247"/>
      <w:bookmarkEnd w:id="248"/>
      <w:bookmarkEnd w:id="249"/>
    </w:p>
    <w:p w14:paraId="375743FA">
      <w:pPr>
        <w:pStyle w:val="58"/>
        <w:overflowPunct w:val="0"/>
        <w:autoSpaceDE w:val="0"/>
        <w:autoSpaceDN w:val="0"/>
        <w:adjustRightInd w:val="0"/>
        <w:snapToGrid w:val="0"/>
        <w:spacing w:before="120" w:beforeLines="50" w:after="120" w:afterLines="50" w:line="288" w:lineRule="auto"/>
        <w:ind w:firstLine="0"/>
        <w:jc w:val="left"/>
      </w:pPr>
      <w:r>
        <w:t>Provisions for urgent unblinding: When a subject experiences an emergency (e.g., SAE, emergency rescue) suspected to be related to the investigational products, if it is not known with certainty whether the drug used by the subject will affect the subject's rescue regimen, the principal investigator of the site should determine whether urgent unblinding is required. If the investigator deems it necessary for urgent unblinding, the involved subject will be urgently unblinded via the IWRS system. The unblinding date, reason, and handling should be documented in detail by the investigator with signature, and reported to the sponsor. In general, unblinding should not be taken with ease by the investigator. In case of unintentional unblinding, the investigator should explain the reason in writing to the sponsor.</w:t>
      </w:r>
    </w:p>
    <w:p w14:paraId="29D78E69">
      <w:pPr>
        <w:pStyle w:val="5"/>
        <w:spacing w:line="288" w:lineRule="auto"/>
      </w:pPr>
      <w:bookmarkStart w:id="250" w:name="_Toc24207"/>
      <w:bookmarkStart w:id="251" w:name="_Toc159596257"/>
      <w:bookmarkStart w:id="252" w:name="_Toc8230"/>
      <w:bookmarkStart w:id="253" w:name="_Toc487033050"/>
      <w:bookmarkStart w:id="254" w:name="_Toc23678"/>
      <w:r>
        <w:t>Receipt, Distribution, and Storage of Drugs</w:t>
      </w:r>
      <w:bookmarkEnd w:id="250"/>
      <w:bookmarkEnd w:id="251"/>
      <w:bookmarkEnd w:id="252"/>
      <w:bookmarkEnd w:id="253"/>
      <w:bookmarkEnd w:id="254"/>
    </w:p>
    <w:p w14:paraId="4D7F1BA6">
      <w:pPr>
        <w:pStyle w:val="6"/>
        <w:spacing w:line="288" w:lineRule="auto"/>
        <w:rPr>
          <w:rFonts w:eastAsia="宋体"/>
        </w:rPr>
      </w:pPr>
      <w:bookmarkStart w:id="255" w:name="_Toc159596258"/>
      <w:bookmarkStart w:id="256" w:name="_Toc22916"/>
      <w:bookmarkStart w:id="257" w:name="_Toc26851"/>
      <w:bookmarkStart w:id="258" w:name="_Toc27977"/>
      <w:r>
        <w:t>Drug distribution</w:t>
      </w:r>
      <w:bookmarkEnd w:id="255"/>
      <w:bookmarkEnd w:id="256"/>
      <w:bookmarkEnd w:id="257"/>
      <w:bookmarkEnd w:id="258"/>
    </w:p>
    <w:p w14:paraId="2054906A">
      <w:pPr>
        <w:pStyle w:val="58"/>
        <w:overflowPunct w:val="0"/>
        <w:autoSpaceDE w:val="0"/>
        <w:autoSpaceDN w:val="0"/>
        <w:adjustRightInd w:val="0"/>
        <w:snapToGrid w:val="0"/>
        <w:spacing w:before="120" w:beforeLines="50" w:after="120" w:afterLines="50" w:line="288" w:lineRule="auto"/>
        <w:ind w:firstLine="0"/>
        <w:jc w:val="left"/>
        <w:rPr>
          <w:color w:val="auto"/>
        </w:rPr>
      </w:pPr>
      <w:r>
        <w:rPr>
          <w:color w:val="auto"/>
        </w:rPr>
        <w:t>The study drugs will be provided by Guangdong Raynovent Biotech Co., Ltd. for free and distributed to the study sites as planned. At the end of the study, all unused or partially used drugs and empty vials/boxes will be returned by the investigator to the sponsor for destruction and recording on the Drug Distribution and Return Form.</w:t>
      </w:r>
    </w:p>
    <w:p w14:paraId="6734F591">
      <w:pPr>
        <w:pStyle w:val="6"/>
        <w:rPr>
          <w:rFonts w:eastAsia="宋体"/>
        </w:rPr>
      </w:pPr>
      <w:bookmarkStart w:id="259" w:name="_Toc25695"/>
      <w:bookmarkStart w:id="260" w:name="_Toc11102"/>
      <w:bookmarkStart w:id="261" w:name="_Toc159596259"/>
      <w:bookmarkStart w:id="262" w:name="_Toc16514"/>
      <w:r>
        <w:t>Drug storage</w:t>
      </w:r>
      <w:bookmarkEnd w:id="259"/>
      <w:bookmarkEnd w:id="260"/>
      <w:bookmarkEnd w:id="261"/>
      <w:bookmarkEnd w:id="262"/>
    </w:p>
    <w:p w14:paraId="75BDAB51">
      <w:pPr>
        <w:pStyle w:val="58"/>
        <w:overflowPunct w:val="0"/>
        <w:autoSpaceDE w:val="0"/>
        <w:autoSpaceDN w:val="0"/>
        <w:adjustRightInd w:val="0"/>
        <w:snapToGrid w:val="0"/>
        <w:spacing w:before="120" w:beforeLines="50" w:after="120" w:afterLines="50" w:line="288" w:lineRule="auto"/>
        <w:ind w:firstLine="0"/>
        <w:jc w:val="left"/>
        <w:rPr>
          <w:color w:val="auto"/>
        </w:rPr>
      </w:pPr>
      <w:r>
        <w:rPr>
          <w:color w:val="auto"/>
        </w:rPr>
        <w:t>The study drugs will be stored, managed, and distributed by the drug manager authorized by the clinical study site in strict accordance with the existing SOPs and the corresponding drug management regulations. The study site will confirm in writing that the study drugs have been received, and will be used within the framework of the clinical study in accordance with protocol requirements. The receipt, distribution, and return of study drugs will be documented as per the SOPs of the study site.</w:t>
      </w:r>
    </w:p>
    <w:p w14:paraId="086234FF">
      <w:pPr>
        <w:pStyle w:val="5"/>
        <w:spacing w:line="288" w:lineRule="auto"/>
      </w:pPr>
      <w:bookmarkStart w:id="263" w:name="_Toc32459"/>
      <w:bookmarkStart w:id="264" w:name="_Toc487033059"/>
      <w:bookmarkStart w:id="265" w:name="_Toc16869"/>
      <w:bookmarkStart w:id="266" w:name="_Toc159596260"/>
      <w:bookmarkStart w:id="267" w:name="_Toc15602"/>
      <w:r>
        <w:t>Treatment Compliance</w:t>
      </w:r>
      <w:bookmarkEnd w:id="263"/>
      <w:bookmarkEnd w:id="264"/>
      <w:bookmarkEnd w:id="265"/>
      <w:bookmarkEnd w:id="266"/>
      <w:bookmarkEnd w:id="267"/>
    </w:p>
    <w:p w14:paraId="3A97C3C6">
      <w:pPr>
        <w:pStyle w:val="58"/>
        <w:overflowPunct w:val="0"/>
        <w:autoSpaceDE w:val="0"/>
        <w:autoSpaceDN w:val="0"/>
        <w:adjustRightInd w:val="0"/>
        <w:snapToGrid w:val="0"/>
        <w:spacing w:before="120" w:beforeLines="50" w:after="120" w:afterLines="50" w:line="288" w:lineRule="auto"/>
        <w:ind w:firstLine="0"/>
        <w:jc w:val="left"/>
        <w:rPr>
          <w:color w:val="auto"/>
        </w:rPr>
      </w:pPr>
      <w:r>
        <w:rPr>
          <w:color w:val="auto"/>
        </w:rPr>
        <w:t>During the subject screening period, the investigator will provide detailed information on the objective of the study, the study drugs involved, study protocol, study procedure, dosage regimen (e.g., dose, route of administration, and cycle), clinical observations, frequency and process of biological sample collection, potential risks of participating in the study, compensation and indemnity, etc., so that the subjects will be fully informed and voluntary to improve their medication compliance. Before dosing, the subjects' randomization numbers and doses will be carefully checked. During this study, any medication deviation from the study protocol will be recorded in the eCRF, including the date and reason for the medication.</w:t>
      </w:r>
    </w:p>
    <w:p w14:paraId="6B3E520D">
      <w:pPr>
        <w:pStyle w:val="3"/>
      </w:pPr>
      <w:bookmarkStart w:id="268" w:name="_Toc159596261"/>
      <w:bookmarkStart w:id="269" w:name="_Toc18676"/>
      <w:bookmarkStart w:id="270" w:name="_Toc28452"/>
      <w:bookmarkStart w:id="271" w:name="_Toc493637979"/>
      <w:bookmarkStart w:id="272" w:name="_Toc30709"/>
      <w:bookmarkStart w:id="273" w:name="OLE_LINK19"/>
      <w:bookmarkStart w:id="274" w:name="OLE_LINK18"/>
      <w:r>
        <w:t>RESTRICTIONS</w:t>
      </w:r>
      <w:bookmarkEnd w:id="268"/>
    </w:p>
    <w:p w14:paraId="50DEB5BB">
      <w:pPr>
        <w:pStyle w:val="5"/>
      </w:pPr>
      <w:bookmarkStart w:id="275" w:name="_Toc159596262"/>
      <w:r>
        <w:t>Prior Treatments</w:t>
      </w:r>
      <w:bookmarkEnd w:id="275"/>
    </w:p>
    <w:p w14:paraId="0AEEAE43">
      <w:pPr>
        <w:pStyle w:val="58"/>
        <w:overflowPunct w:val="0"/>
        <w:autoSpaceDE w:val="0"/>
        <w:autoSpaceDN w:val="0"/>
        <w:adjustRightInd w:val="0"/>
        <w:snapToGrid w:val="0"/>
        <w:spacing w:before="120" w:beforeLines="50" w:after="120" w:afterLines="50" w:line="300" w:lineRule="auto"/>
        <w:ind w:firstLine="0"/>
        <w:jc w:val="left"/>
      </w:pPr>
      <w:r>
        <w:t>Prior treatments refer to the treatments received prior to the start of investigational product dosing.</w:t>
      </w:r>
    </w:p>
    <w:p w14:paraId="01A00654">
      <w:pPr>
        <w:pStyle w:val="58"/>
        <w:overflowPunct w:val="0"/>
        <w:autoSpaceDE w:val="0"/>
        <w:autoSpaceDN w:val="0"/>
        <w:adjustRightInd w:val="0"/>
        <w:snapToGrid w:val="0"/>
        <w:spacing w:before="120" w:beforeLines="50" w:after="120" w:afterLines="50" w:line="300" w:lineRule="auto"/>
        <w:ind w:firstLine="0"/>
        <w:jc w:val="left"/>
      </w:pPr>
      <w:r>
        <w:t>All prior surgical history and drug therapies (including prescription drugs and OTC drugs) received by the subject within 12 weeks before screening shall be recorded in the eCRF, including the name of the drug or therapy, treatment cycle, dose, route of administration, and reasons for use.</w:t>
      </w:r>
    </w:p>
    <w:p w14:paraId="731F6AA7">
      <w:pPr>
        <w:pStyle w:val="5"/>
      </w:pPr>
      <w:bookmarkStart w:id="276" w:name="_Toc159596263"/>
      <w:r>
        <w:t>Concomitant Treatments</w:t>
      </w:r>
      <w:bookmarkEnd w:id="276"/>
    </w:p>
    <w:p w14:paraId="174B73F8">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Concomitant treatments refer to the treatments to be received after the start of the study.</w:t>
      </w:r>
    </w:p>
    <w:p w14:paraId="44ACB44E">
      <w:pPr>
        <w:pStyle w:val="58"/>
        <w:overflowPunct w:val="0"/>
        <w:autoSpaceDE w:val="0"/>
        <w:autoSpaceDN w:val="0"/>
        <w:adjustRightInd w:val="0"/>
        <w:snapToGrid w:val="0"/>
        <w:spacing w:before="120" w:beforeLines="50" w:after="120" w:afterLines="50" w:line="300" w:lineRule="auto"/>
        <w:ind w:firstLine="0"/>
        <w:jc w:val="left"/>
        <w:rPr>
          <w:color w:val="auto"/>
        </w:rPr>
      </w:pPr>
      <w:r>
        <w:t xml:space="preserve">Any treatment other than the investigational drug (including prescription drugs, OTC drugs, and drug-free therapies) used during the study shall be recorded in detail in the </w:t>
      </w:r>
      <w:bookmarkStart w:id="277" w:name="_Hlk150777569"/>
      <w:r>
        <w:t>eCRF</w:t>
      </w:r>
      <w:bookmarkEnd w:id="277"/>
      <w:r>
        <w:t>, including the name of the drug or therapy, dose, frequency of administration, route of administration, treatment cycle, and reasons for use.</w:t>
      </w:r>
    </w:p>
    <w:p w14:paraId="273ABAB9">
      <w:pPr>
        <w:pStyle w:val="6"/>
        <w:rPr>
          <w:rFonts w:eastAsia="宋体"/>
        </w:rPr>
      </w:pPr>
      <w:bookmarkStart w:id="278" w:name="_Toc159596264"/>
      <w:r>
        <w:t>Prohibited concomitant treatments during the study</w:t>
      </w:r>
      <w:bookmarkEnd w:id="278"/>
    </w:p>
    <w:p w14:paraId="573F074F">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The following treatments are prohibited for subjects during the study:</w:t>
      </w:r>
    </w:p>
    <w:p w14:paraId="28084428">
      <w:pPr>
        <w:pStyle w:val="4"/>
        <w:numPr>
          <w:ilvl w:val="0"/>
          <w:numId w:val="35"/>
        </w:numPr>
        <w:overflowPunct w:val="0"/>
        <w:autoSpaceDE w:val="0"/>
        <w:autoSpaceDN w:val="0"/>
        <w:adjustRightInd w:val="0"/>
        <w:snapToGrid w:val="0"/>
        <w:spacing w:before="120" w:beforeLines="50" w:after="120" w:afterLines="50" w:line="300" w:lineRule="auto"/>
        <w:ind w:firstLineChars="0"/>
        <w:jc w:val="left"/>
        <w:rPr>
          <w:rFonts w:cs="Times New Roman"/>
          <w:color w:val="auto"/>
          <w:szCs w:val="24"/>
        </w:rPr>
      </w:pPr>
      <w:r>
        <w:rPr>
          <w:rFonts w:cs="Times New Roman"/>
          <w:color w:val="auto"/>
          <w:szCs w:val="24"/>
        </w:rPr>
        <w:t>Hypoglycemic agents other than the study drug, metformin, α-glucosidase inhibitors, and SGLT-2 inhibitors, such as other types of oral hypoglycemic agents and GLP-1 related receptor agonists, other oral or injectable insulin (insulin is allowed in case of acute severe metabolic disorders), or traditional Chinese medicine products such as Xiaoke pills.</w:t>
      </w:r>
    </w:p>
    <w:p w14:paraId="0ED8CF8E">
      <w:pPr>
        <w:pStyle w:val="4"/>
        <w:numPr>
          <w:ilvl w:val="0"/>
          <w:numId w:val="35"/>
        </w:numPr>
        <w:overflowPunct w:val="0"/>
        <w:autoSpaceDE w:val="0"/>
        <w:autoSpaceDN w:val="0"/>
        <w:adjustRightInd w:val="0"/>
        <w:snapToGrid w:val="0"/>
        <w:spacing w:before="120" w:beforeLines="50" w:after="120" w:afterLines="50" w:line="300" w:lineRule="auto"/>
        <w:ind w:firstLineChars="0"/>
        <w:jc w:val="left"/>
        <w:rPr>
          <w:rFonts w:cs="Times New Roman"/>
          <w:color w:val="auto"/>
          <w:szCs w:val="24"/>
        </w:rPr>
      </w:pPr>
      <w:r>
        <w:rPr>
          <w:rFonts w:cs="Times New Roman"/>
          <w:color w:val="auto"/>
          <w:szCs w:val="24"/>
        </w:rPr>
        <w:t>Treatment with immunosuppressants (cyclosporine A, tacrolimus, mycophenolate, etc.), systemic glucocorticoids (intravenous, oral, intra-articular);</w:t>
      </w:r>
    </w:p>
    <w:p w14:paraId="0639E4B6">
      <w:pPr>
        <w:pStyle w:val="4"/>
        <w:numPr>
          <w:ilvl w:val="0"/>
          <w:numId w:val="35"/>
        </w:numPr>
        <w:overflowPunct w:val="0"/>
        <w:autoSpaceDE w:val="0"/>
        <w:autoSpaceDN w:val="0"/>
        <w:adjustRightInd w:val="0"/>
        <w:snapToGrid w:val="0"/>
        <w:spacing w:before="120" w:beforeLines="50" w:after="120" w:afterLines="50" w:line="300" w:lineRule="auto"/>
        <w:ind w:firstLineChars="0"/>
        <w:jc w:val="left"/>
        <w:rPr>
          <w:rFonts w:cs="Times New Roman"/>
          <w:color w:val="auto"/>
          <w:szCs w:val="24"/>
        </w:rPr>
      </w:pPr>
      <w:r>
        <w:rPr>
          <w:rFonts w:cs="Times New Roman"/>
          <w:color w:val="auto"/>
          <w:szCs w:val="24"/>
        </w:rPr>
        <w:t>Participation in any weight loss programs or use of any medications, products, or therapies that may cause weight instability, including but not limited to:</w:t>
      </w:r>
    </w:p>
    <w:p w14:paraId="7607C32D">
      <w:pPr>
        <w:pStyle w:val="4"/>
        <w:numPr>
          <w:ilvl w:val="0"/>
          <w:numId w:val="36"/>
        </w:numPr>
        <w:overflowPunct w:val="0"/>
        <w:autoSpaceDE w:val="0"/>
        <w:autoSpaceDN w:val="0"/>
        <w:adjustRightInd w:val="0"/>
        <w:snapToGrid w:val="0"/>
        <w:spacing w:before="120" w:beforeLines="50" w:after="120" w:afterLines="50" w:line="300" w:lineRule="auto"/>
        <w:ind w:left="1134" w:firstLineChars="0"/>
        <w:jc w:val="left"/>
        <w:rPr>
          <w:rFonts w:cs="Times New Roman"/>
          <w:color w:val="auto"/>
          <w:szCs w:val="24"/>
        </w:rPr>
      </w:pPr>
      <w:r>
        <w:rPr>
          <w:rFonts w:cs="Times New Roman"/>
          <w:color w:val="auto"/>
          <w:szCs w:val="24"/>
        </w:rPr>
        <w:t>Any approved or unapproved weight-loss drugs or Chinese herbal medicines, health care products, and meal replacements that affect body weight;</w:t>
      </w:r>
    </w:p>
    <w:p w14:paraId="40EAB27E">
      <w:pPr>
        <w:pStyle w:val="4"/>
        <w:numPr>
          <w:ilvl w:val="0"/>
          <w:numId w:val="36"/>
        </w:numPr>
        <w:overflowPunct w:val="0"/>
        <w:autoSpaceDE w:val="0"/>
        <w:autoSpaceDN w:val="0"/>
        <w:adjustRightInd w:val="0"/>
        <w:snapToGrid w:val="0"/>
        <w:spacing w:before="120" w:beforeLines="50" w:after="120" w:afterLines="50" w:line="300" w:lineRule="auto"/>
        <w:ind w:left="1134" w:firstLineChars="0"/>
        <w:jc w:val="left"/>
        <w:rPr>
          <w:rFonts w:cs="Times New Roman"/>
          <w:color w:val="auto"/>
          <w:szCs w:val="24"/>
        </w:rPr>
      </w:pPr>
      <w:r>
        <w:rPr>
          <w:rFonts w:cs="Times New Roman"/>
          <w:color w:val="auto"/>
          <w:szCs w:val="24"/>
        </w:rPr>
        <w:t>Any GLP-1 receptor agonist (GLP-1RA), GLP-1 related multi-target agonists (e.g., dual GLP-1/glucose-dependent insulinotropic polypeptide [GIP] receptor agonist, GLP-1 receptor/glucagon receptor [GCGR] dual agonist, and triple GLP-1/GIP/GCG receptor agonist), or combination products containing GLP-1RA;</w:t>
      </w:r>
    </w:p>
    <w:p w14:paraId="06CE5342">
      <w:pPr>
        <w:pStyle w:val="4"/>
        <w:pageBreakBefore/>
        <w:numPr>
          <w:ilvl w:val="0"/>
          <w:numId w:val="36"/>
        </w:numPr>
        <w:overflowPunct w:val="0"/>
        <w:autoSpaceDE w:val="0"/>
        <w:autoSpaceDN w:val="0"/>
        <w:adjustRightInd w:val="0"/>
        <w:snapToGrid w:val="0"/>
        <w:spacing w:before="120" w:beforeLines="50" w:after="120" w:afterLines="50" w:line="300" w:lineRule="auto"/>
        <w:ind w:left="1134" w:firstLineChars="0"/>
        <w:jc w:val="left"/>
        <w:rPr>
          <w:rFonts w:cs="Times New Roman"/>
          <w:color w:val="auto"/>
          <w:szCs w:val="24"/>
        </w:rPr>
      </w:pPr>
      <w:r>
        <w:rPr>
          <w:rFonts w:cs="Times New Roman"/>
          <w:color w:val="auto"/>
          <w:szCs w:val="24"/>
        </w:rPr>
        <w:t>growth hormone, antipsychotic or antiepileptic drugs (e.g., amitriptyline, maprotiline, clomipramine, imipramine, doxepin, fluoxetine, paroxetine, duloxetine, citalopram, escitalopram, mirtazapine, sertraline, chlorpromazine, clozapine, olanzapine, valproic acid, valproic acid derivatives, lithium, and bupropion), etc.;</w:t>
      </w:r>
    </w:p>
    <w:p w14:paraId="7FD7BFA6">
      <w:pPr>
        <w:pStyle w:val="4"/>
        <w:numPr>
          <w:ilvl w:val="0"/>
          <w:numId w:val="36"/>
        </w:numPr>
        <w:overflowPunct w:val="0"/>
        <w:autoSpaceDE w:val="0"/>
        <w:autoSpaceDN w:val="0"/>
        <w:adjustRightInd w:val="0"/>
        <w:snapToGrid w:val="0"/>
        <w:spacing w:before="120" w:beforeLines="50" w:after="120" w:afterLines="50" w:line="300" w:lineRule="auto"/>
        <w:ind w:left="1134" w:firstLineChars="0"/>
        <w:jc w:val="left"/>
        <w:rPr>
          <w:rFonts w:cs="Times New Roman"/>
          <w:color w:val="auto"/>
          <w:szCs w:val="24"/>
        </w:rPr>
      </w:pPr>
      <w:r>
        <w:rPr>
          <w:rFonts w:cs="Times New Roman"/>
          <w:color w:val="auto"/>
          <w:szCs w:val="24"/>
        </w:rPr>
        <w:t>Surgery or treatment for the purpose of weight loss (such as acupuncture for weight loss, liposuction and abdominal fat removal, gastric bypass, and gastric banding).</w:t>
      </w:r>
    </w:p>
    <w:p w14:paraId="12E03C9E">
      <w:pPr>
        <w:pStyle w:val="4"/>
        <w:numPr>
          <w:ilvl w:val="0"/>
          <w:numId w:val="35"/>
        </w:numPr>
        <w:overflowPunct w:val="0"/>
        <w:autoSpaceDE w:val="0"/>
        <w:autoSpaceDN w:val="0"/>
        <w:adjustRightInd w:val="0"/>
        <w:snapToGrid w:val="0"/>
        <w:spacing w:before="120" w:beforeLines="50" w:after="120" w:afterLines="50" w:line="300" w:lineRule="auto"/>
        <w:ind w:firstLineChars="0"/>
        <w:jc w:val="left"/>
        <w:rPr>
          <w:rFonts w:cs="Times New Roman"/>
          <w:color w:val="auto"/>
          <w:szCs w:val="24"/>
        </w:rPr>
      </w:pPr>
      <w:r>
        <w:rPr>
          <w:rFonts w:cs="Times New Roman"/>
          <w:color w:val="auto"/>
          <w:szCs w:val="24"/>
        </w:rPr>
        <w:t>Other drugs that may affect the efficacy or safety assessments of the study drug as assessed by investigator.</w:t>
      </w:r>
    </w:p>
    <w:p w14:paraId="308DEB8E">
      <w:pPr>
        <w:pStyle w:val="6"/>
        <w:rPr>
          <w:rFonts w:eastAsia="宋体"/>
        </w:rPr>
      </w:pPr>
      <w:bookmarkStart w:id="279" w:name="_Toc159596265"/>
      <w:r>
        <w:t>Use of concomitant treatments as appropriate during the study</w:t>
      </w:r>
      <w:bookmarkEnd w:id="279"/>
    </w:p>
    <w:p w14:paraId="3EE36512">
      <w:pPr>
        <w:pStyle w:val="58"/>
        <w:overflowPunct w:val="0"/>
        <w:autoSpaceDE w:val="0"/>
        <w:autoSpaceDN w:val="0"/>
        <w:adjustRightInd w:val="0"/>
        <w:snapToGrid w:val="0"/>
        <w:spacing w:before="120" w:beforeLines="50" w:after="120" w:afterLines="50" w:line="300" w:lineRule="auto"/>
        <w:ind w:firstLine="0"/>
        <w:jc w:val="left"/>
        <w:rPr>
          <w:bCs/>
          <w:color w:val="auto"/>
        </w:rPr>
      </w:pPr>
      <w:r>
        <w:rPr>
          <w:color w:val="auto"/>
        </w:rPr>
        <w:t xml:space="preserve">Adverse events in the clinical study will be judged by the study physician. </w:t>
      </w:r>
      <w:r>
        <w:rPr>
          <w:bCs/>
          <w:color w:val="auto"/>
        </w:rPr>
        <w:t>When mild adverse events occur during the study, close observation shall be made and generally no symptomatic treatment shall be given in order to observe the severity and reversibility of adverse reactions. However, in case of moderate or greater adverse events, active symptomatic treatment shall be given, and the name of the drug used by the subject, dose, unit, frequency of administration, route of administration, start and end dates of administration, and reasons for administration shall be described and recorded in the source record and eCRF.</w:t>
      </w:r>
    </w:p>
    <w:p w14:paraId="36C63A93">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Concomitant therapies may be used during the study as appropriate in the following circumstances:</w:t>
      </w:r>
    </w:p>
    <w:p w14:paraId="6DC1F94F">
      <w:pPr>
        <w:pStyle w:val="58"/>
        <w:numPr>
          <w:ilvl w:val="2"/>
          <w:numId w:val="37"/>
        </w:numPr>
        <w:overflowPunct w:val="0"/>
        <w:autoSpaceDE w:val="0"/>
        <w:autoSpaceDN w:val="0"/>
        <w:adjustRightInd w:val="0"/>
        <w:snapToGrid w:val="0"/>
        <w:spacing w:before="120" w:beforeLines="50" w:after="120" w:afterLines="50" w:line="300" w:lineRule="auto"/>
        <w:jc w:val="left"/>
        <w:rPr>
          <w:color w:val="auto"/>
        </w:rPr>
      </w:pPr>
      <w:r>
        <w:rPr>
          <w:color w:val="auto"/>
        </w:rPr>
        <w:t>For untreated subjects (defined as those who have received no treatment with any hypoglycemic agent before screening, or continuous use of hypoglycemic agents for no more than 1 week within 12 weeks before screening, and no treatment with any hypoglycemic agent within 4 weeks before screening; or treatment with only one oral hypoglycemic agent within 12 weeks before screening and no use within 4 weeks before screening), any other hypoglycemic agents other than the investigational drug is prohibited during the study; for subjects who have been on stable metformin, α-glucosidase inhibitors, or SGLT-2 inhibitors within 12 weeks before screening, medications as per the original hypoglycemic regimen should be continued without any adjustment to the extent possible, unless a dosage adjustment is indicated for patient safety.</w:t>
      </w:r>
    </w:p>
    <w:p w14:paraId="458638B8">
      <w:pPr>
        <w:pStyle w:val="58"/>
        <w:numPr>
          <w:ilvl w:val="2"/>
          <w:numId w:val="37"/>
        </w:numPr>
        <w:overflowPunct w:val="0"/>
        <w:autoSpaceDE w:val="0"/>
        <w:autoSpaceDN w:val="0"/>
        <w:adjustRightInd w:val="0"/>
        <w:snapToGrid w:val="0"/>
        <w:spacing w:before="120" w:beforeLines="50" w:after="120" w:afterLines="50" w:line="300" w:lineRule="auto"/>
        <w:jc w:val="left"/>
        <w:rPr>
          <w:color w:val="auto"/>
        </w:rPr>
      </w:pPr>
      <w:r>
        <w:rPr>
          <w:color w:val="auto"/>
        </w:rPr>
        <w:t>Reasonable treatment by the investigator is acceptable in case of AEs, including the use of insulin in case of acute serious metabolic disorders, provided that the cumulative duration of insulin treatment is no more than 14 days.</w:t>
      </w:r>
    </w:p>
    <w:p w14:paraId="493ACFC6">
      <w:pPr>
        <w:pStyle w:val="4"/>
        <w:pageBreakBefore/>
        <w:numPr>
          <w:ilvl w:val="2"/>
          <w:numId w:val="37"/>
        </w:numPr>
        <w:overflowPunct w:val="0"/>
        <w:autoSpaceDE w:val="0"/>
        <w:autoSpaceDN w:val="0"/>
        <w:adjustRightInd w:val="0"/>
        <w:snapToGrid w:val="0"/>
        <w:spacing w:before="120" w:beforeLines="50" w:after="120" w:afterLines="50" w:line="300" w:lineRule="auto"/>
        <w:ind w:left="1259" w:firstLineChars="0"/>
        <w:jc w:val="left"/>
        <w:rPr>
          <w:rFonts w:cs="Times New Roman"/>
          <w:color w:val="auto"/>
          <w:szCs w:val="24"/>
        </w:rPr>
      </w:pPr>
      <w:r>
        <w:rPr>
          <w:rFonts w:cs="Times New Roman"/>
          <w:color w:val="auto"/>
          <w:szCs w:val="24"/>
        </w:rPr>
        <w:t>The subject should be instructed to timely have blood glucose monitored to confirm hypoglycemia when symptoms such as palpitation, hand shaking, sweating, hunger, and anxiety occur; the subject should be instructed to take sugary foods/drinks when blood glucose is &lt; 3.9 mmol/L or symptoms are severe; the investigator should be informed to assess the necessity of treatment adjustment when the above conditions occur &gt; 1 time (the dose of ongoing oral hypoglycemic agents may be adjusted after excluding other factors that may cause hypoglycemia, such as diet and exercise). For the operational procedures for the management of hypoglycemia, refer to the hypoglycemia diagnosis and treatment procedures in the "Guideline for the Prevention and Treatment of Type 2 Diabetes Mellitus in China (2020 Edition)". See the Risk Management Manual for details.</w:t>
      </w:r>
    </w:p>
    <w:p w14:paraId="7041AC1A">
      <w:pPr>
        <w:pStyle w:val="4"/>
        <w:numPr>
          <w:ilvl w:val="2"/>
          <w:numId w:val="37"/>
        </w:numPr>
        <w:overflowPunct w:val="0"/>
        <w:autoSpaceDE w:val="0"/>
        <w:autoSpaceDN w:val="0"/>
        <w:adjustRightInd w:val="0"/>
        <w:snapToGrid w:val="0"/>
        <w:spacing w:before="120" w:beforeLines="50" w:after="120" w:afterLines="50" w:line="300" w:lineRule="auto"/>
        <w:ind w:firstLineChars="0"/>
        <w:jc w:val="left"/>
        <w:rPr>
          <w:rFonts w:cs="Times New Roman"/>
          <w:color w:val="auto"/>
          <w:szCs w:val="24"/>
        </w:rPr>
      </w:pPr>
      <w:r>
        <w:rPr>
          <w:rFonts w:cs="Times New Roman"/>
          <w:color w:val="auto"/>
          <w:szCs w:val="24"/>
        </w:rPr>
        <w:t>The type and dose of long-term medications for chronic diseases (stable dose within 4 weeks before screening), such as antihypertensive drugs, lipid-regulating drugs, and urate-lowering drugs, shall be kept unchanged as much as possible during the study.</w:t>
      </w:r>
    </w:p>
    <w:p w14:paraId="236D51C1">
      <w:pPr>
        <w:pStyle w:val="4"/>
        <w:numPr>
          <w:ilvl w:val="2"/>
          <w:numId w:val="37"/>
        </w:numPr>
        <w:overflowPunct w:val="0"/>
        <w:autoSpaceDE w:val="0"/>
        <w:autoSpaceDN w:val="0"/>
        <w:adjustRightInd w:val="0"/>
        <w:snapToGrid w:val="0"/>
        <w:spacing w:before="120" w:beforeLines="50" w:after="120" w:afterLines="50" w:line="300" w:lineRule="auto"/>
        <w:ind w:firstLineChars="0"/>
        <w:jc w:val="left"/>
        <w:rPr>
          <w:rFonts w:cs="Times New Roman"/>
          <w:color w:val="auto"/>
          <w:szCs w:val="24"/>
        </w:rPr>
      </w:pPr>
      <w:r>
        <w:rPr>
          <w:rFonts w:cs="Times New Roman"/>
          <w:color w:val="auto"/>
          <w:szCs w:val="24"/>
        </w:rPr>
        <w:t>If concomitant medications for other concomitant diseases are required during the study, the dose shall be kept stable as far as possible, and the study physician shall be consulted before using any drugs other than the investigational drug.</w:t>
      </w:r>
    </w:p>
    <w:p w14:paraId="7AB35345">
      <w:pPr>
        <w:pStyle w:val="5"/>
      </w:pPr>
      <w:bookmarkStart w:id="280" w:name="_Toc159596266"/>
      <w:bookmarkStart w:id="281" w:name="_Hlk155201243"/>
      <w:r>
        <w:t>Lifestyle Intervention</w:t>
      </w:r>
      <w:bookmarkEnd w:id="280"/>
    </w:p>
    <w:bookmarkEnd w:id="281"/>
    <w:p w14:paraId="20B375FA">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 xml:space="preserve">From the beginning of the screening period, healthcare professionals with appropriate expertise will be available for diabetes management counseling, which includes education on signs, symptoms, and treatment of hypoglycemia, as well as dietary and exercise guidance. Subjects should not initiate an organized weight loss program during the study, and should follow medical advice for physical activity and diabetic dietary management. The same exercise habits should be maintained and a healthy diet program should be followed to the extent possible. For the methods of lifestyle intervention, please refer to the dietary and exercise guidance in the "Guideline for the Prevention and Treatment of Type 2 Diabetes Mellitus in China (2020 Edition)". See </w:t>
      </w:r>
      <w:r>
        <w:rPr>
          <w:color w:val="0000FF"/>
        </w:rPr>
        <w:fldChar w:fldCharType="begin"/>
      </w:r>
      <w:r>
        <w:rPr>
          <w:color w:val="0000FF"/>
        </w:rPr>
        <w:instrText xml:space="preserve"> REF F6 \h  \* MERGEFORMAT </w:instrText>
      </w:r>
      <w:r>
        <w:rPr>
          <w:color w:val="0000FF"/>
        </w:rPr>
        <w:fldChar w:fldCharType="separate"/>
      </w:r>
      <w:r>
        <w:rPr>
          <w:color w:val="0000FF"/>
        </w:rPr>
        <w:t>Appendix 6</w:t>
      </w:r>
      <w:r>
        <w:rPr>
          <w:color w:val="0000FF"/>
        </w:rPr>
        <w:fldChar w:fldCharType="end"/>
      </w:r>
      <w:r>
        <w:rPr>
          <w:color w:val="auto"/>
        </w:rPr>
        <w:t xml:space="preserve"> for details.</w:t>
      </w:r>
    </w:p>
    <w:p w14:paraId="35276294">
      <w:pPr>
        <w:pStyle w:val="5"/>
      </w:pPr>
      <w:bookmarkStart w:id="282" w:name="_Toc159596267"/>
      <w:r>
        <w:t>Contraception</w:t>
      </w:r>
      <w:bookmarkEnd w:id="282"/>
    </w:p>
    <w:p w14:paraId="42FD8F2C">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 xml:space="preserve">Subjects (including partners) shall take effective methods of contraception throughout the study and for 6 months after drug discontinuation. During the dosing period and within 6 months after the last dose, the investigator shall instruct the subjects or their partners of childbearing age to adopt appropriate methods of contraception. See </w:t>
      </w:r>
      <w:r>
        <w:rPr>
          <w:color w:val="0000FF"/>
        </w:rPr>
        <w:fldChar w:fldCharType="begin"/>
      </w:r>
      <w:r>
        <w:rPr>
          <w:color w:val="0000FF"/>
        </w:rPr>
        <w:instrText xml:space="preserve"> REF F7 \h  \* MERGEFORMAT </w:instrText>
      </w:r>
      <w:r>
        <w:rPr>
          <w:color w:val="0000FF"/>
        </w:rPr>
        <w:fldChar w:fldCharType="separate"/>
      </w:r>
      <w:r>
        <w:rPr>
          <w:color w:val="0000FF"/>
        </w:rPr>
        <w:t>Appendix 7</w:t>
      </w:r>
      <w:r>
        <w:rPr>
          <w:color w:val="0000FF"/>
        </w:rPr>
        <w:fldChar w:fldCharType="end"/>
      </w:r>
      <w:r>
        <w:rPr>
          <w:color w:val="auto"/>
        </w:rPr>
        <w:t xml:space="preserve"> for details.</w:t>
      </w:r>
    </w:p>
    <w:p w14:paraId="2E20A000">
      <w:pPr>
        <w:pStyle w:val="5"/>
      </w:pPr>
      <w:bookmarkStart w:id="283" w:name="_Toc159596268"/>
      <w:r>
        <w:t>Other Restrictions</w:t>
      </w:r>
      <w:bookmarkEnd w:id="283"/>
    </w:p>
    <w:p w14:paraId="34A6E9F5">
      <w:pPr>
        <w:pStyle w:val="58"/>
        <w:numPr>
          <w:ilvl w:val="0"/>
          <w:numId w:val="38"/>
        </w:numPr>
        <w:overflowPunct w:val="0"/>
        <w:autoSpaceDE w:val="0"/>
        <w:autoSpaceDN w:val="0"/>
        <w:adjustRightInd w:val="0"/>
        <w:snapToGrid w:val="0"/>
        <w:spacing w:before="120" w:beforeLines="50" w:after="120" w:afterLines="50" w:line="300" w:lineRule="auto"/>
        <w:ind w:left="426"/>
        <w:jc w:val="left"/>
        <w:rPr>
          <w:color w:val="auto"/>
        </w:rPr>
      </w:pPr>
      <w:r>
        <w:rPr>
          <w:color w:val="auto"/>
        </w:rPr>
        <w:t>Subjects shall not donate blood or receive blood products during the study;</w:t>
      </w:r>
    </w:p>
    <w:p w14:paraId="026A1A33">
      <w:pPr>
        <w:pStyle w:val="58"/>
        <w:numPr>
          <w:ilvl w:val="0"/>
          <w:numId w:val="38"/>
        </w:numPr>
        <w:overflowPunct w:val="0"/>
        <w:autoSpaceDE w:val="0"/>
        <w:autoSpaceDN w:val="0"/>
        <w:adjustRightInd w:val="0"/>
        <w:snapToGrid w:val="0"/>
        <w:spacing w:before="120" w:beforeLines="50" w:after="120" w:afterLines="50" w:line="300" w:lineRule="auto"/>
        <w:ind w:left="426"/>
        <w:jc w:val="left"/>
        <w:rPr>
          <w:color w:val="auto"/>
        </w:rPr>
      </w:pPr>
      <w:r>
        <w:rPr>
          <w:color w:val="auto"/>
        </w:rPr>
        <w:t>Examination items such as weight, waist circumference, hip circumference, blood chemistry, and fasting plasma glucose should be performed under fasting conditions, thus fasting is required at corresponding visits;</w:t>
      </w:r>
    </w:p>
    <w:p w14:paraId="3B7BC0DD">
      <w:pPr>
        <w:pStyle w:val="58"/>
        <w:numPr>
          <w:ilvl w:val="0"/>
          <w:numId w:val="38"/>
        </w:numPr>
        <w:overflowPunct w:val="0"/>
        <w:autoSpaceDE w:val="0"/>
        <w:autoSpaceDN w:val="0"/>
        <w:adjustRightInd w:val="0"/>
        <w:snapToGrid w:val="0"/>
        <w:spacing w:before="120" w:beforeLines="50" w:after="120" w:afterLines="50" w:line="300" w:lineRule="auto"/>
        <w:ind w:left="426"/>
        <w:jc w:val="left"/>
        <w:rPr>
          <w:color w:val="auto"/>
        </w:rPr>
      </w:pPr>
      <w:r>
        <w:rPr>
          <w:color w:val="auto"/>
        </w:rPr>
        <w:t>Subjects shall avoid strenuous exercise and alcohol use within 48 h before blood sampling for clinical laboratory tests.</w:t>
      </w:r>
    </w:p>
    <w:p w14:paraId="146A68CC">
      <w:pPr>
        <w:pStyle w:val="3"/>
        <w:jc w:val="left"/>
      </w:pPr>
      <w:bookmarkStart w:id="284" w:name="_Toc159596269"/>
      <w:r>
        <w:t>STUDY PROCEDURE</w:t>
      </w:r>
      <w:bookmarkEnd w:id="269"/>
      <w:bookmarkEnd w:id="270"/>
      <w:bookmarkEnd w:id="271"/>
      <w:bookmarkEnd w:id="272"/>
      <w:bookmarkEnd w:id="284"/>
    </w:p>
    <w:p w14:paraId="2FA28827">
      <w:pPr>
        <w:pStyle w:val="5"/>
      </w:pPr>
      <w:bookmarkStart w:id="285" w:name="_Toc159596270"/>
      <w:r>
        <w:t>Screening Period (D−14 to D−1)</w:t>
      </w:r>
      <w:bookmarkEnd w:id="285"/>
    </w:p>
    <w:p w14:paraId="3DF61AEF">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After the study protocol is approved by the ethics committee affiliated to the study site, subjects will be screened. The screening physical examination will be performed within 14 days before administration.</w:t>
      </w:r>
    </w:p>
    <w:p w14:paraId="0F192A31">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The subjects shall read the ICF for this study and will be given sufficient time for consideration. After the subjects who decide to participate in the study sign the written ICF, they will receive diet and exercise guidance and a series of inquiries and examinations, including demographics (gender, nationality, age, race), weight, height, BMI, medical history and personal history (allergy history, menstrual history of women, family history, smoking history, drinking history, past medical history, and treatment history), physical examination, vital signs (blood pressure, pulse, respiration, and body temperature), 12-lead ECG, anteroposterior and lateral chest X-ray, fundoscopy, PHQ9 questionnaire, infectious disease examination, routine hematology + Ret, blood chemistry, coagulation test, urinalysis, UACR, HbA1c, T-lymphocyte subsets, five tests of thyroid function, serum calcitonin, blood pregnancy test (for women only), and follicle-stimulating hormone test (for women requiring confirmation of menopause). Specifically, results of anteroposterior and lateral chest X-ray, fundoscopy, and infectious disease examination within 1 month before screening are acceptable.</w:t>
      </w:r>
    </w:p>
    <w:p w14:paraId="25741F36">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For subjects in Part B dose escalation study, the collection of medical history, surgical history, and treatment history, as well as physical examination, vital signs, 12-lead ECG, urine drug screening, breath alcohol test, and blood pregnancy test (for women only) shall be performed again on D−1. Results within 1 week before the first dose are acceptable for the blood pregnancy test on D−1, in which case a urine pregnancy test is required for confirmation (for women only). In addition, subjects in dose escalation group 1 of Part B are required to take 0.5 g of acetaminophen orally on D−1 and undergo PK blood sampling (the above baseline tests for dose escalation group 1 shall be completed before taking acetaminophen).</w:t>
      </w:r>
    </w:p>
    <w:p w14:paraId="094E00AF">
      <w:pPr>
        <w:pStyle w:val="58"/>
        <w:pageBreakBefore/>
        <w:overflowPunct w:val="0"/>
        <w:autoSpaceDE w:val="0"/>
        <w:autoSpaceDN w:val="0"/>
        <w:adjustRightInd w:val="0"/>
        <w:snapToGrid w:val="0"/>
        <w:spacing w:before="120" w:beforeLines="50" w:after="120" w:afterLines="50" w:line="300" w:lineRule="auto"/>
        <w:ind w:firstLine="0"/>
        <w:jc w:val="left"/>
        <w:rPr>
          <w:color w:val="auto"/>
        </w:rPr>
      </w:pPr>
      <w:r>
        <w:rPr>
          <w:color w:val="auto"/>
        </w:rPr>
        <w:t>Subjects must meet all of the inclusion criteria and none of the exclusion criteria before participating in this study and will be assigned randomization numbers after confirmation by the investigator. The investigator will keep the screening records of all subjects, document the reasons for exclusion, and record any recent drug and drug-free therapies in detail.</w:t>
      </w:r>
    </w:p>
    <w:p w14:paraId="107CFC1D">
      <w:pPr>
        <w:pStyle w:val="5"/>
      </w:pPr>
      <w:bookmarkStart w:id="286" w:name="_Toc159596271"/>
      <w:r>
        <w:t>Treatment and Observation Periods</w:t>
      </w:r>
      <w:bookmarkEnd w:id="286"/>
    </w:p>
    <w:p w14:paraId="25E0A367">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 xml:space="preserve">Study endpoints and detection time points are based on the schedule of study procedure. </w:t>
      </w:r>
      <w:r>
        <w:t xml:space="preserve">The specific arrangements for Part A </w:t>
      </w:r>
      <w:r>
        <w:rPr>
          <w:color w:val="auto"/>
        </w:rPr>
        <w:t>and</w:t>
      </w:r>
      <w:r>
        <w:t xml:space="preserve"> Part B expansion study are shown in </w:t>
      </w:r>
      <w:r>
        <w:rPr>
          <w:b/>
          <w:bCs/>
        </w:rPr>
        <w:t>Table 1</w:t>
      </w:r>
      <w:r>
        <w:t xml:space="preserve">, and the specific arrangements for Part B dose escalation study are shown in </w:t>
      </w:r>
      <w:r>
        <w:rPr>
          <w:b/>
          <w:bCs/>
        </w:rPr>
        <w:t>Table 2</w:t>
      </w:r>
      <w:r>
        <w:t xml:space="preserve">. </w:t>
      </w:r>
      <w:r>
        <w:rPr>
          <w:color w:val="auto"/>
        </w:rPr>
        <w:t>Throughout the study period, the subjects shall be instructed and reminded to report adverse events to medical staff immediately.</w:t>
      </w:r>
      <w:bookmarkStart w:id="287" w:name="_Toc489119499"/>
      <w:bookmarkStart w:id="288" w:name="_Toc6363"/>
      <w:bookmarkStart w:id="289" w:name="_Toc18573"/>
      <w:bookmarkStart w:id="290" w:name="_Toc454282555"/>
      <w:bookmarkStart w:id="291" w:name="_Toc449344635"/>
      <w:bookmarkStart w:id="292" w:name="_Toc28298"/>
    </w:p>
    <w:bookmarkEnd w:id="273"/>
    <w:bookmarkEnd w:id="274"/>
    <w:bookmarkEnd w:id="287"/>
    <w:bookmarkEnd w:id="288"/>
    <w:bookmarkEnd w:id="289"/>
    <w:bookmarkEnd w:id="290"/>
    <w:bookmarkEnd w:id="291"/>
    <w:bookmarkEnd w:id="292"/>
    <w:p w14:paraId="35E9691B">
      <w:pPr>
        <w:pStyle w:val="3"/>
      </w:pPr>
      <w:bookmarkStart w:id="293" w:name="_Toc807"/>
      <w:bookmarkStart w:id="294" w:name="_Toc8916"/>
      <w:bookmarkStart w:id="295" w:name="_Toc2232"/>
      <w:bookmarkStart w:id="296" w:name="_Toc447956205"/>
      <w:bookmarkStart w:id="297" w:name="_Toc159596272"/>
      <w:bookmarkStart w:id="298" w:name="_Toc493637980"/>
      <w:r>
        <w:t>BIOLOGICAL SAMPLES</w:t>
      </w:r>
      <w:bookmarkEnd w:id="293"/>
      <w:bookmarkEnd w:id="294"/>
      <w:bookmarkEnd w:id="295"/>
      <w:bookmarkEnd w:id="296"/>
      <w:bookmarkEnd w:id="297"/>
      <w:bookmarkEnd w:id="298"/>
    </w:p>
    <w:p w14:paraId="5671FD9C">
      <w:pPr>
        <w:pStyle w:val="5"/>
      </w:pPr>
      <w:bookmarkStart w:id="299" w:name="_Toc159596273"/>
      <w:bookmarkStart w:id="300" w:name="_Toc489119618"/>
      <w:bookmarkStart w:id="301" w:name="_Toc17534"/>
      <w:bookmarkStart w:id="302" w:name="_Toc454282562"/>
      <w:bookmarkStart w:id="303" w:name="_Toc21973"/>
      <w:bookmarkStart w:id="304" w:name="_Toc28067"/>
      <w:r>
        <w:t>Collection of Biological Samples</w:t>
      </w:r>
      <w:bookmarkEnd w:id="299"/>
    </w:p>
    <w:p w14:paraId="6E1B2A7A">
      <w:pPr>
        <w:pStyle w:val="6"/>
        <w:rPr>
          <w:rFonts w:eastAsia="宋体"/>
        </w:rPr>
      </w:pPr>
      <w:bookmarkStart w:id="305" w:name="_Toc159596274"/>
      <w:r>
        <w:t>Collection of pharmacokinetic samples</w:t>
      </w:r>
      <w:bookmarkEnd w:id="300"/>
      <w:bookmarkEnd w:id="301"/>
      <w:bookmarkEnd w:id="302"/>
      <w:bookmarkEnd w:id="303"/>
      <w:bookmarkEnd w:id="304"/>
      <w:bookmarkEnd w:id="305"/>
    </w:p>
    <w:p w14:paraId="23397E3D">
      <w:pPr>
        <w:pStyle w:val="58"/>
        <w:overflowPunct w:val="0"/>
        <w:autoSpaceDE w:val="0"/>
        <w:autoSpaceDN w:val="0"/>
        <w:adjustRightInd w:val="0"/>
        <w:snapToGrid w:val="0"/>
        <w:spacing w:before="120" w:beforeLines="50" w:after="120" w:afterLines="50" w:line="300" w:lineRule="auto"/>
        <w:ind w:firstLine="0"/>
        <w:jc w:val="left"/>
      </w:pPr>
      <w:r>
        <w:t>According to the guidelines for pharmacokinetics, a complete plasma concentration-time curve shall take into account the absorption phase, distribution phase, and elimination phase. Specific blood collection time points are as follows:</w:t>
      </w:r>
    </w:p>
    <w:p w14:paraId="586607F2">
      <w:pPr>
        <w:pStyle w:val="58"/>
        <w:overflowPunct w:val="0"/>
        <w:autoSpaceDE w:val="0"/>
        <w:autoSpaceDN w:val="0"/>
        <w:adjustRightInd w:val="0"/>
        <w:snapToGrid w:val="0"/>
        <w:spacing w:before="120" w:beforeLines="50" w:after="120" w:afterLines="50" w:line="300" w:lineRule="auto"/>
        <w:ind w:firstLine="0"/>
        <w:jc w:val="left"/>
      </w:pPr>
      <w:r>
        <w:rPr>
          <w:b/>
          <w:bCs/>
        </w:rPr>
        <w:t>Part A and Part B expansion study:</w:t>
      </w:r>
      <w:r>
        <w:t xml:space="preserve"> PK blood samples of RAY1225 will be collected once before the first dose, pre-dose at weeks 4, 8, 12, and 16, pre-dose and at 4–72 h and 96–240 h post-dose at week 22, at week 24 or 26, and at early withdrawal. Each subject will have up to 10 blood sampling points, with approximately 4 mL of blood to be drawn each time.</w:t>
      </w:r>
    </w:p>
    <w:p w14:paraId="5D4BA142">
      <w:pPr>
        <w:pStyle w:val="58"/>
        <w:overflowPunct w:val="0"/>
        <w:autoSpaceDE w:val="0"/>
        <w:autoSpaceDN w:val="0"/>
        <w:adjustRightInd w:val="0"/>
        <w:snapToGrid w:val="0"/>
        <w:spacing w:before="120" w:beforeLines="50" w:after="120" w:afterLines="50" w:line="300" w:lineRule="auto"/>
        <w:ind w:firstLine="0"/>
        <w:jc w:val="left"/>
      </w:pPr>
      <w:r>
        <w:rPr>
          <w:b/>
          <w:bCs/>
        </w:rPr>
        <w:t>Part B dose escalation study:</w:t>
      </w:r>
      <w:r>
        <w:t xml:space="preserve"> PK blood samples of RAY1225 will be collected once before the first dose, pre-dose at weeks 4, 8, 12, and 16, pre-dose and at 4 h, 8 h, 24 h, 48 h, 72 h, 168 h, 240 h, 336 h, 504 h, 672 h, 840 h, and 1008 h post-dose at week 22, and at early withdrawal, respectively. Each subject will have up to 18 blood sampling points, with approximately 4 mL of blood to be drawn each time.</w:t>
      </w:r>
    </w:p>
    <w:p w14:paraId="50463DAA">
      <w:pPr>
        <w:pStyle w:val="58"/>
        <w:overflowPunct w:val="0"/>
        <w:autoSpaceDE w:val="0"/>
        <w:autoSpaceDN w:val="0"/>
        <w:adjustRightInd w:val="0"/>
        <w:snapToGrid w:val="0"/>
        <w:spacing w:before="120" w:beforeLines="50" w:after="120" w:afterLines="50" w:line="300" w:lineRule="auto"/>
        <w:ind w:firstLine="0"/>
        <w:jc w:val="left"/>
      </w:pPr>
      <w:r>
        <w:rPr>
          <w:b/>
          <w:bCs/>
        </w:rPr>
        <w:t>PK sampling for acetaminophen (for dose escalation group 1 only):</w:t>
      </w:r>
      <w:r>
        <w:t xml:space="preserve"> For the 2 acetaminophen doses in dose escalation group 1, subjects will receive intensive blood sampling twice within 2 h pre-dose and at 0.25 h, 0.5 h, 0.75 h, 1 h, 2 h, 3 h, 4 h, 6 h, 9 h, 12 h, and 24 h post-dose, respectively, to determine the concentration of acetaminophen in plasma, with a total of 24 blood sampling points and approximately 3 mL of blood to be drawn each time.</w:t>
      </w:r>
    </w:p>
    <w:p w14:paraId="6A1A698D">
      <w:pPr>
        <w:pStyle w:val="6"/>
        <w:pageBreakBefore/>
        <w:rPr>
          <w:rFonts w:eastAsia="宋体"/>
        </w:rPr>
      </w:pPr>
      <w:bookmarkStart w:id="306" w:name="_Toc159596275"/>
      <w:r>
        <w:t>Collection of immunogenicity samples</w:t>
      </w:r>
      <w:bookmarkEnd w:id="306"/>
    </w:p>
    <w:p w14:paraId="6957FA6A">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Blood samples for immunogenicity test will be collected from subjects at the following time points, with approximately 5 mL of blood to be drawn each time. If blood sample collection for immunogenicity test and subcutaneous administration of RAY1225 are on the same day, blood sampling should be completed before administration.</w:t>
      </w:r>
    </w:p>
    <w:p w14:paraId="11462ED8">
      <w:pPr>
        <w:pStyle w:val="58"/>
        <w:numPr>
          <w:ilvl w:val="0"/>
          <w:numId w:val="39"/>
        </w:numPr>
        <w:overflowPunct w:val="0"/>
        <w:autoSpaceDE w:val="0"/>
        <w:autoSpaceDN w:val="0"/>
        <w:adjustRightInd w:val="0"/>
        <w:snapToGrid w:val="0"/>
        <w:spacing w:before="120" w:beforeLines="50" w:after="120" w:afterLines="50" w:line="300" w:lineRule="auto"/>
        <w:ind w:left="426" w:hanging="425"/>
        <w:jc w:val="left"/>
        <w:rPr>
          <w:color w:val="auto"/>
        </w:rPr>
      </w:pPr>
      <w:r>
        <w:rPr>
          <w:b/>
          <w:bCs/>
        </w:rPr>
        <w:t>Part A and Part B expansion study:</w:t>
      </w:r>
      <w:r>
        <w:t xml:space="preserve"> </w:t>
      </w:r>
      <w:r>
        <w:rPr>
          <w:color w:val="auto"/>
        </w:rPr>
        <w:t>Blood samples will be collected</w:t>
      </w:r>
      <w:r>
        <w:t xml:space="preserve"> before the first dose and at weeks 2, 4, 12, 22, and 26 after the first dose, respectively;</w:t>
      </w:r>
    </w:p>
    <w:p w14:paraId="4C7FD821">
      <w:pPr>
        <w:pStyle w:val="58"/>
        <w:numPr>
          <w:ilvl w:val="0"/>
          <w:numId w:val="39"/>
        </w:numPr>
        <w:overflowPunct w:val="0"/>
        <w:autoSpaceDE w:val="0"/>
        <w:autoSpaceDN w:val="0"/>
        <w:adjustRightInd w:val="0"/>
        <w:snapToGrid w:val="0"/>
        <w:spacing w:before="120" w:beforeLines="50" w:after="120" w:afterLines="50" w:line="300" w:lineRule="auto"/>
        <w:ind w:left="426" w:hanging="425"/>
        <w:jc w:val="left"/>
        <w:rPr>
          <w:color w:val="auto"/>
        </w:rPr>
      </w:pPr>
      <w:r>
        <w:rPr>
          <w:b/>
          <w:bCs/>
          <w:color w:val="auto"/>
        </w:rPr>
        <w:t>Part B dose escalation study</w:t>
      </w:r>
      <w:r>
        <w:rPr>
          <w:color w:val="auto"/>
        </w:rPr>
        <w:t>: Samples will be collected before the first dose and at weeks 2, 4, 12, 22, 26, and 28 after the first dose, respectively.</w:t>
      </w:r>
    </w:p>
    <w:p w14:paraId="2AB66BC6">
      <w:pPr>
        <w:pStyle w:val="6"/>
        <w:rPr>
          <w:rFonts w:eastAsia="宋体"/>
        </w:rPr>
      </w:pPr>
      <w:bookmarkStart w:id="307" w:name="_Toc159596276"/>
      <w:bookmarkStart w:id="308" w:name="_Toc10396"/>
      <w:bookmarkStart w:id="309" w:name="_Toc29620"/>
      <w:bookmarkStart w:id="310" w:name="_Toc1030"/>
      <w:r>
        <w:t>Collection and processing methods of biological samples</w:t>
      </w:r>
      <w:bookmarkEnd w:id="307"/>
      <w:bookmarkEnd w:id="308"/>
      <w:bookmarkEnd w:id="309"/>
      <w:bookmarkEnd w:id="310"/>
    </w:p>
    <w:p w14:paraId="3351587B">
      <w:pPr>
        <w:pStyle w:val="58"/>
        <w:overflowPunct w:val="0"/>
        <w:autoSpaceDE w:val="0"/>
        <w:autoSpaceDN w:val="0"/>
        <w:adjustRightInd w:val="0"/>
        <w:snapToGrid w:val="0"/>
        <w:spacing w:before="120" w:beforeLines="50" w:after="120" w:afterLines="50" w:line="300" w:lineRule="auto"/>
        <w:ind w:firstLine="0"/>
        <w:jc w:val="left"/>
      </w:pPr>
      <w:r>
        <w:t xml:space="preserve">Blood samples will be collected from the forearm vein of the subjects. </w:t>
      </w:r>
      <w:bookmarkStart w:id="311" w:name="_Hlk155310735"/>
      <w:r>
        <w:t>See the laboratory manual provided by the testing facility for the specific methods of blood sampling, processing, and analysis.</w:t>
      </w:r>
      <w:bookmarkEnd w:id="311"/>
    </w:p>
    <w:p w14:paraId="52BC4072">
      <w:pPr>
        <w:pStyle w:val="58"/>
        <w:overflowPunct w:val="0"/>
        <w:autoSpaceDE w:val="0"/>
        <w:autoSpaceDN w:val="0"/>
        <w:adjustRightInd w:val="0"/>
        <w:snapToGrid w:val="0"/>
        <w:spacing w:before="120" w:beforeLines="50" w:after="120" w:afterLines="50" w:line="300" w:lineRule="auto"/>
        <w:ind w:firstLine="0"/>
        <w:jc w:val="left"/>
      </w:pPr>
      <w:r>
        <w:t xml:space="preserve">In this study, blood samples shall be collected within the allowed time frame. See </w:t>
      </w:r>
      <w:r>
        <w:rPr>
          <w:color w:val="0000FF"/>
        </w:rPr>
        <w:fldChar w:fldCharType="begin"/>
      </w:r>
      <w:r>
        <w:rPr>
          <w:color w:val="0000FF"/>
        </w:rPr>
        <w:instrText xml:space="preserve"> REF F8 \h  \* MERGEFORMAT </w:instrText>
      </w:r>
      <w:r>
        <w:rPr>
          <w:color w:val="0000FF"/>
        </w:rPr>
        <w:fldChar w:fldCharType="separate"/>
      </w:r>
      <w:r>
        <w:rPr>
          <w:color w:val="0000FF"/>
        </w:rPr>
        <w:t>Appendix 8</w:t>
      </w:r>
      <w:r>
        <w:rPr>
          <w:color w:val="0000FF"/>
        </w:rPr>
        <w:fldChar w:fldCharType="end"/>
      </w:r>
      <w:r>
        <w:t xml:space="preserve"> for the time deviations allowed during blood collection. The exact date and time of sampling shall be recorded in the eCRF.</w:t>
      </w:r>
    </w:p>
    <w:p w14:paraId="7CB45326">
      <w:pPr>
        <w:pStyle w:val="5"/>
      </w:pPr>
      <w:bookmarkStart w:id="312" w:name="_Toc447956220"/>
      <w:bookmarkStart w:id="313" w:name="_Toc419832672"/>
      <w:bookmarkStart w:id="314" w:name="_Toc159596277"/>
      <w:bookmarkStart w:id="315" w:name="_Toc12191"/>
      <w:bookmarkStart w:id="316" w:name="_Toc10166"/>
      <w:bookmarkStart w:id="317" w:name="_Toc487033038"/>
      <w:bookmarkStart w:id="318" w:name="_Toc23068"/>
      <w:r>
        <w:t>Nomenclature of Biological Samples</w:t>
      </w:r>
      <w:bookmarkEnd w:id="312"/>
      <w:bookmarkEnd w:id="313"/>
      <w:bookmarkEnd w:id="314"/>
      <w:bookmarkEnd w:id="315"/>
      <w:bookmarkEnd w:id="316"/>
      <w:bookmarkEnd w:id="317"/>
      <w:bookmarkEnd w:id="318"/>
    </w:p>
    <w:p w14:paraId="2CE6DDA7">
      <w:pPr>
        <w:pStyle w:val="58"/>
        <w:overflowPunct w:val="0"/>
        <w:autoSpaceDE w:val="0"/>
        <w:autoSpaceDN w:val="0"/>
        <w:adjustRightInd w:val="0"/>
        <w:snapToGrid w:val="0"/>
        <w:spacing w:before="120" w:beforeLines="50" w:after="120" w:afterLines="50" w:line="300" w:lineRule="auto"/>
        <w:ind w:firstLine="0"/>
        <w:jc w:val="left"/>
      </w:pPr>
      <w:r>
        <w:t>Blood samples will be collected at designed time points during the study, and blood collection tubes and cryopreservation tubes will be uniformly numbered and attached with designated labels before blood sample collection. See the corresponding laboratory manual for the template of biological sample labels.</w:t>
      </w:r>
    </w:p>
    <w:p w14:paraId="2FD22B75">
      <w:pPr>
        <w:pStyle w:val="3"/>
      </w:pPr>
      <w:bookmarkStart w:id="319" w:name="_Toc25411"/>
      <w:bookmarkStart w:id="320" w:name="_Toc493637981"/>
      <w:bookmarkStart w:id="321" w:name="_Toc159596278"/>
      <w:bookmarkStart w:id="322" w:name="_Toc12576"/>
      <w:bookmarkStart w:id="323" w:name="_Toc2891"/>
      <w:r>
        <w:t>ENDPOINTS</w:t>
      </w:r>
      <w:bookmarkEnd w:id="319"/>
      <w:bookmarkEnd w:id="320"/>
      <w:bookmarkEnd w:id="321"/>
      <w:bookmarkEnd w:id="322"/>
      <w:bookmarkEnd w:id="323"/>
    </w:p>
    <w:p w14:paraId="2CD9EE8A">
      <w:pPr>
        <w:pStyle w:val="5"/>
      </w:pPr>
      <w:bookmarkStart w:id="324" w:name="_Toc29008"/>
      <w:bookmarkStart w:id="325" w:name="_Toc159596279"/>
      <w:bookmarkStart w:id="326" w:name="_Toc27467"/>
      <w:bookmarkStart w:id="327" w:name="_Toc17825"/>
      <w:r>
        <w:t>Safety Evaluation</w:t>
      </w:r>
      <w:bookmarkEnd w:id="324"/>
      <w:bookmarkEnd w:id="325"/>
      <w:bookmarkEnd w:id="326"/>
      <w:bookmarkEnd w:id="327"/>
    </w:p>
    <w:p w14:paraId="6CF469E5">
      <w:pPr>
        <w:pStyle w:val="78"/>
        <w:numPr>
          <w:ilvl w:val="0"/>
          <w:numId w:val="40"/>
        </w:numPr>
        <w:overflowPunct w:val="0"/>
        <w:autoSpaceDE w:val="0"/>
        <w:autoSpaceDN w:val="0"/>
        <w:adjustRightInd w:val="0"/>
        <w:snapToGrid w:val="0"/>
        <w:spacing w:before="120" w:beforeLines="50" w:after="120" w:afterLines="50" w:line="300" w:lineRule="auto"/>
        <w:ind w:left="420"/>
        <w:jc w:val="left"/>
        <w:rPr>
          <w:rFonts w:hAnsi="Times New Roman" w:eastAsia="宋体" w:cs="Times New Roman"/>
          <w:b/>
          <w:color w:val="auto"/>
        </w:rPr>
      </w:pPr>
      <w:r>
        <w:rPr>
          <w:rFonts w:hAnsi="Times New Roman" w:cs="Times New Roman"/>
          <w:b/>
          <w:color w:val="auto"/>
        </w:rPr>
        <w:t>Laboratory tests</w:t>
      </w:r>
    </w:p>
    <w:p w14:paraId="1B63021B">
      <w:pPr>
        <w:pStyle w:val="78"/>
        <w:numPr>
          <w:ilvl w:val="0"/>
          <w:numId w:val="41"/>
        </w:numPr>
        <w:overflowPunct w:val="0"/>
        <w:autoSpaceDE w:val="0"/>
        <w:autoSpaceDN w:val="0"/>
        <w:adjustRightInd w:val="0"/>
        <w:snapToGrid w:val="0"/>
        <w:spacing w:before="120" w:beforeLines="50" w:after="120" w:afterLines="50" w:line="300" w:lineRule="auto"/>
        <w:ind w:left="420"/>
        <w:jc w:val="left"/>
        <w:rPr>
          <w:rFonts w:hAnsi="Times New Roman" w:eastAsia="宋体" w:cs="Times New Roman"/>
          <w:b/>
          <w:color w:val="auto"/>
        </w:rPr>
      </w:pPr>
      <w:r>
        <w:rPr>
          <w:rFonts w:hAnsi="Times New Roman" w:cs="Times New Roman"/>
          <w:b/>
          <w:color w:val="auto"/>
        </w:rPr>
        <w:t>Routine hematology + Ret, blood chemistry, coagulation test, urinalysis, and UACR</w:t>
      </w:r>
    </w:p>
    <w:p w14:paraId="3B8451F3">
      <w:pPr>
        <w:pStyle w:val="58"/>
        <w:overflowPunct w:val="0"/>
        <w:autoSpaceDE w:val="0"/>
        <w:autoSpaceDN w:val="0"/>
        <w:adjustRightInd w:val="0"/>
        <w:snapToGrid w:val="0"/>
        <w:spacing w:before="120" w:beforeLines="50" w:after="120" w:afterLines="50" w:line="300" w:lineRule="auto"/>
        <w:ind w:firstLine="0"/>
        <w:jc w:val="left"/>
        <w:rPr>
          <w:color w:val="auto"/>
          <w:kern w:val="0"/>
        </w:rPr>
      </w:pPr>
      <w:r>
        <w:rPr>
          <w:color w:val="auto"/>
        </w:rPr>
        <w:t>Test time points:</w:t>
      </w:r>
    </w:p>
    <w:p w14:paraId="4AC69A3E">
      <w:pPr>
        <w:pStyle w:val="58"/>
        <w:numPr>
          <w:ilvl w:val="0"/>
          <w:numId w:val="42"/>
        </w:numPr>
        <w:overflowPunct w:val="0"/>
        <w:autoSpaceDE w:val="0"/>
        <w:autoSpaceDN w:val="0"/>
        <w:adjustRightInd w:val="0"/>
        <w:snapToGrid w:val="0"/>
        <w:spacing w:before="120" w:beforeLines="50" w:after="120" w:afterLines="50" w:line="300" w:lineRule="auto"/>
        <w:jc w:val="left"/>
        <w:rPr>
          <w:color w:val="auto"/>
          <w:kern w:val="0"/>
        </w:rPr>
      </w:pPr>
      <w:r>
        <w:rPr>
          <w:color w:val="auto"/>
        </w:rPr>
        <w:t>Part A and Part B expansion study: at screening, before the first dose, and every 2 weeks after the first dose.</w:t>
      </w:r>
    </w:p>
    <w:p w14:paraId="75D669AA">
      <w:pPr>
        <w:pStyle w:val="58"/>
        <w:numPr>
          <w:ilvl w:val="0"/>
          <w:numId w:val="42"/>
        </w:numPr>
        <w:overflowPunct w:val="0"/>
        <w:autoSpaceDE w:val="0"/>
        <w:autoSpaceDN w:val="0"/>
        <w:adjustRightInd w:val="0"/>
        <w:snapToGrid w:val="0"/>
        <w:spacing w:before="120" w:beforeLines="50" w:after="120" w:afterLines="50" w:line="300" w:lineRule="auto"/>
        <w:jc w:val="left"/>
        <w:rPr>
          <w:color w:val="auto"/>
          <w:kern w:val="0"/>
        </w:rPr>
      </w:pPr>
      <w:r>
        <w:rPr>
          <w:color w:val="auto"/>
        </w:rPr>
        <w:t>Part B dose escalation study: at screening, before the first dose, and every 2 weeks after the first dose.</w:t>
      </w:r>
    </w:p>
    <w:p w14:paraId="547DDF98">
      <w:pPr>
        <w:pStyle w:val="78"/>
        <w:numPr>
          <w:ilvl w:val="0"/>
          <w:numId w:val="41"/>
        </w:numPr>
        <w:overflowPunct w:val="0"/>
        <w:autoSpaceDE w:val="0"/>
        <w:autoSpaceDN w:val="0"/>
        <w:adjustRightInd w:val="0"/>
        <w:snapToGrid w:val="0"/>
        <w:spacing w:before="120" w:beforeLines="50" w:after="120" w:afterLines="50" w:line="300" w:lineRule="auto"/>
        <w:ind w:left="420"/>
        <w:jc w:val="left"/>
        <w:rPr>
          <w:rFonts w:hAnsi="Times New Roman" w:eastAsia="宋体" w:cs="Times New Roman"/>
          <w:b/>
          <w:color w:val="auto"/>
        </w:rPr>
      </w:pPr>
      <w:r>
        <w:rPr>
          <w:rFonts w:hAnsi="Times New Roman" w:cs="Times New Roman"/>
          <w:b/>
          <w:color w:val="auto"/>
        </w:rPr>
        <w:t>Serum calcitonin, T-lymphocyte subsets, five tests of thyroid function, and fundoscopy</w:t>
      </w:r>
    </w:p>
    <w:p w14:paraId="66F31E65">
      <w:pPr>
        <w:pStyle w:val="58"/>
        <w:overflowPunct w:val="0"/>
        <w:autoSpaceDE w:val="0"/>
        <w:autoSpaceDN w:val="0"/>
        <w:adjustRightInd w:val="0"/>
        <w:snapToGrid w:val="0"/>
        <w:spacing w:before="120" w:beforeLines="50" w:after="120" w:afterLines="50" w:line="300" w:lineRule="auto"/>
        <w:ind w:firstLine="0"/>
        <w:rPr>
          <w:color w:val="auto"/>
          <w:kern w:val="0"/>
        </w:rPr>
      </w:pPr>
      <w:r>
        <w:rPr>
          <w:color w:val="auto"/>
        </w:rPr>
        <w:t>Test time points:</w:t>
      </w:r>
    </w:p>
    <w:p w14:paraId="17E1F21E">
      <w:pPr>
        <w:pStyle w:val="58"/>
        <w:numPr>
          <w:ilvl w:val="0"/>
          <w:numId w:val="42"/>
        </w:numPr>
        <w:overflowPunct w:val="0"/>
        <w:autoSpaceDE w:val="0"/>
        <w:autoSpaceDN w:val="0"/>
        <w:adjustRightInd w:val="0"/>
        <w:snapToGrid w:val="0"/>
        <w:spacing w:before="120" w:beforeLines="50" w:after="120" w:afterLines="50" w:line="300" w:lineRule="auto"/>
        <w:jc w:val="left"/>
        <w:rPr>
          <w:color w:val="auto"/>
          <w:kern w:val="0"/>
        </w:rPr>
      </w:pPr>
      <w:r>
        <w:rPr>
          <w:color w:val="auto"/>
        </w:rPr>
        <w:t>Part A and Part B expansion study: at screening and 26 weeks after the first dose.</w:t>
      </w:r>
    </w:p>
    <w:p w14:paraId="45255CF0">
      <w:pPr>
        <w:pStyle w:val="58"/>
        <w:numPr>
          <w:ilvl w:val="0"/>
          <w:numId w:val="42"/>
        </w:numPr>
        <w:overflowPunct w:val="0"/>
        <w:autoSpaceDE w:val="0"/>
        <w:autoSpaceDN w:val="0"/>
        <w:adjustRightInd w:val="0"/>
        <w:snapToGrid w:val="0"/>
        <w:spacing w:before="120" w:beforeLines="50" w:after="120" w:afterLines="50" w:line="300" w:lineRule="auto"/>
        <w:jc w:val="left"/>
        <w:rPr>
          <w:color w:val="auto"/>
          <w:kern w:val="0"/>
        </w:rPr>
      </w:pPr>
      <w:r>
        <w:rPr>
          <w:color w:val="auto"/>
        </w:rPr>
        <w:t>Part B dose escalation study: at screening and 28 weeks after the first dose.</w:t>
      </w:r>
    </w:p>
    <w:p w14:paraId="05364641">
      <w:pPr>
        <w:pStyle w:val="78"/>
        <w:numPr>
          <w:ilvl w:val="0"/>
          <w:numId w:val="40"/>
        </w:numPr>
        <w:overflowPunct w:val="0"/>
        <w:autoSpaceDE w:val="0"/>
        <w:autoSpaceDN w:val="0"/>
        <w:adjustRightInd w:val="0"/>
        <w:snapToGrid w:val="0"/>
        <w:spacing w:before="120" w:beforeLines="50" w:after="120" w:afterLines="50" w:line="300" w:lineRule="auto"/>
        <w:ind w:left="420"/>
        <w:jc w:val="left"/>
        <w:rPr>
          <w:rFonts w:hAnsi="Times New Roman" w:eastAsia="宋体" w:cs="Times New Roman"/>
          <w:b/>
          <w:color w:val="auto"/>
        </w:rPr>
      </w:pPr>
      <w:r>
        <w:rPr>
          <w:rFonts w:hAnsi="Times New Roman" w:cs="Times New Roman"/>
          <w:b/>
          <w:color w:val="auto"/>
        </w:rPr>
        <w:t>12-lead ECG</w:t>
      </w:r>
    </w:p>
    <w:p w14:paraId="1D9822DF">
      <w:pPr>
        <w:pStyle w:val="58"/>
        <w:overflowPunct w:val="0"/>
        <w:autoSpaceDE w:val="0"/>
        <w:autoSpaceDN w:val="0"/>
        <w:adjustRightInd w:val="0"/>
        <w:snapToGrid w:val="0"/>
        <w:spacing w:before="120" w:beforeLines="50" w:after="120" w:afterLines="50" w:line="300" w:lineRule="auto"/>
        <w:ind w:firstLine="0"/>
        <w:jc w:val="left"/>
        <w:rPr>
          <w:color w:val="auto"/>
          <w:kern w:val="0"/>
        </w:rPr>
      </w:pPr>
      <w:r>
        <w:rPr>
          <w:color w:val="auto"/>
        </w:rPr>
        <w:t>Test time points:</w:t>
      </w:r>
    </w:p>
    <w:p w14:paraId="707E7663">
      <w:pPr>
        <w:pStyle w:val="58"/>
        <w:numPr>
          <w:ilvl w:val="0"/>
          <w:numId w:val="42"/>
        </w:numPr>
        <w:overflowPunct w:val="0"/>
        <w:autoSpaceDE w:val="0"/>
        <w:autoSpaceDN w:val="0"/>
        <w:adjustRightInd w:val="0"/>
        <w:snapToGrid w:val="0"/>
        <w:spacing w:before="120" w:beforeLines="50" w:after="120" w:afterLines="50" w:line="300" w:lineRule="auto"/>
        <w:jc w:val="left"/>
        <w:rPr>
          <w:color w:val="auto"/>
          <w:kern w:val="0"/>
        </w:rPr>
      </w:pPr>
      <w:r>
        <w:rPr>
          <w:color w:val="auto"/>
        </w:rPr>
        <w:t xml:space="preserve">Part A and Part B expansion study: </w:t>
      </w:r>
      <w:bookmarkStart w:id="328" w:name="_Hlk120808796"/>
      <w:r>
        <w:rPr>
          <w:color w:val="auto"/>
        </w:rPr>
        <w:t xml:space="preserve">at screening, before the first dose, every 2 weeks after the first dose, </w:t>
      </w:r>
      <w:bookmarkEnd w:id="328"/>
      <w:r>
        <w:rPr>
          <w:color w:val="auto"/>
        </w:rPr>
        <w:t>and before the two PK blood collections within 4–72 h and 96–240 h after the last dose.</w:t>
      </w:r>
    </w:p>
    <w:p w14:paraId="73FFF3EB">
      <w:pPr>
        <w:pStyle w:val="58"/>
        <w:numPr>
          <w:ilvl w:val="0"/>
          <w:numId w:val="42"/>
        </w:numPr>
        <w:overflowPunct w:val="0"/>
        <w:autoSpaceDE w:val="0"/>
        <w:autoSpaceDN w:val="0"/>
        <w:adjustRightInd w:val="0"/>
        <w:snapToGrid w:val="0"/>
        <w:spacing w:before="120" w:beforeLines="50" w:after="120" w:afterLines="50" w:line="300" w:lineRule="auto"/>
        <w:jc w:val="left"/>
        <w:rPr>
          <w:color w:val="auto"/>
          <w:kern w:val="0"/>
        </w:rPr>
      </w:pPr>
      <w:r>
        <w:rPr>
          <w:color w:val="auto"/>
        </w:rPr>
        <w:t>Part B dose escalation study: at screening, on D−1, before the first dose, every 2 weeks after the first dose, and before each PK blood collection before and after the last dose. Specifically, the test will be performed once each at screening and on D−1 and 3 consecutive times at each other test time point at an interval of about 1–2 min. If QTcF &gt; 500 ms or shows a prolongation of 45 ms from baseline, individual ECGs must be repeated at least hourly until the QTcF values fall below the above threshold on 2 consecutive ECGs. If QTcF persists above 500 ms for more than 4 h or prolongs from baseline by &gt; 45 ms, or the QTcF interval prolongs gradually, continuous ECG monitoring will be performed.</w:t>
      </w:r>
    </w:p>
    <w:p w14:paraId="29CCAC97">
      <w:pPr>
        <w:pStyle w:val="78"/>
        <w:numPr>
          <w:ilvl w:val="0"/>
          <w:numId w:val="40"/>
        </w:numPr>
        <w:overflowPunct w:val="0"/>
        <w:autoSpaceDE w:val="0"/>
        <w:autoSpaceDN w:val="0"/>
        <w:adjustRightInd w:val="0"/>
        <w:snapToGrid w:val="0"/>
        <w:spacing w:before="120" w:beforeLines="50" w:after="120" w:afterLines="50" w:line="300" w:lineRule="auto"/>
        <w:ind w:left="420"/>
        <w:rPr>
          <w:rFonts w:hAnsi="Times New Roman" w:eastAsia="宋体" w:cs="Times New Roman"/>
          <w:b/>
          <w:color w:val="auto"/>
        </w:rPr>
      </w:pPr>
      <w:r>
        <w:rPr>
          <w:rFonts w:hAnsi="Times New Roman" w:cs="Times New Roman"/>
          <w:b/>
          <w:color w:val="auto"/>
        </w:rPr>
        <w:t>Vital signs</w:t>
      </w:r>
    </w:p>
    <w:p w14:paraId="6C145995">
      <w:pPr>
        <w:pStyle w:val="58"/>
        <w:overflowPunct w:val="0"/>
        <w:autoSpaceDE w:val="0"/>
        <w:autoSpaceDN w:val="0"/>
        <w:adjustRightInd w:val="0"/>
        <w:snapToGrid w:val="0"/>
        <w:spacing w:before="120" w:beforeLines="50" w:after="120" w:afterLines="50" w:line="300" w:lineRule="auto"/>
        <w:ind w:firstLine="0"/>
        <w:rPr>
          <w:color w:val="auto"/>
          <w:kern w:val="0"/>
        </w:rPr>
      </w:pPr>
      <w:r>
        <w:rPr>
          <w:color w:val="auto"/>
        </w:rPr>
        <w:t>Test time points:</w:t>
      </w:r>
    </w:p>
    <w:p w14:paraId="63BDABF4">
      <w:pPr>
        <w:pStyle w:val="58"/>
        <w:numPr>
          <w:ilvl w:val="0"/>
          <w:numId w:val="42"/>
        </w:numPr>
        <w:overflowPunct w:val="0"/>
        <w:autoSpaceDE w:val="0"/>
        <w:autoSpaceDN w:val="0"/>
        <w:adjustRightInd w:val="0"/>
        <w:snapToGrid w:val="0"/>
        <w:spacing w:before="120" w:beforeLines="50" w:after="120" w:afterLines="50" w:line="300" w:lineRule="auto"/>
        <w:jc w:val="left"/>
        <w:rPr>
          <w:color w:val="auto"/>
          <w:kern w:val="0"/>
        </w:rPr>
      </w:pPr>
      <w:r>
        <w:rPr>
          <w:color w:val="auto"/>
        </w:rPr>
        <w:t>Part A and Part B expansion study: at screening, before the first dose, every 2 weeks after the first dose, and before the two PK blood collections within 4–72 h and 96–240 h after the last dose.</w:t>
      </w:r>
    </w:p>
    <w:p w14:paraId="3FCD4A0B">
      <w:pPr>
        <w:pStyle w:val="58"/>
        <w:numPr>
          <w:ilvl w:val="0"/>
          <w:numId w:val="42"/>
        </w:numPr>
        <w:overflowPunct w:val="0"/>
        <w:autoSpaceDE w:val="0"/>
        <w:autoSpaceDN w:val="0"/>
        <w:adjustRightInd w:val="0"/>
        <w:snapToGrid w:val="0"/>
        <w:spacing w:before="120" w:beforeLines="50" w:after="120" w:afterLines="50" w:line="300" w:lineRule="auto"/>
        <w:jc w:val="left"/>
        <w:rPr>
          <w:color w:val="auto"/>
          <w:kern w:val="0"/>
        </w:rPr>
      </w:pPr>
      <w:r>
        <w:rPr>
          <w:color w:val="auto"/>
        </w:rPr>
        <w:t>Part B dose escalation study: at screening, on D−1, before the first dose, every 2 weeks after the first dose, and before each PK blood collection before and after the last dose.</w:t>
      </w:r>
    </w:p>
    <w:p w14:paraId="79941654">
      <w:pPr>
        <w:pStyle w:val="58"/>
        <w:overflowPunct w:val="0"/>
        <w:autoSpaceDE w:val="0"/>
        <w:autoSpaceDN w:val="0"/>
        <w:adjustRightInd w:val="0"/>
        <w:snapToGrid w:val="0"/>
        <w:spacing w:before="120" w:beforeLines="50" w:after="120" w:afterLines="50" w:line="300" w:lineRule="auto"/>
        <w:ind w:firstLine="0"/>
        <w:jc w:val="left"/>
        <w:rPr>
          <w:color w:val="auto"/>
          <w:kern w:val="0"/>
        </w:rPr>
      </w:pPr>
      <w:r>
        <w:rPr>
          <w:color w:val="auto"/>
        </w:rPr>
        <w:t>Vital signs measurements include blood pressure, pulse, respiration, and body temperature. If blood sample collection is required on the day of examination, the examination shall be completed before blood collection.</w:t>
      </w:r>
    </w:p>
    <w:p w14:paraId="4129849C">
      <w:pPr>
        <w:pStyle w:val="78"/>
        <w:numPr>
          <w:ilvl w:val="0"/>
          <w:numId w:val="40"/>
        </w:numPr>
        <w:overflowPunct w:val="0"/>
        <w:autoSpaceDE w:val="0"/>
        <w:autoSpaceDN w:val="0"/>
        <w:adjustRightInd w:val="0"/>
        <w:snapToGrid w:val="0"/>
        <w:spacing w:before="120" w:beforeLines="50" w:after="120" w:afterLines="50" w:line="300" w:lineRule="auto"/>
        <w:ind w:left="420"/>
        <w:jc w:val="left"/>
        <w:rPr>
          <w:rFonts w:hAnsi="Times New Roman" w:eastAsia="宋体" w:cs="Times New Roman"/>
          <w:b/>
          <w:color w:val="auto"/>
        </w:rPr>
      </w:pPr>
      <w:r>
        <w:rPr>
          <w:rFonts w:hAnsi="Times New Roman" w:cs="Times New Roman"/>
          <w:b/>
          <w:color w:val="auto"/>
        </w:rPr>
        <w:t>Physical examination</w:t>
      </w:r>
    </w:p>
    <w:p w14:paraId="2EE62433">
      <w:pPr>
        <w:pStyle w:val="58"/>
        <w:overflowPunct w:val="0"/>
        <w:autoSpaceDE w:val="0"/>
        <w:autoSpaceDN w:val="0"/>
        <w:adjustRightInd w:val="0"/>
        <w:snapToGrid w:val="0"/>
        <w:spacing w:before="120" w:beforeLines="50" w:after="120" w:afterLines="50" w:line="300" w:lineRule="auto"/>
        <w:ind w:firstLine="0"/>
        <w:jc w:val="left"/>
        <w:rPr>
          <w:color w:val="auto"/>
          <w:kern w:val="0"/>
        </w:rPr>
      </w:pPr>
      <w:bookmarkStart w:id="329" w:name="_Hlk120469176"/>
      <w:r>
        <w:rPr>
          <w:color w:val="auto"/>
        </w:rPr>
        <w:t>Test time points:</w:t>
      </w:r>
    </w:p>
    <w:p w14:paraId="10FF6ADA">
      <w:pPr>
        <w:pStyle w:val="58"/>
        <w:numPr>
          <w:ilvl w:val="0"/>
          <w:numId w:val="42"/>
        </w:numPr>
        <w:overflowPunct w:val="0"/>
        <w:autoSpaceDE w:val="0"/>
        <w:autoSpaceDN w:val="0"/>
        <w:adjustRightInd w:val="0"/>
        <w:snapToGrid w:val="0"/>
        <w:spacing w:before="120" w:beforeLines="50" w:after="120" w:afterLines="50" w:line="300" w:lineRule="auto"/>
        <w:jc w:val="left"/>
        <w:rPr>
          <w:color w:val="auto"/>
          <w:kern w:val="0"/>
        </w:rPr>
      </w:pPr>
      <w:r>
        <w:rPr>
          <w:color w:val="auto"/>
        </w:rPr>
        <w:t>Part A and Part B expansion study: at screening and 2 weeks, 6 weeks, 10 weeks, 14 weeks, 18 weeks, 22 weeks, 24 weeks, and 26 weeks after the first dose.</w:t>
      </w:r>
    </w:p>
    <w:p w14:paraId="64A736DD">
      <w:pPr>
        <w:pStyle w:val="58"/>
        <w:pageBreakBefore/>
        <w:numPr>
          <w:ilvl w:val="0"/>
          <w:numId w:val="42"/>
        </w:numPr>
        <w:overflowPunct w:val="0"/>
        <w:autoSpaceDE w:val="0"/>
        <w:autoSpaceDN w:val="0"/>
        <w:adjustRightInd w:val="0"/>
        <w:snapToGrid w:val="0"/>
        <w:spacing w:before="120" w:beforeLines="50" w:after="120" w:afterLines="50" w:line="300" w:lineRule="auto"/>
        <w:ind w:left="902"/>
        <w:jc w:val="left"/>
        <w:rPr>
          <w:color w:val="auto"/>
          <w:kern w:val="0"/>
        </w:rPr>
      </w:pPr>
      <w:r>
        <w:rPr>
          <w:color w:val="auto"/>
        </w:rPr>
        <w:t>Part B dose escalation study: at screening, on D−1, and 2 weeks, 4 weeks, 8 weeks, 12 weeks, 14 weeks, 18 weeks, 22 weeks, 24 weeks, and 28 weeks after the first dose.</w:t>
      </w:r>
    </w:p>
    <w:bookmarkEnd w:id="329"/>
    <w:p w14:paraId="70D12451">
      <w:pPr>
        <w:pStyle w:val="58"/>
        <w:overflowPunct w:val="0"/>
        <w:autoSpaceDE w:val="0"/>
        <w:autoSpaceDN w:val="0"/>
        <w:adjustRightInd w:val="0"/>
        <w:snapToGrid w:val="0"/>
        <w:spacing w:before="120" w:beforeLines="50" w:after="120" w:afterLines="50" w:line="300" w:lineRule="auto"/>
        <w:ind w:firstLine="0"/>
        <w:jc w:val="left"/>
        <w:rPr>
          <w:color w:val="auto"/>
          <w:kern w:val="0"/>
        </w:rPr>
      </w:pPr>
      <w:r>
        <w:rPr>
          <w:color w:val="auto"/>
        </w:rPr>
        <w:t>A physical examination includes general condition, skin/mucosa, lymph nodes, head, neck, chest, abdomen, spine/extremities, and nervous system.</w:t>
      </w:r>
    </w:p>
    <w:p w14:paraId="2B7C9E99">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bCs/>
          <w:color w:val="auto"/>
          <w:szCs w:val="24"/>
        </w:rPr>
      </w:pPr>
      <w:r>
        <w:rPr>
          <w:rFonts w:cs="Times New Roman"/>
          <w:bCs/>
          <w:color w:val="auto"/>
          <w:szCs w:val="24"/>
        </w:rPr>
        <w:t xml:space="preserve">See </w:t>
      </w:r>
      <w:r>
        <w:rPr>
          <w:rFonts w:cs="Times New Roman"/>
          <w:bCs/>
          <w:color w:val="0000FF"/>
          <w:szCs w:val="24"/>
        </w:rPr>
        <w:fldChar w:fldCharType="begin"/>
      </w:r>
      <w:r>
        <w:rPr>
          <w:rFonts w:cs="Times New Roman"/>
          <w:bCs/>
          <w:color w:val="0000FF"/>
          <w:szCs w:val="24"/>
        </w:rPr>
        <w:instrText xml:space="preserve"> REF F9 \h  \* MERGEFORMAT </w:instrText>
      </w:r>
      <w:r>
        <w:rPr>
          <w:rFonts w:cs="Times New Roman"/>
          <w:bCs/>
          <w:color w:val="0000FF"/>
          <w:szCs w:val="24"/>
        </w:rPr>
        <w:fldChar w:fldCharType="separate"/>
      </w:r>
      <w:r>
        <w:rPr>
          <w:color w:val="0000FF"/>
          <w:spacing w:val="-6"/>
        </w:rPr>
        <w:t>Appendix 9</w:t>
      </w:r>
      <w:r>
        <w:rPr>
          <w:rFonts w:cs="Times New Roman"/>
          <w:bCs/>
          <w:color w:val="0000FF"/>
          <w:szCs w:val="24"/>
        </w:rPr>
        <w:fldChar w:fldCharType="end"/>
      </w:r>
      <w:r>
        <w:rPr>
          <w:rFonts w:cs="Times New Roman"/>
          <w:bCs/>
          <w:color w:val="auto"/>
          <w:szCs w:val="24"/>
        </w:rPr>
        <w:t xml:space="preserve"> for the specific items of various examinations and tests.</w:t>
      </w:r>
    </w:p>
    <w:p w14:paraId="226B3ADA">
      <w:pPr>
        <w:overflowPunct w:val="0"/>
        <w:autoSpaceDE w:val="0"/>
        <w:autoSpaceDN w:val="0"/>
        <w:adjustRightInd w:val="0"/>
        <w:snapToGrid w:val="0"/>
        <w:spacing w:before="120" w:beforeLines="50" w:after="120" w:afterLines="50" w:line="300" w:lineRule="auto"/>
        <w:rPr>
          <w:rFonts w:eastAsia="宋体"/>
          <w:bCs/>
        </w:rPr>
      </w:pPr>
      <w:r>
        <w:t>Additional examinations may be performed during the study as deemed necessary by the investigator to ensure adequate safety monitoring of the subjects.</w:t>
      </w:r>
    </w:p>
    <w:p w14:paraId="06BD87C1">
      <w:pPr>
        <w:pStyle w:val="78"/>
        <w:numPr>
          <w:ilvl w:val="0"/>
          <w:numId w:val="40"/>
        </w:numPr>
        <w:overflowPunct w:val="0"/>
        <w:autoSpaceDE w:val="0"/>
        <w:autoSpaceDN w:val="0"/>
        <w:adjustRightInd w:val="0"/>
        <w:snapToGrid w:val="0"/>
        <w:spacing w:before="120" w:beforeLines="50" w:after="120" w:afterLines="50" w:line="300" w:lineRule="auto"/>
        <w:ind w:left="420"/>
        <w:jc w:val="left"/>
        <w:rPr>
          <w:rFonts w:hAnsi="Times New Roman" w:eastAsia="宋体" w:cs="Times New Roman"/>
          <w:b/>
          <w:color w:val="auto"/>
        </w:rPr>
      </w:pPr>
      <w:r>
        <w:rPr>
          <w:rFonts w:hAnsi="Times New Roman" w:cs="Times New Roman"/>
          <w:b/>
          <w:color w:val="auto"/>
        </w:rPr>
        <w:t>Adverse events and serious adverse events</w:t>
      </w:r>
    </w:p>
    <w:p w14:paraId="59202854">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r>
        <w:rPr>
          <w:rFonts w:cs="Times New Roman"/>
          <w:color w:val="auto"/>
          <w:szCs w:val="24"/>
        </w:rPr>
        <w:t>Any adverse events that occur in all subjects during the study will be observed and documented in detail (including</w:t>
      </w:r>
      <w:bookmarkStart w:id="330" w:name="_Hlk120469048"/>
      <w:r>
        <w:rPr>
          <w:rFonts w:cs="Times New Roman"/>
          <w:color w:val="auto"/>
          <w:szCs w:val="24"/>
        </w:rPr>
        <w:t xml:space="preserve"> injection site reactions</w:t>
      </w:r>
      <w:bookmarkEnd w:id="330"/>
      <w:r>
        <w:rPr>
          <w:rFonts w:cs="Times New Roman"/>
          <w:color w:val="auto"/>
          <w:szCs w:val="24"/>
        </w:rPr>
        <w:t xml:space="preserve"> such as injection site rash, erythema, pain, tenderness, pruritus, swelling, induration, ulceration, and pigmentation). Injection site reactions will be evaluated after each administration.</w:t>
      </w:r>
    </w:p>
    <w:p w14:paraId="513F7B34">
      <w:pPr>
        <w:pStyle w:val="5"/>
      </w:pPr>
      <w:bookmarkStart w:id="331" w:name="_Toc159596280"/>
      <w:bookmarkStart w:id="332" w:name="_Toc30167"/>
      <w:bookmarkStart w:id="333" w:name="_Toc18789"/>
      <w:bookmarkStart w:id="334" w:name="_Toc29013"/>
      <w:r>
        <w:t>Efficacy Evaluation</w:t>
      </w:r>
      <w:bookmarkEnd w:id="331"/>
    </w:p>
    <w:p w14:paraId="275D015F">
      <w:pPr>
        <w:pStyle w:val="4"/>
        <w:overflowPunct w:val="0"/>
        <w:autoSpaceDE w:val="0"/>
        <w:autoSpaceDN w:val="0"/>
        <w:adjustRightInd w:val="0"/>
        <w:snapToGrid w:val="0"/>
        <w:spacing w:before="120" w:beforeLines="50" w:after="120" w:afterLines="50" w:line="300" w:lineRule="auto"/>
        <w:ind w:firstLine="0" w:firstLineChars="0"/>
        <w:rPr>
          <w:rFonts w:cs="Times New Roman"/>
          <w:b/>
          <w:bCs/>
          <w:color w:val="auto"/>
          <w:szCs w:val="24"/>
        </w:rPr>
      </w:pPr>
      <w:r>
        <w:rPr>
          <w:rFonts w:cs="Times New Roman"/>
          <w:b/>
          <w:bCs/>
          <w:color w:val="auto"/>
          <w:szCs w:val="24"/>
        </w:rPr>
        <w:t>Primary endpoint:</w:t>
      </w:r>
    </w:p>
    <w:p w14:paraId="0A7F665B">
      <w:pPr>
        <w:pStyle w:val="4"/>
        <w:numPr>
          <w:ilvl w:val="1"/>
          <w:numId w:val="32"/>
        </w:numPr>
        <w:overflowPunct w:val="0"/>
        <w:autoSpaceDE w:val="0"/>
        <w:autoSpaceDN w:val="0"/>
        <w:adjustRightInd w:val="0"/>
        <w:snapToGrid w:val="0"/>
        <w:spacing w:before="120" w:beforeLines="50" w:after="120" w:afterLines="50" w:line="300" w:lineRule="auto"/>
        <w:ind w:firstLineChars="0"/>
        <w:jc w:val="left"/>
        <w:rPr>
          <w:rFonts w:cs="Times New Roman"/>
          <w:color w:val="auto"/>
          <w:szCs w:val="24"/>
        </w:rPr>
      </w:pPr>
      <w:r>
        <w:rPr>
          <w:rFonts w:cs="Times New Roman"/>
          <w:color w:val="auto"/>
          <w:szCs w:val="24"/>
        </w:rPr>
        <w:t>Change from baseline in glycosylated hemoglobin. Glycosylated hemoglobin will be tested by the central laboratory. See the laboratory manual provided by the testing facility for the specific methods of blood sampling, processing, and analysis;</w:t>
      </w:r>
    </w:p>
    <w:p w14:paraId="57D155AF">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b/>
          <w:bCs/>
          <w:color w:val="auto"/>
          <w:szCs w:val="24"/>
        </w:rPr>
      </w:pPr>
      <w:r>
        <w:rPr>
          <w:rFonts w:cs="Times New Roman"/>
          <w:b/>
          <w:bCs/>
          <w:color w:val="auto"/>
          <w:szCs w:val="24"/>
        </w:rPr>
        <w:t>Secondary endpoints:</w:t>
      </w:r>
    </w:p>
    <w:p w14:paraId="6F3A8E54">
      <w:pPr>
        <w:pStyle w:val="4"/>
        <w:numPr>
          <w:ilvl w:val="1"/>
          <w:numId w:val="32"/>
        </w:numPr>
        <w:overflowPunct w:val="0"/>
        <w:autoSpaceDE w:val="0"/>
        <w:autoSpaceDN w:val="0"/>
        <w:adjustRightInd w:val="0"/>
        <w:snapToGrid w:val="0"/>
        <w:spacing w:before="120" w:beforeLines="50" w:after="120" w:afterLines="50" w:line="300" w:lineRule="auto"/>
        <w:ind w:firstLineChars="0"/>
        <w:jc w:val="left"/>
        <w:rPr>
          <w:rFonts w:cs="Times New Roman"/>
          <w:color w:val="auto"/>
          <w:szCs w:val="24"/>
        </w:rPr>
      </w:pPr>
      <w:r>
        <w:rPr>
          <w:rFonts w:cs="Times New Roman"/>
          <w:color w:val="auto"/>
          <w:szCs w:val="24"/>
        </w:rPr>
        <w:t>Percentage of subjects with HbA1c &lt; 7%, HbA1c ≤ 6.5%, and HbA1c ≤ 5.7%;</w:t>
      </w:r>
    </w:p>
    <w:p w14:paraId="15986685">
      <w:pPr>
        <w:pStyle w:val="4"/>
        <w:numPr>
          <w:ilvl w:val="1"/>
          <w:numId w:val="32"/>
        </w:numPr>
        <w:overflowPunct w:val="0"/>
        <w:autoSpaceDE w:val="0"/>
        <w:autoSpaceDN w:val="0"/>
        <w:adjustRightInd w:val="0"/>
        <w:snapToGrid w:val="0"/>
        <w:spacing w:before="120" w:beforeLines="50" w:after="120" w:afterLines="50" w:line="300" w:lineRule="auto"/>
        <w:ind w:firstLineChars="0"/>
        <w:jc w:val="left"/>
        <w:rPr>
          <w:rFonts w:cs="Times New Roman"/>
          <w:color w:val="auto"/>
          <w:szCs w:val="24"/>
        </w:rPr>
      </w:pPr>
      <w:r>
        <w:rPr>
          <w:rFonts w:cs="Times New Roman"/>
          <w:color w:val="auto"/>
          <w:szCs w:val="24"/>
        </w:rPr>
        <w:t>Change from baseline in fasting plasma glucose;</w:t>
      </w:r>
    </w:p>
    <w:p w14:paraId="70A9B2F7">
      <w:pPr>
        <w:pStyle w:val="4"/>
        <w:numPr>
          <w:ilvl w:val="1"/>
          <w:numId w:val="32"/>
        </w:numPr>
        <w:overflowPunct w:val="0"/>
        <w:autoSpaceDE w:val="0"/>
        <w:autoSpaceDN w:val="0"/>
        <w:adjustRightInd w:val="0"/>
        <w:snapToGrid w:val="0"/>
        <w:spacing w:before="120" w:beforeLines="50" w:after="120" w:afterLines="50" w:line="300" w:lineRule="auto"/>
        <w:ind w:firstLineChars="0"/>
        <w:jc w:val="left"/>
        <w:rPr>
          <w:rFonts w:cs="Times New Roman"/>
          <w:color w:val="auto"/>
          <w:szCs w:val="24"/>
        </w:rPr>
      </w:pPr>
      <w:r>
        <w:rPr>
          <w:rFonts w:cs="Times New Roman"/>
          <w:color w:val="auto"/>
          <w:szCs w:val="24"/>
        </w:rPr>
        <w:t>Changes from baseline in body weight, waist circumference, waist-to-hip ratio, and BMI. See the operation manual for the measurement method.</w:t>
      </w:r>
    </w:p>
    <w:p w14:paraId="708C2893">
      <w:pPr>
        <w:pStyle w:val="4"/>
        <w:numPr>
          <w:ilvl w:val="1"/>
          <w:numId w:val="32"/>
        </w:numPr>
        <w:overflowPunct w:val="0"/>
        <w:autoSpaceDE w:val="0"/>
        <w:autoSpaceDN w:val="0"/>
        <w:adjustRightInd w:val="0"/>
        <w:snapToGrid w:val="0"/>
        <w:spacing w:before="120" w:beforeLines="50" w:after="120" w:afterLines="50" w:line="300" w:lineRule="auto"/>
        <w:ind w:firstLineChars="0"/>
        <w:jc w:val="left"/>
        <w:rPr>
          <w:rFonts w:cs="Times New Roman"/>
          <w:color w:val="auto"/>
          <w:szCs w:val="24"/>
        </w:rPr>
      </w:pPr>
      <w:r>
        <w:rPr>
          <w:rFonts w:cs="Times New Roman"/>
          <w:color w:val="auto"/>
          <w:szCs w:val="24"/>
        </w:rPr>
        <w:t>Changes from baseline in blood lipids, including total cholesterol (TC), low density lipoprotein cholesterol (LDL-C), high density lipoprotein cholesterol (HDL-C), non-high density lipoprotein cholesterol (non-HDL-C), triglyceride (TG), and free fatty acid (FFA).</w:t>
      </w:r>
    </w:p>
    <w:p w14:paraId="6974E5EE">
      <w:pPr>
        <w:pStyle w:val="4"/>
        <w:numPr>
          <w:ilvl w:val="1"/>
          <w:numId w:val="32"/>
        </w:numPr>
        <w:overflowPunct w:val="0"/>
        <w:autoSpaceDE w:val="0"/>
        <w:autoSpaceDN w:val="0"/>
        <w:adjustRightInd w:val="0"/>
        <w:snapToGrid w:val="0"/>
        <w:spacing w:before="120" w:beforeLines="50" w:after="120" w:afterLines="50" w:line="300" w:lineRule="auto"/>
        <w:ind w:firstLineChars="0"/>
        <w:jc w:val="left"/>
        <w:rPr>
          <w:rFonts w:cs="Times New Roman"/>
          <w:color w:val="auto"/>
          <w:szCs w:val="24"/>
        </w:rPr>
      </w:pPr>
      <w:r>
        <w:rPr>
          <w:rFonts w:cs="Times New Roman"/>
          <w:color w:val="auto"/>
          <w:szCs w:val="24"/>
        </w:rPr>
        <w:t>Change from baseline in blood pressure (diastolic and systolic).</w:t>
      </w:r>
    </w:p>
    <w:p w14:paraId="199BC06A">
      <w:pPr>
        <w:pStyle w:val="5"/>
      </w:pPr>
      <w:bookmarkStart w:id="335" w:name="_Toc159596281"/>
      <w:r>
        <w:t>Pharmacokinetics</w:t>
      </w:r>
      <w:bookmarkEnd w:id="332"/>
      <w:bookmarkEnd w:id="333"/>
      <w:bookmarkEnd w:id="334"/>
      <w:bookmarkEnd w:id="335"/>
    </w:p>
    <w:p w14:paraId="07315F6E">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bookmarkStart w:id="336" w:name="OLE_LINK65"/>
      <w:r>
        <w:rPr>
          <w:rFonts w:cs="Times New Roman"/>
          <w:color w:val="auto"/>
          <w:szCs w:val="24"/>
        </w:rPr>
        <w:t>The plasma concentration data will be analyzed using Phoenix WinNonlin software (</w:t>
      </w:r>
      <w:bookmarkStart w:id="337" w:name="OLE_LINK10"/>
      <w:r>
        <w:rPr>
          <w:rFonts w:cs="Times New Roman"/>
          <w:color w:val="auto"/>
          <w:szCs w:val="24"/>
        </w:rPr>
        <w:t>version 8.3 or later</w:t>
      </w:r>
      <w:bookmarkEnd w:id="337"/>
      <w:r>
        <w:rPr>
          <w:rFonts w:cs="Times New Roman"/>
          <w:color w:val="auto"/>
          <w:szCs w:val="24"/>
        </w:rPr>
        <w:t>) to estimate the non-compartmental PK parameters and calculate the primary PK parameters of RAY1225 and acetaminophen, so as to comprehensively reflect the absorption, distribution, metabolism, and excretion characteristics of the drug in humans.</w:t>
      </w:r>
      <w:bookmarkEnd w:id="336"/>
    </w:p>
    <w:p w14:paraId="0C26A5ED">
      <w:pPr>
        <w:pStyle w:val="4"/>
        <w:overflowPunct w:val="0"/>
        <w:autoSpaceDE w:val="0"/>
        <w:autoSpaceDN w:val="0"/>
        <w:adjustRightInd w:val="0"/>
        <w:snapToGrid w:val="0"/>
        <w:spacing w:before="120" w:beforeLines="50" w:after="120" w:afterLines="50" w:line="300" w:lineRule="auto"/>
        <w:ind w:firstLine="0" w:firstLineChars="0"/>
        <w:rPr>
          <w:rFonts w:cs="Times New Roman"/>
          <w:color w:val="auto"/>
          <w:szCs w:val="24"/>
        </w:rPr>
      </w:pPr>
      <w:r>
        <w:rPr>
          <w:rFonts w:cs="Times New Roman"/>
          <w:color w:val="auto"/>
          <w:szCs w:val="24"/>
        </w:rPr>
        <w:t xml:space="preserve">The PK parameters of RAY1225 mainly include </w:t>
      </w:r>
      <w:bookmarkStart w:id="338" w:name="OLE_LINK64"/>
      <w:r>
        <w:rPr>
          <w:rFonts w:cs="Times New Roman"/>
          <w:color w:val="auto"/>
          <w:szCs w:val="24"/>
        </w:rPr>
        <w:t>T</w:t>
      </w:r>
      <w:r>
        <w:rPr>
          <w:rFonts w:cs="Times New Roman"/>
          <w:color w:val="auto"/>
          <w:szCs w:val="24"/>
          <w:vertAlign w:val="subscript"/>
        </w:rPr>
        <w:t>max</w:t>
      </w:r>
      <w:r>
        <w:rPr>
          <w:rFonts w:cs="Times New Roman"/>
          <w:color w:val="auto"/>
          <w:szCs w:val="24"/>
        </w:rPr>
        <w:t>, C</w:t>
      </w:r>
      <w:r>
        <w:rPr>
          <w:rFonts w:cs="Times New Roman"/>
          <w:color w:val="auto"/>
          <w:szCs w:val="24"/>
          <w:vertAlign w:val="subscript"/>
        </w:rPr>
        <w:t>max,ss</w:t>
      </w:r>
      <w:r>
        <w:rPr>
          <w:rFonts w:cs="Times New Roman"/>
          <w:color w:val="auto"/>
          <w:szCs w:val="24"/>
        </w:rPr>
        <w:t>, C</w:t>
      </w:r>
      <w:r>
        <w:rPr>
          <w:rFonts w:cs="Times New Roman"/>
          <w:color w:val="auto"/>
          <w:szCs w:val="24"/>
          <w:vertAlign w:val="subscript"/>
        </w:rPr>
        <w:t>min,ss</w:t>
      </w:r>
      <w:r>
        <w:rPr>
          <w:rFonts w:cs="Times New Roman"/>
          <w:color w:val="auto"/>
          <w:szCs w:val="24"/>
        </w:rPr>
        <w:t>, C</w:t>
      </w:r>
      <w:r>
        <w:rPr>
          <w:rFonts w:cs="Times New Roman"/>
          <w:color w:val="auto"/>
          <w:szCs w:val="24"/>
          <w:vertAlign w:val="subscript"/>
        </w:rPr>
        <w:t>av,ss</w:t>
      </w:r>
      <w:r>
        <w:rPr>
          <w:rFonts w:cs="Times New Roman"/>
          <w:color w:val="auto"/>
          <w:szCs w:val="24"/>
        </w:rPr>
        <w:t>, t</w:t>
      </w:r>
      <w:r>
        <w:rPr>
          <w:rFonts w:cs="Times New Roman"/>
          <w:color w:val="auto"/>
          <w:szCs w:val="24"/>
          <w:vertAlign w:val="subscript"/>
        </w:rPr>
        <w:t>1/2</w:t>
      </w:r>
      <w:r>
        <w:rPr>
          <w:rFonts w:cs="Times New Roman"/>
          <w:color w:val="auto"/>
          <w:szCs w:val="24"/>
        </w:rPr>
        <w:t>, AUC</w:t>
      </w:r>
      <w:r>
        <w:rPr>
          <w:rFonts w:cs="Times New Roman"/>
          <w:color w:val="auto"/>
          <w:szCs w:val="24"/>
          <w:vertAlign w:val="subscript"/>
        </w:rPr>
        <w:t>0-τ,ss</w:t>
      </w:r>
      <w:r>
        <w:rPr>
          <w:rFonts w:cs="Times New Roman"/>
          <w:color w:val="auto"/>
          <w:szCs w:val="24"/>
        </w:rPr>
        <w:t>, AUC</w:t>
      </w:r>
      <w:r>
        <w:rPr>
          <w:rFonts w:cs="Times New Roman"/>
          <w:color w:val="auto"/>
          <w:szCs w:val="24"/>
          <w:vertAlign w:val="subscript"/>
        </w:rPr>
        <w:t>0-∞</w:t>
      </w:r>
      <w:r>
        <w:rPr>
          <w:rFonts w:cs="Times New Roman"/>
          <w:color w:val="auto"/>
          <w:szCs w:val="24"/>
        </w:rPr>
        <w:t>, AUC</w:t>
      </w:r>
      <w:r>
        <w:rPr>
          <w:rFonts w:cs="Times New Roman"/>
          <w:color w:val="auto"/>
          <w:szCs w:val="24"/>
          <w:vertAlign w:val="subscript"/>
        </w:rPr>
        <w:t>0-t</w:t>
      </w:r>
      <w:r>
        <w:rPr>
          <w:rFonts w:cs="Times New Roman"/>
          <w:color w:val="auto"/>
          <w:szCs w:val="24"/>
        </w:rPr>
        <w:t>, CL/F, V</w:t>
      </w:r>
      <w:r>
        <w:rPr>
          <w:rFonts w:cs="Times New Roman"/>
          <w:color w:val="auto"/>
          <w:szCs w:val="24"/>
          <w:vertAlign w:val="subscript"/>
        </w:rPr>
        <w:t>d</w:t>
      </w:r>
      <w:r>
        <w:rPr>
          <w:rFonts w:cs="Times New Roman"/>
          <w:color w:val="auto"/>
          <w:szCs w:val="24"/>
        </w:rPr>
        <w:t>/F, and DF</w:t>
      </w:r>
      <w:bookmarkEnd w:id="338"/>
      <w:r>
        <w:rPr>
          <w:rFonts w:cs="Times New Roman"/>
          <w:color w:val="auto"/>
          <w:szCs w:val="24"/>
        </w:rPr>
        <w:t>.</w:t>
      </w:r>
    </w:p>
    <w:p w14:paraId="10D105A7">
      <w:pPr>
        <w:pStyle w:val="2"/>
        <w:widowControl w:val="0"/>
        <w:numPr>
          <w:ilvl w:val="255"/>
          <w:numId w:val="0"/>
        </w:numPr>
        <w:overflowPunct w:val="0"/>
        <w:autoSpaceDE w:val="0"/>
        <w:autoSpaceDN w:val="0"/>
        <w:adjustRightInd w:val="0"/>
        <w:snapToGrid w:val="0"/>
        <w:spacing w:before="120" w:beforeLines="50" w:afterLines="50" w:line="300" w:lineRule="auto"/>
        <w:jc w:val="both"/>
        <w:rPr>
          <w:rFonts w:eastAsia="宋体"/>
        </w:rPr>
      </w:pPr>
      <w:r>
        <w:t>The PK parameters of acetaminophen mainly include T</w:t>
      </w:r>
      <w:r>
        <w:rPr>
          <w:vertAlign w:val="subscript"/>
        </w:rPr>
        <w:t>max</w:t>
      </w:r>
      <w:r>
        <w:t>, T</w:t>
      </w:r>
      <w:r>
        <w:rPr>
          <w:vertAlign w:val="subscript"/>
        </w:rPr>
        <w:t>lag</w:t>
      </w:r>
      <w:r>
        <w:t>, C</w:t>
      </w:r>
      <w:r>
        <w:rPr>
          <w:vertAlign w:val="subscript"/>
        </w:rPr>
        <w:t>max</w:t>
      </w:r>
      <w:r>
        <w:t>, t</w:t>
      </w:r>
      <w:r>
        <w:rPr>
          <w:vertAlign w:val="subscript"/>
        </w:rPr>
        <w:t>1/2</w:t>
      </w:r>
      <w:r>
        <w:t>, AUC</w:t>
      </w:r>
      <w:r>
        <w:rPr>
          <w:vertAlign w:val="subscript"/>
        </w:rPr>
        <w:t>0-∞</w:t>
      </w:r>
      <w:r>
        <w:t>, AUC</w:t>
      </w:r>
      <w:r>
        <w:rPr>
          <w:vertAlign w:val="subscript"/>
        </w:rPr>
        <w:t>0-t</w:t>
      </w:r>
      <w:r>
        <w:t>, CL/F, MRT, and V</w:t>
      </w:r>
      <w:r>
        <w:rPr>
          <w:vertAlign w:val="subscript"/>
        </w:rPr>
        <w:t>d</w:t>
      </w:r>
      <w:r>
        <w:t>/F.</w:t>
      </w:r>
    </w:p>
    <w:p w14:paraId="095934D6">
      <w:pPr>
        <w:pStyle w:val="5"/>
      </w:pPr>
      <w:bookmarkStart w:id="339" w:name="_Toc159596282"/>
      <w:bookmarkStart w:id="340" w:name="_Toc12719"/>
      <w:bookmarkStart w:id="341" w:name="_Toc11628"/>
      <w:bookmarkStart w:id="342" w:name="_Toc493637982"/>
      <w:bookmarkStart w:id="343" w:name="_Toc11012"/>
      <w:r>
        <w:t>Immunogenicity</w:t>
      </w:r>
      <w:bookmarkEnd w:id="339"/>
    </w:p>
    <w:p w14:paraId="3E4CA70C">
      <w:pPr>
        <w:pStyle w:val="4"/>
        <w:overflowPunct w:val="0"/>
        <w:autoSpaceDE w:val="0"/>
        <w:autoSpaceDN w:val="0"/>
        <w:adjustRightInd w:val="0"/>
        <w:snapToGrid w:val="0"/>
        <w:spacing w:before="120" w:beforeLines="50" w:after="120" w:afterLines="50" w:line="300" w:lineRule="auto"/>
        <w:ind w:firstLine="0" w:firstLineChars="0"/>
        <w:rPr>
          <w:rFonts w:cs="Times New Roman"/>
          <w:color w:val="auto"/>
          <w:szCs w:val="24"/>
        </w:rPr>
      </w:pPr>
      <w:r>
        <w:rPr>
          <w:rFonts w:cs="Times New Roman"/>
          <w:color w:val="auto"/>
          <w:szCs w:val="24"/>
        </w:rPr>
        <w:t>Anti-drug antibodies (ADAs) against RAY1225 will be detected, and ADA-positive samples will be further tested for neutralizing antibodies (Nab).</w:t>
      </w:r>
    </w:p>
    <w:p w14:paraId="57819B88">
      <w:pPr>
        <w:pStyle w:val="3"/>
        <w:jc w:val="left"/>
      </w:pPr>
      <w:bookmarkStart w:id="344" w:name="_Toc159596283"/>
      <w:r>
        <w:t>EVALUATION OF ADVERSE EVENTS AND SERIOUS ADVERSE EVENTS</w:t>
      </w:r>
      <w:bookmarkEnd w:id="340"/>
      <w:bookmarkEnd w:id="341"/>
      <w:bookmarkEnd w:id="342"/>
      <w:bookmarkEnd w:id="343"/>
      <w:bookmarkEnd w:id="344"/>
    </w:p>
    <w:p w14:paraId="22389077">
      <w:pPr>
        <w:pStyle w:val="5"/>
      </w:pPr>
      <w:bookmarkStart w:id="345" w:name="_Toc24936"/>
      <w:bookmarkStart w:id="346" w:name="_Toc7746"/>
      <w:bookmarkStart w:id="347" w:name="_Toc23666"/>
      <w:bookmarkStart w:id="348" w:name="_Toc159596284"/>
      <w:r>
        <w:t>Adverse Events</w:t>
      </w:r>
      <w:bookmarkEnd w:id="345"/>
      <w:bookmarkEnd w:id="346"/>
      <w:bookmarkEnd w:id="347"/>
      <w:bookmarkEnd w:id="348"/>
    </w:p>
    <w:p w14:paraId="6F0AF9D2">
      <w:pPr>
        <w:pStyle w:val="6"/>
        <w:rPr>
          <w:rFonts w:eastAsia="宋体"/>
        </w:rPr>
      </w:pPr>
      <w:bookmarkStart w:id="349" w:name="_Toc7743"/>
      <w:bookmarkStart w:id="350" w:name="_Toc159596285"/>
      <w:bookmarkStart w:id="351" w:name="_Toc6302"/>
      <w:bookmarkStart w:id="352" w:name="_Toc3692"/>
      <w:r>
        <w:t>Definition of adverse events</w:t>
      </w:r>
      <w:bookmarkEnd w:id="349"/>
      <w:bookmarkEnd w:id="350"/>
      <w:bookmarkEnd w:id="351"/>
      <w:bookmarkEnd w:id="352"/>
    </w:p>
    <w:p w14:paraId="131EF044">
      <w:pPr>
        <w:pStyle w:val="83"/>
        <w:overflowPunct w:val="0"/>
        <w:autoSpaceDE w:val="0"/>
        <w:autoSpaceDN w:val="0"/>
        <w:adjustRightInd w:val="0"/>
        <w:snapToGrid w:val="0"/>
        <w:spacing w:before="120" w:beforeLines="50" w:after="120" w:afterLines="50" w:line="300" w:lineRule="auto"/>
        <w:jc w:val="left"/>
        <w:rPr>
          <w:rFonts w:ascii="Times New Roman" w:hAnsi="Times New Roman" w:eastAsia="宋体" w:cs="Times New Roman"/>
          <w:color w:val="auto"/>
          <w:u w:color="FF0000"/>
        </w:rPr>
      </w:pPr>
      <w:r>
        <w:rPr>
          <w:rFonts w:ascii="Times New Roman" w:hAnsi="Times New Roman" w:cs="Times New Roman"/>
          <w:color w:val="auto"/>
          <w:u w:color="FF0000"/>
        </w:rPr>
        <w:t>An adverse event (AE) is an adverse medical event that occurs in any subject of a clinical study and does not necessarily have a causal relationship with the treatment.</w:t>
      </w:r>
      <w:r>
        <w:rPr>
          <w:rFonts w:ascii="Times New Roman" w:hAnsi="Times New Roman" w:cs="Times New Roman"/>
        </w:rPr>
        <w:t xml:space="preserve"> </w:t>
      </w:r>
      <w:r>
        <w:rPr>
          <w:rFonts w:ascii="Times New Roman" w:hAnsi="Times New Roman" w:cs="Times New Roman"/>
          <w:color w:val="auto"/>
          <w:u w:color="FF0000"/>
        </w:rPr>
        <w:t xml:space="preserve">Therefore, an AE may be any adverse and/or unexpected vital sign, symptom, or disease that is chronologically related to the drug used, regardless of whether it is deemed related to the drug or not. AEs may also include pre-treatment or post-treatment complications due to protocol-designated procedures, overdose, drug abuse/misuse reported, or occupational exposure. </w:t>
      </w:r>
      <w:r>
        <w:rPr>
          <w:rFonts w:ascii="Times New Roman" w:hAnsi="Times New Roman" w:cs="Times New Roman"/>
          <w:color w:val="auto"/>
        </w:rPr>
        <w:t xml:space="preserve">AEs that occur or worsen after the first dose of the investigational drug are defined as treatment-emergent adverse events (TEAEs). </w:t>
      </w:r>
      <w:r>
        <w:rPr>
          <w:rFonts w:ascii="Times New Roman" w:hAnsi="Times New Roman" w:cs="Times New Roman"/>
          <w:color w:val="auto"/>
          <w:u w:color="FF0000"/>
        </w:rPr>
        <w:t>Any existing event with greater severity or alteration of nature during a clinical study or due to participation in the clinical study is also deemed as an AE.</w:t>
      </w:r>
    </w:p>
    <w:p w14:paraId="24F427AA">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overflowPunct w:val="0"/>
        <w:autoSpaceDE w:val="0"/>
        <w:autoSpaceDN w:val="0"/>
        <w:adjustRightInd w:val="0"/>
        <w:snapToGrid w:val="0"/>
        <w:spacing w:before="120" w:beforeLines="50" w:after="120" w:afterLines="50" w:line="300" w:lineRule="auto"/>
        <w:rPr>
          <w:rFonts w:eastAsia="宋体"/>
          <w:u w:color="FF0000"/>
        </w:rPr>
      </w:pPr>
      <w:r>
        <w:rPr>
          <w:u w:color="FF0000"/>
        </w:rPr>
        <w:t>AEs exclude the following situations:</w:t>
      </w:r>
    </w:p>
    <w:p w14:paraId="45A258C2">
      <w:pPr>
        <w:numPr>
          <w:ilvl w:val="0"/>
          <w:numId w:val="43"/>
        </w:num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overflowPunct w:val="0"/>
        <w:autoSpaceDE w:val="0"/>
        <w:autoSpaceDN w:val="0"/>
        <w:adjustRightInd w:val="0"/>
        <w:snapToGrid w:val="0"/>
        <w:spacing w:before="120" w:beforeLines="50" w:after="120" w:afterLines="50" w:line="300" w:lineRule="auto"/>
        <w:rPr>
          <w:rFonts w:eastAsia="宋体"/>
          <w:u w:color="FF0000"/>
        </w:rPr>
      </w:pPr>
      <w:r>
        <w:rPr>
          <w:u w:color="FF0000"/>
        </w:rPr>
        <w:t>Diseases, situations, or laboratory test abnormalities existing or detected prior to the screening visit without further deterioration;</w:t>
      </w:r>
    </w:p>
    <w:p w14:paraId="0033E691">
      <w:pPr>
        <w:numPr>
          <w:ilvl w:val="0"/>
          <w:numId w:val="43"/>
        </w:num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overflowPunct w:val="0"/>
        <w:autoSpaceDE w:val="0"/>
        <w:autoSpaceDN w:val="0"/>
        <w:adjustRightInd w:val="0"/>
        <w:snapToGrid w:val="0"/>
        <w:spacing w:before="120" w:beforeLines="50" w:after="120" w:afterLines="50" w:line="300" w:lineRule="auto"/>
        <w:rPr>
          <w:rFonts w:eastAsia="宋体"/>
          <w:u w:color="FF0000"/>
        </w:rPr>
      </w:pPr>
      <w:r>
        <w:rPr>
          <w:u w:color="FF0000"/>
        </w:rPr>
        <w:t>Situations without any adverse medical event occurring (e.g., hospitalization due to elective surgery, social reason, and/or personal convenience);</w:t>
      </w:r>
    </w:p>
    <w:p w14:paraId="576FC38C">
      <w:pPr>
        <w:numPr>
          <w:ilvl w:val="0"/>
          <w:numId w:val="43"/>
        </w:num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overflowPunct w:val="0"/>
        <w:autoSpaceDE w:val="0"/>
        <w:autoSpaceDN w:val="0"/>
        <w:adjustRightInd w:val="0"/>
        <w:snapToGrid w:val="0"/>
        <w:spacing w:before="120" w:beforeLines="50" w:after="120" w:afterLines="50" w:line="300" w:lineRule="auto"/>
        <w:rPr>
          <w:rFonts w:eastAsia="宋体"/>
          <w:u w:color="FF0000"/>
        </w:rPr>
      </w:pPr>
      <w:r>
        <w:rPr>
          <w:u w:color="FF0000"/>
        </w:rPr>
        <w:t>Any medical condition or clinically significant laboratory abnormality predating administration of the investigational drug and irrelevant to the study protocol-related procedure;</w:t>
      </w:r>
    </w:p>
    <w:p w14:paraId="1992961C">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overflowPunct w:val="0"/>
        <w:autoSpaceDE w:val="0"/>
        <w:autoSpaceDN w:val="0"/>
        <w:adjustRightInd w:val="0"/>
        <w:snapToGrid w:val="0"/>
        <w:spacing w:before="120" w:beforeLines="50" w:after="120" w:afterLines="50" w:line="300" w:lineRule="auto"/>
        <w:rPr>
          <w:rFonts w:eastAsia="宋体"/>
          <w:u w:color="FF0000"/>
        </w:rPr>
      </w:pPr>
      <w:r>
        <w:rPr>
          <w:u w:color="FF0000"/>
        </w:rPr>
        <w:t>Any medical condition or clinically significant laboratory test abnormality occurring after signing of ICF but prior to the first dose and irrelevant to study protocol-related procedure will be recorded as medical history/concurrent disease in the eCRF. Injury/damage caused by clinical laboratory test procedures or adverse event resulting from study protocol-related treatment discontinuation may be recorded as an AE.</w:t>
      </w:r>
    </w:p>
    <w:p w14:paraId="14B33F4C">
      <w:pPr>
        <w:pStyle w:val="6"/>
        <w:rPr>
          <w:rFonts w:eastAsia="宋体"/>
        </w:rPr>
      </w:pPr>
      <w:bookmarkStart w:id="353" w:name="_Toc159596286"/>
      <w:bookmarkStart w:id="354" w:name="_Toc20086"/>
      <w:bookmarkStart w:id="355" w:name="_Toc2981"/>
      <w:bookmarkStart w:id="356" w:name="_Toc24839"/>
      <w:r>
        <w:t>Evaluation cycle of adverse events</w:t>
      </w:r>
      <w:bookmarkEnd w:id="353"/>
    </w:p>
    <w:p w14:paraId="3B901104">
      <w:pPr>
        <w:overflowPunct w:val="0"/>
        <w:autoSpaceDE w:val="0"/>
        <w:autoSpaceDN w:val="0"/>
        <w:adjustRightInd w:val="0"/>
        <w:snapToGrid w:val="0"/>
        <w:spacing w:before="120" w:beforeLines="50" w:after="120" w:afterLines="50" w:line="300" w:lineRule="auto"/>
        <w:rPr>
          <w:rFonts w:eastAsia="宋体"/>
        </w:rPr>
      </w:pPr>
      <w:r>
        <w:t>All AEs from signing of ICF to the last visit will be collected. If a subject prematurely withdraws from the study, the investigator shall try to collect all AEs occurring 4 weeks after the last dose. All AEs will be followed until the AEs are alleviated and stable or become chronic, or until 4 weeks after the last dose. Any SAE related to the prior treatment with the investigational drug will be collected only after the last visit as specified by the protocol.</w:t>
      </w:r>
    </w:p>
    <w:bookmarkEnd w:id="354"/>
    <w:bookmarkEnd w:id="355"/>
    <w:bookmarkEnd w:id="356"/>
    <w:p w14:paraId="3F2F7011">
      <w:pPr>
        <w:pStyle w:val="6"/>
        <w:rPr>
          <w:rFonts w:eastAsia="宋体"/>
        </w:rPr>
      </w:pPr>
      <w:bookmarkStart w:id="357" w:name="_Toc6809"/>
      <w:bookmarkStart w:id="358" w:name="_Toc29104"/>
      <w:bookmarkStart w:id="359" w:name="_Toc3263"/>
      <w:bookmarkStart w:id="360" w:name="_Toc159596287"/>
      <w:r>
        <w:t>Recording of adverse events</w:t>
      </w:r>
      <w:bookmarkEnd w:id="357"/>
      <w:bookmarkEnd w:id="358"/>
      <w:bookmarkEnd w:id="359"/>
      <w:bookmarkEnd w:id="360"/>
    </w:p>
    <w:p w14:paraId="19EB1232">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Any clinically significant laboratory result in the screening results will not be recorded as an AE.</w:t>
      </w:r>
    </w:p>
    <w:p w14:paraId="6A25CFB8">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During the study, the AE record form in the eCRF shall be truthfully filled in, including the occurrence time, severity, duration, actions taken, and outcome of AEs. If a diagnosis is available, the diagnosis or syndrome shall be recorded for the AE rather than the individual signs or symptoms of a diagnosis or syndrome.</w:t>
      </w:r>
    </w:p>
    <w:p w14:paraId="479EB197">
      <w:pPr>
        <w:pStyle w:val="6"/>
        <w:rPr>
          <w:rFonts w:eastAsia="宋体"/>
        </w:rPr>
      </w:pPr>
      <w:bookmarkStart w:id="361" w:name="_Toc18564"/>
      <w:bookmarkStart w:id="362" w:name="_Toc159596288"/>
      <w:bookmarkStart w:id="363" w:name="_Toc9713"/>
      <w:bookmarkStart w:id="364" w:name="_Toc6109"/>
      <w:r>
        <w:t>Judgment criteria for the severity of adverse events</w:t>
      </w:r>
      <w:bookmarkEnd w:id="361"/>
      <w:bookmarkEnd w:id="362"/>
      <w:bookmarkEnd w:id="363"/>
      <w:bookmarkEnd w:id="364"/>
    </w:p>
    <w:p w14:paraId="2E0FCF57">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The severity of AEs will be judged according to the Common Terminology Criteria for Adverse Events (CTCAE V5.0). The severity of any AE not listed in the CTCAE can be judged by the following criteria:</w:t>
      </w:r>
    </w:p>
    <w:tbl>
      <w:tblPr>
        <w:tblStyle w:val="51"/>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57" w:type="dxa"/>
          <w:left w:w="57" w:type="dxa"/>
          <w:bottom w:w="57" w:type="dxa"/>
          <w:right w:w="57" w:type="dxa"/>
        </w:tblCellMar>
      </w:tblPr>
      <w:tblGrid>
        <w:gridCol w:w="760"/>
        <w:gridCol w:w="8714"/>
      </w:tblGrid>
      <w:tr w14:paraId="20D3DF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jc w:val="center"/>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DEDC7">
            <w:pPr>
              <w:pStyle w:val="58"/>
              <w:overflowPunct w:val="0"/>
              <w:autoSpaceDE w:val="0"/>
              <w:autoSpaceDN w:val="0"/>
              <w:adjustRightInd w:val="0"/>
              <w:snapToGrid w:val="0"/>
              <w:spacing w:line="240" w:lineRule="auto"/>
              <w:ind w:firstLine="0"/>
              <w:jc w:val="center"/>
              <w:rPr>
                <w:rFonts w:eastAsia="宋体"/>
                <w:color w:val="auto"/>
                <w:sz w:val="20"/>
                <w:szCs w:val="20"/>
              </w:rPr>
            </w:pPr>
            <w:r>
              <w:rPr>
                <w:color w:val="auto"/>
                <w:sz w:val="20"/>
                <w:szCs w:val="20"/>
              </w:rPr>
              <w:t>Grade 1</w:t>
            </w:r>
          </w:p>
        </w:tc>
        <w:tc>
          <w:tcPr>
            <w:tcW w:w="45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7D505">
            <w:pPr>
              <w:pStyle w:val="58"/>
              <w:overflowPunct w:val="0"/>
              <w:autoSpaceDE w:val="0"/>
              <w:autoSpaceDN w:val="0"/>
              <w:adjustRightInd w:val="0"/>
              <w:snapToGrid w:val="0"/>
              <w:spacing w:line="240" w:lineRule="auto"/>
              <w:ind w:firstLine="0"/>
              <w:jc w:val="left"/>
              <w:rPr>
                <w:rFonts w:eastAsia="宋体"/>
                <w:color w:val="auto"/>
                <w:sz w:val="20"/>
                <w:szCs w:val="20"/>
              </w:rPr>
            </w:pPr>
            <w:r>
              <w:rPr>
                <w:color w:val="auto"/>
                <w:sz w:val="20"/>
                <w:szCs w:val="20"/>
              </w:rPr>
              <w:t>Mild; asymptomatic or mild symptoms; clinical or diagnostic observations only; intervention not indicated.</w:t>
            </w:r>
          </w:p>
        </w:tc>
      </w:tr>
      <w:tr w14:paraId="67FF47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jc w:val="center"/>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61F63">
            <w:pPr>
              <w:pStyle w:val="58"/>
              <w:overflowPunct w:val="0"/>
              <w:autoSpaceDE w:val="0"/>
              <w:autoSpaceDN w:val="0"/>
              <w:adjustRightInd w:val="0"/>
              <w:snapToGrid w:val="0"/>
              <w:spacing w:line="240" w:lineRule="auto"/>
              <w:ind w:firstLine="0"/>
              <w:jc w:val="center"/>
              <w:rPr>
                <w:rFonts w:eastAsia="宋体"/>
                <w:color w:val="auto"/>
                <w:sz w:val="20"/>
                <w:szCs w:val="20"/>
              </w:rPr>
            </w:pPr>
            <w:r>
              <w:rPr>
                <w:color w:val="auto"/>
                <w:sz w:val="20"/>
                <w:szCs w:val="20"/>
              </w:rPr>
              <w:t>Grade 2</w:t>
            </w:r>
          </w:p>
        </w:tc>
        <w:tc>
          <w:tcPr>
            <w:tcW w:w="45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F1040">
            <w:pPr>
              <w:pStyle w:val="58"/>
              <w:overflowPunct w:val="0"/>
              <w:autoSpaceDE w:val="0"/>
              <w:autoSpaceDN w:val="0"/>
              <w:adjustRightInd w:val="0"/>
              <w:snapToGrid w:val="0"/>
              <w:spacing w:line="240" w:lineRule="auto"/>
              <w:ind w:firstLine="0"/>
              <w:jc w:val="left"/>
              <w:rPr>
                <w:rFonts w:eastAsia="宋体"/>
                <w:color w:val="auto"/>
                <w:sz w:val="20"/>
                <w:szCs w:val="20"/>
              </w:rPr>
            </w:pPr>
            <w:r>
              <w:rPr>
                <w:color w:val="auto"/>
                <w:sz w:val="20"/>
                <w:szCs w:val="20"/>
              </w:rPr>
              <w:t>Moderate: minimal, local or noninvasive intervention indicated; limiting age-appropriate instrumental ADL (instrumental ADL refer to preparing meals, shopping for groceries or clothes, using the telephone, managing money, etc.).</w:t>
            </w:r>
          </w:p>
        </w:tc>
      </w:tr>
      <w:tr w14:paraId="25340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jc w:val="center"/>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DD5A6">
            <w:pPr>
              <w:pStyle w:val="58"/>
              <w:overflowPunct w:val="0"/>
              <w:autoSpaceDE w:val="0"/>
              <w:autoSpaceDN w:val="0"/>
              <w:adjustRightInd w:val="0"/>
              <w:snapToGrid w:val="0"/>
              <w:spacing w:line="240" w:lineRule="auto"/>
              <w:ind w:firstLine="0"/>
              <w:jc w:val="center"/>
              <w:rPr>
                <w:rFonts w:eastAsia="宋体"/>
                <w:color w:val="auto"/>
                <w:sz w:val="20"/>
                <w:szCs w:val="20"/>
              </w:rPr>
            </w:pPr>
            <w:r>
              <w:rPr>
                <w:color w:val="auto"/>
                <w:sz w:val="20"/>
                <w:szCs w:val="20"/>
              </w:rPr>
              <w:t>Grade 3</w:t>
            </w:r>
          </w:p>
        </w:tc>
        <w:tc>
          <w:tcPr>
            <w:tcW w:w="45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A094F">
            <w:pPr>
              <w:pStyle w:val="58"/>
              <w:overflowPunct w:val="0"/>
              <w:autoSpaceDE w:val="0"/>
              <w:autoSpaceDN w:val="0"/>
              <w:adjustRightInd w:val="0"/>
              <w:snapToGrid w:val="0"/>
              <w:spacing w:line="240" w:lineRule="auto"/>
              <w:ind w:firstLine="0"/>
              <w:jc w:val="left"/>
              <w:rPr>
                <w:rFonts w:eastAsia="宋体"/>
                <w:color w:val="auto"/>
                <w:sz w:val="20"/>
                <w:szCs w:val="20"/>
              </w:rPr>
            </w:pPr>
            <w:r>
              <w:rPr>
                <w:color w:val="auto"/>
                <w:sz w:val="20"/>
                <w:szCs w:val="20"/>
              </w:rPr>
              <w:t>Severe or medically significant but not immediately life-threatening; hospitalization or prolongation of hospitalization indicated; disabiling; limiting self care ADL. Self care ADL refer to bathing, dressing and undressing, feeding self, using the toilet, taking medications, and not bedridden.</w:t>
            </w:r>
          </w:p>
        </w:tc>
      </w:tr>
      <w:tr w14:paraId="2CB821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jc w:val="center"/>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2BBF2">
            <w:pPr>
              <w:pStyle w:val="58"/>
              <w:overflowPunct w:val="0"/>
              <w:autoSpaceDE w:val="0"/>
              <w:autoSpaceDN w:val="0"/>
              <w:adjustRightInd w:val="0"/>
              <w:snapToGrid w:val="0"/>
              <w:spacing w:line="240" w:lineRule="auto"/>
              <w:ind w:firstLine="0"/>
              <w:jc w:val="center"/>
              <w:rPr>
                <w:rFonts w:eastAsia="宋体"/>
                <w:color w:val="auto"/>
                <w:sz w:val="20"/>
                <w:szCs w:val="20"/>
              </w:rPr>
            </w:pPr>
            <w:r>
              <w:rPr>
                <w:color w:val="auto"/>
                <w:sz w:val="20"/>
                <w:szCs w:val="20"/>
              </w:rPr>
              <w:t>Grade 4</w:t>
            </w:r>
          </w:p>
        </w:tc>
        <w:tc>
          <w:tcPr>
            <w:tcW w:w="45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11B11">
            <w:pPr>
              <w:pStyle w:val="58"/>
              <w:overflowPunct w:val="0"/>
              <w:autoSpaceDE w:val="0"/>
              <w:autoSpaceDN w:val="0"/>
              <w:adjustRightInd w:val="0"/>
              <w:snapToGrid w:val="0"/>
              <w:spacing w:line="240" w:lineRule="auto"/>
              <w:ind w:firstLine="0"/>
              <w:jc w:val="left"/>
              <w:rPr>
                <w:rFonts w:eastAsia="宋体"/>
                <w:color w:val="auto"/>
                <w:sz w:val="20"/>
                <w:szCs w:val="20"/>
              </w:rPr>
            </w:pPr>
            <w:r>
              <w:rPr>
                <w:color w:val="auto"/>
                <w:sz w:val="20"/>
                <w:szCs w:val="20"/>
              </w:rPr>
              <w:t>Life-threatening consequences, urgent intervention indicated.</w:t>
            </w:r>
          </w:p>
        </w:tc>
      </w:tr>
      <w:tr w14:paraId="14320E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jc w:val="center"/>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A0E87">
            <w:pPr>
              <w:pStyle w:val="58"/>
              <w:overflowPunct w:val="0"/>
              <w:autoSpaceDE w:val="0"/>
              <w:autoSpaceDN w:val="0"/>
              <w:adjustRightInd w:val="0"/>
              <w:snapToGrid w:val="0"/>
              <w:spacing w:line="240" w:lineRule="auto"/>
              <w:ind w:firstLine="0"/>
              <w:jc w:val="center"/>
              <w:rPr>
                <w:rFonts w:eastAsia="宋体"/>
                <w:color w:val="auto"/>
                <w:sz w:val="20"/>
                <w:szCs w:val="20"/>
              </w:rPr>
            </w:pPr>
            <w:r>
              <w:rPr>
                <w:color w:val="auto"/>
                <w:sz w:val="20"/>
                <w:szCs w:val="20"/>
              </w:rPr>
              <w:t>Grade 5</w:t>
            </w:r>
          </w:p>
        </w:tc>
        <w:tc>
          <w:tcPr>
            <w:tcW w:w="45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C1A18">
            <w:pPr>
              <w:pStyle w:val="58"/>
              <w:overflowPunct w:val="0"/>
              <w:autoSpaceDE w:val="0"/>
              <w:autoSpaceDN w:val="0"/>
              <w:adjustRightInd w:val="0"/>
              <w:snapToGrid w:val="0"/>
              <w:spacing w:line="240" w:lineRule="auto"/>
              <w:ind w:firstLine="0"/>
              <w:jc w:val="left"/>
              <w:rPr>
                <w:rFonts w:eastAsia="宋体"/>
                <w:color w:val="auto"/>
                <w:sz w:val="20"/>
                <w:szCs w:val="20"/>
              </w:rPr>
            </w:pPr>
            <w:r>
              <w:rPr>
                <w:color w:val="auto"/>
                <w:sz w:val="20"/>
                <w:szCs w:val="20"/>
              </w:rPr>
              <w:t>Death related to AE.</w:t>
            </w:r>
          </w:p>
        </w:tc>
      </w:tr>
    </w:tbl>
    <w:p w14:paraId="42355FC9">
      <w:pPr>
        <w:pStyle w:val="58"/>
        <w:overflowPunct w:val="0"/>
        <w:autoSpaceDE w:val="0"/>
        <w:autoSpaceDN w:val="0"/>
        <w:adjustRightInd w:val="0"/>
        <w:snapToGrid w:val="0"/>
        <w:spacing w:before="120" w:beforeLines="50" w:after="120" w:afterLines="50" w:line="300" w:lineRule="auto"/>
        <w:ind w:firstLine="0"/>
        <w:jc w:val="left"/>
        <w:rPr>
          <w:color w:val="auto"/>
        </w:rPr>
      </w:pPr>
      <w:bookmarkStart w:id="595" w:name="_GoBack"/>
      <w:bookmarkEnd w:id="595"/>
      <w:r>
        <w:rPr>
          <w:color w:val="auto"/>
        </w:rPr>
        <w:t>For AEs with fluctuation in severity, the highest severity from the start to the end will be recorded.</w:t>
      </w:r>
    </w:p>
    <w:p w14:paraId="579E23F8">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 xml:space="preserve">The grading of hypoglycemia events is provided in </w:t>
      </w:r>
      <w:r>
        <w:rPr>
          <w:color w:val="0000FF"/>
        </w:rPr>
        <w:fldChar w:fldCharType="begin"/>
      </w:r>
      <w:r>
        <w:rPr>
          <w:color w:val="0000FF"/>
        </w:rPr>
        <w:instrText xml:space="preserve"> REF F2 \h  \* MERGEFORMAT </w:instrText>
      </w:r>
      <w:r>
        <w:rPr>
          <w:color w:val="0000FF"/>
        </w:rPr>
        <w:fldChar w:fldCharType="separate"/>
      </w:r>
      <w:r>
        <w:rPr>
          <w:color w:val="0000FF"/>
        </w:rPr>
        <w:t>Appendix 2</w:t>
      </w:r>
      <w:r>
        <w:rPr>
          <w:color w:val="0000FF"/>
        </w:rPr>
        <w:fldChar w:fldCharType="end"/>
      </w:r>
      <w:r>
        <w:rPr>
          <w:color w:val="auto"/>
        </w:rPr>
        <w:t>.</w:t>
      </w:r>
    </w:p>
    <w:p w14:paraId="1FE949FB">
      <w:pPr>
        <w:pStyle w:val="6"/>
        <w:rPr>
          <w:rFonts w:eastAsia="宋体"/>
        </w:rPr>
      </w:pPr>
      <w:bookmarkStart w:id="365" w:name="_Toc159596289"/>
      <w:bookmarkStart w:id="366" w:name="_Toc5997"/>
      <w:bookmarkStart w:id="367" w:name="_Toc18222"/>
      <w:bookmarkStart w:id="368" w:name="_Toc15092"/>
      <w:r>
        <w:t>Judgment criteria for the relationship between adverse events and the investigational drug</w:t>
      </w:r>
      <w:bookmarkEnd w:id="365"/>
      <w:bookmarkEnd w:id="366"/>
      <w:bookmarkEnd w:id="367"/>
      <w:bookmarkEnd w:id="368"/>
    </w:p>
    <w:p w14:paraId="53C7F641">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 xml:space="preserve">According to the criteria for causality judgment between the study drug and AEs, the causality between AEs and the use of the investigational drug is assigned into five levels: definitely </w:t>
      </w:r>
      <w:r>
        <w:rPr>
          <w:color w:val="auto"/>
          <w:spacing w:val="-4"/>
        </w:rPr>
        <w:t xml:space="preserve">related, probably related, possibly related, unlikely related, and not related. AEs that are definitely </w:t>
      </w:r>
      <w:r>
        <w:rPr>
          <w:color w:val="auto"/>
        </w:rPr>
        <w:t>related, probably related, and possibly related are listed as adverse drug reactions (ADRs).</w:t>
      </w:r>
    </w:p>
    <w:p w14:paraId="393EEDCF">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Definitely related: An AE is definitely related to the investigational drug if: It is consistent with the known type of reaction to the suspect drug; it follows the reasonable temporal sequence after drug administration; it is relieved or resolved after dose reduction or discontinuation; it recurs after rechallenge of the drug.</w:t>
      </w:r>
    </w:p>
    <w:p w14:paraId="3E360201">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Probably related: An AE is probably related to the investigational drug if: It is consistent with the known type of reaction to the suspect drug; it follows the reasonable temporal sequence after drug administration; it is relieved or resolved after dose reduction or discontinuation; it may also be a result of the subject's clinical condition or other reasons.</w:t>
      </w:r>
    </w:p>
    <w:p w14:paraId="38F7B81B">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Possibly related: An AE is possibly related to the investigational drug if: It is consistent with the known type of reaction to the suspect drug; it follows the reasonable temporal sequence after drug administration; it is relieved or not significant after dose reduction or discontinuation; it may also be explained by the subject's clinical condition or other reasons.</w:t>
      </w:r>
    </w:p>
    <w:p w14:paraId="125EB230">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Unlikely related: An AE is unlikely related to the investigational drug if: It is not quite consistent with the known type of reaction to the suspect drug; it does not quite follow the reasonable temporal sequence after drug administration; it may also result from the subject's clinical condition or other reasons.</w:t>
      </w:r>
    </w:p>
    <w:p w14:paraId="55E68EC3">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Not related: An AE is not related to the investigational drug if: It is not consistent with the known type of reaction to the suspect drug; it does not follow the reasonable temporal sequence after drug administration; it may also be explained by the subject's clinical condition or other reasons; it is relieved or resolved after the clinical symptoms or other reasons are ruled out.</w:t>
      </w:r>
    </w:p>
    <w:p w14:paraId="08FFB8F1">
      <w:pPr>
        <w:pStyle w:val="6"/>
        <w:rPr>
          <w:rFonts w:eastAsia="宋体"/>
        </w:rPr>
      </w:pPr>
      <w:bookmarkStart w:id="369" w:name="_Toc5488"/>
      <w:bookmarkStart w:id="370" w:name="_Toc313"/>
      <w:bookmarkStart w:id="371" w:name="_Toc10161"/>
      <w:bookmarkStart w:id="372" w:name="_Toc159596290"/>
      <w:r>
        <w:t>Evaluation of clinical laboratory test abnormalities and other abnormalities considered adverse events or serious adverse events</w:t>
      </w:r>
      <w:bookmarkEnd w:id="369"/>
      <w:bookmarkEnd w:id="370"/>
      <w:bookmarkEnd w:id="371"/>
      <w:bookmarkEnd w:id="372"/>
    </w:p>
    <w:p w14:paraId="5566B0D1">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overflowPunct w:val="0"/>
        <w:autoSpaceDE w:val="0"/>
        <w:autoSpaceDN w:val="0"/>
        <w:adjustRightInd w:val="0"/>
        <w:snapToGrid w:val="0"/>
        <w:spacing w:before="120" w:beforeLines="50" w:after="120" w:afterLines="50" w:line="300" w:lineRule="auto"/>
        <w:rPr>
          <w:rFonts w:eastAsia="宋体"/>
        </w:rPr>
      </w:pPr>
      <w:r>
        <w:rPr>
          <w:u w:color="FF2600"/>
        </w:rPr>
        <w:t xml:space="preserve">Abnormalities without clinical significance in laboratory tests and vital signs will not be recorded as AEs or SAEs. Clinically significant laboratory test abnormalities and other abnormalities (e.g., ECG and vital signs) must be recorded as AEs or SAEs; however, the above abnormalities found at screening will not be recorded as AEs. </w:t>
      </w:r>
      <w:r>
        <w:t>If an abnormality meets the definition of an AE or an SAE, it must be recorded as an AE or an SAE. If a laboratory abnormality is part of a syndrome, the syndrome or diagnosis (e.g., anemia) will be recorded instead of the laboratory test result (i.e., decreased hemoglobin).</w:t>
      </w:r>
    </w:p>
    <w:p w14:paraId="472B4FFB">
      <w:pPr>
        <w:pStyle w:val="5"/>
      </w:pPr>
      <w:bookmarkStart w:id="373" w:name="_Toc159596291"/>
      <w:bookmarkStart w:id="374" w:name="_Toc13407"/>
      <w:bookmarkStart w:id="375" w:name="_Toc23297"/>
      <w:bookmarkStart w:id="376" w:name="_Toc20711"/>
      <w:r>
        <w:t>Adverse Events of Special Interest</w:t>
      </w:r>
      <w:bookmarkEnd w:id="373"/>
    </w:p>
    <w:p w14:paraId="63A832A3">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Adverse events of special interest (AESIs) include: hypoglycemia, hypersensitivity reaction, injection site reaction, pancreatitis, acute gallbladder disease, and malignant neoplasm of thyroid gland. The investigator will perform timely and reasonable medical assessment and treatment for the adverse events based on the clinical manifestations and the results of various examinations and with reference to the routine diagnosis and treatment procedures in the study site. For plans and corresponding measures for AESIs and common adverse reactions, refer to the risk management manual.</w:t>
      </w:r>
    </w:p>
    <w:p w14:paraId="310195D3">
      <w:pPr>
        <w:pStyle w:val="5"/>
      </w:pPr>
      <w:bookmarkStart w:id="377" w:name="_Toc159596292"/>
      <w:r>
        <w:t>Serious Adverse Events</w:t>
      </w:r>
      <w:bookmarkEnd w:id="374"/>
      <w:bookmarkEnd w:id="375"/>
      <w:bookmarkEnd w:id="376"/>
      <w:bookmarkEnd w:id="377"/>
    </w:p>
    <w:p w14:paraId="24DD9CCA">
      <w:pPr>
        <w:pStyle w:val="6"/>
        <w:rPr>
          <w:rFonts w:eastAsia="宋体"/>
        </w:rPr>
      </w:pPr>
      <w:bookmarkStart w:id="378" w:name="_Toc29429"/>
      <w:bookmarkStart w:id="379" w:name="_Toc159596293"/>
      <w:bookmarkStart w:id="380" w:name="_Toc8792"/>
      <w:bookmarkStart w:id="381" w:name="_Toc16523"/>
      <w:r>
        <w:t>Definition of serious adverse events</w:t>
      </w:r>
      <w:bookmarkEnd w:id="378"/>
      <w:bookmarkEnd w:id="379"/>
      <w:bookmarkEnd w:id="380"/>
      <w:bookmarkEnd w:id="381"/>
    </w:p>
    <w:p w14:paraId="64D4C2C1">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Serious adverse events (SAE) refer to (1) deaths; (2) life-threatening consequences; (3) permanent or serious disability or incapacity; (4) hospitalization or prolonged hospitalization; (5) congenital abnormalities or birth defects; (6) other important medical events experienced by subjects after receiving the investigational product. Medical and scientific judgment must be exercised in deciding whether expedited reporting is appropriate in other situations, such as important medical events that may not be immediately life-threatening or result in death or hospitalization but may require intervention to prevent one of the other outcomes listed in the definition above. These shall also usually be considered serious.</w:t>
      </w:r>
    </w:p>
    <w:p w14:paraId="514049FE">
      <w:pPr>
        <w:pStyle w:val="6"/>
        <w:rPr>
          <w:rFonts w:eastAsia="宋体"/>
        </w:rPr>
      </w:pPr>
      <w:bookmarkStart w:id="382" w:name="_Toc159596294"/>
      <w:bookmarkStart w:id="383" w:name="_Toc6255"/>
      <w:bookmarkStart w:id="384" w:name="_Toc10189"/>
      <w:bookmarkStart w:id="385" w:name="_Toc8081"/>
      <w:r>
        <w:t>Suspected unexpected serious adverse reaction (SUSAR)</w:t>
      </w:r>
      <w:bookmarkEnd w:id="382"/>
    </w:p>
    <w:p w14:paraId="2A6373FC">
      <w:pPr>
        <w:widowControl w:val="0"/>
        <w:overflowPunct w:val="0"/>
        <w:autoSpaceDE w:val="0"/>
        <w:autoSpaceDN w:val="0"/>
        <w:adjustRightInd w:val="0"/>
        <w:snapToGrid w:val="0"/>
        <w:spacing w:before="120" w:beforeLines="50" w:after="120" w:afterLines="50" w:line="300" w:lineRule="auto"/>
        <w:rPr>
          <w:rFonts w:eastAsia="宋体"/>
          <w:kern w:val="2"/>
          <w:u w:color="000000"/>
        </w:rPr>
      </w:pPr>
      <w:r>
        <w:rPr>
          <w:u w:color="000000"/>
        </w:rPr>
        <w:t>A suspected unexpected serious adverse reaction refers to a suspected and unexpected serious adverse reaction whose nature and severity of clinical manifestations exceed those in the investigator's brochure of the investigational drug, the package insert of the marketed drug, or the summary of product characteristics.</w:t>
      </w:r>
    </w:p>
    <w:p w14:paraId="446554CD">
      <w:pPr>
        <w:pStyle w:val="6"/>
        <w:rPr>
          <w:rFonts w:eastAsia="宋体"/>
        </w:rPr>
      </w:pPr>
      <w:bookmarkStart w:id="386" w:name="_Toc159596295"/>
      <w:r>
        <w:t>Recording and reporting of SAEs</w:t>
      </w:r>
      <w:bookmarkEnd w:id="383"/>
      <w:bookmarkEnd w:id="384"/>
      <w:bookmarkEnd w:id="385"/>
      <w:bookmarkEnd w:id="386"/>
    </w:p>
    <w:p w14:paraId="7E731688">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If an SAE occurs, the investigator shall fill in the "Serious Adverse Event Reporting Form" in detail as much as possible, and sign and date it. The investigator must report the SAE to the project leader designated by the sponsor within 24 h of knowing the event. For reports involving deaths, the investigator shall provide the sponsor and the ethics committee with other required information, such as the autopsy report and the final medical report. The initial report shall include the following as far as possible: source of the report, the subject's general information, name of the investigational product, name of the SAE, duration, severity, causality with the investigational product, treatment, and outcome. Reporting route of SAEs:</w:t>
      </w:r>
    </w:p>
    <w:p w14:paraId="20346C59">
      <w:pPr>
        <w:pStyle w:val="15"/>
        <w:rPr>
          <w:rFonts w:eastAsia="宋体"/>
        </w:rPr>
      </w:pPr>
      <w:bookmarkStart w:id="387" w:name="_Toc159511677"/>
      <w:r>
        <w:t xml:space="preserve">Table </w:t>
      </w:r>
      <w:r>
        <w:rPr>
          <w:rFonts w:eastAsia="宋体"/>
        </w:rPr>
        <w:fldChar w:fldCharType="begin"/>
      </w:r>
      <w:r>
        <w:rPr>
          <w:rFonts w:eastAsia="宋体"/>
        </w:rPr>
        <w:instrText xml:space="preserve"> SEQ 表 \* ARABIC </w:instrText>
      </w:r>
      <w:r>
        <w:rPr>
          <w:rFonts w:eastAsia="宋体"/>
        </w:rPr>
        <w:fldChar w:fldCharType="separate"/>
      </w:r>
      <w:r>
        <w:rPr>
          <w:rFonts w:eastAsia="宋体"/>
        </w:rPr>
        <w:t>3</w:t>
      </w:r>
      <w:r>
        <w:rPr>
          <w:rFonts w:eastAsia="宋体"/>
        </w:rPr>
        <w:fldChar w:fldCharType="end"/>
      </w:r>
      <w:r>
        <w:t>. Reporting route of SAEs</w:t>
      </w:r>
      <w:bookmarkEnd w:id="387"/>
    </w:p>
    <w:tbl>
      <w:tblPr>
        <w:tblStyle w:val="51"/>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28" w:type="dxa"/>
          <w:left w:w="57" w:type="dxa"/>
          <w:bottom w:w="28" w:type="dxa"/>
          <w:right w:w="57" w:type="dxa"/>
        </w:tblCellMar>
      </w:tblPr>
      <w:tblGrid>
        <w:gridCol w:w="4444"/>
        <w:gridCol w:w="1272"/>
        <w:gridCol w:w="3758"/>
      </w:tblGrid>
      <w:tr w14:paraId="492975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c>
          <w:tcPr>
            <w:tcW w:w="2345" w:type="pct"/>
            <w:tcBorders>
              <w:top w:val="single" w:color="000000" w:sz="4" w:space="0"/>
              <w:left w:val="single" w:color="000000" w:sz="4" w:space="0"/>
              <w:bottom w:val="nil"/>
              <w:right w:val="single" w:color="000000" w:sz="4" w:space="0"/>
            </w:tcBorders>
            <w:shd w:val="clear" w:color="auto" w:fill="auto"/>
            <w:tcMar>
              <w:top w:w="28" w:type="dxa"/>
              <w:left w:w="57" w:type="dxa"/>
              <w:bottom w:w="28" w:type="dxa"/>
              <w:right w:w="57" w:type="dxa"/>
            </w:tcMar>
            <w:vAlign w:val="center"/>
          </w:tcPr>
          <w:p w14:paraId="162D5F70">
            <w:pPr>
              <w:pStyle w:val="4"/>
              <w:tabs>
                <w:tab w:val="left" w:pos="3060"/>
              </w:tabs>
              <w:overflowPunct w:val="0"/>
              <w:autoSpaceDE w:val="0"/>
              <w:autoSpaceDN w:val="0"/>
              <w:adjustRightInd w:val="0"/>
              <w:snapToGrid w:val="0"/>
              <w:spacing w:line="240" w:lineRule="auto"/>
              <w:ind w:firstLine="0" w:firstLineChars="0"/>
              <w:jc w:val="center"/>
              <w:rPr>
                <w:rFonts w:cs="Times New Roman"/>
                <w:color w:val="auto"/>
                <w:sz w:val="20"/>
                <w:szCs w:val="20"/>
              </w:rPr>
            </w:pPr>
            <w:r>
              <w:rPr>
                <w:rFonts w:cs="Times New Roman"/>
                <w:b/>
                <w:bCs/>
                <w:color w:val="auto"/>
                <w:sz w:val="20"/>
                <w:szCs w:val="20"/>
              </w:rPr>
              <w:t>Institution</w:t>
            </w:r>
          </w:p>
        </w:tc>
        <w:tc>
          <w:tcPr>
            <w:tcW w:w="671" w:type="pct"/>
            <w:tcBorders>
              <w:top w:val="single" w:color="000000" w:sz="4" w:space="0"/>
              <w:left w:val="single" w:color="000000" w:sz="4" w:space="0"/>
              <w:bottom w:val="nil"/>
              <w:right w:val="single" w:color="000000" w:sz="4" w:space="0"/>
            </w:tcBorders>
            <w:shd w:val="clear" w:color="auto" w:fill="auto"/>
            <w:tcMar>
              <w:top w:w="28" w:type="dxa"/>
              <w:left w:w="57" w:type="dxa"/>
              <w:bottom w:w="28" w:type="dxa"/>
              <w:right w:w="57" w:type="dxa"/>
            </w:tcMar>
            <w:vAlign w:val="center"/>
          </w:tcPr>
          <w:p w14:paraId="65B2FBA4">
            <w:pPr>
              <w:pStyle w:val="4"/>
              <w:tabs>
                <w:tab w:val="left" w:pos="3060"/>
              </w:tabs>
              <w:overflowPunct w:val="0"/>
              <w:autoSpaceDE w:val="0"/>
              <w:autoSpaceDN w:val="0"/>
              <w:adjustRightInd w:val="0"/>
              <w:snapToGrid w:val="0"/>
              <w:spacing w:line="240" w:lineRule="auto"/>
              <w:ind w:firstLine="0" w:firstLineChars="0"/>
              <w:jc w:val="center"/>
              <w:rPr>
                <w:rFonts w:cs="Times New Roman"/>
                <w:color w:val="auto"/>
                <w:sz w:val="20"/>
                <w:szCs w:val="20"/>
              </w:rPr>
            </w:pPr>
            <w:r>
              <w:rPr>
                <w:rFonts w:cs="Times New Roman"/>
                <w:b/>
                <w:bCs/>
                <w:color w:val="auto"/>
                <w:sz w:val="20"/>
                <w:szCs w:val="20"/>
              </w:rPr>
              <w:t>Contact</w:t>
            </w:r>
          </w:p>
        </w:tc>
        <w:tc>
          <w:tcPr>
            <w:tcW w:w="1983" w:type="pct"/>
            <w:tcBorders>
              <w:top w:val="single" w:color="000000" w:sz="4" w:space="0"/>
              <w:left w:val="single" w:color="000000" w:sz="4" w:space="0"/>
              <w:bottom w:val="nil"/>
              <w:right w:val="single" w:color="000000" w:sz="4" w:space="0"/>
            </w:tcBorders>
            <w:shd w:val="clear" w:color="auto" w:fill="auto"/>
            <w:tcMar>
              <w:top w:w="28" w:type="dxa"/>
              <w:left w:w="57" w:type="dxa"/>
              <w:bottom w:w="28" w:type="dxa"/>
              <w:right w:w="57" w:type="dxa"/>
            </w:tcMar>
            <w:vAlign w:val="center"/>
          </w:tcPr>
          <w:p w14:paraId="1E6CA603">
            <w:pPr>
              <w:pStyle w:val="4"/>
              <w:tabs>
                <w:tab w:val="left" w:pos="3060"/>
              </w:tabs>
              <w:overflowPunct w:val="0"/>
              <w:autoSpaceDE w:val="0"/>
              <w:autoSpaceDN w:val="0"/>
              <w:adjustRightInd w:val="0"/>
              <w:snapToGrid w:val="0"/>
              <w:spacing w:line="240" w:lineRule="auto"/>
              <w:ind w:firstLine="0" w:firstLineChars="0"/>
              <w:rPr>
                <w:rFonts w:cs="Times New Roman"/>
                <w:color w:val="auto"/>
                <w:sz w:val="20"/>
                <w:szCs w:val="20"/>
              </w:rPr>
            </w:pPr>
            <w:r>
              <w:rPr>
                <w:rFonts w:cs="Times New Roman"/>
                <w:b/>
                <w:bCs/>
                <w:color w:val="auto"/>
                <w:sz w:val="20"/>
                <w:szCs w:val="20"/>
              </w:rPr>
              <w:t>Contact information: Tel./Email</w:t>
            </w:r>
          </w:p>
        </w:tc>
      </w:tr>
      <w:tr w14:paraId="3D7C97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c>
          <w:tcPr>
            <w:tcW w:w="2345"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57703E9A">
            <w:pPr>
              <w:pStyle w:val="4"/>
              <w:overflowPunct w:val="0"/>
              <w:autoSpaceDE w:val="0"/>
              <w:autoSpaceDN w:val="0"/>
              <w:adjustRightInd w:val="0"/>
              <w:snapToGrid w:val="0"/>
              <w:spacing w:line="240" w:lineRule="auto"/>
              <w:ind w:firstLine="0" w:firstLineChars="0"/>
              <w:rPr>
                <w:rFonts w:cs="Times New Roman"/>
                <w:color w:val="auto"/>
                <w:sz w:val="20"/>
                <w:szCs w:val="20"/>
              </w:rPr>
            </w:pPr>
            <w:r>
              <w:rPr>
                <w:rFonts w:cs="Times New Roman"/>
                <w:color w:val="auto"/>
                <w:sz w:val="20"/>
                <w:szCs w:val="20"/>
              </w:rPr>
              <w:t>Sponsor: Guangdong Raynovent Biotech Co., Ltd.</w:t>
            </w:r>
          </w:p>
        </w:tc>
        <w:tc>
          <w:tcPr>
            <w:tcW w:w="671"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081E8000">
            <w:pPr>
              <w:pStyle w:val="4"/>
              <w:overflowPunct w:val="0"/>
              <w:autoSpaceDE w:val="0"/>
              <w:autoSpaceDN w:val="0"/>
              <w:adjustRightInd w:val="0"/>
              <w:snapToGrid w:val="0"/>
              <w:spacing w:line="240" w:lineRule="auto"/>
              <w:ind w:firstLine="0" w:firstLineChars="0"/>
              <w:jc w:val="center"/>
              <w:rPr>
                <w:rFonts w:cs="Times New Roman"/>
                <w:color w:val="auto"/>
                <w:sz w:val="20"/>
                <w:szCs w:val="20"/>
              </w:rPr>
            </w:pPr>
            <w:r>
              <w:rPr>
                <w:rFonts w:cs="Times New Roman"/>
                <w:color w:val="auto"/>
                <w:sz w:val="20"/>
                <w:szCs w:val="20"/>
              </w:rPr>
              <w:t>He Yanshan</w:t>
            </w:r>
          </w:p>
        </w:tc>
        <w:tc>
          <w:tcPr>
            <w:tcW w:w="1983" w:type="pct"/>
            <w:tcBorders>
              <w:top w:val="single" w:color="000000" w:sz="4" w:space="0"/>
              <w:left w:val="single" w:color="000000" w:sz="4" w:space="0"/>
              <w:bottom w:val="single" w:color="000000" w:sz="4" w:space="0"/>
              <w:right w:val="single" w:color="000000" w:sz="4" w:space="0"/>
            </w:tcBorders>
            <w:shd w:val="clear" w:color="auto" w:fill="auto"/>
            <w:tcMar>
              <w:top w:w="28" w:type="dxa"/>
              <w:left w:w="57" w:type="dxa"/>
              <w:bottom w:w="28" w:type="dxa"/>
              <w:right w:w="57" w:type="dxa"/>
            </w:tcMar>
            <w:vAlign w:val="center"/>
          </w:tcPr>
          <w:p w14:paraId="1521429D">
            <w:pPr>
              <w:pStyle w:val="4"/>
              <w:overflowPunct w:val="0"/>
              <w:autoSpaceDE w:val="0"/>
              <w:autoSpaceDN w:val="0"/>
              <w:adjustRightInd w:val="0"/>
              <w:snapToGrid w:val="0"/>
              <w:spacing w:line="240" w:lineRule="auto"/>
              <w:ind w:firstLine="0" w:firstLineChars="0"/>
              <w:rPr>
                <w:rFonts w:cs="Times New Roman"/>
                <w:color w:val="auto"/>
                <w:sz w:val="20"/>
                <w:szCs w:val="20"/>
              </w:rPr>
            </w:pPr>
            <w:r>
              <w:rPr>
                <w:rFonts w:cs="Times New Roman"/>
                <w:color w:val="auto"/>
                <w:sz w:val="20"/>
                <w:szCs w:val="20"/>
              </w:rPr>
              <w:t>18826108508</w:t>
            </w:r>
          </w:p>
          <w:p w14:paraId="380546DE">
            <w:pPr>
              <w:pStyle w:val="4"/>
              <w:overflowPunct w:val="0"/>
              <w:autoSpaceDE w:val="0"/>
              <w:autoSpaceDN w:val="0"/>
              <w:adjustRightInd w:val="0"/>
              <w:snapToGrid w:val="0"/>
              <w:spacing w:line="240" w:lineRule="auto"/>
              <w:ind w:firstLine="0" w:firstLineChars="0"/>
              <w:rPr>
                <w:rFonts w:cs="Times New Roman"/>
                <w:color w:val="auto"/>
                <w:sz w:val="20"/>
                <w:szCs w:val="20"/>
              </w:rPr>
            </w:pPr>
            <w:r>
              <w:rPr>
                <w:rFonts w:cs="Times New Roman"/>
                <w:color w:val="auto"/>
                <w:sz w:val="20"/>
                <w:szCs w:val="20"/>
              </w:rPr>
              <w:t>he_yanshan@raynovent.com</w:t>
            </w:r>
          </w:p>
        </w:tc>
      </w:tr>
    </w:tbl>
    <w:p w14:paraId="6FCFD5F0">
      <w:pPr>
        <w:widowControl w:val="0"/>
        <w:tabs>
          <w:tab w:val="left" w:pos="2415"/>
        </w:tabs>
        <w:overflowPunct w:val="0"/>
        <w:autoSpaceDE w:val="0"/>
        <w:autoSpaceDN w:val="0"/>
        <w:adjustRightInd w:val="0"/>
        <w:snapToGrid w:val="0"/>
        <w:spacing w:before="120" w:beforeLines="50" w:after="120" w:afterLines="50" w:line="300" w:lineRule="auto"/>
        <w:rPr>
          <w:rFonts w:eastAsia="宋体"/>
          <w:kern w:val="2"/>
          <w:u w:color="000000"/>
        </w:rPr>
      </w:pPr>
      <w:r>
        <w:t>After receiving the report, the sponsor shall review the report. If the necessary elements in E2A are missing, the sponsor shall immediately</w:t>
      </w:r>
      <w:r>
        <w:rPr>
          <w:u w:color="000000"/>
        </w:rPr>
        <w:t xml:space="preserve"> contact the investigator and request the relevant information. If the SAE is judged as a SUSAR, the sponsor shall also report it to the Center for Drug Evaluation, National Medical Products Administration, the National Health Commission, the hospital's Medical Ethics Committee, and clinical study institution (in accordance with the requirements of the site) within 7 calendar days (death or life-threatening consequence)/15 calendar days (other SUSARs) of being informed. The time when the sponsor is informed for the first time will be defined as day 0.</w:t>
      </w:r>
    </w:p>
    <w:p w14:paraId="134F5BD7">
      <w:pPr>
        <w:pStyle w:val="6"/>
        <w:rPr>
          <w:rFonts w:eastAsia="宋体"/>
        </w:rPr>
      </w:pPr>
      <w:bookmarkStart w:id="388" w:name="_Toc25840"/>
      <w:bookmarkStart w:id="389" w:name="_Toc25255"/>
      <w:bookmarkStart w:id="390" w:name="_Toc22505"/>
      <w:bookmarkStart w:id="391" w:name="_Toc159596296"/>
      <w:bookmarkStart w:id="392" w:name="_Hlk150793789"/>
      <w:r>
        <w:t>Pregnancy events</w:t>
      </w:r>
      <w:bookmarkEnd w:id="388"/>
      <w:bookmarkEnd w:id="389"/>
      <w:bookmarkEnd w:id="390"/>
      <w:bookmarkEnd w:id="391"/>
    </w:p>
    <w:bookmarkEnd w:id="392"/>
    <w:p w14:paraId="10FFD756">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Before entering the study, subjects shall be informed that they must take strict contraceptive measures (including subjects or their partners) during the study and until 6 months after the last dose. If any subject participating in the study or partner of the subject is pregnant or is found to be pregnant during the treatment of the study drug and within 6 months after the last dose, the investigator must fill in the pregnancy event form and submit it to the sponsor and report it according to the ethical requirements of the site.</w:t>
      </w:r>
    </w:p>
    <w:p w14:paraId="7345ECE9">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The investigator shall communicate with the subjects scientifically and rigorously based on the medication information, inform the subjects of the possible effects and risks of the study drug on the pregnant woman and fetus, and allow the subjects and their partners to decide whether to terminate or continue the pregnancy.</w:t>
      </w:r>
    </w:p>
    <w:p w14:paraId="31CEA3A2">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If the subject or his/her partner decides to continue the pregnancy, the pregnancy shall be followed up once every 3 months until one month after the end of the pregnancy.</w:t>
      </w:r>
    </w:p>
    <w:p w14:paraId="4AA8AE3B">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If the pregnancy results comply with the criteria for SAEs (e.g., spontaneous abortion, stillbirth, neonatal death, or congenital anomalies (including miscarriage, stillbirth, or neonatal death)), the investigator shall report by the SAE reporting procedures.</w:t>
      </w:r>
    </w:p>
    <w:p w14:paraId="4430E8C5">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Other pregnancy outcomes as SAEs: "Spontaneous abortion" includes inevitable abortion and missed abortion. If the subject chooses an induced abortion, it will not be reported as an SAE.</w:t>
      </w:r>
    </w:p>
    <w:p w14:paraId="235EB784">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Any neonatal death occurring within 1 month after birth shall be reported as an SAE, irrespective of the cause of death. Additionally, any infant death occurring 1 month after birth shall also be reported as long as the investigator considers that the death is possibly related to the study drug.</w:t>
      </w:r>
    </w:p>
    <w:p w14:paraId="7455BA4A">
      <w:pPr>
        <w:pStyle w:val="6"/>
        <w:rPr>
          <w:rFonts w:eastAsia="宋体"/>
        </w:rPr>
      </w:pPr>
      <w:bookmarkStart w:id="393" w:name="_Toc159596297"/>
      <w:r>
        <w:t>Abnormal liver biochemical parameters</w:t>
      </w:r>
      <w:bookmarkEnd w:id="393"/>
    </w:p>
    <w:p w14:paraId="3029C9C9">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According to the requirements of the "Guidelines for Identification, Management, and Assessment of Drug-Induced Liver Injury in Clinical Trials", for cases with abnormal liver biochemical parameters meeting the following criteria during the clinical study, the investigator shall fill in the "Report Form for Events of Abnormal Liver Biochemical Parameters" as detailed as possible and report to the sponsor within 24 h of knowing the event (refer to the "reporting route of SAEs" for the contact person of the sponsor).</w:t>
      </w:r>
    </w:p>
    <w:p w14:paraId="4E2EF53E">
      <w:pPr>
        <w:pStyle w:val="58"/>
        <w:numPr>
          <w:ilvl w:val="0"/>
          <w:numId w:val="44"/>
        </w:numPr>
        <w:overflowPunct w:val="0"/>
        <w:autoSpaceDE w:val="0"/>
        <w:autoSpaceDN w:val="0"/>
        <w:adjustRightInd w:val="0"/>
        <w:snapToGrid w:val="0"/>
        <w:spacing w:before="120" w:beforeLines="50" w:after="120" w:afterLines="50" w:line="300" w:lineRule="auto"/>
        <w:jc w:val="left"/>
        <w:rPr>
          <w:color w:val="auto"/>
        </w:rPr>
      </w:pPr>
      <w:r>
        <w:rPr>
          <w:color w:val="auto"/>
        </w:rPr>
        <w:t>ALT or AST &gt; 5 × ULN;</w:t>
      </w:r>
    </w:p>
    <w:p w14:paraId="7A832177">
      <w:pPr>
        <w:pStyle w:val="58"/>
        <w:numPr>
          <w:ilvl w:val="0"/>
          <w:numId w:val="44"/>
        </w:numPr>
        <w:overflowPunct w:val="0"/>
        <w:autoSpaceDE w:val="0"/>
        <w:autoSpaceDN w:val="0"/>
        <w:adjustRightInd w:val="0"/>
        <w:snapToGrid w:val="0"/>
        <w:spacing w:before="120" w:beforeLines="50" w:after="120" w:afterLines="50" w:line="300" w:lineRule="auto"/>
        <w:jc w:val="left"/>
        <w:rPr>
          <w:color w:val="auto"/>
        </w:rPr>
      </w:pPr>
      <w:r>
        <w:rPr>
          <w:color w:val="auto"/>
        </w:rPr>
        <w:t>ALT or AST &gt; 3 × ULN and TBil &gt; 2 × ULN or INR &gt; 1.5;</w:t>
      </w:r>
    </w:p>
    <w:p w14:paraId="13A7B92F">
      <w:pPr>
        <w:pStyle w:val="58"/>
        <w:numPr>
          <w:ilvl w:val="0"/>
          <w:numId w:val="44"/>
        </w:numPr>
        <w:overflowPunct w:val="0"/>
        <w:autoSpaceDE w:val="0"/>
        <w:autoSpaceDN w:val="0"/>
        <w:adjustRightInd w:val="0"/>
        <w:snapToGrid w:val="0"/>
        <w:spacing w:before="120" w:beforeLines="50" w:after="120" w:afterLines="50" w:line="300" w:lineRule="auto"/>
        <w:jc w:val="left"/>
        <w:rPr>
          <w:color w:val="auto"/>
        </w:rPr>
      </w:pPr>
      <w:r>
        <w:rPr>
          <w:color w:val="auto"/>
        </w:rPr>
        <w:t xml:space="preserve">ALT or AST &gt; 3 × ULN with clinical symptoms (such as fatigue, nausea, vomiting, </w:t>
      </w:r>
      <w:r>
        <w:rPr>
          <w:color w:val="auto"/>
          <w:spacing w:val="-4"/>
        </w:rPr>
        <w:t>pain in the right upper quadrant or tenderness, feverishness, rash, or eosinophilia (&gt; 5%)).</w:t>
      </w:r>
    </w:p>
    <w:p w14:paraId="742AB2C9">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The report shall include all available information, especially the necessary information to assess the severity of the event and the causal relationship with the drug. At the same time, the subjects shall be closely monitored until they fully recover or experience relevant clinical outcome events (such as chronic liver injury, liver cirrhosis, liver failure, liver transplantation, death, etc.), and supplementary information shall be collected. The procedures for monitoring, identifying, and managing abnormal liver biochemical parameters are detailed in the risk management manual.</w:t>
      </w:r>
    </w:p>
    <w:p w14:paraId="3210FAB2">
      <w:pPr>
        <w:pStyle w:val="3"/>
      </w:pPr>
      <w:bookmarkStart w:id="394" w:name="_Toc159596298"/>
      <w:bookmarkStart w:id="395" w:name="_Toc31777"/>
      <w:bookmarkStart w:id="396" w:name="_Toc232"/>
      <w:bookmarkStart w:id="397" w:name="_Toc32548"/>
      <w:bookmarkStart w:id="398" w:name="_Toc493637983"/>
      <w:r>
        <w:t>STATISTICAL METHOD AND SAMPLE SIZE DETERMINATION</w:t>
      </w:r>
      <w:bookmarkEnd w:id="394"/>
      <w:bookmarkEnd w:id="395"/>
      <w:bookmarkEnd w:id="396"/>
      <w:bookmarkEnd w:id="397"/>
      <w:bookmarkEnd w:id="398"/>
    </w:p>
    <w:p w14:paraId="506E5701">
      <w:pPr>
        <w:pStyle w:val="5"/>
      </w:pPr>
      <w:bookmarkStart w:id="399" w:name="_Toc159596299"/>
      <w:bookmarkStart w:id="400" w:name="_Toc23232"/>
      <w:bookmarkStart w:id="401" w:name="_Toc1995"/>
      <w:bookmarkStart w:id="402" w:name="_Toc3935"/>
      <w:r>
        <w:t>Statistical Analysis</w:t>
      </w:r>
      <w:bookmarkEnd w:id="399"/>
      <w:bookmarkEnd w:id="400"/>
      <w:bookmarkEnd w:id="401"/>
      <w:bookmarkEnd w:id="402"/>
    </w:p>
    <w:p w14:paraId="340CA11F">
      <w:pPr>
        <w:pStyle w:val="6"/>
        <w:rPr>
          <w:rFonts w:eastAsia="宋体"/>
        </w:rPr>
      </w:pPr>
      <w:bookmarkStart w:id="403" w:name="_Toc159596300"/>
      <w:bookmarkStart w:id="404" w:name="_Toc21239"/>
      <w:bookmarkStart w:id="405" w:name="_Toc9784"/>
      <w:bookmarkStart w:id="406" w:name="_Toc24714"/>
      <w:r>
        <w:t>Analysis population</w:t>
      </w:r>
      <w:bookmarkEnd w:id="403"/>
      <w:bookmarkEnd w:id="404"/>
      <w:bookmarkEnd w:id="405"/>
      <w:bookmarkEnd w:id="406"/>
    </w:p>
    <w:p w14:paraId="638E0158">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kern w:val="0"/>
          <w:szCs w:val="24"/>
        </w:rPr>
      </w:pPr>
      <w:r>
        <w:rPr>
          <w:rFonts w:cs="Times New Roman"/>
          <w:color w:val="auto"/>
          <w:szCs w:val="24"/>
        </w:rPr>
        <w:t>For each part of the study, an analysis population will be determined, and the following analysis populations will be used for the analysis of study data:</w:t>
      </w:r>
    </w:p>
    <w:p w14:paraId="59D67A10">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kern w:val="0"/>
          <w:szCs w:val="24"/>
        </w:rPr>
      </w:pPr>
      <w:r>
        <w:rPr>
          <w:rFonts w:cs="Times New Roman"/>
          <w:color w:val="auto"/>
          <w:szCs w:val="24"/>
        </w:rPr>
        <w:t>Full analysis set (FAS): Including all randomized subjects who have received at least one dose of study drugs;</w:t>
      </w:r>
    </w:p>
    <w:p w14:paraId="1D33664E">
      <w:pPr>
        <w:pStyle w:val="4"/>
        <w:overflowPunct w:val="0"/>
        <w:autoSpaceDE w:val="0"/>
        <w:autoSpaceDN w:val="0"/>
        <w:adjustRightInd w:val="0"/>
        <w:snapToGrid w:val="0"/>
        <w:spacing w:before="120" w:beforeLines="50" w:after="120" w:afterLines="50" w:line="300" w:lineRule="auto"/>
        <w:ind w:firstLine="0" w:firstLineChars="0"/>
        <w:jc w:val="left"/>
        <w:rPr>
          <w:rFonts w:eastAsia="PMingLiU" w:cs="Times New Roman"/>
          <w:color w:val="auto"/>
          <w:kern w:val="0"/>
          <w:szCs w:val="24"/>
        </w:rPr>
      </w:pPr>
      <w:r>
        <w:rPr>
          <w:rFonts w:cs="Times New Roman"/>
          <w:color w:val="auto"/>
          <w:szCs w:val="24"/>
        </w:rPr>
        <w:t>Safety set (SS): Including all randomized subjects who have received at least one dose of study drugs with records of safety endpoints;</w:t>
      </w:r>
    </w:p>
    <w:p w14:paraId="1688973C">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kern w:val="0"/>
          <w:szCs w:val="24"/>
        </w:rPr>
      </w:pPr>
      <w:r>
        <w:rPr>
          <w:rFonts w:cs="Times New Roman"/>
          <w:color w:val="auto"/>
          <w:szCs w:val="24"/>
        </w:rPr>
        <w:t>Pharmacokinetics set (PKS): Including all randomized subjects who have received study drugs, have at least one evaluable post-dose plasma drug concentration data, and have no protocol deviations or concomitant medications that significantly affect the PK assessment;</w:t>
      </w:r>
    </w:p>
    <w:p w14:paraId="0D2F9B19">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kern w:val="0"/>
          <w:szCs w:val="24"/>
        </w:rPr>
      </w:pPr>
      <w:bookmarkStart w:id="407" w:name="_Toc13256"/>
      <w:bookmarkStart w:id="408" w:name="_Toc5801"/>
      <w:bookmarkStart w:id="409" w:name="_Toc9310"/>
      <w:r>
        <w:rPr>
          <w:rFonts w:cs="Times New Roman"/>
          <w:color w:val="auto"/>
          <w:szCs w:val="24"/>
        </w:rPr>
        <w:t>Immunogenicity analysis set (ADAS): Including all randomized subjects who have received study drugs and have at least one immunogenicity result.</w:t>
      </w:r>
    </w:p>
    <w:p w14:paraId="0E543244">
      <w:pPr>
        <w:pStyle w:val="183"/>
        <w:widowControl w:val="0"/>
        <w:overflowPunct w:val="0"/>
        <w:autoSpaceDE w:val="0"/>
        <w:autoSpaceDN w:val="0"/>
        <w:adjustRightInd w:val="0"/>
        <w:snapToGrid w:val="0"/>
        <w:spacing w:before="120" w:after="120" w:line="300" w:lineRule="auto"/>
        <w:ind w:firstLine="0" w:firstLineChars="0"/>
        <w:jc w:val="left"/>
        <w:rPr>
          <w:spacing w:val="-4"/>
        </w:rPr>
      </w:pPr>
      <w:r>
        <w:rPr>
          <w:spacing w:val="-4"/>
        </w:rPr>
        <w:t>The division of data sets will be discussed and determined by all parties at the data review meeting.</w:t>
      </w:r>
    </w:p>
    <w:p w14:paraId="0C93BC87">
      <w:pPr>
        <w:pStyle w:val="6"/>
        <w:rPr>
          <w:rFonts w:eastAsia="宋体"/>
        </w:rPr>
      </w:pPr>
      <w:bookmarkStart w:id="410" w:name="_Toc159596301"/>
      <w:r>
        <w:t>Statistical analysis method</w:t>
      </w:r>
      <w:bookmarkEnd w:id="407"/>
      <w:bookmarkEnd w:id="408"/>
      <w:bookmarkEnd w:id="409"/>
      <w:bookmarkEnd w:id="410"/>
    </w:p>
    <w:p w14:paraId="1AB45199">
      <w:pPr>
        <w:overflowPunct w:val="0"/>
        <w:autoSpaceDE w:val="0"/>
        <w:autoSpaceDN w:val="0"/>
        <w:adjustRightInd w:val="0"/>
        <w:snapToGrid w:val="0"/>
        <w:spacing w:before="120" w:beforeLines="50" w:after="120" w:afterLines="50" w:line="300" w:lineRule="auto"/>
        <w:rPr>
          <w:rFonts w:eastAsia="宋体"/>
        </w:rPr>
      </w:pPr>
      <w:bookmarkStart w:id="411" w:name="_Toc22923"/>
      <w:bookmarkStart w:id="412" w:name="_Toc1174"/>
      <w:r>
        <w:t>This study is mainly based on descriptive analysis without hypothesis testing. The PK data analysis will be performed using WinNonlin (version 8.3 or later), and the remaining statistical analyses will be performed using SAS (version 9.4 or later). Quantitative data will be statistically described using the number of subjects, mean, standard deviation, quartile, minimum, and maximum. Qualitative data (including ranked data) will be statistically described using the number of subjects and percentage. The statistics will be rounded for presentation. In the statistical analysis, subjects receiving the placebo in each part of the study will be combined into a placebo group for analysis. Detailed analysis methods will be provided in the SAP.</w:t>
      </w:r>
      <w:bookmarkEnd w:id="411"/>
      <w:bookmarkEnd w:id="412"/>
    </w:p>
    <w:p w14:paraId="12AB2A29">
      <w:pPr>
        <w:pStyle w:val="6"/>
        <w:rPr>
          <w:rFonts w:eastAsia="宋体"/>
        </w:rPr>
      </w:pPr>
      <w:bookmarkStart w:id="413" w:name="_Toc22025"/>
      <w:bookmarkStart w:id="414" w:name="_Toc14490"/>
      <w:bookmarkStart w:id="415" w:name="_Toc24906"/>
      <w:bookmarkStart w:id="416" w:name="_Toc159596302"/>
      <w:bookmarkStart w:id="417" w:name="_Toc13624"/>
      <w:bookmarkStart w:id="418" w:name="_Toc28186"/>
      <w:bookmarkStart w:id="419" w:name="_Toc24355"/>
      <w:r>
        <w:t>Demographics and baseline characteristics</w:t>
      </w:r>
      <w:bookmarkEnd w:id="413"/>
      <w:bookmarkEnd w:id="414"/>
      <w:bookmarkEnd w:id="415"/>
      <w:bookmarkEnd w:id="416"/>
    </w:p>
    <w:p w14:paraId="4B7D16A0">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r>
        <w:rPr>
          <w:rFonts w:cs="Times New Roman"/>
          <w:color w:val="auto"/>
          <w:szCs w:val="24"/>
        </w:rPr>
        <w:t>The demographics and baseline characteristics of each subject will be listed by study group and dose group, and the relevant parameters will be summarized. The past medical history, medication history, laboratory tests, and other relevant information of each subject will also be listed by study group and dose group.</w:t>
      </w:r>
    </w:p>
    <w:p w14:paraId="18D9C6A7">
      <w:pPr>
        <w:pStyle w:val="6"/>
        <w:rPr>
          <w:rFonts w:eastAsia="宋体"/>
        </w:rPr>
      </w:pPr>
      <w:bookmarkStart w:id="420" w:name="_Toc159596303"/>
      <w:r>
        <w:t>Pharmacokinetic statistical analysis</w:t>
      </w:r>
      <w:bookmarkEnd w:id="417"/>
      <w:bookmarkEnd w:id="418"/>
      <w:bookmarkEnd w:id="419"/>
      <w:bookmarkEnd w:id="420"/>
    </w:p>
    <w:p w14:paraId="75A6B5ED">
      <w:pPr>
        <w:overflowPunct w:val="0"/>
        <w:autoSpaceDE w:val="0"/>
        <w:autoSpaceDN w:val="0"/>
        <w:adjustRightInd w:val="0"/>
        <w:snapToGrid w:val="0"/>
        <w:spacing w:before="120" w:beforeLines="50" w:after="120" w:afterLines="50" w:line="300" w:lineRule="auto"/>
        <w:rPr>
          <w:rFonts w:eastAsia="宋体"/>
        </w:rPr>
      </w:pPr>
      <w:r>
        <w:t>The PK analysis and detection of plasma RAY1225 and acetaminophen will be performed by the testing facility entrusted by the sponsor. The drug concentrations in the plasma at each actual blood sampling point will be determined using the HPLC/MS/MS method, and the PK parameters of individual subjects and each dose group will be calculated by the non-compartmental model using WinNonlin (version 8.3 or later).</w:t>
      </w:r>
    </w:p>
    <w:p w14:paraId="01A2DA15">
      <w:pPr>
        <w:overflowPunct w:val="0"/>
        <w:autoSpaceDE w:val="0"/>
        <w:autoSpaceDN w:val="0"/>
        <w:adjustRightInd w:val="0"/>
        <w:snapToGrid w:val="0"/>
        <w:spacing w:before="120" w:beforeLines="50" w:after="120" w:afterLines="50" w:line="300" w:lineRule="auto"/>
      </w:pPr>
      <w:r>
        <w:t>The analysis will be performed based on the PKS.</w:t>
      </w:r>
    </w:p>
    <w:p w14:paraId="5F94FDFE">
      <w:pPr>
        <w:overflowPunct w:val="0"/>
        <w:autoSpaceDE w:val="0"/>
        <w:autoSpaceDN w:val="0"/>
        <w:adjustRightInd w:val="0"/>
        <w:snapToGrid w:val="0"/>
        <w:spacing w:before="120" w:beforeLines="50" w:after="120" w:afterLines="50" w:line="300" w:lineRule="auto"/>
        <w:rPr>
          <w:rFonts w:eastAsia="宋体"/>
        </w:rPr>
      </w:pPr>
      <w:r>
        <w:t>Key PK data processing principles: a) PK parameters will be calculated according to the actual sampling time and actual dose; b) Plasma concentrations below the lower limit of quantitation: PK parameters will be calculated and individual c-t curves will be plotted as "0" before T</w:t>
      </w:r>
      <w:r>
        <w:rPr>
          <w:vertAlign w:val="subscript"/>
        </w:rPr>
        <w:t>max</w:t>
      </w:r>
      <w:r>
        <w:t xml:space="preserve"> and as missing after T</w:t>
      </w:r>
      <w:r>
        <w:rPr>
          <w:vertAlign w:val="subscript"/>
        </w:rPr>
        <w:t>max</w:t>
      </w:r>
      <w:r>
        <w:t>; however, descriptive statistics will be treated as 0, and the number of BQL at each time point will be indicated; plasma concentration listings will not be processed.</w:t>
      </w:r>
    </w:p>
    <w:p w14:paraId="71E0D31C">
      <w:pPr>
        <w:overflowPunct w:val="0"/>
        <w:autoSpaceDE w:val="0"/>
        <w:autoSpaceDN w:val="0"/>
        <w:adjustRightInd w:val="0"/>
        <w:snapToGrid w:val="0"/>
        <w:spacing w:before="120" w:beforeLines="50" w:after="120" w:afterLines="50" w:line="300" w:lineRule="auto"/>
        <w:rPr>
          <w:rFonts w:eastAsia="宋体"/>
        </w:rPr>
      </w:pPr>
      <w:r>
        <w:t>Analysis of plasma concentrations: The number of subjects, arithmetic mean, standard deviation, coefficient of variation, median, minimum, and maximum of plasma concentrations of RAY1225 and acetaminophen at each time point will be calculated, and the mean and individual c-t curves and semi-logarithmic c-t curves will be plotted.</w:t>
      </w:r>
    </w:p>
    <w:p w14:paraId="590FDCAB">
      <w:pPr>
        <w:overflowPunct w:val="0"/>
        <w:autoSpaceDE w:val="0"/>
        <w:autoSpaceDN w:val="0"/>
        <w:adjustRightInd w:val="0"/>
        <w:snapToGrid w:val="0"/>
        <w:spacing w:before="120" w:beforeLines="50" w:after="120" w:afterLines="50" w:line="300" w:lineRule="auto"/>
        <w:rPr>
          <w:rFonts w:eastAsia="宋体"/>
        </w:rPr>
      </w:pPr>
      <w:r>
        <w:t>Analysis of PK parameters: The PK parameters of RAY1225 and acetaminophen will be calculated by non-compartmental model for each subject, and the number of subjects, arithmetic mean, standard deviation, coefficient of variation, quartile, minimum, maximum, geometric mean, and geometric coefficient of variation of each PK parameter will be calculated.</w:t>
      </w:r>
    </w:p>
    <w:p w14:paraId="509183EE">
      <w:pPr>
        <w:overflowPunct w:val="0"/>
        <w:autoSpaceDE w:val="0"/>
        <w:autoSpaceDN w:val="0"/>
        <w:adjustRightInd w:val="0"/>
        <w:snapToGrid w:val="0"/>
        <w:spacing w:before="120" w:beforeLines="50" w:after="120" w:afterLines="50" w:line="300" w:lineRule="auto"/>
        <w:rPr>
          <w:rFonts w:eastAsia="宋体"/>
        </w:rPr>
      </w:pPr>
      <w:r>
        <w:t>Dose proportionality analysis: If data permit, the C</w:t>
      </w:r>
      <w:r>
        <w:rPr>
          <w:vertAlign w:val="subscript"/>
        </w:rPr>
        <w:t>max,ss</w:t>
      </w:r>
      <w:r>
        <w:t xml:space="preserve"> and AUC</w:t>
      </w:r>
      <w:r>
        <w:rPr>
          <w:vertAlign w:val="subscript"/>
        </w:rPr>
        <w:t>0-τ,ss</w:t>
      </w:r>
      <w:r>
        <w:t xml:space="preserve"> of RAY1225 after multiple doses will be analyzed using a power function model (lnPK = α + β × lnDose + Error) to calculate β value and its 95% CI. If the 95% CI contains the value 1, a linear pharmacokinetic property can be considered.</w:t>
      </w:r>
    </w:p>
    <w:p w14:paraId="797F2C4E">
      <w:pPr>
        <w:overflowPunct w:val="0"/>
        <w:autoSpaceDE w:val="0"/>
        <w:autoSpaceDN w:val="0"/>
        <w:adjustRightInd w:val="0"/>
        <w:snapToGrid w:val="0"/>
        <w:spacing w:before="120" w:beforeLines="50" w:after="120" w:afterLines="50" w:line="300" w:lineRule="auto"/>
        <w:rPr>
          <w:rFonts w:eastAsia="宋体"/>
        </w:rPr>
      </w:pPr>
      <w:r>
        <w:t>Steady-state analysis: Linear regression will be performed after normalizing the plasma concentrations before 3 consecutive doses (i.e., divided by the plasma concentration before the last dose). If the 95% CI of the regression slope contains the value 0, it will be judged that the steady state has been reached.</w:t>
      </w:r>
    </w:p>
    <w:p w14:paraId="2F08FEF5">
      <w:pPr>
        <w:overflowPunct w:val="0"/>
        <w:autoSpaceDE w:val="0"/>
        <w:autoSpaceDN w:val="0"/>
        <w:adjustRightInd w:val="0"/>
        <w:snapToGrid w:val="0"/>
        <w:spacing w:before="120" w:beforeLines="50" w:after="120" w:afterLines="50" w:line="300" w:lineRule="auto"/>
        <w:rPr>
          <w:rFonts w:eastAsia="宋体"/>
        </w:rPr>
      </w:pPr>
      <w:r>
        <w:t>Gastric emptying effect analysis: The C</w:t>
      </w:r>
      <w:r>
        <w:rPr>
          <w:vertAlign w:val="subscript"/>
        </w:rPr>
        <w:t>max</w:t>
      </w:r>
      <w:r>
        <w:t>, AUC</w:t>
      </w:r>
      <w:r>
        <w:rPr>
          <w:vertAlign w:val="subscript"/>
        </w:rPr>
        <w:t>0-∞</w:t>
      </w:r>
      <w:r>
        <w:t>, and AUC</w:t>
      </w:r>
      <w:r>
        <w:rPr>
          <w:vertAlign w:val="subscript"/>
        </w:rPr>
        <w:t>0-t</w:t>
      </w:r>
      <w:r>
        <w:t xml:space="preserve"> following two doses of acetaminophen will be analyzed using a linear mixed-effect model after natural logarithmic transformation, with the use of the investigational drug (RAY1225) as fixed effect and subject as random effect, and geometric mean ratio (GMR) (used/not used) and its 90% CI will be calculated. A non-parametric test will be performed for T</w:t>
      </w:r>
      <w:r>
        <w:rPr>
          <w:vertAlign w:val="subscript"/>
        </w:rPr>
        <w:t>max</w:t>
      </w:r>
      <w:r>
        <w:t xml:space="preserve"> and T</w:t>
      </w:r>
      <w:r>
        <w:rPr>
          <w:vertAlign w:val="subscript"/>
        </w:rPr>
        <w:t>lag</w:t>
      </w:r>
      <w:r>
        <w:t>.</w:t>
      </w:r>
    </w:p>
    <w:p w14:paraId="0729D161">
      <w:pPr>
        <w:pStyle w:val="6"/>
        <w:rPr>
          <w:rFonts w:eastAsia="宋体"/>
        </w:rPr>
      </w:pPr>
      <w:bookmarkStart w:id="421" w:name="_Toc159596304"/>
      <w:bookmarkStart w:id="422" w:name="_Toc12799"/>
      <w:bookmarkStart w:id="423" w:name="_Toc4401"/>
      <w:bookmarkStart w:id="424" w:name="_Toc26144"/>
      <w:r>
        <w:t>Safety analysis</w:t>
      </w:r>
      <w:bookmarkEnd w:id="421"/>
      <w:bookmarkEnd w:id="422"/>
      <w:bookmarkEnd w:id="423"/>
      <w:bookmarkEnd w:id="424"/>
    </w:p>
    <w:p w14:paraId="6A521794">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kern w:val="0"/>
          <w:szCs w:val="24"/>
        </w:rPr>
      </w:pPr>
      <w:r>
        <w:rPr>
          <w:rFonts w:cs="Times New Roman"/>
          <w:color w:val="auto"/>
          <w:szCs w:val="24"/>
        </w:rPr>
        <w:t>The safety analysis will include all subjects who have received at least one dose of the study drug and have post-dose safety data. Safety evaluation endpoints include physical examination, vital signs, ECG, laboratory tests, and adverse events.</w:t>
      </w:r>
    </w:p>
    <w:p w14:paraId="6A5F8272">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b/>
          <w:color w:val="auto"/>
          <w:kern w:val="0"/>
          <w:szCs w:val="24"/>
        </w:rPr>
      </w:pPr>
      <w:r>
        <w:rPr>
          <w:rFonts w:cs="Times New Roman"/>
          <w:b/>
          <w:color w:val="auto"/>
          <w:szCs w:val="24"/>
        </w:rPr>
        <w:t>Adverse events</w:t>
      </w:r>
    </w:p>
    <w:p w14:paraId="6D1C4F04">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kern w:val="0"/>
          <w:szCs w:val="24"/>
        </w:rPr>
      </w:pPr>
      <w:r>
        <w:rPr>
          <w:rFonts w:cs="Times New Roman"/>
          <w:color w:val="auto"/>
          <w:szCs w:val="24"/>
        </w:rPr>
        <w:t xml:space="preserve">AEs will be coded using the Medical Dictionary for Regulatory Activities (MedDRA) version 25.1 or later. AEs will be described by System Organ Class (SOC) and Preferred Term (PT), and </w:t>
      </w:r>
      <w:r>
        <w:rPr>
          <w:rFonts w:cs="Times New Roman"/>
          <w:color w:val="auto"/>
          <w:spacing w:val="-4"/>
          <w:szCs w:val="24"/>
        </w:rPr>
        <w:t xml:space="preserve">the CTCAE 5.0 grading scale. The number and percentage of subjects with AEs will be summarized </w:t>
      </w:r>
      <w:r>
        <w:rPr>
          <w:rFonts w:cs="Times New Roman"/>
          <w:color w:val="auto"/>
          <w:szCs w:val="24"/>
        </w:rPr>
        <w:t xml:space="preserve">by dose group. In the pooled analysis, if a subject experiences the same AE several times, only one case will be counted, and only the most severe grade will be considered in the grading </w:t>
      </w:r>
      <w:r>
        <w:rPr>
          <w:rFonts w:cs="Times New Roman"/>
          <w:color w:val="auto"/>
          <w:spacing w:val="-4"/>
          <w:szCs w:val="24"/>
        </w:rPr>
        <w:t>summary. The AEs occurred in subjects, case by case, will be listed by study group and dose group.</w:t>
      </w:r>
    </w:p>
    <w:p w14:paraId="7210331A">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kern w:val="0"/>
          <w:szCs w:val="24"/>
        </w:rPr>
      </w:pPr>
      <w:r>
        <w:rPr>
          <w:rFonts w:cs="Times New Roman"/>
          <w:color w:val="auto"/>
          <w:szCs w:val="24"/>
        </w:rPr>
        <w:t>Significant AEs will be summarized. Significant AEs refer to AEs, other than SAEs, resulting in the use of specific medical measures (e.g., discontinuation, dose reduction, and symptomatic treatment).</w:t>
      </w:r>
    </w:p>
    <w:p w14:paraId="5505BB0D">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kern w:val="0"/>
          <w:szCs w:val="24"/>
        </w:rPr>
      </w:pPr>
      <w:r>
        <w:rPr>
          <w:rFonts w:cs="Times New Roman"/>
          <w:color w:val="auto"/>
          <w:szCs w:val="24"/>
        </w:rPr>
        <w:t>According to the requirements of the "Guidelines for Identification, Management, and Assessment of Drug-Induced Liver Injury in Clinical Trials", the number and incidence of liver-related AEs will be summarized by treatment group in subjects who have received at least one dose of the study treatment, with detailed analysis methods to be provided in the Statistical Analysis Plan (SAP).</w:t>
      </w:r>
    </w:p>
    <w:p w14:paraId="728566F3">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b/>
          <w:color w:val="auto"/>
          <w:kern w:val="0"/>
          <w:szCs w:val="24"/>
        </w:rPr>
      </w:pPr>
      <w:r>
        <w:rPr>
          <w:rFonts w:cs="Times New Roman"/>
          <w:b/>
          <w:color w:val="auto"/>
          <w:szCs w:val="24"/>
        </w:rPr>
        <w:t>Physical examination</w:t>
      </w:r>
    </w:p>
    <w:p w14:paraId="02CB77E2">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b/>
          <w:color w:val="auto"/>
          <w:kern w:val="0"/>
          <w:szCs w:val="24"/>
        </w:rPr>
      </w:pPr>
      <w:r>
        <w:rPr>
          <w:rFonts w:cs="Times New Roman"/>
          <w:color w:val="auto"/>
          <w:szCs w:val="24"/>
        </w:rPr>
        <w:t>The physical examination results of subjects will be listed by study group and dose group. Abnormal values will be flagged, and descriptive statistical analysis will be performed by visit.</w:t>
      </w:r>
    </w:p>
    <w:p w14:paraId="52C2D977">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b/>
          <w:color w:val="auto"/>
          <w:kern w:val="0"/>
          <w:szCs w:val="24"/>
        </w:rPr>
      </w:pPr>
      <w:r>
        <w:rPr>
          <w:rFonts w:cs="Times New Roman"/>
          <w:b/>
          <w:color w:val="auto"/>
          <w:szCs w:val="24"/>
        </w:rPr>
        <w:t>Vital signs</w:t>
      </w:r>
    </w:p>
    <w:p w14:paraId="181D8533">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kern w:val="0"/>
          <w:szCs w:val="24"/>
        </w:rPr>
      </w:pPr>
      <w:r>
        <w:rPr>
          <w:rFonts w:cs="Times New Roman"/>
          <w:color w:val="auto"/>
          <w:szCs w:val="24"/>
        </w:rPr>
        <w:t>Changes in vital sign parameters of subjects from baseline after treatment will be analyzed by study group and dose group.</w:t>
      </w:r>
    </w:p>
    <w:p w14:paraId="3F8BAD46">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b/>
          <w:color w:val="auto"/>
          <w:kern w:val="0"/>
          <w:szCs w:val="24"/>
        </w:rPr>
      </w:pPr>
      <w:r>
        <w:rPr>
          <w:rFonts w:cs="Times New Roman"/>
          <w:b/>
          <w:color w:val="auto"/>
          <w:szCs w:val="24"/>
        </w:rPr>
        <w:t>ECG</w:t>
      </w:r>
    </w:p>
    <w:p w14:paraId="6C8335A9">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kern w:val="0"/>
          <w:szCs w:val="24"/>
        </w:rPr>
      </w:pPr>
      <w:r>
        <w:rPr>
          <w:rFonts w:cs="Times New Roman"/>
          <w:color w:val="auto"/>
          <w:szCs w:val="24"/>
        </w:rPr>
        <w:t>The ECG parameters of subjects will be listed by study group and dose group. Abnormal values will be flagged, and descriptive statistical analysis will be performed by visit.</w:t>
      </w:r>
    </w:p>
    <w:p w14:paraId="00AE8F6E">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b/>
          <w:color w:val="auto"/>
          <w:kern w:val="0"/>
          <w:szCs w:val="24"/>
        </w:rPr>
      </w:pPr>
      <w:r>
        <w:rPr>
          <w:rFonts w:cs="Times New Roman"/>
          <w:b/>
          <w:color w:val="auto"/>
          <w:szCs w:val="24"/>
        </w:rPr>
        <w:t>Laboratory tests</w:t>
      </w:r>
    </w:p>
    <w:p w14:paraId="43C12C54">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kern w:val="0"/>
          <w:szCs w:val="24"/>
        </w:rPr>
      </w:pPr>
      <w:r>
        <w:rPr>
          <w:rFonts w:cs="Times New Roman"/>
          <w:color w:val="auto"/>
          <w:szCs w:val="24"/>
        </w:rPr>
        <w:t>All laboratory test results of subjects will be listed by study group and dose group. Abnormal values will be flagged, and descriptive statistical analysis will be performed by visit.</w:t>
      </w:r>
    </w:p>
    <w:p w14:paraId="3316F7B9">
      <w:pPr>
        <w:pStyle w:val="6"/>
        <w:rPr>
          <w:rFonts w:eastAsia="宋体"/>
        </w:rPr>
      </w:pPr>
      <w:bookmarkStart w:id="425" w:name="_Toc159596305"/>
      <w:r>
        <w:t>Efficacy analysis</w:t>
      </w:r>
      <w:bookmarkEnd w:id="425"/>
    </w:p>
    <w:p w14:paraId="0B7124E9">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kern w:val="0"/>
          <w:szCs w:val="24"/>
        </w:rPr>
      </w:pPr>
      <w:r>
        <w:rPr>
          <w:rFonts w:cs="Times New Roman"/>
          <w:color w:val="auto"/>
          <w:szCs w:val="24"/>
        </w:rPr>
        <w:t>The FAS will be used to analyze efficacy endpoints.</w:t>
      </w:r>
    </w:p>
    <w:p w14:paraId="105FBD50">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kern w:val="0"/>
          <w:szCs w:val="24"/>
        </w:rPr>
      </w:pPr>
      <w:r>
        <w:rPr>
          <w:rFonts w:cs="Times New Roman"/>
          <w:color w:val="auto"/>
          <w:szCs w:val="24"/>
        </w:rPr>
        <w:t>Changes in glycosylated hemoglobin from baseline after treatment (24 weeks), the primary efficacy endpoint, will be analyzed using the likelihood-based MMRM. Fixed factors to be included in the model include the following: treatment group, visit, treatment-by-visit interaction, diabetes treatment status (treatment naïve or treated), and baseline HbA1c as a continuous covariate. An unstructured variance-covariance matrix will be employed as the covariance structure between subjects; if the model fails to converge, a simpler covariance structure will be proposed, with detailed description in the SAP. The model will estimate the least square mean (LSM) difference between treatment groups (RAY1225 injection group - placebo group) in the change from baseline at the 24-week visit and the two-sided 95% CI. Descriptive statistics for HbA1c at each visit and its changes from baseline after treatment will be provided using all observed data.</w:t>
      </w:r>
    </w:p>
    <w:p w14:paraId="0C585BC7">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kern w:val="0"/>
          <w:szCs w:val="24"/>
        </w:rPr>
      </w:pPr>
      <w:r>
        <w:rPr>
          <w:rFonts w:cs="Times New Roman"/>
          <w:color w:val="auto"/>
          <w:szCs w:val="24"/>
        </w:rPr>
        <w:t>For the secondary qualitative parameters, the number and percentage of subjects satisfying HbA1c &lt; 7%, HbA1c ≤ 6.5%, and HbA1c ≤ 5.7% at each visit point after treatment will be described. The inter-group comparison will be performed by the chi-square test or Fisher's exact test. For the secondary quantitative parameters (fasting plasma glucose, lipid, body weight, blood pressure, etc.), the analysis method similar to that for the primary efficacy endpoint will be used, and the detailed analysis method description will be presented in the statistical analysis plan (SAP).</w:t>
      </w:r>
    </w:p>
    <w:p w14:paraId="31F7B402">
      <w:pPr>
        <w:pStyle w:val="6"/>
        <w:rPr>
          <w:rFonts w:eastAsia="宋体"/>
        </w:rPr>
      </w:pPr>
      <w:bookmarkStart w:id="426" w:name="_Toc159596306"/>
      <w:r>
        <w:t>Immunogenicity assessment</w:t>
      </w:r>
      <w:bookmarkEnd w:id="426"/>
    </w:p>
    <w:p w14:paraId="60145416">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kern w:val="0"/>
          <w:szCs w:val="24"/>
        </w:rPr>
      </w:pPr>
      <w:r>
        <w:rPr>
          <w:rFonts w:cs="Times New Roman"/>
          <w:color w:val="auto"/>
          <w:szCs w:val="24"/>
        </w:rPr>
        <w:t>The ADAS will be used to analyze the immunogenicity results. Descriptive statistical analysis will be performed on the antibody positive rate of subjects before treatment, as well as the antibody positive rate, antibody titer, and time of antibody appearance after treatment.</w:t>
      </w:r>
    </w:p>
    <w:p w14:paraId="64CE634A">
      <w:pPr>
        <w:pStyle w:val="5"/>
      </w:pPr>
      <w:bookmarkStart w:id="427" w:name="_Toc15316"/>
      <w:bookmarkStart w:id="428" w:name="_Toc159596307"/>
      <w:r>
        <w:t>Sample Size Determination</w:t>
      </w:r>
      <w:bookmarkEnd w:id="427"/>
      <w:bookmarkEnd w:id="428"/>
    </w:p>
    <w:p w14:paraId="70F12E56">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bookmarkStart w:id="429" w:name="OLE_LINK22"/>
      <w:r>
        <w:rPr>
          <w:rFonts w:cs="Times New Roman"/>
          <w:color w:val="auto"/>
          <w:szCs w:val="24"/>
        </w:rPr>
        <w:t>Part A: 2 RAY1225 target dose groups (3 mg and 6 mg) or placebo group, with 40 subjects per group.</w:t>
      </w:r>
    </w:p>
    <w:p w14:paraId="6F8B93E6">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r>
        <w:rPr>
          <w:rFonts w:cs="Times New Roman"/>
          <w:color w:val="auto"/>
          <w:szCs w:val="24"/>
        </w:rPr>
        <w:t>Part B: In the dose escalation part, the number of preset groups will not exceed 3, and each dose group will include 10 subjects, with 8 receiving the investigational drug and 2 receiving the placebo. In the expansion part, each dose group will include 40 subjects, with 32 receiving the investigational drug and 8 receiving the placebo.</w:t>
      </w:r>
    </w:p>
    <w:p w14:paraId="4F6D453D">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r>
        <w:rPr>
          <w:rFonts w:cs="Times New Roman"/>
          <w:color w:val="auto"/>
          <w:szCs w:val="24"/>
        </w:rPr>
        <w:t>This is a dose-finding study, thus no formal study hypothesis will be established, and the sample size will be determined rather than statistically estimated. Based on the current sample size, the power has been preliminarily estimated. A sample size of 40 subjects per group can provide nearly 80% power to observe the difference between the study group and the placebo group. Considering that the difference in the HbA1c reduction between the study group and the placebo group is 0.8%, the common standard deviation (SD) is preset as 1.2.</w:t>
      </w:r>
    </w:p>
    <w:p w14:paraId="1D38644E">
      <w:pPr>
        <w:pStyle w:val="5"/>
      </w:pPr>
      <w:bookmarkStart w:id="430" w:name="_Toc159596308"/>
      <w:r>
        <w:t>PK/PD analysis</w:t>
      </w:r>
      <w:bookmarkEnd w:id="430"/>
    </w:p>
    <w:p w14:paraId="20AB6806">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r>
        <w:rPr>
          <w:rFonts w:cs="Times New Roman"/>
          <w:color w:val="auto"/>
          <w:szCs w:val="24"/>
        </w:rPr>
        <w:t>Data in this study will be combined with those from other RAY1225 clinical studies, with HbA1c as the efficacy endpoint and adverse event (e.g., nausea, vomiting, and diarrhea) as the safety endpoint. A population pharmacokinetic/pharmacodynamic (PopPK/PD) model for RAY1225 will be established using NONMEM 7.5.0 or later and R 4.0.2 or later. This includes efforts to establish the structure of the PK/PD model, develop models for inter-individual variability (IIV) in PK and PD parameters and residual variability (RV), and explore covariates affecting PK and PD. The model estimation method will employ the first order-conditional estimation with η-ε interaction (FOCEI). Model evaluation methods include goodness of fit (GOF), bootstrap, and visual predictive check (VPC). Detailed analytical methods will be provided in the quantitative pharmacological analysis plan (PAP).</w:t>
      </w:r>
    </w:p>
    <w:bookmarkEnd w:id="429"/>
    <w:p w14:paraId="11E9855E">
      <w:pPr>
        <w:pStyle w:val="5"/>
      </w:pPr>
      <w:bookmarkStart w:id="431" w:name="_Toc891"/>
      <w:bookmarkStart w:id="432" w:name="_Toc159596309"/>
      <w:bookmarkStart w:id="433" w:name="_Toc7148"/>
      <w:bookmarkStart w:id="434" w:name="_Toc25756"/>
      <w:r>
        <w:t>Interim Analysis</w:t>
      </w:r>
      <w:bookmarkEnd w:id="431"/>
      <w:bookmarkEnd w:id="432"/>
      <w:bookmarkEnd w:id="433"/>
      <w:bookmarkEnd w:id="434"/>
    </w:p>
    <w:p w14:paraId="46AE311A">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r>
        <w:rPr>
          <w:rFonts w:cs="Times New Roman"/>
          <w:color w:val="auto"/>
          <w:szCs w:val="24"/>
        </w:rPr>
        <w:t>No formal interim analysis will be performed for this study.</w:t>
      </w:r>
    </w:p>
    <w:p w14:paraId="239E9700">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r>
        <w:rPr>
          <w:rFonts w:cs="Times New Roman"/>
          <w:color w:val="auto"/>
          <w:szCs w:val="24"/>
        </w:rPr>
        <w:t>After each group in Part B dose escalation study reaches the tolerability assessment endpoint, safety review will be performed for all safety and tolerability data (database lock is not required) to decide whether to proceed to the next dose group. After the end of the study in each dose group, the study team will analyze the obtained blinded PK data and determine the dose and dosage regimen for subsequent dose groups in combination with the safety results.</w:t>
      </w:r>
    </w:p>
    <w:p w14:paraId="1613ABB3">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r>
        <w:rPr>
          <w:rFonts w:cs="Times New Roman"/>
          <w:color w:val="auto"/>
          <w:szCs w:val="24"/>
        </w:rPr>
        <w:t>The investigator will participate in the above judgment and analysis. For the purpose of providing information, consultation, or decision-making, the clinical team may communicate with the sponsor on the open-label interim results.</w:t>
      </w:r>
    </w:p>
    <w:p w14:paraId="40698132">
      <w:pPr>
        <w:pStyle w:val="3"/>
        <w:jc w:val="left"/>
      </w:pPr>
      <w:bookmarkStart w:id="435" w:name="_Toc159596310"/>
      <w:r>
        <w:t>PROTOCOL DEVIATION OR VIOLATION</w:t>
      </w:r>
      <w:bookmarkEnd w:id="435"/>
    </w:p>
    <w:p w14:paraId="57E09765">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r>
        <w:rPr>
          <w:rFonts w:cs="Times New Roman"/>
          <w:color w:val="auto"/>
          <w:szCs w:val="24"/>
        </w:rPr>
        <w:t>All requirements specified in the study protocol must be strictly implemented. Any intentional or unintentional deviation or violation of the study protocol and GCP principles may be classified as a protocol deviation or violation. Protocol deviations shall be recorded in a timely manner, reported in accordance with the requirements of the study site, and uniformly submitted to the statistical analysis party at the end of the study. When serious protocol violations occur, they shall be evaluated. The sponsor may terminate the study prematurely if necessary.</w:t>
      </w:r>
    </w:p>
    <w:p w14:paraId="5E1CF50D">
      <w:pPr>
        <w:pStyle w:val="3"/>
      </w:pPr>
      <w:bookmarkStart w:id="436" w:name="_Toc29769"/>
      <w:bookmarkStart w:id="437" w:name="_Toc159596311"/>
      <w:bookmarkStart w:id="438" w:name="_Toc493637985"/>
      <w:bookmarkStart w:id="439" w:name="_Toc307"/>
      <w:bookmarkStart w:id="440" w:name="_Toc17469"/>
      <w:r>
        <w:t>PROTOCOL AMENDMENT</w:t>
      </w:r>
      <w:bookmarkEnd w:id="436"/>
      <w:bookmarkEnd w:id="437"/>
      <w:bookmarkEnd w:id="438"/>
      <w:bookmarkEnd w:id="439"/>
      <w:bookmarkEnd w:id="440"/>
    </w:p>
    <w:p w14:paraId="17F1DB20">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r>
        <w:rPr>
          <w:rFonts w:cs="Times New Roman"/>
          <w:color w:val="auto"/>
          <w:szCs w:val="24"/>
        </w:rPr>
        <w:t>Protocol amendments shall be made with the agreement of the investigator and the sponsor. Unless measures are taken to eliminate the direct risk to the subjects, the revised protocol must be approved in writing by the ethics committee before implementation.</w:t>
      </w:r>
    </w:p>
    <w:p w14:paraId="34702794">
      <w:pPr>
        <w:pStyle w:val="3"/>
        <w:jc w:val="left"/>
      </w:pPr>
      <w:bookmarkStart w:id="441" w:name="_Toc5375"/>
      <w:bookmarkStart w:id="442" w:name="_Toc159596312"/>
      <w:bookmarkStart w:id="443" w:name="_Toc5166"/>
      <w:bookmarkStart w:id="444" w:name="_Toc23404"/>
      <w:bookmarkStart w:id="445" w:name="_Toc493637986"/>
      <w:r>
        <w:t>DATA MANAGEMENT</w:t>
      </w:r>
      <w:bookmarkEnd w:id="441"/>
      <w:bookmarkEnd w:id="442"/>
      <w:bookmarkEnd w:id="443"/>
      <w:bookmarkEnd w:id="444"/>
      <w:bookmarkEnd w:id="445"/>
    </w:p>
    <w:p w14:paraId="4DAB2125">
      <w:pPr>
        <w:overflowPunct w:val="0"/>
        <w:autoSpaceDE w:val="0"/>
        <w:autoSpaceDN w:val="0"/>
        <w:adjustRightInd w:val="0"/>
        <w:snapToGrid w:val="0"/>
        <w:spacing w:before="120" w:beforeLines="50" w:after="120" w:afterLines="50" w:line="300" w:lineRule="auto"/>
        <w:rPr>
          <w:rFonts w:eastAsia="宋体"/>
        </w:rPr>
      </w:pPr>
      <w:bookmarkStart w:id="446" w:name="OLE_LINK97"/>
      <w:bookmarkStart w:id="447" w:name="OLE_LINK99"/>
      <w:bookmarkStart w:id="448" w:name="OLE_LINK96"/>
      <w:bookmarkStart w:id="449" w:name="OLE_LINK98"/>
      <w:bookmarkStart w:id="450" w:name="OLE_LINK20"/>
      <w:bookmarkStart w:id="451" w:name="OLE_LINK15"/>
      <w:r>
        <w:t>The Data Manager (DM) will develop the Data Management Plan (DMP) as per the clinical study protocol and in-house SOPs. The DMP serves as the guidance document for the whole data management process. All data management processes shall be operated according to the time, content, and method defined therein.</w:t>
      </w:r>
    </w:p>
    <w:bookmarkEnd w:id="446"/>
    <w:bookmarkEnd w:id="447"/>
    <w:bookmarkEnd w:id="448"/>
    <w:bookmarkEnd w:id="449"/>
    <w:p w14:paraId="3923741D">
      <w:pPr>
        <w:pStyle w:val="5"/>
      </w:pPr>
      <w:bookmarkStart w:id="452" w:name="_Toc18995"/>
      <w:bookmarkStart w:id="453" w:name="_Toc159596313"/>
      <w:bookmarkStart w:id="454" w:name="_Toc6756"/>
      <w:bookmarkStart w:id="455" w:name="_Toc479780174"/>
      <w:bookmarkStart w:id="456" w:name="_Toc32292"/>
      <w:bookmarkStart w:id="457" w:name="_Toc479780265"/>
      <w:r>
        <w:t>Data Acquisition System</w:t>
      </w:r>
      <w:bookmarkEnd w:id="452"/>
      <w:bookmarkEnd w:id="453"/>
      <w:bookmarkEnd w:id="454"/>
      <w:bookmarkEnd w:id="455"/>
      <w:bookmarkEnd w:id="456"/>
      <w:bookmarkEnd w:id="457"/>
      <w:bookmarkStart w:id="458" w:name="_Toc479780266"/>
      <w:bookmarkStart w:id="459" w:name="_Toc472931632"/>
      <w:bookmarkStart w:id="460" w:name="_Toc479780175"/>
    </w:p>
    <w:p w14:paraId="202A570D">
      <w:pPr>
        <w:pStyle w:val="113"/>
        <w:tabs>
          <w:tab w:val="left" w:pos="426"/>
        </w:tabs>
        <w:overflowPunct w:val="0"/>
        <w:autoSpaceDE w:val="0"/>
        <w:autoSpaceDN w:val="0"/>
        <w:adjustRightInd w:val="0"/>
        <w:snapToGrid w:val="0"/>
        <w:spacing w:before="120" w:after="120" w:line="300" w:lineRule="auto"/>
        <w:jc w:val="left"/>
        <w:rPr>
          <w:rFonts w:cs="Times New Roman"/>
          <w:b w:val="0"/>
          <w:color w:val="auto"/>
          <w:kern w:val="0"/>
          <w:szCs w:val="24"/>
        </w:rPr>
      </w:pPr>
      <w:r>
        <w:rPr>
          <w:rFonts w:cs="Times New Roman"/>
          <w:b w:val="0"/>
          <w:color w:val="auto"/>
          <w:szCs w:val="24"/>
        </w:rPr>
        <w:t>In this clinical study, the electronic data capture (EDC) system will be used to collect clinical study data.</w:t>
      </w:r>
    </w:p>
    <w:p w14:paraId="135A5163">
      <w:pPr>
        <w:pStyle w:val="5"/>
      </w:pPr>
      <w:bookmarkStart w:id="461" w:name="_Toc159596314"/>
      <w:bookmarkStart w:id="462" w:name="_Toc20230"/>
      <w:bookmarkStart w:id="463" w:name="_Toc30537"/>
      <w:bookmarkStart w:id="464" w:name="_Toc8581"/>
      <w:r>
        <w:t>eCRF Design</w:t>
      </w:r>
      <w:bookmarkEnd w:id="461"/>
    </w:p>
    <w:p w14:paraId="0AF0F745">
      <w:pPr>
        <w:pStyle w:val="113"/>
        <w:tabs>
          <w:tab w:val="left" w:pos="426"/>
        </w:tabs>
        <w:overflowPunct w:val="0"/>
        <w:autoSpaceDE w:val="0"/>
        <w:autoSpaceDN w:val="0"/>
        <w:adjustRightInd w:val="0"/>
        <w:snapToGrid w:val="0"/>
        <w:spacing w:before="120" w:after="120" w:line="300" w:lineRule="auto"/>
        <w:jc w:val="left"/>
        <w:rPr>
          <w:rFonts w:cs="Times New Roman"/>
          <w:b w:val="0"/>
          <w:color w:val="auto"/>
          <w:kern w:val="0"/>
          <w:szCs w:val="24"/>
        </w:rPr>
      </w:pPr>
      <w:r>
        <w:rPr>
          <w:rFonts w:cs="Times New Roman"/>
          <w:b w:val="0"/>
          <w:color w:val="auto"/>
          <w:szCs w:val="24"/>
        </w:rPr>
        <w:t>For this project, the data manager is responsible for the eCRF design. The eCRF design can be finalized and released only after review by all parties and approval by the sponsor. If there is a version upgrade after the eCRF is finalized, it should be re-reviewed and signed by all parties before release, and project team members should be notified to ensure the consistency of information.</w:t>
      </w:r>
    </w:p>
    <w:p w14:paraId="594ABD4C">
      <w:pPr>
        <w:pStyle w:val="5"/>
      </w:pPr>
      <w:bookmarkStart w:id="465" w:name="_Toc159596315"/>
      <w:r>
        <w:t>Database Establishment, Testing, and Go-Live</w:t>
      </w:r>
      <w:bookmarkEnd w:id="465"/>
    </w:p>
    <w:p w14:paraId="234D0565">
      <w:pPr>
        <w:pStyle w:val="6"/>
        <w:rPr>
          <w:rFonts w:eastAsia="宋体"/>
        </w:rPr>
      </w:pPr>
      <w:bookmarkStart w:id="466" w:name="_Toc159596316"/>
      <w:r>
        <w:t>Database establishment</w:t>
      </w:r>
      <w:bookmarkEnd w:id="458"/>
      <w:bookmarkEnd w:id="459"/>
      <w:bookmarkEnd w:id="460"/>
      <w:bookmarkEnd w:id="462"/>
      <w:bookmarkEnd w:id="463"/>
      <w:bookmarkEnd w:id="464"/>
      <w:bookmarkEnd w:id="466"/>
    </w:p>
    <w:p w14:paraId="5CD4C609">
      <w:pPr>
        <w:pStyle w:val="113"/>
        <w:tabs>
          <w:tab w:val="left" w:pos="426"/>
        </w:tabs>
        <w:overflowPunct w:val="0"/>
        <w:autoSpaceDE w:val="0"/>
        <w:autoSpaceDN w:val="0"/>
        <w:adjustRightInd w:val="0"/>
        <w:snapToGrid w:val="0"/>
        <w:spacing w:before="120" w:after="120" w:line="300" w:lineRule="auto"/>
        <w:jc w:val="left"/>
        <w:rPr>
          <w:rFonts w:cs="Times New Roman"/>
          <w:b w:val="0"/>
          <w:color w:val="auto"/>
          <w:kern w:val="0"/>
          <w:szCs w:val="24"/>
        </w:rPr>
      </w:pPr>
      <w:bookmarkStart w:id="467" w:name="_Toc479780267"/>
      <w:bookmarkStart w:id="468" w:name="_Toc479780176"/>
      <w:bookmarkStart w:id="469" w:name="_Toc432673588"/>
      <w:bookmarkStart w:id="470" w:name="_Toc472931633"/>
      <w:r>
        <w:rPr>
          <w:rFonts w:cs="Times New Roman"/>
          <w:b w:val="0"/>
          <w:color w:val="auto"/>
          <w:szCs w:val="24"/>
        </w:rPr>
        <w:t>The data manager will design the eCRF and establish the EDC database according to the study protocol with reference to the CDISC standards, write the Data Verification Plan (DVP) according to the clinical study protocol and the annotated CRF, and construct the edit check in the EDC according to the DVP.</w:t>
      </w:r>
    </w:p>
    <w:p w14:paraId="69BE3902">
      <w:pPr>
        <w:pStyle w:val="6"/>
        <w:rPr>
          <w:rFonts w:eastAsia="宋体"/>
        </w:rPr>
      </w:pPr>
      <w:bookmarkStart w:id="471" w:name="_Toc31012"/>
      <w:bookmarkStart w:id="472" w:name="_Toc11504"/>
      <w:bookmarkStart w:id="473" w:name="_Toc132"/>
      <w:bookmarkStart w:id="474" w:name="_Toc159596317"/>
      <w:r>
        <w:t>Database testing and go-live</w:t>
      </w:r>
      <w:bookmarkEnd w:id="467"/>
      <w:bookmarkEnd w:id="468"/>
      <w:bookmarkEnd w:id="469"/>
      <w:bookmarkEnd w:id="470"/>
      <w:bookmarkEnd w:id="471"/>
      <w:bookmarkEnd w:id="472"/>
      <w:bookmarkEnd w:id="473"/>
      <w:bookmarkEnd w:id="474"/>
    </w:p>
    <w:p w14:paraId="213B9173">
      <w:pPr>
        <w:pStyle w:val="113"/>
        <w:tabs>
          <w:tab w:val="left" w:pos="426"/>
        </w:tabs>
        <w:overflowPunct w:val="0"/>
        <w:autoSpaceDE w:val="0"/>
        <w:autoSpaceDN w:val="0"/>
        <w:adjustRightInd w:val="0"/>
        <w:snapToGrid w:val="0"/>
        <w:spacing w:before="120" w:after="120" w:line="300" w:lineRule="auto"/>
        <w:jc w:val="left"/>
        <w:rPr>
          <w:rFonts w:cs="Times New Roman"/>
          <w:b w:val="0"/>
          <w:color w:val="auto"/>
          <w:kern w:val="0"/>
          <w:szCs w:val="24"/>
        </w:rPr>
      </w:pPr>
      <w:bookmarkStart w:id="475" w:name="_Toc472931634"/>
      <w:bookmarkStart w:id="476" w:name="_Toc479780177"/>
      <w:bookmarkStart w:id="477" w:name="_Toc479780268"/>
      <w:bookmarkStart w:id="478" w:name="_Toc432673589"/>
      <w:r>
        <w:rPr>
          <w:rFonts w:cs="Times New Roman"/>
          <w:b w:val="0"/>
          <w:color w:val="auto"/>
          <w:szCs w:val="24"/>
        </w:rPr>
        <w:t>The data manager will organize internal and external users to conduct the user acceptance test (UAT) on the database, and the database should not be officially launched for use until passing the test and being approved by the sponsor.</w:t>
      </w:r>
    </w:p>
    <w:p w14:paraId="419DF797">
      <w:pPr>
        <w:pStyle w:val="113"/>
        <w:tabs>
          <w:tab w:val="left" w:pos="426"/>
        </w:tabs>
        <w:overflowPunct w:val="0"/>
        <w:autoSpaceDE w:val="0"/>
        <w:autoSpaceDN w:val="0"/>
        <w:adjustRightInd w:val="0"/>
        <w:snapToGrid w:val="0"/>
        <w:spacing w:before="120" w:after="120" w:line="300" w:lineRule="auto"/>
        <w:jc w:val="left"/>
        <w:rPr>
          <w:rFonts w:cs="Times New Roman"/>
          <w:color w:val="auto"/>
          <w:szCs w:val="24"/>
        </w:rPr>
      </w:pPr>
      <w:r>
        <w:rPr>
          <w:rFonts w:cs="Times New Roman"/>
          <w:b w:val="0"/>
          <w:color w:val="auto"/>
          <w:szCs w:val="24"/>
        </w:rPr>
        <w:t>All users who need access to the EDC must receive necessary training and complete the User Permission Management Form. After the data manager and the sponsor confirm and approve, the system administrator will create user accounts and assign appropriate permissions.</w:t>
      </w:r>
    </w:p>
    <w:p w14:paraId="64302AFA">
      <w:pPr>
        <w:pStyle w:val="5"/>
      </w:pPr>
      <w:bookmarkStart w:id="479" w:name="_Toc159596318"/>
      <w:bookmarkStart w:id="480" w:name="_Toc31119"/>
      <w:bookmarkStart w:id="481" w:name="_Toc21110"/>
      <w:bookmarkStart w:id="482" w:name="_Toc28278"/>
      <w:r>
        <w:t>Completion of Electronic Case Report Form (eCRF)</w:t>
      </w:r>
      <w:bookmarkEnd w:id="479"/>
    </w:p>
    <w:p w14:paraId="26EDB1D5">
      <w:pPr>
        <w:pStyle w:val="113"/>
        <w:tabs>
          <w:tab w:val="left" w:pos="426"/>
        </w:tabs>
        <w:overflowPunct w:val="0"/>
        <w:autoSpaceDE w:val="0"/>
        <w:autoSpaceDN w:val="0"/>
        <w:adjustRightInd w:val="0"/>
        <w:snapToGrid w:val="0"/>
        <w:spacing w:before="120" w:after="120" w:line="300" w:lineRule="auto"/>
        <w:jc w:val="left"/>
        <w:rPr>
          <w:rFonts w:cs="Times New Roman"/>
          <w:b w:val="0"/>
          <w:color w:val="auto"/>
          <w:kern w:val="0"/>
          <w:szCs w:val="24"/>
        </w:rPr>
      </w:pPr>
      <w:r>
        <w:rPr>
          <w:rFonts w:cs="Times New Roman"/>
          <w:b w:val="0"/>
          <w:color w:val="auto"/>
          <w:szCs w:val="24"/>
        </w:rPr>
        <w:t>Electronic case report forms are to be completed by the investigator or the investigator's designee according to source documents (original medical records, examination reports, etc.) and eCRF completion guidelines to ensure completeness and accuracy of the information. The EDC system will automatically retain the audit trail of data, including the time of data entry and change, operator, reason for change, data value before change, and data value after change, so as to ensure the traceability of data.</w:t>
      </w:r>
    </w:p>
    <w:p w14:paraId="3AA85C48">
      <w:pPr>
        <w:pStyle w:val="5"/>
      </w:pPr>
      <w:bookmarkStart w:id="483" w:name="_Toc159596319"/>
      <w:r>
        <w:t>Data Verification and</w:t>
      </w:r>
      <w:bookmarkEnd w:id="475"/>
      <w:bookmarkEnd w:id="476"/>
      <w:bookmarkEnd w:id="477"/>
      <w:bookmarkEnd w:id="478"/>
      <w:bookmarkEnd w:id="480"/>
      <w:bookmarkEnd w:id="481"/>
      <w:bookmarkEnd w:id="482"/>
      <w:bookmarkStart w:id="484" w:name="_Toc479780178"/>
      <w:bookmarkStart w:id="485" w:name="_Toc432673591"/>
      <w:bookmarkStart w:id="486" w:name="_Toc479780269"/>
      <w:bookmarkStart w:id="487" w:name="_Toc472931636"/>
      <w:r>
        <w:t xml:space="preserve"> Query Management</w:t>
      </w:r>
      <w:bookmarkEnd w:id="483"/>
    </w:p>
    <w:p w14:paraId="2F5BACC1">
      <w:pPr>
        <w:pStyle w:val="113"/>
        <w:tabs>
          <w:tab w:val="left" w:pos="426"/>
        </w:tabs>
        <w:overflowPunct w:val="0"/>
        <w:autoSpaceDE w:val="0"/>
        <w:autoSpaceDN w:val="0"/>
        <w:adjustRightInd w:val="0"/>
        <w:snapToGrid w:val="0"/>
        <w:spacing w:before="120" w:after="120" w:line="300" w:lineRule="auto"/>
        <w:jc w:val="left"/>
        <w:rPr>
          <w:rFonts w:cs="Times New Roman"/>
          <w:b w:val="0"/>
          <w:color w:val="auto"/>
          <w:kern w:val="0"/>
          <w:szCs w:val="24"/>
        </w:rPr>
      </w:pPr>
      <w:r>
        <w:rPr>
          <w:rFonts w:cs="Times New Roman"/>
          <w:b w:val="0"/>
          <w:color w:val="auto"/>
          <w:szCs w:val="24"/>
        </w:rPr>
        <w:t>After completion of eCRF, the system will automatically verify the data according to the set system edit check, and will automatically issue a system query for problematic data.</w:t>
      </w:r>
    </w:p>
    <w:p w14:paraId="6AFF42B3">
      <w:pPr>
        <w:pStyle w:val="113"/>
        <w:tabs>
          <w:tab w:val="left" w:pos="426"/>
        </w:tabs>
        <w:overflowPunct w:val="0"/>
        <w:autoSpaceDE w:val="0"/>
        <w:autoSpaceDN w:val="0"/>
        <w:adjustRightInd w:val="0"/>
        <w:snapToGrid w:val="0"/>
        <w:spacing w:before="120" w:after="120" w:line="300" w:lineRule="auto"/>
        <w:jc w:val="left"/>
        <w:rPr>
          <w:rFonts w:cs="Times New Roman"/>
          <w:b w:val="0"/>
          <w:color w:val="auto"/>
          <w:kern w:val="0"/>
          <w:szCs w:val="24"/>
        </w:rPr>
      </w:pPr>
      <w:r>
        <w:rPr>
          <w:rFonts w:cs="Times New Roman"/>
          <w:b w:val="0"/>
          <w:color w:val="auto"/>
          <w:szCs w:val="24"/>
        </w:rPr>
        <w:t>Clinical research associates (CRAs), data managers, and medical staff will manually check the data from different perspectives and manage queries based on the EDC system.</w:t>
      </w:r>
    </w:p>
    <w:p w14:paraId="67E9049B">
      <w:pPr>
        <w:pStyle w:val="113"/>
        <w:tabs>
          <w:tab w:val="left" w:pos="426"/>
        </w:tabs>
        <w:overflowPunct w:val="0"/>
        <w:autoSpaceDE w:val="0"/>
        <w:autoSpaceDN w:val="0"/>
        <w:adjustRightInd w:val="0"/>
        <w:snapToGrid w:val="0"/>
        <w:spacing w:before="120" w:after="120" w:line="300" w:lineRule="auto"/>
        <w:jc w:val="left"/>
        <w:rPr>
          <w:rFonts w:cs="Times New Roman"/>
          <w:b w:val="0"/>
          <w:color w:val="auto"/>
          <w:kern w:val="0"/>
          <w:szCs w:val="24"/>
        </w:rPr>
      </w:pPr>
      <w:r>
        <w:rPr>
          <w:rFonts w:cs="Times New Roman"/>
          <w:b w:val="0"/>
          <w:color w:val="auto"/>
          <w:szCs w:val="24"/>
        </w:rPr>
        <w:t>The investigator or the investigator's designee should correct or clarify the suspect data points identified in the verification in a timely manner. The investigator should review all final data. Prior to database lock, the principal investigator's electronic signature must be obtained on all eCRFs to confirm the authenticity and accuracy of the data.</w:t>
      </w:r>
    </w:p>
    <w:bookmarkEnd w:id="484"/>
    <w:bookmarkEnd w:id="485"/>
    <w:bookmarkEnd w:id="486"/>
    <w:bookmarkEnd w:id="487"/>
    <w:p w14:paraId="3B9926FD">
      <w:pPr>
        <w:pStyle w:val="5"/>
      </w:pPr>
      <w:bookmarkStart w:id="488" w:name="_Toc21164"/>
      <w:bookmarkStart w:id="489" w:name="_Toc26874"/>
      <w:bookmarkStart w:id="490" w:name="_Toc19789"/>
      <w:bookmarkStart w:id="491" w:name="_Toc479780182"/>
      <w:bookmarkStart w:id="492" w:name="_Toc159596320"/>
      <w:bookmarkStart w:id="493" w:name="_Toc479780273"/>
      <w:r>
        <w:t>External Data Management</w:t>
      </w:r>
      <w:bookmarkEnd w:id="488"/>
      <w:bookmarkEnd w:id="489"/>
      <w:bookmarkEnd w:id="490"/>
      <w:bookmarkEnd w:id="491"/>
      <w:bookmarkEnd w:id="492"/>
      <w:bookmarkEnd w:id="493"/>
    </w:p>
    <w:p w14:paraId="2BF21ED9">
      <w:pPr>
        <w:pStyle w:val="113"/>
        <w:tabs>
          <w:tab w:val="left" w:pos="426"/>
        </w:tabs>
        <w:overflowPunct w:val="0"/>
        <w:autoSpaceDE w:val="0"/>
        <w:autoSpaceDN w:val="0"/>
        <w:adjustRightInd w:val="0"/>
        <w:snapToGrid w:val="0"/>
        <w:spacing w:before="120" w:after="120" w:line="300" w:lineRule="auto"/>
        <w:jc w:val="left"/>
        <w:rPr>
          <w:rFonts w:cs="Times New Roman"/>
          <w:b w:val="0"/>
          <w:bCs/>
          <w:color w:val="auto"/>
          <w:szCs w:val="24"/>
        </w:rPr>
      </w:pPr>
      <w:r>
        <w:rPr>
          <w:rFonts w:cs="Times New Roman"/>
          <w:b w:val="0"/>
          <w:color w:val="auto"/>
          <w:szCs w:val="24"/>
        </w:rPr>
        <w:t>In this study, the HbA1C, plasma concentration, and immunogenicity detection and analysis will be performed by Shanghai Xihua Scientific Co., Ltd., while formulating the external data transmission and consistency verification plan will be the responsibility of Beijing Fangsheng Yuanlin Medical Technology Co., Ltd. All parties will perform the external data transmission and consistency verification according to the plan.</w:t>
      </w:r>
    </w:p>
    <w:p w14:paraId="1ECB7CB1">
      <w:pPr>
        <w:pStyle w:val="5"/>
      </w:pPr>
      <w:bookmarkStart w:id="494" w:name="_Toc159596321"/>
      <w:bookmarkStart w:id="495" w:name="_Toc479780274"/>
      <w:bookmarkStart w:id="496" w:name="_Toc20985"/>
      <w:bookmarkStart w:id="497" w:name="_Toc479780183"/>
      <w:bookmarkStart w:id="498" w:name="_Toc5133"/>
      <w:bookmarkStart w:id="499" w:name="_Toc3005"/>
      <w:r>
        <w:t>Medical Coding</w:t>
      </w:r>
      <w:bookmarkEnd w:id="494"/>
    </w:p>
    <w:p w14:paraId="7F7B506A">
      <w:pPr>
        <w:overflowPunct w:val="0"/>
        <w:autoSpaceDE w:val="0"/>
        <w:autoSpaceDN w:val="0"/>
        <w:adjustRightInd w:val="0"/>
        <w:snapToGrid w:val="0"/>
        <w:spacing w:before="120" w:beforeLines="50" w:after="120" w:afterLines="50" w:line="300" w:lineRule="auto"/>
        <w:rPr>
          <w:rFonts w:eastAsia="宋体"/>
        </w:rPr>
      </w:pPr>
      <w:r>
        <w:t>Medical coding, including AEs, medical history, prior/concomitant drug-free therapies, and prior/concomitant drug therapies, will be performed by the data manager. AEs, medical history, and prior/concomitant drug-free therapies will be coded using MedDRA, while prior/concomitant drug therapies will be coded using WHODrug.</w:t>
      </w:r>
    </w:p>
    <w:p w14:paraId="38C8E29A">
      <w:pPr>
        <w:overflowPunct w:val="0"/>
        <w:autoSpaceDE w:val="0"/>
        <w:autoSpaceDN w:val="0"/>
        <w:adjustRightInd w:val="0"/>
        <w:snapToGrid w:val="0"/>
        <w:spacing w:before="120" w:beforeLines="50" w:after="120" w:afterLines="50" w:line="300" w:lineRule="auto"/>
        <w:rPr>
          <w:rFonts w:eastAsia="宋体"/>
        </w:rPr>
      </w:pPr>
      <w:r>
        <w:t>In the coding process, if any medical terms cannot be coded due to being improper, inaccurate, or obscure, the data manager will ask the investigator for verification and confirmation by means of data query.</w:t>
      </w:r>
    </w:p>
    <w:p w14:paraId="0DA9FD99">
      <w:pPr>
        <w:overflowPunct w:val="0"/>
        <w:autoSpaceDE w:val="0"/>
        <w:autoSpaceDN w:val="0"/>
        <w:adjustRightInd w:val="0"/>
        <w:snapToGrid w:val="0"/>
        <w:spacing w:before="120" w:beforeLines="50" w:after="120" w:afterLines="50" w:line="300" w:lineRule="auto"/>
        <w:rPr>
          <w:rFonts w:eastAsia="宋体"/>
        </w:rPr>
      </w:pPr>
      <w:r>
        <w:t>Before database lock, the medical personnel will perform final review and confirmation of the medical coding results.</w:t>
      </w:r>
    </w:p>
    <w:p w14:paraId="4D728D47">
      <w:pPr>
        <w:pStyle w:val="5"/>
      </w:pPr>
      <w:bookmarkStart w:id="500" w:name="_Toc159596322"/>
      <w:r>
        <w:t xml:space="preserve">Data Lock and </w:t>
      </w:r>
      <w:bookmarkEnd w:id="495"/>
      <w:bookmarkEnd w:id="496"/>
      <w:bookmarkEnd w:id="497"/>
      <w:bookmarkEnd w:id="498"/>
      <w:bookmarkEnd w:id="499"/>
      <w:r>
        <w:t>Transfer</w:t>
      </w:r>
      <w:bookmarkEnd w:id="500"/>
    </w:p>
    <w:p w14:paraId="0EDB75D4">
      <w:pPr>
        <w:pStyle w:val="113"/>
        <w:tabs>
          <w:tab w:val="left" w:pos="426"/>
        </w:tabs>
        <w:overflowPunct w:val="0"/>
        <w:autoSpaceDE w:val="0"/>
        <w:autoSpaceDN w:val="0"/>
        <w:adjustRightInd w:val="0"/>
        <w:snapToGrid w:val="0"/>
        <w:spacing w:before="120" w:after="120" w:line="300" w:lineRule="auto"/>
        <w:jc w:val="left"/>
        <w:rPr>
          <w:rFonts w:cs="Times New Roman"/>
          <w:b w:val="0"/>
          <w:color w:val="auto"/>
          <w:kern w:val="0"/>
          <w:szCs w:val="24"/>
        </w:rPr>
      </w:pPr>
      <w:r>
        <w:rPr>
          <w:rFonts w:cs="Times New Roman"/>
          <w:b w:val="0"/>
          <w:color w:val="auto"/>
          <w:szCs w:val="24"/>
        </w:rPr>
        <w:t>After all queries are resolved and the data in the database are confirmed to be complete and accurate, the database will be locked by the data manager as per the in-house SOP with the joint approval of the investigator's representative, data manager, statistician, and sponsor's representative, and the locked data will be transferred to the statistician for subsequent statistical analyses.</w:t>
      </w:r>
    </w:p>
    <w:p w14:paraId="2921C504">
      <w:pPr>
        <w:pStyle w:val="113"/>
        <w:tabs>
          <w:tab w:val="left" w:pos="426"/>
        </w:tabs>
        <w:overflowPunct w:val="0"/>
        <w:autoSpaceDE w:val="0"/>
        <w:autoSpaceDN w:val="0"/>
        <w:adjustRightInd w:val="0"/>
        <w:snapToGrid w:val="0"/>
        <w:spacing w:before="120" w:after="120" w:line="300" w:lineRule="auto"/>
        <w:jc w:val="left"/>
        <w:rPr>
          <w:rFonts w:cs="Times New Roman"/>
          <w:b w:val="0"/>
          <w:color w:val="auto"/>
          <w:kern w:val="0"/>
          <w:szCs w:val="24"/>
        </w:rPr>
      </w:pPr>
      <w:r>
        <w:rPr>
          <w:rFonts w:cs="Times New Roman"/>
          <w:b w:val="0"/>
          <w:color w:val="auto"/>
          <w:szCs w:val="24"/>
        </w:rPr>
        <w:t>If new data problems are found after the database is locked, an application shall be submitted, and the necessity of modification shall be discussed by the investigator's representative, data manager, statistical analyst, sponsor's representative, and other personnel, and implemented in accordance with the requirements of the in-house SOPs of the data management party.</w:t>
      </w:r>
    </w:p>
    <w:p w14:paraId="0F8FF6CF">
      <w:pPr>
        <w:pStyle w:val="5"/>
      </w:pPr>
      <w:bookmarkStart w:id="501" w:name="_Toc159596323"/>
      <w:r>
        <w:t>Archiving of Data Management Documents</w:t>
      </w:r>
      <w:bookmarkEnd w:id="501"/>
    </w:p>
    <w:p w14:paraId="20FC1A33">
      <w:pPr>
        <w:pStyle w:val="113"/>
        <w:tabs>
          <w:tab w:val="left" w:pos="426"/>
        </w:tabs>
        <w:overflowPunct w:val="0"/>
        <w:autoSpaceDE w:val="0"/>
        <w:autoSpaceDN w:val="0"/>
        <w:adjustRightInd w:val="0"/>
        <w:snapToGrid w:val="0"/>
        <w:spacing w:before="120" w:after="120" w:line="300" w:lineRule="auto"/>
        <w:jc w:val="left"/>
        <w:rPr>
          <w:rFonts w:cs="Times New Roman"/>
          <w:b w:val="0"/>
          <w:color w:val="auto"/>
          <w:kern w:val="0"/>
          <w:szCs w:val="24"/>
        </w:rPr>
      </w:pPr>
      <w:r>
        <w:rPr>
          <w:rFonts w:cs="Times New Roman"/>
          <w:b w:val="0"/>
          <w:color w:val="auto"/>
          <w:szCs w:val="24"/>
        </w:rPr>
        <w:t>At the end of the study, all parties will archive and retain the data and data files involved. The retention requirements and time limits will refer to the relevant regulations of the GCP.</w:t>
      </w:r>
    </w:p>
    <w:bookmarkEnd w:id="450"/>
    <w:bookmarkEnd w:id="451"/>
    <w:p w14:paraId="0285D672">
      <w:pPr>
        <w:pStyle w:val="3"/>
      </w:pPr>
      <w:bookmarkStart w:id="502" w:name="_Toc493637987"/>
      <w:bookmarkStart w:id="503" w:name="_Toc9761"/>
      <w:bookmarkStart w:id="504" w:name="_Toc25649"/>
      <w:bookmarkStart w:id="505" w:name="_Toc30773"/>
      <w:bookmarkStart w:id="506" w:name="_Toc159596324"/>
      <w:r>
        <w:t>ETHICAL CONDUCT AND INFORMED CONSENT</w:t>
      </w:r>
      <w:bookmarkEnd w:id="502"/>
      <w:bookmarkEnd w:id="503"/>
      <w:bookmarkEnd w:id="504"/>
      <w:bookmarkEnd w:id="505"/>
      <w:bookmarkEnd w:id="506"/>
    </w:p>
    <w:p w14:paraId="63808491">
      <w:pPr>
        <w:pStyle w:val="5"/>
      </w:pPr>
      <w:bookmarkStart w:id="507" w:name="_Toc13512"/>
      <w:bookmarkStart w:id="508" w:name="_Toc2846"/>
      <w:bookmarkStart w:id="509" w:name="_Toc11019"/>
      <w:bookmarkStart w:id="510" w:name="_Toc159596325"/>
      <w:r>
        <w:t>Ethical Conduct</w:t>
      </w:r>
      <w:bookmarkEnd w:id="507"/>
      <w:bookmarkEnd w:id="508"/>
      <w:bookmarkEnd w:id="509"/>
      <w:bookmarkEnd w:id="510"/>
    </w:p>
    <w:p w14:paraId="546A8E83">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r>
        <w:rPr>
          <w:rFonts w:cs="Times New Roman"/>
          <w:color w:val="auto"/>
          <w:szCs w:val="24"/>
        </w:rPr>
        <w:t>Before implementation, the study protocol is required to be reviewed and approved by the ethics committee of the study site. At the review, the sponsor and investigator shall provide the ethics committee with the "Application Form for Ethical Review", "Sample of Informed Consent Form", "Clinical Study Protocol", "Sample of Case Report Form (CRF)", "Investigator's Brochure" for clinicians, materials for subject recruitment, and other documents. This clinical study must comply with the "Declaration of Helsinki", "Good Clinical Practice" (GCP), and relevant regulations. During the clinical study, any modification made to the study protocol must be approved or filed by the ethics committee. It is the investigator's responsibility to regularly submit the interim report of the study per the relevant requirements of ethics committee and to notify the ethics committee that the study is completed after the end of the study.</w:t>
      </w:r>
    </w:p>
    <w:p w14:paraId="16EA0E49">
      <w:pPr>
        <w:pStyle w:val="5"/>
      </w:pPr>
      <w:bookmarkStart w:id="511" w:name="_Toc14438"/>
      <w:bookmarkStart w:id="512" w:name="_Toc24702"/>
      <w:bookmarkStart w:id="513" w:name="_Toc5049"/>
      <w:bookmarkStart w:id="514" w:name="_Toc159596326"/>
      <w:r>
        <w:t>Informed Consent</w:t>
      </w:r>
      <w:bookmarkEnd w:id="511"/>
      <w:bookmarkEnd w:id="512"/>
      <w:bookmarkEnd w:id="513"/>
      <w:bookmarkEnd w:id="514"/>
    </w:p>
    <w:p w14:paraId="33AEDF89">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r>
        <w:rPr>
          <w:rFonts w:cs="Times New Roman"/>
          <w:color w:val="auto"/>
          <w:szCs w:val="24"/>
        </w:rPr>
        <w:t>The sponsor will provide the investigator with an ICF complying with GCP principles and requirements of the regulatory authorities. The ICF includes all contents specified by the GCP and all other contents required by the local regulatory authorities, and the ICF must be reviewed and approved by the ethics committee before use.</w:t>
      </w:r>
    </w:p>
    <w:p w14:paraId="2C32C011">
      <w:pPr>
        <w:pStyle w:val="4"/>
        <w:overflowPunct w:val="0"/>
        <w:autoSpaceDE w:val="0"/>
        <w:autoSpaceDN w:val="0"/>
        <w:adjustRightInd w:val="0"/>
        <w:snapToGrid w:val="0"/>
        <w:spacing w:before="120" w:beforeLines="50" w:after="120" w:afterLines="50" w:line="300" w:lineRule="auto"/>
        <w:ind w:firstLine="0" w:firstLineChars="0"/>
        <w:jc w:val="left"/>
        <w:rPr>
          <w:rFonts w:cs="Times New Roman"/>
          <w:color w:val="auto"/>
          <w:szCs w:val="24"/>
        </w:rPr>
      </w:pPr>
      <w:r>
        <w:rPr>
          <w:rFonts w:cs="Times New Roman"/>
          <w:color w:val="auto"/>
          <w:szCs w:val="24"/>
        </w:rPr>
        <w:t>All subjects must participate in the informed consent procedure of the study before receiving the treatment of the study to protect their legitimate rights and interests. It is the investigator's responsibility to provide the subjects or their designated representatives with a complete and comprehensive introduction to the study objectives, study methods, drug effects, reasonably expected benefits, potential toxic and side reactions, and possible risks, to let the subjects know about their rights, risks, and benefits, and to inform the subjects of any new information about the investigational product in a timely manner. The investigator shall inform the subjects that the clinical study is based on the voluntary principle, they can unconditionally withdraw from the study at any time during the study, and they will not incur any penalty due to the withdrawal from the study. The investigator shall inform the subjects that the study party and the sponsor have the right to read, save, and statistically process the subject's study data by the requirements of relevant regulations. The ICF shall be indicated with the version and preparation date or revision date. Before being eligible to participate in the clinical study, the subjects must fully understand the risks and benefits of the clinical study as well as the potential AEs, and sign and date the ICF. During the study, if the study protocol is modified to some extent, a corresponding modification must be made to the ICF based on the modified content, and the ICF must be reviewed and approved by the ethics committee before being signed by the enrolled subjects.</w:t>
      </w:r>
    </w:p>
    <w:p w14:paraId="21B2F4C0">
      <w:pPr>
        <w:pStyle w:val="3"/>
      </w:pPr>
      <w:bookmarkStart w:id="515" w:name="_Toc159596327"/>
      <w:bookmarkStart w:id="516" w:name="_Toc27637"/>
      <w:bookmarkStart w:id="517" w:name="_Toc493637988"/>
      <w:bookmarkStart w:id="518" w:name="_Toc30578"/>
      <w:bookmarkStart w:id="519" w:name="_Toc29252"/>
      <w:r>
        <w:t>QUALITY ASSURANCE</w:t>
      </w:r>
      <w:bookmarkEnd w:id="515"/>
    </w:p>
    <w:p w14:paraId="69642996">
      <w:pPr>
        <w:pStyle w:val="58"/>
        <w:overflowPunct w:val="0"/>
        <w:autoSpaceDE w:val="0"/>
        <w:autoSpaceDN w:val="0"/>
        <w:adjustRightInd w:val="0"/>
        <w:snapToGrid w:val="0"/>
        <w:spacing w:before="120" w:beforeLines="50" w:after="120" w:afterLines="50" w:line="300" w:lineRule="auto"/>
        <w:ind w:firstLine="0"/>
        <w:jc w:val="left"/>
        <w:rPr>
          <w:color w:val="auto"/>
          <w:kern w:val="0"/>
        </w:rPr>
      </w:pPr>
      <w:r>
        <w:rPr>
          <w:color w:val="auto"/>
        </w:rPr>
        <w:t>The sponsor and investigator shall establish their own quality assurance systems, perform their respective responsibilities, strictly follow the clinical study protocol, and employ the corresponding SOPs, so as to ensure the implementation of the quality control and quality assurance systems of the clinical study.</w:t>
      </w:r>
    </w:p>
    <w:p w14:paraId="429C5667">
      <w:pPr>
        <w:pStyle w:val="5"/>
      </w:pPr>
      <w:bookmarkStart w:id="520" w:name="_Toc159596328"/>
      <w:r>
        <w:t>Quality Assurance During the Clinical Study</w:t>
      </w:r>
      <w:bookmarkEnd w:id="520"/>
    </w:p>
    <w:p w14:paraId="02AB9160">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Before the clinical study is initiated, the investigator shall be trained on the clinical study protocol so that he can completely understand and recognize the protocol and all indicators therein. During the study, the investigator shall perform clinical operations and other works in strict accordance with the study site's SOPs and the study protocol, and take records in a truthful, timely, complete, and standardized manner. The QC personnel shall conduct quality verification of the study procedures and the corresponding source records. After the end of the study, the investigator shall sort out the corresponding project documents, and if any non-conformance is found after verification by the QC personnel, the relevant responsible person shall be notified in a timely manner for correction, and the correction shall be tracked.</w:t>
      </w:r>
    </w:p>
    <w:p w14:paraId="0AF4CF31">
      <w:pPr>
        <w:pStyle w:val="5"/>
      </w:pPr>
      <w:bookmarkStart w:id="521" w:name="_Toc159596329"/>
      <w:r>
        <w:t>Quality Assurance During Sample Detection</w:t>
      </w:r>
      <w:bookmarkEnd w:id="521"/>
    </w:p>
    <w:p w14:paraId="6CBD50EF">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The testing laboratory responsible for the analysis shall establish a quality assurance system, conduct quality verification in strict accordance with relevant domestic and international technical guidelines and standards, laboratory SOPs, and QC procedures, formulate a verification plan, and conduct verification according to the contents of the plan. The items to be verified include but are not limited to personnel training and authorization, sample management, standard management, validation, calibration, and maintenance of instruments and equipment, method validation, sample testing, and data verification. The laboratory QA personnel shall conduct different categories of audits on the analytical testing process and test results in accordance with the testing progress and the verification results from the QC personnel.</w:t>
      </w:r>
    </w:p>
    <w:p w14:paraId="35D6D242">
      <w:pPr>
        <w:pStyle w:val="5"/>
      </w:pPr>
      <w:bookmarkStart w:id="522" w:name="_Toc159596330"/>
      <w:r>
        <w:t>Quality Assurance During Data Transfer, Calculation, and Reporting</w:t>
      </w:r>
      <w:bookmarkEnd w:id="522"/>
    </w:p>
    <w:p w14:paraId="0D4CF8D5">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After the data entry into the eCRF by the study site, the CRA shall 100% verify the completeness and accuracy of the data in eCRF and the consistency with the original medical records. For suspicious data items or items inconsistent with the original medical data, the CRA shall raise queries promptly. The CRA shall also urge the personnel responsible for entering the data and the investigator to answer these queries and check and correct inconsistent data.</w:t>
      </w:r>
    </w:p>
    <w:p w14:paraId="5CF2C876">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The personnel from the Data Management Department shall verify the quality of data entry by means of logic verification, procedural verification, and manual verification, and send query results in the form of questions to the investigator. The investigator shall revise after verification. The database data will be verified by the QC personnel.</w:t>
      </w:r>
    </w:p>
    <w:p w14:paraId="690142D6">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The investigator at the study site shall perform spot checks on the data transfer documents and statistical reports to ensure data accuracy.</w:t>
      </w:r>
    </w:p>
    <w:p w14:paraId="706E0220">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The sponsor shall conduct various audits of the above-mentioned clinical study process, sample testing process, data, and reporting and calculation process based on the needs, the progress of the study, and the verification results from the QC personnel/CRA.</w:t>
      </w:r>
    </w:p>
    <w:p w14:paraId="31FF12D6">
      <w:pPr>
        <w:pStyle w:val="3"/>
      </w:pPr>
      <w:bookmarkStart w:id="523" w:name="_Toc159596331"/>
      <w:r>
        <w:t>STUDY REPORT</w:t>
      </w:r>
      <w:bookmarkEnd w:id="516"/>
      <w:bookmarkEnd w:id="517"/>
      <w:bookmarkEnd w:id="518"/>
      <w:bookmarkEnd w:id="519"/>
      <w:bookmarkEnd w:id="523"/>
    </w:p>
    <w:p w14:paraId="21825A3C">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After the end of the study, the study site shall write the corresponding study reports based on the study results, including the clinical study report, method validation report, sample testing report, and data statistical analysis report. A summary report will be generated based on these reports. The format, content, appendices, and figures of the report shall be in accordance with the relevant guidelines of the NMPA. The report shall come into effect after being sorted out, reviewed, signed, and sealed. The effective study report shall be submitted to the sponsor for submission to the NMPA.</w:t>
      </w:r>
    </w:p>
    <w:p w14:paraId="20CC7602">
      <w:pPr>
        <w:pStyle w:val="3"/>
      </w:pPr>
      <w:bookmarkStart w:id="524" w:name="_Toc159596332"/>
      <w:bookmarkStart w:id="525" w:name="_Toc493637989"/>
      <w:bookmarkStart w:id="526" w:name="_Toc12952"/>
      <w:bookmarkStart w:id="527" w:name="_Toc5823"/>
      <w:bookmarkStart w:id="528" w:name="_Toc27264"/>
      <w:r>
        <w:t>DATA STORAGE</w:t>
      </w:r>
      <w:bookmarkEnd w:id="524"/>
      <w:bookmarkEnd w:id="525"/>
      <w:bookmarkEnd w:id="526"/>
      <w:bookmarkEnd w:id="527"/>
      <w:bookmarkEnd w:id="528"/>
    </w:p>
    <w:p w14:paraId="5ED7E5C5">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 xml:space="preserve">To ensure the assessment and supervision of the clinical study by the NMPA and the sponsor, the investigator shall agree to retain all study data, including the source records of subject hospitalization, ICFs, CRFs, and detailed records of drug dispensing. The paper and electronic documents generated by the study site and sample testing laboratory shall be properly stored to ensure traceability in a timely manner. </w:t>
      </w:r>
      <w:bookmarkStart w:id="529" w:name="OLE_LINK24"/>
      <w:bookmarkStart w:id="530" w:name="OLE_LINK25"/>
      <w:r>
        <w:rPr>
          <w:color w:val="auto"/>
        </w:rPr>
        <w:t>The study site shall retain the data until 5 years after the end of this clinical study. The sponsor shall retain the clinical study data until 5 years after the investigational drug is approved for marketing.</w:t>
      </w:r>
      <w:bookmarkEnd w:id="529"/>
      <w:bookmarkEnd w:id="530"/>
    </w:p>
    <w:p w14:paraId="1B969581">
      <w:pPr>
        <w:pStyle w:val="3"/>
      </w:pPr>
      <w:bookmarkStart w:id="531" w:name="_Toc493637990"/>
      <w:bookmarkStart w:id="532" w:name="_Toc29032"/>
      <w:bookmarkStart w:id="533" w:name="_Toc492906593"/>
      <w:bookmarkStart w:id="534" w:name="_Toc27984"/>
      <w:bookmarkStart w:id="535" w:name="_Toc159596333"/>
      <w:bookmarkStart w:id="536" w:name="_Toc454282603"/>
      <w:bookmarkStart w:id="537" w:name="_Toc1006"/>
      <w:r>
        <w:t>INTELLECTUAL PROPERTY AND PUBLICATION</w:t>
      </w:r>
      <w:bookmarkEnd w:id="531"/>
      <w:bookmarkEnd w:id="532"/>
      <w:bookmarkEnd w:id="533"/>
      <w:bookmarkEnd w:id="534"/>
      <w:bookmarkEnd w:id="535"/>
      <w:bookmarkEnd w:id="536"/>
      <w:bookmarkEnd w:id="537"/>
    </w:p>
    <w:p w14:paraId="7AF22EA8">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All data of this clinical study are proprietary to Guangdong Raynovent Biotech Co., Ltd., and the documents of the study site shall not be damaged without a prior written agreement between the study site and the sponsor. If the investigator chooses to provide the study documents for another party or transfer them to another place, the sponsor must be notified. Except as required by the NMPA, the study site shall not provide them for a third party in any form without the written consent of the sponsor.</w:t>
      </w:r>
    </w:p>
    <w:p w14:paraId="37F4D719">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The sponsor will register and publish the study on the NMPA's drug clinical trial registration and information platform (http://www.chinadrugtrials.org.cn/index.html) in accordance with regulatory requirements.</w:t>
      </w:r>
    </w:p>
    <w:p w14:paraId="46EC9B7F">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The sponsor will report the results of this study in the clinical study report and will include CRF data from all clinical study sites participating in this study. Coordinating researchers will be identified based on their enrollment performance or study-related skills and relevant expertise. The analysis results obtained after the issuance of the clinical study report will be included in a separate report without modification of the clinical study report. The identity of the subjects will not be disclosed at the time of publication of the results. All study-related works and copyrighted data (except any literature published by the investigator as described below) will be the property of the sponsor, who will be the author and copyright owner.</w:t>
      </w:r>
    </w:p>
    <w:p w14:paraId="7E162090">
      <w:pPr>
        <w:pStyle w:val="58"/>
        <w:overflowPunct w:val="0"/>
        <w:autoSpaceDE w:val="0"/>
        <w:autoSpaceDN w:val="0"/>
        <w:adjustRightInd w:val="0"/>
        <w:snapToGrid w:val="0"/>
        <w:spacing w:before="120" w:beforeLines="50" w:after="120" w:afterLines="50" w:line="300" w:lineRule="auto"/>
        <w:ind w:firstLine="0"/>
        <w:jc w:val="left"/>
        <w:rPr>
          <w:color w:val="auto"/>
        </w:rPr>
      </w:pPr>
      <w:r>
        <w:rPr>
          <w:color w:val="auto"/>
        </w:rPr>
        <w:t>The sponsor has the right to publish such data and information without the approval of the investigator. If the investigator wishes to publish the information about the study, a copy of the manuscript must be provided to the sponsor for review at least 60 days prior to submission or presentation. Expedited review may be arranged for abstracts, conference posters, or other materials such as invited lectures or guest lectures. At the written request of the sponsor, the investigator is required to retain study-related information for up to an additional 60 days to allow completion of the patent application. In case of issues regarding scientific integrity or management compliance, the sponsor will review these issues with the study personnel. The sponsor shall not mandate modifications to the scientific content and does not have the right to delete information.</w:t>
      </w:r>
    </w:p>
    <w:p w14:paraId="31EC34D1">
      <w:pPr>
        <w:pStyle w:val="4"/>
        <w:overflowPunct w:val="0"/>
        <w:autoSpaceDE w:val="0"/>
        <w:autoSpaceDN w:val="0"/>
        <w:adjustRightInd w:val="0"/>
        <w:snapToGrid w:val="0"/>
        <w:spacing w:before="120" w:beforeLines="50" w:after="120" w:afterLines="50" w:line="300" w:lineRule="auto"/>
        <w:ind w:firstLine="480"/>
        <w:rPr>
          <w:rFonts w:cs="Times New Roman"/>
          <w:color w:val="auto"/>
          <w:szCs w:val="24"/>
        </w:rPr>
      </w:pPr>
      <w:r>
        <w:rPr>
          <w:rFonts w:cs="Times New Roman"/>
          <w:szCs w:val="24"/>
        </w:rPr>
        <w:br w:type="page"/>
      </w:r>
    </w:p>
    <w:p w14:paraId="4DB2FD2F">
      <w:pPr>
        <w:pStyle w:val="3"/>
      </w:pPr>
      <w:bookmarkStart w:id="538" w:name="_Toc31213"/>
      <w:bookmarkStart w:id="539" w:name="_Toc1482"/>
      <w:bookmarkStart w:id="540" w:name="_Toc15006"/>
      <w:bookmarkStart w:id="541" w:name="_Toc159596334"/>
      <w:bookmarkStart w:id="542" w:name="_Toc493637991"/>
      <w:r>
        <w:t>REFERENCES</w:t>
      </w:r>
      <w:bookmarkEnd w:id="538"/>
      <w:bookmarkEnd w:id="539"/>
      <w:bookmarkEnd w:id="540"/>
      <w:bookmarkEnd w:id="541"/>
      <w:bookmarkEnd w:id="542"/>
    </w:p>
    <w:p w14:paraId="4577D0EC">
      <w:pPr>
        <w:pStyle w:val="4"/>
        <w:numPr>
          <w:ilvl w:val="0"/>
          <w:numId w:val="45"/>
        </w:numPr>
        <w:overflowPunct w:val="0"/>
        <w:autoSpaceDE w:val="0"/>
        <w:autoSpaceDN w:val="0"/>
        <w:adjustRightInd w:val="0"/>
        <w:snapToGrid w:val="0"/>
        <w:spacing w:before="120" w:beforeLines="50" w:after="120" w:afterLines="50" w:line="300" w:lineRule="auto"/>
        <w:ind w:firstLineChars="0"/>
        <w:jc w:val="left"/>
        <w:rPr>
          <w:rFonts w:cs="Times New Roman"/>
          <w:color w:val="auto"/>
          <w:szCs w:val="24"/>
        </w:rPr>
      </w:pPr>
      <w:bookmarkStart w:id="543" w:name="_Ref120268126"/>
      <w:bookmarkStart w:id="544" w:name="_Ref119438750"/>
      <w:r>
        <w:rPr>
          <w:rFonts w:cs="Times New Roman"/>
          <w:color w:val="auto"/>
          <w:szCs w:val="24"/>
        </w:rPr>
        <w:t>IDF Diabetes Atlas 10th edition, https://diabetesatlas.org/data/en/</w:t>
      </w:r>
      <w:bookmarkEnd w:id="543"/>
    </w:p>
    <w:p w14:paraId="01CD48EF">
      <w:pPr>
        <w:pStyle w:val="4"/>
        <w:numPr>
          <w:ilvl w:val="0"/>
          <w:numId w:val="45"/>
        </w:numPr>
        <w:overflowPunct w:val="0"/>
        <w:autoSpaceDE w:val="0"/>
        <w:autoSpaceDN w:val="0"/>
        <w:adjustRightInd w:val="0"/>
        <w:snapToGrid w:val="0"/>
        <w:spacing w:before="120" w:beforeLines="50" w:after="120" w:afterLines="50" w:line="300" w:lineRule="auto"/>
        <w:ind w:firstLineChars="0"/>
        <w:jc w:val="left"/>
        <w:rPr>
          <w:rFonts w:cs="Times New Roman"/>
          <w:color w:val="auto"/>
          <w:szCs w:val="24"/>
        </w:rPr>
      </w:pPr>
      <w:bookmarkStart w:id="545" w:name="_Ref120268156"/>
      <w:r>
        <w:rPr>
          <w:rFonts w:cs="Times New Roman"/>
          <w:color w:val="auto"/>
          <w:szCs w:val="24"/>
        </w:rPr>
        <w:t>Chinese Diabetes Society, Chinese Medical Association. Guideline for the Prevention and Treatment of Type 2 Diabetes Mellitus in China (2020 Edition) [J]. Chinese Journal of Diabetes Mellitus, 2021, 13(4): 315-409.</w:t>
      </w:r>
      <w:bookmarkEnd w:id="545"/>
    </w:p>
    <w:bookmarkEnd w:id="544"/>
    <w:p w14:paraId="0A4E6F8F">
      <w:pPr>
        <w:pStyle w:val="4"/>
        <w:numPr>
          <w:ilvl w:val="0"/>
          <w:numId w:val="45"/>
        </w:numPr>
        <w:overflowPunct w:val="0"/>
        <w:autoSpaceDE w:val="0"/>
        <w:autoSpaceDN w:val="0"/>
        <w:adjustRightInd w:val="0"/>
        <w:snapToGrid w:val="0"/>
        <w:spacing w:before="120" w:beforeLines="50" w:after="120" w:afterLines="50" w:line="300" w:lineRule="auto"/>
        <w:ind w:firstLineChars="0"/>
        <w:jc w:val="left"/>
        <w:rPr>
          <w:rFonts w:cs="Times New Roman"/>
          <w:color w:val="auto"/>
          <w:szCs w:val="24"/>
        </w:rPr>
      </w:pPr>
      <w:bookmarkStart w:id="546" w:name="_Ref119438835"/>
      <w:r>
        <w:rPr>
          <w:rFonts w:cs="Times New Roman"/>
          <w:color w:val="auto"/>
          <w:szCs w:val="24"/>
        </w:rPr>
        <w:t>Qian Hai, Li Chengye, Hua Zichun. Research Progress on Multi-Receptor Agonists Based on Glucagon-Like Peptide-1 [J]. Progress in Pharmaceutical Sciences, 2019, 43(10): 738-748.</w:t>
      </w:r>
      <w:bookmarkEnd w:id="546"/>
    </w:p>
    <w:p w14:paraId="7E1A70D3">
      <w:pPr>
        <w:pStyle w:val="4"/>
        <w:numPr>
          <w:ilvl w:val="0"/>
          <w:numId w:val="45"/>
        </w:numPr>
        <w:overflowPunct w:val="0"/>
        <w:autoSpaceDE w:val="0"/>
        <w:autoSpaceDN w:val="0"/>
        <w:adjustRightInd w:val="0"/>
        <w:snapToGrid w:val="0"/>
        <w:spacing w:before="120" w:beforeLines="50" w:after="120" w:afterLines="50" w:line="300" w:lineRule="auto"/>
        <w:ind w:firstLineChars="0"/>
        <w:jc w:val="left"/>
        <w:rPr>
          <w:rFonts w:cs="Times New Roman"/>
          <w:color w:val="auto"/>
          <w:szCs w:val="24"/>
        </w:rPr>
      </w:pPr>
      <w:bookmarkStart w:id="547" w:name="_Ref119438858"/>
      <w:r>
        <w:rPr>
          <w:rFonts w:cs="Times New Roman"/>
          <w:color w:val="auto"/>
          <w:szCs w:val="24"/>
        </w:rPr>
        <w:t>MOUNJARO</w:t>
      </w:r>
      <w:r>
        <w:rPr>
          <w:rFonts w:cs="Times New Roman"/>
          <w:color w:val="auto"/>
          <w:szCs w:val="24"/>
          <w:vertAlign w:val="superscript"/>
        </w:rPr>
        <w:t>TM</w:t>
      </w:r>
      <w:r>
        <w:rPr>
          <w:rFonts w:cs="Times New Roman"/>
          <w:color w:val="auto"/>
          <w:szCs w:val="24"/>
        </w:rPr>
        <w:t xml:space="preserve"> (tirzepatide) Injection, for subcutaneous use. FDA Label. 2022</w:t>
      </w:r>
      <w:bookmarkEnd w:id="547"/>
    </w:p>
    <w:p w14:paraId="5767517A">
      <w:pPr>
        <w:pStyle w:val="4"/>
        <w:numPr>
          <w:ilvl w:val="0"/>
          <w:numId w:val="45"/>
        </w:numPr>
        <w:overflowPunct w:val="0"/>
        <w:autoSpaceDE w:val="0"/>
        <w:autoSpaceDN w:val="0"/>
        <w:adjustRightInd w:val="0"/>
        <w:snapToGrid w:val="0"/>
        <w:spacing w:before="120" w:beforeLines="50" w:after="120" w:afterLines="50" w:line="300" w:lineRule="auto"/>
        <w:ind w:firstLineChars="0"/>
        <w:jc w:val="left"/>
        <w:rPr>
          <w:rFonts w:cs="Times New Roman"/>
          <w:color w:val="auto"/>
          <w:szCs w:val="24"/>
        </w:rPr>
      </w:pPr>
      <w:bookmarkStart w:id="548" w:name="_Ref119438697"/>
      <w:bookmarkStart w:id="549" w:name="_Ref155457142"/>
      <w:r>
        <w:rPr>
          <w:rFonts w:cs="Times New Roman"/>
          <w:color w:val="auto"/>
          <w:szCs w:val="24"/>
        </w:rPr>
        <w:t>Center for Drug Evaluation, NMPA. Technical Guidelines on Clinical Development of Type-2 Diabetes Mellitus Drugs for Adults.</w:t>
      </w:r>
      <w:bookmarkEnd w:id="548"/>
      <w:r>
        <w:rPr>
          <w:rFonts w:cs="Times New Roman"/>
          <w:color w:val="auto"/>
          <w:szCs w:val="24"/>
        </w:rPr>
        <w:t xml:space="preserve"> 2023.</w:t>
      </w:r>
      <w:bookmarkEnd w:id="549"/>
    </w:p>
    <w:p w14:paraId="370932F8">
      <w:pPr>
        <w:pStyle w:val="4"/>
        <w:overflowPunct w:val="0"/>
        <w:autoSpaceDE w:val="0"/>
        <w:autoSpaceDN w:val="0"/>
        <w:adjustRightInd w:val="0"/>
        <w:snapToGrid w:val="0"/>
        <w:spacing w:before="120" w:beforeLines="50" w:after="120" w:afterLines="50" w:line="300" w:lineRule="auto"/>
        <w:ind w:left="420" w:firstLine="0" w:firstLineChars="0"/>
        <w:rPr>
          <w:rFonts w:cs="Times New Roman"/>
          <w:color w:val="auto"/>
          <w:szCs w:val="24"/>
        </w:rPr>
      </w:pPr>
    </w:p>
    <w:p w14:paraId="6D263601">
      <w:pPr>
        <w:pStyle w:val="4"/>
        <w:overflowPunct w:val="0"/>
        <w:autoSpaceDE w:val="0"/>
        <w:autoSpaceDN w:val="0"/>
        <w:adjustRightInd w:val="0"/>
        <w:snapToGrid w:val="0"/>
        <w:spacing w:before="120" w:beforeLines="50" w:after="120" w:afterLines="50" w:line="300" w:lineRule="auto"/>
        <w:ind w:firstLine="480"/>
        <w:rPr>
          <w:rFonts w:cs="Times New Roman"/>
          <w:color w:val="auto"/>
          <w:szCs w:val="24"/>
          <w:lang w:val="zh-TW" w:eastAsia="zh-TW"/>
        </w:rPr>
        <w:sectPr>
          <w:headerReference r:id="rId18" w:type="first"/>
          <w:headerReference r:id="rId17" w:type="default"/>
          <w:endnotePr>
            <w:numFmt w:val="decimal"/>
          </w:endnotePr>
          <w:pgSz w:w="12240" w:h="15840"/>
          <w:pgMar w:top="1440" w:right="1440" w:bottom="1440" w:left="1440" w:header="720" w:footer="720" w:gutter="0"/>
          <w:cols w:space="0" w:num="1"/>
          <w:titlePg/>
          <w:docGrid w:linePitch="326" w:charSpace="0"/>
        </w:sectPr>
      </w:pPr>
    </w:p>
    <w:p w14:paraId="715974FE">
      <w:pPr>
        <w:pStyle w:val="196"/>
      </w:pPr>
      <w:bookmarkStart w:id="550" w:name="F1"/>
      <w:bookmarkStart w:id="551" w:name="_Toc159596335"/>
      <w:bookmarkStart w:id="552" w:name="_Ref121757983"/>
      <w:bookmarkStart w:id="553" w:name="_Ref24243"/>
      <w:bookmarkStart w:id="554" w:name="_Toc3259"/>
      <w:bookmarkStart w:id="555" w:name="_Toc493637992"/>
      <w:bookmarkStart w:id="556" w:name="_Toc446058203"/>
      <w:bookmarkStart w:id="557" w:name="_Toc28495"/>
      <w:bookmarkStart w:id="558" w:name="_Toc2743"/>
      <w:r>
        <w:t>Appendix 1</w:t>
      </w:r>
      <w:bookmarkEnd w:id="550"/>
      <w:r>
        <w:t>: Diagnostic Criteria for Type 2 Diabetes Mellitus</w:t>
      </w:r>
      <w:bookmarkEnd w:id="551"/>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57" w:type="dxa"/>
          <w:bottom w:w="28" w:type="dxa"/>
          <w:right w:w="57" w:type="dxa"/>
        </w:tblCellMar>
      </w:tblPr>
      <w:tblGrid>
        <w:gridCol w:w="4731"/>
        <w:gridCol w:w="4743"/>
      </w:tblGrid>
      <w:tr w14:paraId="27E05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66" w:type="dxa"/>
            <w:gridSpan w:val="2"/>
            <w:tcBorders>
              <w:top w:val="nil"/>
              <w:left w:val="nil"/>
              <w:bottom w:val="single" w:color="auto" w:sz="4" w:space="0"/>
              <w:right w:val="nil"/>
            </w:tcBorders>
            <w:shd w:val="clear" w:color="auto" w:fill="auto"/>
            <w:tcMar>
              <w:top w:w="28" w:type="dxa"/>
              <w:left w:w="57" w:type="dxa"/>
              <w:bottom w:w="28" w:type="dxa"/>
              <w:right w:w="57" w:type="dxa"/>
            </w:tcMar>
            <w:vAlign w:val="center"/>
          </w:tcPr>
          <w:p w14:paraId="0FEA3AD9">
            <w:pPr>
              <w:pStyle w:val="2"/>
              <w:widowControl w:val="0"/>
              <w:overflowPunct w:val="0"/>
              <w:autoSpaceDE w:val="0"/>
              <w:autoSpaceDN w:val="0"/>
              <w:adjustRightInd w:val="0"/>
              <w:snapToGrid w:val="0"/>
              <w:spacing w:after="0"/>
              <w:jc w:val="center"/>
              <w:rPr>
                <w:rFonts w:eastAsia="宋体"/>
                <w:b/>
                <w:bCs/>
                <w:sz w:val="20"/>
                <w:szCs w:val="20"/>
              </w:rPr>
            </w:pPr>
            <w:r>
              <w:rPr>
                <w:b/>
                <w:bCs/>
                <w:sz w:val="20"/>
                <w:szCs w:val="20"/>
              </w:rPr>
              <w:t>Diagnostic Criteria for Diabetes Mellitus</w:t>
            </w:r>
          </w:p>
        </w:tc>
      </w:tr>
      <w:tr w14:paraId="494DB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4527" w:type="dxa"/>
            <w:tcBorders>
              <w:left w:val="nil"/>
              <w:right w:val="nil"/>
            </w:tcBorders>
            <w:shd w:val="clear" w:color="auto" w:fill="D0CECE"/>
            <w:tcMar>
              <w:top w:w="28" w:type="dxa"/>
              <w:left w:w="57" w:type="dxa"/>
              <w:bottom w:w="28" w:type="dxa"/>
              <w:right w:w="57" w:type="dxa"/>
            </w:tcMar>
            <w:vAlign w:val="center"/>
          </w:tcPr>
          <w:p w14:paraId="63DCFB5E">
            <w:pPr>
              <w:widowControl w:val="0"/>
              <w:overflowPunct w:val="0"/>
              <w:autoSpaceDE w:val="0"/>
              <w:autoSpaceDN w:val="0"/>
              <w:adjustRightInd w:val="0"/>
              <w:snapToGrid w:val="0"/>
              <w:rPr>
                <w:rFonts w:eastAsia="宋体"/>
                <w:b/>
                <w:bCs/>
                <w:sz w:val="20"/>
                <w:szCs w:val="20"/>
              </w:rPr>
            </w:pPr>
            <w:r>
              <w:rPr>
                <w:b/>
                <w:bCs/>
                <w:sz w:val="20"/>
                <w:szCs w:val="20"/>
              </w:rPr>
              <w:t>Diagnostic criteria</w:t>
            </w:r>
          </w:p>
        </w:tc>
        <w:tc>
          <w:tcPr>
            <w:tcW w:w="4539" w:type="dxa"/>
            <w:tcBorders>
              <w:left w:val="nil"/>
              <w:right w:val="nil"/>
            </w:tcBorders>
            <w:shd w:val="clear" w:color="auto" w:fill="D0CECE"/>
            <w:tcMar>
              <w:top w:w="28" w:type="dxa"/>
              <w:left w:w="57" w:type="dxa"/>
              <w:bottom w:w="28" w:type="dxa"/>
              <w:right w:w="57" w:type="dxa"/>
            </w:tcMar>
            <w:vAlign w:val="center"/>
          </w:tcPr>
          <w:p w14:paraId="2FA43338">
            <w:pPr>
              <w:widowControl w:val="0"/>
              <w:overflowPunct w:val="0"/>
              <w:autoSpaceDE w:val="0"/>
              <w:autoSpaceDN w:val="0"/>
              <w:adjustRightInd w:val="0"/>
              <w:snapToGrid w:val="0"/>
              <w:rPr>
                <w:rFonts w:eastAsia="宋体"/>
                <w:b/>
                <w:bCs/>
                <w:sz w:val="20"/>
                <w:szCs w:val="20"/>
              </w:rPr>
            </w:pPr>
            <w:r>
              <w:rPr>
                <w:b/>
                <w:bCs/>
                <w:sz w:val="20"/>
                <w:szCs w:val="20"/>
              </w:rPr>
              <w:t>Venous plasma glucose or HbA1C level</w:t>
            </w:r>
          </w:p>
        </w:tc>
      </w:tr>
      <w:tr w14:paraId="5D9B1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9066" w:type="dxa"/>
            <w:gridSpan w:val="2"/>
            <w:tcBorders>
              <w:left w:val="nil"/>
              <w:bottom w:val="nil"/>
              <w:right w:val="nil"/>
            </w:tcBorders>
            <w:shd w:val="clear" w:color="auto" w:fill="auto"/>
            <w:tcMar>
              <w:top w:w="28" w:type="dxa"/>
              <w:left w:w="57" w:type="dxa"/>
              <w:bottom w:w="28" w:type="dxa"/>
              <w:right w:w="57" w:type="dxa"/>
            </w:tcMar>
            <w:vAlign w:val="center"/>
          </w:tcPr>
          <w:p w14:paraId="469858FF">
            <w:pPr>
              <w:pStyle w:val="2"/>
              <w:widowControl w:val="0"/>
              <w:overflowPunct w:val="0"/>
              <w:autoSpaceDE w:val="0"/>
              <w:autoSpaceDN w:val="0"/>
              <w:adjustRightInd w:val="0"/>
              <w:snapToGrid w:val="0"/>
              <w:spacing w:after="0"/>
              <w:rPr>
                <w:rFonts w:eastAsia="宋体"/>
                <w:sz w:val="20"/>
                <w:szCs w:val="20"/>
              </w:rPr>
            </w:pPr>
            <w:r>
              <w:rPr>
                <w:sz w:val="20"/>
                <w:szCs w:val="20"/>
              </w:rPr>
              <w:t>Typical symptoms of diabetes</w:t>
            </w:r>
          </w:p>
        </w:tc>
      </w:tr>
      <w:tr w14:paraId="315B4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4527" w:type="dxa"/>
            <w:tcBorders>
              <w:top w:val="nil"/>
              <w:left w:val="nil"/>
              <w:bottom w:val="nil"/>
              <w:right w:val="nil"/>
            </w:tcBorders>
            <w:shd w:val="clear" w:color="auto" w:fill="auto"/>
            <w:tcMar>
              <w:top w:w="28" w:type="dxa"/>
              <w:left w:w="57" w:type="dxa"/>
              <w:bottom w:w="28" w:type="dxa"/>
              <w:right w:w="57" w:type="dxa"/>
            </w:tcMar>
            <w:vAlign w:val="center"/>
          </w:tcPr>
          <w:p w14:paraId="218C8BE1">
            <w:pPr>
              <w:pStyle w:val="2"/>
              <w:widowControl w:val="0"/>
              <w:overflowPunct w:val="0"/>
              <w:autoSpaceDE w:val="0"/>
              <w:autoSpaceDN w:val="0"/>
              <w:adjustRightInd w:val="0"/>
              <w:snapToGrid w:val="0"/>
              <w:spacing w:after="0"/>
              <w:ind w:firstLine="420"/>
              <w:rPr>
                <w:rFonts w:eastAsia="宋体"/>
                <w:sz w:val="20"/>
                <w:szCs w:val="20"/>
              </w:rPr>
            </w:pPr>
            <w:r>
              <w:rPr>
                <w:sz w:val="20"/>
                <w:szCs w:val="20"/>
              </w:rPr>
              <w:t>And random blood glucose</w:t>
            </w:r>
          </w:p>
        </w:tc>
        <w:tc>
          <w:tcPr>
            <w:tcW w:w="4539" w:type="dxa"/>
            <w:tcBorders>
              <w:top w:val="nil"/>
              <w:left w:val="nil"/>
              <w:bottom w:val="nil"/>
              <w:right w:val="nil"/>
            </w:tcBorders>
            <w:shd w:val="clear" w:color="auto" w:fill="auto"/>
            <w:tcMar>
              <w:top w:w="28" w:type="dxa"/>
              <w:left w:w="57" w:type="dxa"/>
              <w:bottom w:w="28" w:type="dxa"/>
              <w:right w:w="57" w:type="dxa"/>
            </w:tcMar>
            <w:vAlign w:val="center"/>
          </w:tcPr>
          <w:p w14:paraId="27DF01F8">
            <w:pPr>
              <w:pStyle w:val="2"/>
              <w:widowControl w:val="0"/>
              <w:overflowPunct w:val="0"/>
              <w:autoSpaceDE w:val="0"/>
              <w:autoSpaceDN w:val="0"/>
              <w:adjustRightInd w:val="0"/>
              <w:snapToGrid w:val="0"/>
              <w:spacing w:after="0"/>
              <w:ind w:left="391" w:leftChars="163"/>
              <w:rPr>
                <w:rFonts w:eastAsia="宋体"/>
                <w:sz w:val="20"/>
                <w:szCs w:val="20"/>
              </w:rPr>
            </w:pPr>
            <w:r>
              <w:rPr>
                <w:sz w:val="20"/>
                <w:szCs w:val="20"/>
              </w:rPr>
              <w:t>≥ 11.1 mmol/L</w:t>
            </w:r>
          </w:p>
        </w:tc>
      </w:tr>
      <w:tr w14:paraId="1D185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4527" w:type="dxa"/>
            <w:tcBorders>
              <w:top w:val="nil"/>
              <w:left w:val="nil"/>
              <w:bottom w:val="nil"/>
              <w:right w:val="nil"/>
            </w:tcBorders>
            <w:shd w:val="clear" w:color="auto" w:fill="auto"/>
            <w:tcMar>
              <w:top w:w="28" w:type="dxa"/>
              <w:left w:w="57" w:type="dxa"/>
              <w:bottom w:w="28" w:type="dxa"/>
              <w:right w:w="57" w:type="dxa"/>
            </w:tcMar>
            <w:vAlign w:val="center"/>
          </w:tcPr>
          <w:p w14:paraId="15FF2C67">
            <w:pPr>
              <w:pStyle w:val="2"/>
              <w:widowControl w:val="0"/>
              <w:overflowPunct w:val="0"/>
              <w:autoSpaceDE w:val="0"/>
              <w:autoSpaceDN w:val="0"/>
              <w:adjustRightInd w:val="0"/>
              <w:snapToGrid w:val="0"/>
              <w:spacing w:after="0"/>
              <w:ind w:firstLine="420"/>
              <w:rPr>
                <w:rFonts w:eastAsia="宋体"/>
                <w:sz w:val="20"/>
                <w:szCs w:val="20"/>
              </w:rPr>
            </w:pPr>
            <w:r>
              <w:rPr>
                <w:sz w:val="20"/>
                <w:szCs w:val="20"/>
              </w:rPr>
              <w:t>Or fasting blood glucose</w:t>
            </w:r>
          </w:p>
        </w:tc>
        <w:tc>
          <w:tcPr>
            <w:tcW w:w="4539" w:type="dxa"/>
            <w:tcBorders>
              <w:top w:val="nil"/>
              <w:left w:val="nil"/>
              <w:bottom w:val="nil"/>
              <w:right w:val="nil"/>
            </w:tcBorders>
            <w:shd w:val="clear" w:color="auto" w:fill="auto"/>
            <w:tcMar>
              <w:top w:w="28" w:type="dxa"/>
              <w:left w:w="57" w:type="dxa"/>
              <w:bottom w:w="28" w:type="dxa"/>
              <w:right w:w="57" w:type="dxa"/>
            </w:tcMar>
            <w:vAlign w:val="center"/>
          </w:tcPr>
          <w:p w14:paraId="795716F3">
            <w:pPr>
              <w:pStyle w:val="2"/>
              <w:widowControl w:val="0"/>
              <w:overflowPunct w:val="0"/>
              <w:autoSpaceDE w:val="0"/>
              <w:autoSpaceDN w:val="0"/>
              <w:adjustRightInd w:val="0"/>
              <w:snapToGrid w:val="0"/>
              <w:spacing w:after="0"/>
              <w:ind w:left="391" w:leftChars="163"/>
              <w:rPr>
                <w:rFonts w:eastAsia="宋体"/>
                <w:sz w:val="20"/>
                <w:szCs w:val="20"/>
              </w:rPr>
            </w:pPr>
            <w:r>
              <w:rPr>
                <w:sz w:val="20"/>
                <w:szCs w:val="20"/>
              </w:rPr>
              <w:t>≥ 7.0 mmol/L</w:t>
            </w:r>
          </w:p>
        </w:tc>
      </w:tr>
      <w:tr w14:paraId="46697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4527" w:type="dxa"/>
            <w:tcBorders>
              <w:top w:val="nil"/>
              <w:left w:val="nil"/>
              <w:bottom w:val="nil"/>
              <w:right w:val="nil"/>
            </w:tcBorders>
            <w:shd w:val="clear" w:color="auto" w:fill="auto"/>
            <w:tcMar>
              <w:top w:w="28" w:type="dxa"/>
              <w:left w:w="57" w:type="dxa"/>
              <w:bottom w:w="28" w:type="dxa"/>
              <w:right w:w="57" w:type="dxa"/>
            </w:tcMar>
            <w:vAlign w:val="center"/>
          </w:tcPr>
          <w:p w14:paraId="49BE0744">
            <w:pPr>
              <w:pStyle w:val="2"/>
              <w:widowControl w:val="0"/>
              <w:overflowPunct w:val="0"/>
              <w:autoSpaceDE w:val="0"/>
              <w:autoSpaceDN w:val="0"/>
              <w:adjustRightInd w:val="0"/>
              <w:snapToGrid w:val="0"/>
              <w:spacing w:after="0"/>
              <w:ind w:firstLine="420"/>
              <w:rPr>
                <w:rFonts w:eastAsia="宋体"/>
                <w:sz w:val="20"/>
                <w:szCs w:val="20"/>
              </w:rPr>
            </w:pPr>
            <w:r>
              <w:rPr>
                <w:sz w:val="20"/>
                <w:szCs w:val="20"/>
              </w:rPr>
              <w:t>Or OGTT 2h blood glucose</w:t>
            </w:r>
          </w:p>
        </w:tc>
        <w:tc>
          <w:tcPr>
            <w:tcW w:w="4539" w:type="dxa"/>
            <w:tcBorders>
              <w:top w:val="nil"/>
              <w:left w:val="nil"/>
              <w:bottom w:val="nil"/>
              <w:right w:val="nil"/>
            </w:tcBorders>
            <w:shd w:val="clear" w:color="auto" w:fill="auto"/>
            <w:tcMar>
              <w:top w:w="28" w:type="dxa"/>
              <w:left w:w="57" w:type="dxa"/>
              <w:bottom w:w="28" w:type="dxa"/>
              <w:right w:w="57" w:type="dxa"/>
            </w:tcMar>
            <w:vAlign w:val="center"/>
          </w:tcPr>
          <w:p w14:paraId="1A298895">
            <w:pPr>
              <w:pStyle w:val="2"/>
              <w:widowControl w:val="0"/>
              <w:overflowPunct w:val="0"/>
              <w:autoSpaceDE w:val="0"/>
              <w:autoSpaceDN w:val="0"/>
              <w:adjustRightInd w:val="0"/>
              <w:snapToGrid w:val="0"/>
              <w:spacing w:after="0"/>
              <w:ind w:left="391" w:leftChars="163"/>
              <w:rPr>
                <w:rFonts w:eastAsia="宋体"/>
                <w:sz w:val="20"/>
                <w:szCs w:val="20"/>
              </w:rPr>
            </w:pPr>
            <w:r>
              <w:rPr>
                <w:sz w:val="20"/>
                <w:szCs w:val="20"/>
              </w:rPr>
              <w:t>≥ 11.1 mmol/L</w:t>
            </w:r>
          </w:p>
        </w:tc>
      </w:tr>
      <w:tr w14:paraId="3BA0C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4527" w:type="dxa"/>
            <w:tcBorders>
              <w:top w:val="nil"/>
              <w:left w:val="nil"/>
              <w:bottom w:val="nil"/>
              <w:right w:val="nil"/>
            </w:tcBorders>
            <w:shd w:val="clear" w:color="auto" w:fill="auto"/>
            <w:tcMar>
              <w:top w:w="28" w:type="dxa"/>
              <w:left w:w="57" w:type="dxa"/>
              <w:bottom w:w="28" w:type="dxa"/>
              <w:right w:w="57" w:type="dxa"/>
            </w:tcMar>
            <w:vAlign w:val="center"/>
          </w:tcPr>
          <w:p w14:paraId="580206ED">
            <w:pPr>
              <w:pStyle w:val="2"/>
              <w:widowControl w:val="0"/>
              <w:overflowPunct w:val="0"/>
              <w:autoSpaceDE w:val="0"/>
              <w:autoSpaceDN w:val="0"/>
              <w:adjustRightInd w:val="0"/>
              <w:snapToGrid w:val="0"/>
              <w:spacing w:after="0"/>
              <w:ind w:firstLine="420"/>
              <w:rPr>
                <w:rFonts w:eastAsia="宋体"/>
                <w:sz w:val="20"/>
                <w:szCs w:val="20"/>
              </w:rPr>
            </w:pPr>
            <w:r>
              <w:rPr>
                <w:sz w:val="20"/>
                <w:szCs w:val="20"/>
              </w:rPr>
              <w:t>Or HbA1C</w:t>
            </w:r>
          </w:p>
        </w:tc>
        <w:tc>
          <w:tcPr>
            <w:tcW w:w="4539" w:type="dxa"/>
            <w:tcBorders>
              <w:top w:val="nil"/>
              <w:left w:val="nil"/>
              <w:bottom w:val="nil"/>
              <w:right w:val="nil"/>
            </w:tcBorders>
            <w:shd w:val="clear" w:color="auto" w:fill="auto"/>
            <w:tcMar>
              <w:top w:w="28" w:type="dxa"/>
              <w:left w:w="57" w:type="dxa"/>
              <w:bottom w:w="28" w:type="dxa"/>
              <w:right w:w="57" w:type="dxa"/>
            </w:tcMar>
            <w:vAlign w:val="center"/>
          </w:tcPr>
          <w:p w14:paraId="60D08C3C">
            <w:pPr>
              <w:pStyle w:val="2"/>
              <w:widowControl w:val="0"/>
              <w:overflowPunct w:val="0"/>
              <w:autoSpaceDE w:val="0"/>
              <w:autoSpaceDN w:val="0"/>
              <w:adjustRightInd w:val="0"/>
              <w:snapToGrid w:val="0"/>
              <w:spacing w:after="0"/>
              <w:ind w:left="391" w:leftChars="163"/>
              <w:rPr>
                <w:rFonts w:eastAsia="宋体"/>
                <w:sz w:val="20"/>
                <w:szCs w:val="20"/>
              </w:rPr>
            </w:pPr>
            <w:r>
              <w:rPr>
                <w:sz w:val="20"/>
                <w:szCs w:val="20"/>
              </w:rPr>
              <w:t>≥ 6.5%</w:t>
            </w:r>
          </w:p>
        </w:tc>
      </w:tr>
      <w:tr w14:paraId="4B94B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9066" w:type="dxa"/>
            <w:gridSpan w:val="2"/>
            <w:tcBorders>
              <w:top w:val="nil"/>
              <w:left w:val="nil"/>
              <w:bottom w:val="single" w:color="auto" w:sz="4" w:space="0"/>
              <w:right w:val="nil"/>
            </w:tcBorders>
            <w:shd w:val="clear" w:color="auto" w:fill="auto"/>
            <w:tcMar>
              <w:top w:w="28" w:type="dxa"/>
              <w:left w:w="57" w:type="dxa"/>
              <w:bottom w:w="28" w:type="dxa"/>
              <w:right w:w="57" w:type="dxa"/>
            </w:tcMar>
            <w:vAlign w:val="center"/>
          </w:tcPr>
          <w:p w14:paraId="220C43E0">
            <w:pPr>
              <w:pStyle w:val="2"/>
              <w:widowControl w:val="0"/>
              <w:overflowPunct w:val="0"/>
              <w:autoSpaceDE w:val="0"/>
              <w:autoSpaceDN w:val="0"/>
              <w:adjustRightInd w:val="0"/>
              <w:snapToGrid w:val="0"/>
              <w:spacing w:after="0"/>
              <w:rPr>
                <w:rFonts w:eastAsia="宋体"/>
                <w:sz w:val="20"/>
                <w:szCs w:val="20"/>
              </w:rPr>
            </w:pPr>
            <w:r>
              <w:rPr>
                <w:sz w:val="20"/>
                <w:szCs w:val="20"/>
              </w:rPr>
              <w:t>If there is no typical symptoms of diabetes, the diagnosis needs to be rechecked another day</w:t>
            </w:r>
          </w:p>
        </w:tc>
      </w:tr>
      <w:tr w14:paraId="3A79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9066" w:type="dxa"/>
            <w:gridSpan w:val="2"/>
            <w:tcBorders>
              <w:left w:val="nil"/>
              <w:bottom w:val="nil"/>
              <w:right w:val="nil"/>
            </w:tcBorders>
            <w:shd w:val="clear" w:color="auto" w:fill="auto"/>
            <w:tcMar>
              <w:top w:w="28" w:type="dxa"/>
              <w:left w:w="57" w:type="dxa"/>
              <w:bottom w:w="28" w:type="dxa"/>
              <w:right w:w="57" w:type="dxa"/>
            </w:tcMar>
            <w:vAlign w:val="center"/>
          </w:tcPr>
          <w:p w14:paraId="71E6B34C">
            <w:pPr>
              <w:pStyle w:val="2"/>
              <w:widowControl w:val="0"/>
              <w:overflowPunct w:val="0"/>
              <w:autoSpaceDE w:val="0"/>
              <w:autoSpaceDN w:val="0"/>
              <w:adjustRightInd w:val="0"/>
              <w:snapToGrid w:val="0"/>
              <w:spacing w:after="0"/>
              <w:jc w:val="both"/>
              <w:rPr>
                <w:rFonts w:eastAsia="宋体"/>
                <w:sz w:val="20"/>
                <w:szCs w:val="20"/>
              </w:rPr>
            </w:pPr>
            <w:r>
              <w:rPr>
                <w:sz w:val="20"/>
                <w:szCs w:val="20"/>
              </w:rPr>
              <w:t>Note: OGTT refers to oral glucose tolerance test; HbA1c refers to glycosylated hemoglobin. Typical symptoms of diabetes include polydipsia, polyuria, polyphagia, and unexplained weight loss; random blood glucose refers to blood glucose at any time of the day, regardless of the time of the last meal, and cannot be used to diagnose impaired fasting glucose or impaired glucose tolerance; fasting condition refers to no calories intake for at least 8 h.</w:t>
            </w:r>
          </w:p>
        </w:tc>
      </w:tr>
    </w:tbl>
    <w:p w14:paraId="4F99224E">
      <w:pPr>
        <w:pStyle w:val="2"/>
        <w:overflowPunct w:val="0"/>
        <w:autoSpaceDE w:val="0"/>
        <w:autoSpaceDN w:val="0"/>
        <w:adjustRightInd w:val="0"/>
        <w:snapToGrid w:val="0"/>
        <w:spacing w:before="120" w:beforeLines="50" w:afterLines="50" w:line="300" w:lineRule="auto"/>
        <w:jc w:val="both"/>
        <w:rPr>
          <w:rFonts w:eastAsia="宋体"/>
          <w:lang w:eastAsia="zh-CN"/>
        </w:rPr>
      </w:pPr>
    </w:p>
    <w:p w14:paraId="40C5FD5A">
      <w:pPr>
        <w:pStyle w:val="2"/>
        <w:overflowPunct w:val="0"/>
        <w:autoSpaceDE w:val="0"/>
        <w:autoSpaceDN w:val="0"/>
        <w:adjustRightInd w:val="0"/>
        <w:snapToGrid w:val="0"/>
        <w:spacing w:before="120" w:beforeLines="50" w:afterLines="50" w:line="300" w:lineRule="auto"/>
        <w:rPr>
          <w:rFonts w:eastAsia="宋体"/>
        </w:rPr>
      </w:pPr>
      <w:r>
        <w:t>Reference: Chinese Diabetes Society, Chinese Medical Association. Guideline for the Prevention and Treatment of Type 2 Diabetes Mellitus in China (2020 Edition) [J]. Chinese Journal of Diabetes Mellitus, 2021, 13(4): 315-409.</w:t>
      </w:r>
    </w:p>
    <w:p w14:paraId="735109D7">
      <w:pPr>
        <w:pStyle w:val="2"/>
        <w:overflowPunct w:val="0"/>
        <w:autoSpaceDE w:val="0"/>
        <w:autoSpaceDN w:val="0"/>
        <w:adjustRightInd w:val="0"/>
        <w:snapToGrid w:val="0"/>
        <w:spacing w:before="120" w:beforeLines="50" w:afterLines="50" w:line="300" w:lineRule="auto"/>
        <w:ind w:firstLine="480" w:firstLineChars="200"/>
        <w:jc w:val="both"/>
        <w:rPr>
          <w:rFonts w:eastAsia="宋体"/>
          <w:lang w:eastAsia="zh-CN"/>
        </w:rPr>
        <w:sectPr>
          <w:endnotePr>
            <w:numFmt w:val="decimal"/>
          </w:endnotePr>
          <w:pgSz w:w="12240" w:h="15840"/>
          <w:pgMar w:top="1440" w:right="1440" w:bottom="1440" w:left="1440" w:header="720" w:footer="720" w:gutter="0"/>
          <w:cols w:space="0" w:num="1"/>
          <w:titlePg/>
          <w:docGrid w:linePitch="326" w:charSpace="0"/>
        </w:sectPr>
      </w:pPr>
    </w:p>
    <w:p w14:paraId="31BA24F1">
      <w:pPr>
        <w:pStyle w:val="196"/>
        <w:rPr>
          <w:rFonts w:eastAsia="宋体"/>
        </w:rPr>
      </w:pPr>
      <w:bookmarkStart w:id="559" w:name="F2"/>
      <w:bookmarkStart w:id="560" w:name="_Toc159596336"/>
      <w:r>
        <w:t xml:space="preserve">Appendix </w:t>
      </w:r>
      <w:bookmarkEnd w:id="552"/>
      <w:r>
        <w:t>2</w:t>
      </w:r>
      <w:bookmarkEnd w:id="559"/>
      <w:r>
        <w:t>: Hypoglycemia Grading</w:t>
      </w:r>
      <w:bookmarkEnd w:id="560"/>
    </w:p>
    <w:p w14:paraId="4D27EC85">
      <w:pPr>
        <w:pStyle w:val="58"/>
        <w:overflowPunct w:val="0"/>
        <w:autoSpaceDE w:val="0"/>
        <w:autoSpaceDN w:val="0"/>
        <w:adjustRightInd w:val="0"/>
        <w:snapToGrid w:val="0"/>
        <w:spacing w:before="120" w:beforeLines="50" w:after="120" w:afterLines="50" w:line="300" w:lineRule="auto"/>
        <w:ind w:firstLine="0"/>
        <w:jc w:val="left"/>
      </w:pPr>
      <w:r>
        <w:t>According to the "Guideline for the Prevention and Treatment of Type 2 Diabetes Mellitus in China (2020 Edition)",</w:t>
      </w:r>
      <w:bookmarkStart w:id="561" w:name="OLE_LINK30"/>
      <w:bookmarkStart w:id="562" w:name="OLE_LINK37"/>
      <w:r>
        <w:t xml:space="preserve"> the diagnostic criteria for hypoglycemia in non-diabetic patients </w:t>
      </w:r>
      <w:bookmarkEnd w:id="561"/>
      <w:bookmarkEnd w:id="562"/>
      <w:r>
        <w:t>are blood glucose &lt; 2.8 mmol/L, while the diagnostic criteria for hypoglycemia in diabetic patients receiving drug therapies are blood glucose &lt; 3.9 mmol/L.</w:t>
      </w:r>
    </w:p>
    <w:p w14:paraId="0FA98249">
      <w:pPr>
        <w:pStyle w:val="58"/>
        <w:overflowPunct w:val="0"/>
        <w:autoSpaceDE w:val="0"/>
        <w:autoSpaceDN w:val="0"/>
        <w:adjustRightInd w:val="0"/>
        <w:snapToGrid w:val="0"/>
        <w:spacing w:before="120" w:beforeLines="50" w:after="120" w:afterLines="50" w:line="300" w:lineRule="auto"/>
        <w:ind w:firstLine="0"/>
        <w:jc w:val="left"/>
      </w:pPr>
      <w:r>
        <w:t>Hypoglycemia grading:</w:t>
      </w:r>
    </w:p>
    <w:p w14:paraId="74F7E76F">
      <w:pPr>
        <w:pStyle w:val="78"/>
        <w:numPr>
          <w:ilvl w:val="0"/>
          <w:numId w:val="46"/>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Grade 1 hypoglycemia: blood glucose &lt; 3.9 mmol/L and ≥ 3.0 mmol/L;</w:t>
      </w:r>
    </w:p>
    <w:p w14:paraId="65768103">
      <w:pPr>
        <w:pStyle w:val="78"/>
        <w:numPr>
          <w:ilvl w:val="0"/>
          <w:numId w:val="46"/>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Grade 2 hypoglycemia: blood glucose &lt; 3.0 mmol/L;</w:t>
      </w:r>
    </w:p>
    <w:p w14:paraId="0E403B51">
      <w:pPr>
        <w:pStyle w:val="78"/>
        <w:numPr>
          <w:ilvl w:val="0"/>
          <w:numId w:val="46"/>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Grade 3 hypoglycemia: a serious event with no specific blood glucose limit, accompanied by changes in consciousness and (or) body, and requiring help from others.</w:t>
      </w:r>
    </w:p>
    <w:p w14:paraId="51304321">
      <w:pPr>
        <w:pStyle w:val="58"/>
        <w:overflowPunct w:val="0"/>
        <w:autoSpaceDE w:val="0"/>
        <w:autoSpaceDN w:val="0"/>
        <w:adjustRightInd w:val="0"/>
        <w:snapToGrid w:val="0"/>
        <w:spacing w:before="120" w:beforeLines="50" w:after="120" w:afterLines="50" w:line="300" w:lineRule="auto"/>
        <w:ind w:firstLine="0"/>
        <w:jc w:val="left"/>
      </w:pPr>
      <w:r>
        <w:t>The clinical manifestations of hypoglycemia are related to the blood glucose level and the rate of blood glucose decline, which may be manifested as sympathetic excitation (such as palpitation, anxiety, sweating, dizziness, shaking of hands, and feeling hungry) and central nervous symptoms (such as mental change, cognitive disorder, convulsion, and coma).</w:t>
      </w:r>
    </w:p>
    <w:p w14:paraId="78794263">
      <w:pPr>
        <w:pStyle w:val="2"/>
        <w:overflowPunct w:val="0"/>
        <w:autoSpaceDE w:val="0"/>
        <w:autoSpaceDN w:val="0"/>
        <w:adjustRightInd w:val="0"/>
        <w:snapToGrid w:val="0"/>
        <w:spacing w:before="120" w:beforeLines="50" w:afterLines="50" w:line="300" w:lineRule="auto"/>
        <w:rPr>
          <w:rFonts w:eastAsia="宋体"/>
          <w:lang w:val="zh-TW" w:eastAsia="zh-TW"/>
        </w:rPr>
      </w:pPr>
    </w:p>
    <w:p w14:paraId="438C2560">
      <w:pPr>
        <w:pStyle w:val="2"/>
        <w:overflowPunct w:val="0"/>
        <w:autoSpaceDE w:val="0"/>
        <w:autoSpaceDN w:val="0"/>
        <w:adjustRightInd w:val="0"/>
        <w:snapToGrid w:val="0"/>
        <w:spacing w:before="120" w:beforeLines="50" w:afterLines="50" w:line="300" w:lineRule="auto"/>
        <w:rPr>
          <w:rFonts w:eastAsia="宋体"/>
        </w:rPr>
      </w:pPr>
      <w:r>
        <w:t>Reference: Chinese Diabetes Society, Chinese Medical Association. Guideline for the Prevention and Treatment of Type 2 Diabetes Mellitus in China (2020 Edition) [J]. Chinese Journal of Diabetes Mellitus, 2021, 13(4): 315-409.</w:t>
      </w:r>
    </w:p>
    <w:p w14:paraId="519F1BBF">
      <w:pPr>
        <w:pStyle w:val="2"/>
        <w:overflowPunct w:val="0"/>
        <w:autoSpaceDE w:val="0"/>
        <w:autoSpaceDN w:val="0"/>
        <w:adjustRightInd w:val="0"/>
        <w:snapToGrid w:val="0"/>
        <w:spacing w:before="120" w:beforeLines="50" w:afterLines="50" w:line="300" w:lineRule="auto"/>
        <w:rPr>
          <w:rFonts w:eastAsia="宋体"/>
          <w:lang w:val="zh-TW" w:eastAsia="zh-TW"/>
        </w:rPr>
      </w:pPr>
    </w:p>
    <w:p w14:paraId="03DF7D2B">
      <w:pPr>
        <w:pStyle w:val="2"/>
        <w:overflowPunct w:val="0"/>
        <w:autoSpaceDE w:val="0"/>
        <w:autoSpaceDN w:val="0"/>
        <w:adjustRightInd w:val="0"/>
        <w:snapToGrid w:val="0"/>
        <w:spacing w:before="120" w:beforeLines="50" w:afterLines="50" w:line="300" w:lineRule="auto"/>
        <w:rPr>
          <w:rFonts w:eastAsia="宋体"/>
          <w:lang w:val="zh-TW" w:eastAsia="zh-TW"/>
        </w:rPr>
        <w:sectPr>
          <w:endnotePr>
            <w:numFmt w:val="decimal"/>
          </w:endnotePr>
          <w:pgSz w:w="12240" w:h="15840"/>
          <w:pgMar w:top="1440" w:right="1440" w:bottom="1440" w:left="1440" w:header="720" w:footer="720" w:gutter="0"/>
          <w:cols w:space="0" w:num="1"/>
          <w:titlePg/>
          <w:docGrid w:linePitch="326" w:charSpace="0"/>
        </w:sectPr>
      </w:pPr>
    </w:p>
    <w:p w14:paraId="19E7ADFE">
      <w:pPr>
        <w:pStyle w:val="196"/>
        <w:rPr>
          <w:rFonts w:eastAsia="宋体"/>
        </w:rPr>
      </w:pPr>
      <w:bookmarkStart w:id="563" w:name="F3"/>
      <w:bookmarkStart w:id="564" w:name="_Toc159596337"/>
      <w:r>
        <w:t>Appendix 3</w:t>
      </w:r>
      <w:bookmarkEnd w:id="563"/>
      <w:r>
        <w:t>: Columbia-Suicide Severity Rating Scale (C-SSRS)</w:t>
      </w:r>
      <w:bookmarkEnd w:id="564"/>
    </w:p>
    <w:p w14:paraId="500C3131">
      <w:pPr>
        <w:overflowPunct w:val="0"/>
        <w:autoSpaceDE w:val="0"/>
        <w:autoSpaceDN w:val="0"/>
        <w:adjustRightInd w:val="0"/>
        <w:snapToGrid w:val="0"/>
        <w:spacing w:before="120" w:beforeLines="50" w:after="120" w:afterLines="50" w:line="300" w:lineRule="auto"/>
        <w:jc w:val="center"/>
        <w:rPr>
          <w:rFonts w:eastAsia="宋体"/>
          <w:b/>
          <w:bCs/>
          <w:sz w:val="20"/>
          <w:szCs w:val="20"/>
        </w:rPr>
      </w:pPr>
      <w:r>
        <w:rPr>
          <w:b/>
          <w:bCs/>
          <w:sz w:val="20"/>
          <w:szCs w:val="20"/>
        </w:rPr>
        <w:t>Severity of Suicidal Ideation in C-SSRS</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57" w:type="dxa"/>
          <w:bottom w:w="28" w:type="dxa"/>
          <w:right w:w="57" w:type="dxa"/>
        </w:tblCellMar>
      </w:tblPr>
      <w:tblGrid>
        <w:gridCol w:w="9474"/>
      </w:tblGrid>
      <w:tr w14:paraId="6D738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5000" w:type="pct"/>
            <w:tcMar>
              <w:top w:w="28" w:type="dxa"/>
              <w:left w:w="57" w:type="dxa"/>
              <w:bottom w:w="28" w:type="dxa"/>
              <w:right w:w="57" w:type="dxa"/>
            </w:tcMar>
            <w:vAlign w:val="center"/>
          </w:tcPr>
          <w:p w14:paraId="3E97FA44">
            <w:pPr>
              <w:pStyle w:val="78"/>
              <w:numPr>
                <w:ilvl w:val="3"/>
                <w:numId w:val="47"/>
              </w:numPr>
              <w:overflowPunct w:val="0"/>
              <w:autoSpaceDE w:val="0"/>
              <w:autoSpaceDN w:val="0"/>
              <w:adjustRightInd w:val="0"/>
              <w:snapToGrid w:val="0"/>
              <w:ind w:left="382"/>
              <w:jc w:val="left"/>
              <w:rPr>
                <w:rFonts w:hAnsi="Times New Roman" w:eastAsia="宋体" w:cs="Times New Roman"/>
                <w:b/>
                <w:bCs/>
                <w:color w:val="auto"/>
                <w:sz w:val="20"/>
                <w:szCs w:val="20"/>
              </w:rPr>
            </w:pPr>
            <w:r>
              <w:rPr>
                <w:rFonts w:hAnsi="Times New Roman" w:cs="Times New Roman"/>
                <w:b/>
                <w:bCs/>
                <w:color w:val="auto"/>
                <w:sz w:val="20"/>
                <w:szCs w:val="20"/>
              </w:rPr>
              <w:t>Wish to be dead:</w:t>
            </w:r>
          </w:p>
          <w:p w14:paraId="5F4CAE7E">
            <w:pPr>
              <w:overflowPunct w:val="0"/>
              <w:autoSpaceDE w:val="0"/>
              <w:autoSpaceDN w:val="0"/>
              <w:adjustRightInd w:val="0"/>
              <w:snapToGrid w:val="0"/>
              <w:rPr>
                <w:rFonts w:eastAsia="宋体"/>
                <w:b/>
                <w:bCs/>
                <w:sz w:val="20"/>
                <w:szCs w:val="20"/>
              </w:rPr>
            </w:pPr>
            <w:r>
              <w:rPr>
                <w:sz w:val="20"/>
                <w:szCs w:val="20"/>
              </w:rPr>
              <w:t>Have you wished you were dead or wished you could go to sleep and not wake up?</w:t>
            </w:r>
          </w:p>
        </w:tc>
      </w:tr>
      <w:tr w14:paraId="160FC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5000" w:type="pct"/>
            <w:tcMar>
              <w:top w:w="28" w:type="dxa"/>
              <w:left w:w="57" w:type="dxa"/>
              <w:bottom w:w="28" w:type="dxa"/>
              <w:right w:w="57" w:type="dxa"/>
            </w:tcMar>
            <w:vAlign w:val="center"/>
          </w:tcPr>
          <w:p w14:paraId="0549CF6B">
            <w:pPr>
              <w:pStyle w:val="78"/>
              <w:numPr>
                <w:ilvl w:val="3"/>
                <w:numId w:val="47"/>
              </w:numPr>
              <w:overflowPunct w:val="0"/>
              <w:autoSpaceDE w:val="0"/>
              <w:autoSpaceDN w:val="0"/>
              <w:adjustRightInd w:val="0"/>
              <w:snapToGrid w:val="0"/>
              <w:ind w:left="382"/>
              <w:jc w:val="left"/>
              <w:rPr>
                <w:rFonts w:hAnsi="Times New Roman" w:eastAsia="宋体" w:cs="Times New Roman"/>
                <w:b/>
                <w:bCs/>
                <w:color w:val="auto"/>
                <w:sz w:val="20"/>
                <w:szCs w:val="20"/>
              </w:rPr>
            </w:pPr>
            <w:r>
              <w:rPr>
                <w:rFonts w:hAnsi="Times New Roman" w:cs="Times New Roman"/>
                <w:b/>
                <w:bCs/>
                <w:color w:val="auto"/>
                <w:sz w:val="20"/>
                <w:szCs w:val="20"/>
              </w:rPr>
              <w:t>Non-specific active suicidal thoughts:</w:t>
            </w:r>
          </w:p>
          <w:p w14:paraId="34EBB2C3">
            <w:pPr>
              <w:overflowPunct w:val="0"/>
              <w:autoSpaceDE w:val="0"/>
              <w:autoSpaceDN w:val="0"/>
              <w:adjustRightInd w:val="0"/>
              <w:snapToGrid w:val="0"/>
              <w:rPr>
                <w:rFonts w:eastAsia="宋体"/>
                <w:sz w:val="20"/>
                <w:szCs w:val="20"/>
              </w:rPr>
            </w:pPr>
            <w:r>
              <w:rPr>
                <w:sz w:val="20"/>
                <w:szCs w:val="20"/>
              </w:rPr>
              <w:t>Have you actually had any thoughts of killing yourself?</w:t>
            </w:r>
          </w:p>
        </w:tc>
      </w:tr>
      <w:tr w14:paraId="65E18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5000" w:type="pct"/>
            <w:tcMar>
              <w:top w:w="28" w:type="dxa"/>
              <w:left w:w="57" w:type="dxa"/>
              <w:bottom w:w="28" w:type="dxa"/>
              <w:right w:w="57" w:type="dxa"/>
            </w:tcMar>
            <w:vAlign w:val="center"/>
          </w:tcPr>
          <w:p w14:paraId="105355F3">
            <w:pPr>
              <w:pStyle w:val="78"/>
              <w:numPr>
                <w:ilvl w:val="3"/>
                <w:numId w:val="47"/>
              </w:numPr>
              <w:overflowPunct w:val="0"/>
              <w:autoSpaceDE w:val="0"/>
              <w:autoSpaceDN w:val="0"/>
              <w:adjustRightInd w:val="0"/>
              <w:snapToGrid w:val="0"/>
              <w:ind w:left="382"/>
              <w:jc w:val="left"/>
              <w:rPr>
                <w:rFonts w:hAnsi="Times New Roman" w:eastAsia="宋体" w:cs="Times New Roman"/>
                <w:b/>
                <w:bCs/>
                <w:color w:val="auto"/>
                <w:sz w:val="20"/>
                <w:szCs w:val="20"/>
              </w:rPr>
            </w:pPr>
            <w:r>
              <w:rPr>
                <w:rFonts w:hAnsi="Times New Roman" w:cs="Times New Roman"/>
                <w:b/>
                <w:bCs/>
                <w:color w:val="auto"/>
                <w:sz w:val="20"/>
                <w:szCs w:val="20"/>
              </w:rPr>
              <w:t>Active suicidal ideation with any methods (not plan) without intent to act:</w:t>
            </w:r>
          </w:p>
          <w:p w14:paraId="76F7F0C9">
            <w:pPr>
              <w:overflowPunct w:val="0"/>
              <w:autoSpaceDE w:val="0"/>
              <w:autoSpaceDN w:val="0"/>
              <w:adjustRightInd w:val="0"/>
              <w:snapToGrid w:val="0"/>
              <w:rPr>
                <w:rFonts w:eastAsia="宋体"/>
                <w:sz w:val="20"/>
                <w:szCs w:val="20"/>
              </w:rPr>
            </w:pPr>
            <w:r>
              <w:rPr>
                <w:sz w:val="20"/>
                <w:szCs w:val="20"/>
              </w:rPr>
              <w:t>Have you been thinking about how you might do this?</w:t>
            </w:r>
          </w:p>
        </w:tc>
      </w:tr>
      <w:tr w14:paraId="6C80B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5000" w:type="pct"/>
            <w:tcMar>
              <w:top w:w="28" w:type="dxa"/>
              <w:left w:w="57" w:type="dxa"/>
              <w:bottom w:w="28" w:type="dxa"/>
              <w:right w:w="57" w:type="dxa"/>
            </w:tcMar>
            <w:vAlign w:val="center"/>
          </w:tcPr>
          <w:p w14:paraId="1928ED20">
            <w:pPr>
              <w:pStyle w:val="78"/>
              <w:numPr>
                <w:ilvl w:val="3"/>
                <w:numId w:val="47"/>
              </w:numPr>
              <w:overflowPunct w:val="0"/>
              <w:autoSpaceDE w:val="0"/>
              <w:autoSpaceDN w:val="0"/>
              <w:adjustRightInd w:val="0"/>
              <w:snapToGrid w:val="0"/>
              <w:ind w:left="382"/>
              <w:jc w:val="left"/>
              <w:rPr>
                <w:rFonts w:hAnsi="Times New Roman" w:eastAsia="宋体" w:cs="Times New Roman"/>
                <w:b/>
                <w:bCs/>
                <w:color w:val="auto"/>
                <w:sz w:val="20"/>
                <w:szCs w:val="20"/>
              </w:rPr>
            </w:pPr>
            <w:r>
              <w:rPr>
                <w:rFonts w:hAnsi="Times New Roman" w:cs="Times New Roman"/>
                <w:b/>
                <w:bCs/>
                <w:color w:val="auto"/>
                <w:sz w:val="20"/>
                <w:szCs w:val="20"/>
              </w:rPr>
              <w:t>Active suicidal ideation with some intent to act, without specific plan:</w:t>
            </w:r>
          </w:p>
          <w:p w14:paraId="181F86F1">
            <w:pPr>
              <w:overflowPunct w:val="0"/>
              <w:autoSpaceDE w:val="0"/>
              <w:autoSpaceDN w:val="0"/>
              <w:adjustRightInd w:val="0"/>
              <w:snapToGrid w:val="0"/>
              <w:rPr>
                <w:rFonts w:eastAsia="宋体"/>
                <w:sz w:val="20"/>
                <w:szCs w:val="20"/>
              </w:rPr>
            </w:pPr>
            <w:r>
              <w:rPr>
                <w:sz w:val="20"/>
                <w:szCs w:val="20"/>
              </w:rPr>
              <w:t>Have you had these thoughts and had some intention of acting on them?</w:t>
            </w:r>
          </w:p>
        </w:tc>
      </w:tr>
      <w:tr w14:paraId="0A2D2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5000" w:type="pct"/>
            <w:tcMar>
              <w:top w:w="28" w:type="dxa"/>
              <w:left w:w="57" w:type="dxa"/>
              <w:bottom w:w="28" w:type="dxa"/>
              <w:right w:w="57" w:type="dxa"/>
            </w:tcMar>
            <w:vAlign w:val="center"/>
          </w:tcPr>
          <w:p w14:paraId="1B6463D1">
            <w:pPr>
              <w:pStyle w:val="78"/>
              <w:numPr>
                <w:ilvl w:val="3"/>
                <w:numId w:val="47"/>
              </w:numPr>
              <w:overflowPunct w:val="0"/>
              <w:autoSpaceDE w:val="0"/>
              <w:autoSpaceDN w:val="0"/>
              <w:adjustRightInd w:val="0"/>
              <w:snapToGrid w:val="0"/>
              <w:ind w:left="382"/>
              <w:jc w:val="left"/>
              <w:rPr>
                <w:rFonts w:hAnsi="Times New Roman" w:eastAsia="宋体" w:cs="Times New Roman"/>
                <w:b/>
                <w:bCs/>
                <w:color w:val="auto"/>
                <w:sz w:val="20"/>
                <w:szCs w:val="20"/>
              </w:rPr>
            </w:pPr>
            <w:r>
              <w:rPr>
                <w:rFonts w:hAnsi="Times New Roman" w:cs="Times New Roman"/>
                <w:b/>
                <w:bCs/>
                <w:color w:val="auto"/>
                <w:sz w:val="20"/>
                <w:szCs w:val="20"/>
              </w:rPr>
              <w:t>Active suicidal ideation with specific plan and intent:</w:t>
            </w:r>
          </w:p>
          <w:p w14:paraId="79C2F118">
            <w:pPr>
              <w:overflowPunct w:val="0"/>
              <w:autoSpaceDE w:val="0"/>
              <w:autoSpaceDN w:val="0"/>
              <w:adjustRightInd w:val="0"/>
              <w:snapToGrid w:val="0"/>
              <w:rPr>
                <w:rFonts w:eastAsia="宋体"/>
                <w:sz w:val="20"/>
                <w:szCs w:val="20"/>
              </w:rPr>
            </w:pPr>
            <w:r>
              <w:rPr>
                <w:sz w:val="20"/>
                <w:szCs w:val="20"/>
              </w:rPr>
              <w:t>Have you started to work out or worked out the details of how to kill yourself? Do you intend to carry out this plan?</w:t>
            </w:r>
          </w:p>
        </w:tc>
      </w:tr>
    </w:tbl>
    <w:p w14:paraId="2C50C2FB">
      <w:pPr>
        <w:overflowPunct w:val="0"/>
        <w:autoSpaceDE w:val="0"/>
        <w:autoSpaceDN w:val="0"/>
        <w:adjustRightInd w:val="0"/>
        <w:snapToGrid w:val="0"/>
        <w:spacing w:before="120" w:beforeLines="50" w:after="120" w:afterLines="50" w:line="300" w:lineRule="auto"/>
        <w:rPr>
          <w:rFonts w:eastAsia="宋体"/>
          <w:lang w:eastAsia="zh-CN"/>
        </w:rPr>
      </w:pPr>
    </w:p>
    <w:p w14:paraId="24F094EE">
      <w:pPr>
        <w:pStyle w:val="196"/>
        <w:rPr>
          <w:rFonts w:eastAsia="宋体"/>
        </w:rPr>
      </w:pPr>
      <w:bookmarkStart w:id="565" w:name="F4"/>
      <w:bookmarkStart w:id="566" w:name="_Toc159596338"/>
      <w:r>
        <w:t>Appendix 4</w:t>
      </w:r>
      <w:bookmarkEnd w:id="565"/>
      <w:r>
        <w:t>: Patient Health Questionnaire-9 [PHQ-9]</w:t>
      </w:r>
      <w:bookmarkEnd w:id="566"/>
    </w:p>
    <w:p w14:paraId="3B0B3321">
      <w:pPr>
        <w:overflowPunct w:val="0"/>
        <w:autoSpaceDE w:val="0"/>
        <w:autoSpaceDN w:val="0"/>
        <w:adjustRightInd w:val="0"/>
        <w:snapToGrid w:val="0"/>
        <w:spacing w:before="120" w:beforeLines="50" w:after="120" w:afterLines="50" w:line="300" w:lineRule="auto"/>
        <w:jc w:val="center"/>
        <w:rPr>
          <w:rFonts w:eastAsia="宋体"/>
          <w:sz w:val="20"/>
          <w:szCs w:val="20"/>
        </w:rPr>
      </w:pPr>
      <w:r>
        <w:rPr>
          <w:sz w:val="20"/>
          <w:szCs w:val="20"/>
        </w:rPr>
        <w:t>Patient Health Questionnaire-9 (PHQ-9)</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57" w:type="dxa"/>
          <w:bottom w:w="28" w:type="dxa"/>
          <w:right w:w="57" w:type="dxa"/>
        </w:tblCellMar>
      </w:tblPr>
      <w:tblGrid>
        <w:gridCol w:w="5777"/>
        <w:gridCol w:w="891"/>
        <w:gridCol w:w="891"/>
        <w:gridCol w:w="947"/>
        <w:gridCol w:w="968"/>
      </w:tblGrid>
      <w:tr w14:paraId="671DC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49" w:type="pct"/>
            <w:tcMar>
              <w:top w:w="28" w:type="dxa"/>
              <w:left w:w="57" w:type="dxa"/>
              <w:bottom w:w="28" w:type="dxa"/>
              <w:right w:w="57" w:type="dxa"/>
            </w:tcMar>
          </w:tcPr>
          <w:p w14:paraId="44E41622">
            <w:pPr>
              <w:overflowPunct w:val="0"/>
              <w:autoSpaceDE w:val="0"/>
              <w:autoSpaceDN w:val="0"/>
              <w:adjustRightInd w:val="0"/>
              <w:snapToGrid w:val="0"/>
              <w:rPr>
                <w:rFonts w:eastAsia="宋体"/>
                <w:b/>
                <w:bCs/>
                <w:sz w:val="20"/>
                <w:szCs w:val="20"/>
              </w:rPr>
            </w:pPr>
            <w:r>
              <w:rPr>
                <w:b/>
                <w:bCs/>
                <w:sz w:val="20"/>
                <w:szCs w:val="20"/>
              </w:rPr>
              <w:t>Over the last 2 weeks, how often have you been bothered by any of the following problems?</w:t>
            </w:r>
          </w:p>
        </w:tc>
        <w:tc>
          <w:tcPr>
            <w:tcW w:w="470" w:type="pct"/>
            <w:tcMar>
              <w:top w:w="28" w:type="dxa"/>
              <w:left w:w="57" w:type="dxa"/>
              <w:bottom w:w="28" w:type="dxa"/>
              <w:right w:w="57" w:type="dxa"/>
            </w:tcMar>
          </w:tcPr>
          <w:p w14:paraId="7D320026">
            <w:pPr>
              <w:overflowPunct w:val="0"/>
              <w:autoSpaceDE w:val="0"/>
              <w:autoSpaceDN w:val="0"/>
              <w:adjustRightInd w:val="0"/>
              <w:snapToGrid w:val="0"/>
              <w:jc w:val="center"/>
              <w:rPr>
                <w:rFonts w:eastAsia="宋体"/>
                <w:b/>
                <w:bCs/>
                <w:sz w:val="20"/>
                <w:szCs w:val="20"/>
              </w:rPr>
            </w:pPr>
            <w:r>
              <w:rPr>
                <w:b/>
                <w:bCs/>
                <w:sz w:val="20"/>
                <w:szCs w:val="20"/>
              </w:rPr>
              <w:t>Not at all</w:t>
            </w:r>
          </w:p>
        </w:tc>
        <w:tc>
          <w:tcPr>
            <w:tcW w:w="470" w:type="pct"/>
            <w:tcMar>
              <w:top w:w="28" w:type="dxa"/>
              <w:left w:w="57" w:type="dxa"/>
              <w:bottom w:w="28" w:type="dxa"/>
              <w:right w:w="57" w:type="dxa"/>
            </w:tcMar>
          </w:tcPr>
          <w:p w14:paraId="023C9DEE">
            <w:pPr>
              <w:overflowPunct w:val="0"/>
              <w:autoSpaceDE w:val="0"/>
              <w:autoSpaceDN w:val="0"/>
              <w:adjustRightInd w:val="0"/>
              <w:snapToGrid w:val="0"/>
              <w:jc w:val="center"/>
              <w:rPr>
                <w:rFonts w:eastAsia="宋体"/>
                <w:b/>
                <w:bCs/>
                <w:sz w:val="20"/>
                <w:szCs w:val="20"/>
              </w:rPr>
            </w:pPr>
            <w:r>
              <w:rPr>
                <w:b/>
                <w:bCs/>
                <w:sz w:val="20"/>
                <w:szCs w:val="20"/>
              </w:rPr>
              <w:t>Several days</w:t>
            </w:r>
          </w:p>
        </w:tc>
        <w:tc>
          <w:tcPr>
            <w:tcW w:w="500" w:type="pct"/>
            <w:tcMar>
              <w:top w:w="28" w:type="dxa"/>
              <w:left w:w="57" w:type="dxa"/>
              <w:bottom w:w="28" w:type="dxa"/>
              <w:right w:w="57" w:type="dxa"/>
            </w:tcMar>
          </w:tcPr>
          <w:p w14:paraId="6A836B21">
            <w:pPr>
              <w:overflowPunct w:val="0"/>
              <w:autoSpaceDE w:val="0"/>
              <w:autoSpaceDN w:val="0"/>
              <w:adjustRightInd w:val="0"/>
              <w:snapToGrid w:val="0"/>
              <w:jc w:val="center"/>
              <w:rPr>
                <w:rFonts w:eastAsia="宋体"/>
                <w:b/>
                <w:bCs/>
                <w:sz w:val="20"/>
                <w:szCs w:val="20"/>
              </w:rPr>
            </w:pPr>
            <w:r>
              <w:rPr>
                <w:b/>
                <w:bCs/>
                <w:sz w:val="20"/>
                <w:szCs w:val="20"/>
              </w:rPr>
              <w:t>More than half the days</w:t>
            </w:r>
          </w:p>
        </w:tc>
        <w:tc>
          <w:tcPr>
            <w:tcW w:w="511" w:type="pct"/>
            <w:tcMar>
              <w:top w:w="28" w:type="dxa"/>
              <w:left w:w="57" w:type="dxa"/>
              <w:bottom w:w="28" w:type="dxa"/>
              <w:right w:w="57" w:type="dxa"/>
            </w:tcMar>
          </w:tcPr>
          <w:p w14:paraId="4EB1CF9E">
            <w:pPr>
              <w:overflowPunct w:val="0"/>
              <w:autoSpaceDE w:val="0"/>
              <w:autoSpaceDN w:val="0"/>
              <w:adjustRightInd w:val="0"/>
              <w:snapToGrid w:val="0"/>
              <w:jc w:val="center"/>
              <w:rPr>
                <w:rFonts w:eastAsia="宋体"/>
                <w:b/>
                <w:bCs/>
                <w:sz w:val="20"/>
                <w:szCs w:val="20"/>
              </w:rPr>
            </w:pPr>
            <w:r>
              <w:rPr>
                <w:b/>
                <w:bCs/>
                <w:sz w:val="20"/>
                <w:szCs w:val="20"/>
              </w:rPr>
              <w:t>Nearly every day</w:t>
            </w:r>
          </w:p>
        </w:tc>
      </w:tr>
      <w:tr w14:paraId="47023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3049" w:type="pct"/>
            <w:tcMar>
              <w:top w:w="28" w:type="dxa"/>
              <w:left w:w="57" w:type="dxa"/>
              <w:bottom w:w="28" w:type="dxa"/>
              <w:right w:w="57" w:type="dxa"/>
            </w:tcMar>
            <w:vAlign w:val="center"/>
          </w:tcPr>
          <w:p w14:paraId="7BA601BB">
            <w:pPr>
              <w:overflowPunct w:val="0"/>
              <w:autoSpaceDE w:val="0"/>
              <w:autoSpaceDN w:val="0"/>
              <w:adjustRightInd w:val="0"/>
              <w:snapToGrid w:val="0"/>
              <w:rPr>
                <w:rFonts w:eastAsia="宋体"/>
                <w:sz w:val="20"/>
                <w:szCs w:val="20"/>
              </w:rPr>
            </w:pPr>
            <w:r>
              <w:rPr>
                <w:sz w:val="20"/>
                <w:szCs w:val="20"/>
              </w:rPr>
              <w:t>1. Little interest or pleasure in doing things</w:t>
            </w:r>
          </w:p>
        </w:tc>
        <w:tc>
          <w:tcPr>
            <w:tcW w:w="470" w:type="pct"/>
            <w:tcMar>
              <w:top w:w="28" w:type="dxa"/>
              <w:left w:w="57" w:type="dxa"/>
              <w:bottom w:w="28" w:type="dxa"/>
              <w:right w:w="57" w:type="dxa"/>
            </w:tcMar>
            <w:vAlign w:val="center"/>
          </w:tcPr>
          <w:p w14:paraId="2A9D5234">
            <w:pPr>
              <w:overflowPunct w:val="0"/>
              <w:autoSpaceDE w:val="0"/>
              <w:autoSpaceDN w:val="0"/>
              <w:adjustRightInd w:val="0"/>
              <w:snapToGrid w:val="0"/>
              <w:jc w:val="center"/>
              <w:rPr>
                <w:rFonts w:eastAsia="宋体"/>
                <w:sz w:val="20"/>
                <w:szCs w:val="20"/>
              </w:rPr>
            </w:pPr>
            <w:r>
              <w:rPr>
                <w:sz w:val="20"/>
                <w:szCs w:val="20"/>
              </w:rPr>
              <w:t>0</w:t>
            </w:r>
          </w:p>
        </w:tc>
        <w:tc>
          <w:tcPr>
            <w:tcW w:w="470" w:type="pct"/>
            <w:tcMar>
              <w:top w:w="28" w:type="dxa"/>
              <w:left w:w="57" w:type="dxa"/>
              <w:bottom w:w="28" w:type="dxa"/>
              <w:right w:w="57" w:type="dxa"/>
            </w:tcMar>
            <w:vAlign w:val="center"/>
          </w:tcPr>
          <w:p w14:paraId="706764B0">
            <w:pPr>
              <w:overflowPunct w:val="0"/>
              <w:autoSpaceDE w:val="0"/>
              <w:autoSpaceDN w:val="0"/>
              <w:adjustRightInd w:val="0"/>
              <w:snapToGrid w:val="0"/>
              <w:jc w:val="center"/>
              <w:rPr>
                <w:rFonts w:eastAsia="宋体"/>
                <w:sz w:val="20"/>
                <w:szCs w:val="20"/>
              </w:rPr>
            </w:pPr>
            <w:r>
              <w:rPr>
                <w:sz w:val="20"/>
                <w:szCs w:val="20"/>
              </w:rPr>
              <w:t>1</w:t>
            </w:r>
          </w:p>
        </w:tc>
        <w:tc>
          <w:tcPr>
            <w:tcW w:w="500" w:type="pct"/>
            <w:tcMar>
              <w:top w:w="28" w:type="dxa"/>
              <w:left w:w="57" w:type="dxa"/>
              <w:bottom w:w="28" w:type="dxa"/>
              <w:right w:w="57" w:type="dxa"/>
            </w:tcMar>
            <w:vAlign w:val="center"/>
          </w:tcPr>
          <w:p w14:paraId="498E9EEF">
            <w:pPr>
              <w:overflowPunct w:val="0"/>
              <w:autoSpaceDE w:val="0"/>
              <w:autoSpaceDN w:val="0"/>
              <w:adjustRightInd w:val="0"/>
              <w:snapToGrid w:val="0"/>
              <w:jc w:val="center"/>
              <w:rPr>
                <w:rFonts w:eastAsia="宋体"/>
                <w:sz w:val="20"/>
                <w:szCs w:val="20"/>
              </w:rPr>
            </w:pPr>
            <w:r>
              <w:rPr>
                <w:sz w:val="20"/>
                <w:szCs w:val="20"/>
              </w:rPr>
              <w:t>2</w:t>
            </w:r>
          </w:p>
        </w:tc>
        <w:tc>
          <w:tcPr>
            <w:tcW w:w="511" w:type="pct"/>
            <w:tcMar>
              <w:top w:w="28" w:type="dxa"/>
              <w:left w:w="57" w:type="dxa"/>
              <w:bottom w:w="28" w:type="dxa"/>
              <w:right w:w="57" w:type="dxa"/>
            </w:tcMar>
            <w:vAlign w:val="center"/>
          </w:tcPr>
          <w:p w14:paraId="7F741F58">
            <w:pPr>
              <w:overflowPunct w:val="0"/>
              <w:autoSpaceDE w:val="0"/>
              <w:autoSpaceDN w:val="0"/>
              <w:adjustRightInd w:val="0"/>
              <w:snapToGrid w:val="0"/>
              <w:jc w:val="center"/>
              <w:rPr>
                <w:rFonts w:eastAsia="宋体"/>
                <w:sz w:val="20"/>
                <w:szCs w:val="20"/>
              </w:rPr>
            </w:pPr>
            <w:r>
              <w:rPr>
                <w:sz w:val="20"/>
                <w:szCs w:val="20"/>
              </w:rPr>
              <w:t>3</w:t>
            </w:r>
          </w:p>
        </w:tc>
      </w:tr>
      <w:tr w14:paraId="6EE54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3049" w:type="pct"/>
            <w:tcMar>
              <w:top w:w="28" w:type="dxa"/>
              <w:left w:w="57" w:type="dxa"/>
              <w:bottom w:w="28" w:type="dxa"/>
              <w:right w:w="57" w:type="dxa"/>
            </w:tcMar>
            <w:vAlign w:val="center"/>
          </w:tcPr>
          <w:p w14:paraId="3B078668">
            <w:pPr>
              <w:overflowPunct w:val="0"/>
              <w:autoSpaceDE w:val="0"/>
              <w:autoSpaceDN w:val="0"/>
              <w:adjustRightInd w:val="0"/>
              <w:snapToGrid w:val="0"/>
              <w:rPr>
                <w:rFonts w:eastAsia="宋体"/>
                <w:sz w:val="20"/>
                <w:szCs w:val="20"/>
              </w:rPr>
            </w:pPr>
            <w:r>
              <w:rPr>
                <w:sz w:val="20"/>
                <w:szCs w:val="20"/>
              </w:rPr>
              <w:t>2. Feeling down, depressed, or hopeless</w:t>
            </w:r>
          </w:p>
        </w:tc>
        <w:tc>
          <w:tcPr>
            <w:tcW w:w="470" w:type="pct"/>
            <w:tcMar>
              <w:top w:w="28" w:type="dxa"/>
              <w:left w:w="57" w:type="dxa"/>
              <w:bottom w:w="28" w:type="dxa"/>
              <w:right w:w="57" w:type="dxa"/>
            </w:tcMar>
            <w:vAlign w:val="center"/>
          </w:tcPr>
          <w:p w14:paraId="2ABC0798">
            <w:pPr>
              <w:overflowPunct w:val="0"/>
              <w:autoSpaceDE w:val="0"/>
              <w:autoSpaceDN w:val="0"/>
              <w:adjustRightInd w:val="0"/>
              <w:snapToGrid w:val="0"/>
              <w:jc w:val="center"/>
              <w:rPr>
                <w:rFonts w:eastAsia="宋体"/>
                <w:sz w:val="20"/>
                <w:szCs w:val="20"/>
              </w:rPr>
            </w:pPr>
            <w:r>
              <w:rPr>
                <w:sz w:val="20"/>
                <w:szCs w:val="20"/>
              </w:rPr>
              <w:t>0</w:t>
            </w:r>
          </w:p>
        </w:tc>
        <w:tc>
          <w:tcPr>
            <w:tcW w:w="470" w:type="pct"/>
            <w:tcMar>
              <w:top w:w="28" w:type="dxa"/>
              <w:left w:w="57" w:type="dxa"/>
              <w:bottom w:w="28" w:type="dxa"/>
              <w:right w:w="57" w:type="dxa"/>
            </w:tcMar>
            <w:vAlign w:val="center"/>
          </w:tcPr>
          <w:p w14:paraId="0A7C1475">
            <w:pPr>
              <w:overflowPunct w:val="0"/>
              <w:autoSpaceDE w:val="0"/>
              <w:autoSpaceDN w:val="0"/>
              <w:adjustRightInd w:val="0"/>
              <w:snapToGrid w:val="0"/>
              <w:jc w:val="center"/>
              <w:rPr>
                <w:rFonts w:eastAsia="宋体"/>
                <w:sz w:val="20"/>
                <w:szCs w:val="20"/>
              </w:rPr>
            </w:pPr>
            <w:r>
              <w:rPr>
                <w:sz w:val="20"/>
                <w:szCs w:val="20"/>
              </w:rPr>
              <w:t>1</w:t>
            </w:r>
          </w:p>
        </w:tc>
        <w:tc>
          <w:tcPr>
            <w:tcW w:w="500" w:type="pct"/>
            <w:tcMar>
              <w:top w:w="28" w:type="dxa"/>
              <w:left w:w="57" w:type="dxa"/>
              <w:bottom w:w="28" w:type="dxa"/>
              <w:right w:w="57" w:type="dxa"/>
            </w:tcMar>
            <w:vAlign w:val="center"/>
          </w:tcPr>
          <w:p w14:paraId="552995DC">
            <w:pPr>
              <w:overflowPunct w:val="0"/>
              <w:autoSpaceDE w:val="0"/>
              <w:autoSpaceDN w:val="0"/>
              <w:adjustRightInd w:val="0"/>
              <w:snapToGrid w:val="0"/>
              <w:jc w:val="center"/>
              <w:rPr>
                <w:rFonts w:eastAsia="宋体"/>
                <w:sz w:val="20"/>
                <w:szCs w:val="20"/>
              </w:rPr>
            </w:pPr>
            <w:r>
              <w:rPr>
                <w:sz w:val="20"/>
                <w:szCs w:val="20"/>
              </w:rPr>
              <w:t>2</w:t>
            </w:r>
          </w:p>
        </w:tc>
        <w:tc>
          <w:tcPr>
            <w:tcW w:w="511" w:type="pct"/>
            <w:tcMar>
              <w:top w:w="28" w:type="dxa"/>
              <w:left w:w="57" w:type="dxa"/>
              <w:bottom w:w="28" w:type="dxa"/>
              <w:right w:w="57" w:type="dxa"/>
            </w:tcMar>
            <w:vAlign w:val="center"/>
          </w:tcPr>
          <w:p w14:paraId="3766EC18">
            <w:pPr>
              <w:overflowPunct w:val="0"/>
              <w:autoSpaceDE w:val="0"/>
              <w:autoSpaceDN w:val="0"/>
              <w:adjustRightInd w:val="0"/>
              <w:snapToGrid w:val="0"/>
              <w:jc w:val="center"/>
              <w:rPr>
                <w:rFonts w:eastAsia="宋体"/>
                <w:sz w:val="20"/>
                <w:szCs w:val="20"/>
              </w:rPr>
            </w:pPr>
            <w:r>
              <w:rPr>
                <w:sz w:val="20"/>
                <w:szCs w:val="20"/>
              </w:rPr>
              <w:t>3</w:t>
            </w:r>
          </w:p>
        </w:tc>
      </w:tr>
      <w:tr w14:paraId="2C4CF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3049" w:type="pct"/>
            <w:tcMar>
              <w:top w:w="28" w:type="dxa"/>
              <w:left w:w="57" w:type="dxa"/>
              <w:bottom w:w="28" w:type="dxa"/>
              <w:right w:w="57" w:type="dxa"/>
            </w:tcMar>
            <w:vAlign w:val="center"/>
          </w:tcPr>
          <w:p w14:paraId="6E096F5D">
            <w:pPr>
              <w:overflowPunct w:val="0"/>
              <w:autoSpaceDE w:val="0"/>
              <w:autoSpaceDN w:val="0"/>
              <w:adjustRightInd w:val="0"/>
              <w:snapToGrid w:val="0"/>
              <w:rPr>
                <w:rFonts w:eastAsia="宋体"/>
                <w:sz w:val="20"/>
                <w:szCs w:val="20"/>
              </w:rPr>
            </w:pPr>
            <w:r>
              <w:rPr>
                <w:sz w:val="20"/>
                <w:szCs w:val="20"/>
              </w:rPr>
              <w:t>3. Trouble falling or staying asleep, or sleeping too much</w:t>
            </w:r>
          </w:p>
        </w:tc>
        <w:tc>
          <w:tcPr>
            <w:tcW w:w="470" w:type="pct"/>
            <w:tcMar>
              <w:top w:w="28" w:type="dxa"/>
              <w:left w:w="57" w:type="dxa"/>
              <w:bottom w:w="28" w:type="dxa"/>
              <w:right w:w="57" w:type="dxa"/>
            </w:tcMar>
            <w:vAlign w:val="center"/>
          </w:tcPr>
          <w:p w14:paraId="7B022C0E">
            <w:pPr>
              <w:overflowPunct w:val="0"/>
              <w:autoSpaceDE w:val="0"/>
              <w:autoSpaceDN w:val="0"/>
              <w:adjustRightInd w:val="0"/>
              <w:snapToGrid w:val="0"/>
              <w:jc w:val="center"/>
              <w:rPr>
                <w:rFonts w:eastAsia="宋体"/>
                <w:sz w:val="20"/>
                <w:szCs w:val="20"/>
              </w:rPr>
            </w:pPr>
            <w:r>
              <w:rPr>
                <w:sz w:val="20"/>
                <w:szCs w:val="20"/>
              </w:rPr>
              <w:t>0</w:t>
            </w:r>
          </w:p>
        </w:tc>
        <w:tc>
          <w:tcPr>
            <w:tcW w:w="470" w:type="pct"/>
            <w:tcMar>
              <w:top w:w="28" w:type="dxa"/>
              <w:left w:w="57" w:type="dxa"/>
              <w:bottom w:w="28" w:type="dxa"/>
              <w:right w:w="57" w:type="dxa"/>
            </w:tcMar>
            <w:vAlign w:val="center"/>
          </w:tcPr>
          <w:p w14:paraId="1D611D3C">
            <w:pPr>
              <w:overflowPunct w:val="0"/>
              <w:autoSpaceDE w:val="0"/>
              <w:autoSpaceDN w:val="0"/>
              <w:adjustRightInd w:val="0"/>
              <w:snapToGrid w:val="0"/>
              <w:jc w:val="center"/>
              <w:rPr>
                <w:rFonts w:eastAsia="宋体"/>
                <w:sz w:val="20"/>
                <w:szCs w:val="20"/>
              </w:rPr>
            </w:pPr>
            <w:r>
              <w:rPr>
                <w:sz w:val="20"/>
                <w:szCs w:val="20"/>
              </w:rPr>
              <w:t>1</w:t>
            </w:r>
          </w:p>
        </w:tc>
        <w:tc>
          <w:tcPr>
            <w:tcW w:w="500" w:type="pct"/>
            <w:tcMar>
              <w:top w:w="28" w:type="dxa"/>
              <w:left w:w="57" w:type="dxa"/>
              <w:bottom w:w="28" w:type="dxa"/>
              <w:right w:w="57" w:type="dxa"/>
            </w:tcMar>
            <w:vAlign w:val="center"/>
          </w:tcPr>
          <w:p w14:paraId="31AB3BEC">
            <w:pPr>
              <w:overflowPunct w:val="0"/>
              <w:autoSpaceDE w:val="0"/>
              <w:autoSpaceDN w:val="0"/>
              <w:adjustRightInd w:val="0"/>
              <w:snapToGrid w:val="0"/>
              <w:jc w:val="center"/>
              <w:rPr>
                <w:rFonts w:eastAsia="宋体"/>
                <w:sz w:val="20"/>
                <w:szCs w:val="20"/>
              </w:rPr>
            </w:pPr>
            <w:r>
              <w:rPr>
                <w:sz w:val="20"/>
                <w:szCs w:val="20"/>
              </w:rPr>
              <w:t>2</w:t>
            </w:r>
          </w:p>
        </w:tc>
        <w:tc>
          <w:tcPr>
            <w:tcW w:w="511" w:type="pct"/>
            <w:tcMar>
              <w:top w:w="28" w:type="dxa"/>
              <w:left w:w="57" w:type="dxa"/>
              <w:bottom w:w="28" w:type="dxa"/>
              <w:right w:w="57" w:type="dxa"/>
            </w:tcMar>
            <w:vAlign w:val="center"/>
          </w:tcPr>
          <w:p w14:paraId="11269E42">
            <w:pPr>
              <w:overflowPunct w:val="0"/>
              <w:autoSpaceDE w:val="0"/>
              <w:autoSpaceDN w:val="0"/>
              <w:adjustRightInd w:val="0"/>
              <w:snapToGrid w:val="0"/>
              <w:jc w:val="center"/>
              <w:rPr>
                <w:rFonts w:eastAsia="宋体"/>
                <w:sz w:val="20"/>
                <w:szCs w:val="20"/>
              </w:rPr>
            </w:pPr>
            <w:r>
              <w:rPr>
                <w:sz w:val="20"/>
                <w:szCs w:val="20"/>
              </w:rPr>
              <w:t>3</w:t>
            </w:r>
          </w:p>
        </w:tc>
      </w:tr>
      <w:tr w14:paraId="46284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3049" w:type="pct"/>
            <w:tcMar>
              <w:top w:w="28" w:type="dxa"/>
              <w:left w:w="57" w:type="dxa"/>
              <w:bottom w:w="28" w:type="dxa"/>
              <w:right w:w="57" w:type="dxa"/>
            </w:tcMar>
            <w:vAlign w:val="center"/>
          </w:tcPr>
          <w:p w14:paraId="1F238DF7">
            <w:pPr>
              <w:overflowPunct w:val="0"/>
              <w:autoSpaceDE w:val="0"/>
              <w:autoSpaceDN w:val="0"/>
              <w:adjustRightInd w:val="0"/>
              <w:snapToGrid w:val="0"/>
              <w:rPr>
                <w:rFonts w:eastAsia="宋体"/>
                <w:sz w:val="20"/>
                <w:szCs w:val="20"/>
              </w:rPr>
            </w:pPr>
            <w:r>
              <w:rPr>
                <w:sz w:val="20"/>
                <w:szCs w:val="20"/>
              </w:rPr>
              <w:t>4. Feeling tired or having little energy</w:t>
            </w:r>
          </w:p>
        </w:tc>
        <w:tc>
          <w:tcPr>
            <w:tcW w:w="470" w:type="pct"/>
            <w:tcMar>
              <w:top w:w="28" w:type="dxa"/>
              <w:left w:w="57" w:type="dxa"/>
              <w:bottom w:w="28" w:type="dxa"/>
              <w:right w:w="57" w:type="dxa"/>
            </w:tcMar>
            <w:vAlign w:val="center"/>
          </w:tcPr>
          <w:p w14:paraId="320A0FC1">
            <w:pPr>
              <w:overflowPunct w:val="0"/>
              <w:autoSpaceDE w:val="0"/>
              <w:autoSpaceDN w:val="0"/>
              <w:adjustRightInd w:val="0"/>
              <w:snapToGrid w:val="0"/>
              <w:jc w:val="center"/>
              <w:rPr>
                <w:rFonts w:eastAsia="宋体"/>
                <w:sz w:val="20"/>
                <w:szCs w:val="20"/>
              </w:rPr>
            </w:pPr>
            <w:r>
              <w:rPr>
                <w:sz w:val="20"/>
                <w:szCs w:val="20"/>
              </w:rPr>
              <w:t>0</w:t>
            </w:r>
          </w:p>
        </w:tc>
        <w:tc>
          <w:tcPr>
            <w:tcW w:w="470" w:type="pct"/>
            <w:tcMar>
              <w:top w:w="28" w:type="dxa"/>
              <w:left w:w="57" w:type="dxa"/>
              <w:bottom w:w="28" w:type="dxa"/>
              <w:right w:w="57" w:type="dxa"/>
            </w:tcMar>
            <w:vAlign w:val="center"/>
          </w:tcPr>
          <w:p w14:paraId="470B1C7B">
            <w:pPr>
              <w:overflowPunct w:val="0"/>
              <w:autoSpaceDE w:val="0"/>
              <w:autoSpaceDN w:val="0"/>
              <w:adjustRightInd w:val="0"/>
              <w:snapToGrid w:val="0"/>
              <w:jc w:val="center"/>
              <w:rPr>
                <w:rFonts w:eastAsia="宋体"/>
                <w:sz w:val="20"/>
                <w:szCs w:val="20"/>
              </w:rPr>
            </w:pPr>
            <w:r>
              <w:rPr>
                <w:sz w:val="20"/>
                <w:szCs w:val="20"/>
              </w:rPr>
              <w:t>1</w:t>
            </w:r>
          </w:p>
        </w:tc>
        <w:tc>
          <w:tcPr>
            <w:tcW w:w="500" w:type="pct"/>
            <w:tcMar>
              <w:top w:w="28" w:type="dxa"/>
              <w:left w:w="57" w:type="dxa"/>
              <w:bottom w:w="28" w:type="dxa"/>
              <w:right w:w="57" w:type="dxa"/>
            </w:tcMar>
            <w:vAlign w:val="center"/>
          </w:tcPr>
          <w:p w14:paraId="10506B76">
            <w:pPr>
              <w:overflowPunct w:val="0"/>
              <w:autoSpaceDE w:val="0"/>
              <w:autoSpaceDN w:val="0"/>
              <w:adjustRightInd w:val="0"/>
              <w:snapToGrid w:val="0"/>
              <w:jc w:val="center"/>
              <w:rPr>
                <w:rFonts w:eastAsia="宋体"/>
                <w:sz w:val="20"/>
                <w:szCs w:val="20"/>
              </w:rPr>
            </w:pPr>
            <w:r>
              <w:rPr>
                <w:sz w:val="20"/>
                <w:szCs w:val="20"/>
              </w:rPr>
              <w:t>2</w:t>
            </w:r>
          </w:p>
        </w:tc>
        <w:tc>
          <w:tcPr>
            <w:tcW w:w="511" w:type="pct"/>
            <w:tcMar>
              <w:top w:w="28" w:type="dxa"/>
              <w:left w:w="57" w:type="dxa"/>
              <w:bottom w:w="28" w:type="dxa"/>
              <w:right w:w="57" w:type="dxa"/>
            </w:tcMar>
            <w:vAlign w:val="center"/>
          </w:tcPr>
          <w:p w14:paraId="783739FF">
            <w:pPr>
              <w:overflowPunct w:val="0"/>
              <w:autoSpaceDE w:val="0"/>
              <w:autoSpaceDN w:val="0"/>
              <w:adjustRightInd w:val="0"/>
              <w:snapToGrid w:val="0"/>
              <w:jc w:val="center"/>
              <w:rPr>
                <w:rFonts w:eastAsia="宋体"/>
                <w:sz w:val="20"/>
                <w:szCs w:val="20"/>
              </w:rPr>
            </w:pPr>
            <w:r>
              <w:rPr>
                <w:sz w:val="20"/>
                <w:szCs w:val="20"/>
              </w:rPr>
              <w:t>3</w:t>
            </w:r>
          </w:p>
        </w:tc>
      </w:tr>
      <w:tr w14:paraId="599DF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3049" w:type="pct"/>
            <w:tcMar>
              <w:top w:w="28" w:type="dxa"/>
              <w:left w:w="57" w:type="dxa"/>
              <w:bottom w:w="28" w:type="dxa"/>
              <w:right w:w="57" w:type="dxa"/>
            </w:tcMar>
            <w:vAlign w:val="center"/>
          </w:tcPr>
          <w:p w14:paraId="129F8E87">
            <w:pPr>
              <w:overflowPunct w:val="0"/>
              <w:autoSpaceDE w:val="0"/>
              <w:autoSpaceDN w:val="0"/>
              <w:adjustRightInd w:val="0"/>
              <w:snapToGrid w:val="0"/>
              <w:rPr>
                <w:rFonts w:eastAsia="宋体"/>
                <w:sz w:val="20"/>
                <w:szCs w:val="20"/>
              </w:rPr>
            </w:pPr>
            <w:r>
              <w:rPr>
                <w:sz w:val="20"/>
                <w:szCs w:val="20"/>
              </w:rPr>
              <w:t>5. Poor appetite or overeating</w:t>
            </w:r>
          </w:p>
        </w:tc>
        <w:tc>
          <w:tcPr>
            <w:tcW w:w="470" w:type="pct"/>
            <w:tcMar>
              <w:top w:w="28" w:type="dxa"/>
              <w:left w:w="57" w:type="dxa"/>
              <w:bottom w:w="28" w:type="dxa"/>
              <w:right w:w="57" w:type="dxa"/>
            </w:tcMar>
            <w:vAlign w:val="center"/>
          </w:tcPr>
          <w:p w14:paraId="0E2B7D41">
            <w:pPr>
              <w:overflowPunct w:val="0"/>
              <w:autoSpaceDE w:val="0"/>
              <w:autoSpaceDN w:val="0"/>
              <w:adjustRightInd w:val="0"/>
              <w:snapToGrid w:val="0"/>
              <w:jc w:val="center"/>
              <w:rPr>
                <w:rFonts w:eastAsia="宋体"/>
                <w:sz w:val="20"/>
                <w:szCs w:val="20"/>
              </w:rPr>
            </w:pPr>
            <w:r>
              <w:rPr>
                <w:sz w:val="20"/>
                <w:szCs w:val="20"/>
              </w:rPr>
              <w:t>0</w:t>
            </w:r>
          </w:p>
        </w:tc>
        <w:tc>
          <w:tcPr>
            <w:tcW w:w="470" w:type="pct"/>
            <w:tcMar>
              <w:top w:w="28" w:type="dxa"/>
              <w:left w:w="57" w:type="dxa"/>
              <w:bottom w:w="28" w:type="dxa"/>
              <w:right w:w="57" w:type="dxa"/>
            </w:tcMar>
            <w:vAlign w:val="center"/>
          </w:tcPr>
          <w:p w14:paraId="3570E089">
            <w:pPr>
              <w:overflowPunct w:val="0"/>
              <w:autoSpaceDE w:val="0"/>
              <w:autoSpaceDN w:val="0"/>
              <w:adjustRightInd w:val="0"/>
              <w:snapToGrid w:val="0"/>
              <w:jc w:val="center"/>
              <w:rPr>
                <w:rFonts w:eastAsia="宋体"/>
                <w:sz w:val="20"/>
                <w:szCs w:val="20"/>
              </w:rPr>
            </w:pPr>
            <w:r>
              <w:rPr>
                <w:sz w:val="20"/>
                <w:szCs w:val="20"/>
              </w:rPr>
              <w:t>1</w:t>
            </w:r>
          </w:p>
        </w:tc>
        <w:tc>
          <w:tcPr>
            <w:tcW w:w="500" w:type="pct"/>
            <w:tcMar>
              <w:top w:w="28" w:type="dxa"/>
              <w:left w:w="57" w:type="dxa"/>
              <w:bottom w:w="28" w:type="dxa"/>
              <w:right w:w="57" w:type="dxa"/>
            </w:tcMar>
            <w:vAlign w:val="center"/>
          </w:tcPr>
          <w:p w14:paraId="4662AAE8">
            <w:pPr>
              <w:overflowPunct w:val="0"/>
              <w:autoSpaceDE w:val="0"/>
              <w:autoSpaceDN w:val="0"/>
              <w:adjustRightInd w:val="0"/>
              <w:snapToGrid w:val="0"/>
              <w:jc w:val="center"/>
              <w:rPr>
                <w:rFonts w:eastAsia="宋体"/>
                <w:sz w:val="20"/>
                <w:szCs w:val="20"/>
              </w:rPr>
            </w:pPr>
            <w:r>
              <w:rPr>
                <w:sz w:val="20"/>
                <w:szCs w:val="20"/>
              </w:rPr>
              <w:t>2</w:t>
            </w:r>
          </w:p>
        </w:tc>
        <w:tc>
          <w:tcPr>
            <w:tcW w:w="511" w:type="pct"/>
            <w:tcMar>
              <w:top w:w="28" w:type="dxa"/>
              <w:left w:w="57" w:type="dxa"/>
              <w:bottom w:w="28" w:type="dxa"/>
              <w:right w:w="57" w:type="dxa"/>
            </w:tcMar>
            <w:vAlign w:val="center"/>
          </w:tcPr>
          <w:p w14:paraId="52435687">
            <w:pPr>
              <w:overflowPunct w:val="0"/>
              <w:autoSpaceDE w:val="0"/>
              <w:autoSpaceDN w:val="0"/>
              <w:adjustRightInd w:val="0"/>
              <w:snapToGrid w:val="0"/>
              <w:jc w:val="center"/>
              <w:rPr>
                <w:rFonts w:eastAsia="宋体"/>
                <w:sz w:val="20"/>
                <w:szCs w:val="20"/>
              </w:rPr>
            </w:pPr>
            <w:r>
              <w:rPr>
                <w:sz w:val="20"/>
                <w:szCs w:val="20"/>
              </w:rPr>
              <w:t>3</w:t>
            </w:r>
          </w:p>
        </w:tc>
      </w:tr>
      <w:tr w14:paraId="63670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3049" w:type="pct"/>
            <w:tcMar>
              <w:top w:w="28" w:type="dxa"/>
              <w:left w:w="57" w:type="dxa"/>
              <w:bottom w:w="28" w:type="dxa"/>
              <w:right w:w="57" w:type="dxa"/>
            </w:tcMar>
            <w:vAlign w:val="center"/>
          </w:tcPr>
          <w:p w14:paraId="1BFB3A54">
            <w:pPr>
              <w:overflowPunct w:val="0"/>
              <w:autoSpaceDE w:val="0"/>
              <w:autoSpaceDN w:val="0"/>
              <w:adjustRightInd w:val="0"/>
              <w:snapToGrid w:val="0"/>
              <w:rPr>
                <w:rFonts w:eastAsia="宋体"/>
                <w:sz w:val="20"/>
                <w:szCs w:val="20"/>
              </w:rPr>
            </w:pPr>
            <w:r>
              <w:rPr>
                <w:sz w:val="20"/>
                <w:szCs w:val="20"/>
              </w:rPr>
              <w:t>6. Feeling bad about yourself — or that you are a failure or have let yourself or your family down</w:t>
            </w:r>
          </w:p>
        </w:tc>
        <w:tc>
          <w:tcPr>
            <w:tcW w:w="470" w:type="pct"/>
            <w:tcMar>
              <w:top w:w="28" w:type="dxa"/>
              <w:left w:w="57" w:type="dxa"/>
              <w:bottom w:w="28" w:type="dxa"/>
              <w:right w:w="57" w:type="dxa"/>
            </w:tcMar>
            <w:vAlign w:val="center"/>
          </w:tcPr>
          <w:p w14:paraId="0FF971A6">
            <w:pPr>
              <w:overflowPunct w:val="0"/>
              <w:autoSpaceDE w:val="0"/>
              <w:autoSpaceDN w:val="0"/>
              <w:adjustRightInd w:val="0"/>
              <w:snapToGrid w:val="0"/>
              <w:jc w:val="center"/>
              <w:rPr>
                <w:rFonts w:eastAsia="宋体"/>
                <w:sz w:val="20"/>
                <w:szCs w:val="20"/>
              </w:rPr>
            </w:pPr>
            <w:r>
              <w:rPr>
                <w:sz w:val="20"/>
                <w:szCs w:val="20"/>
              </w:rPr>
              <w:t>0</w:t>
            </w:r>
          </w:p>
        </w:tc>
        <w:tc>
          <w:tcPr>
            <w:tcW w:w="470" w:type="pct"/>
            <w:tcMar>
              <w:top w:w="28" w:type="dxa"/>
              <w:left w:w="57" w:type="dxa"/>
              <w:bottom w:w="28" w:type="dxa"/>
              <w:right w:w="57" w:type="dxa"/>
            </w:tcMar>
            <w:vAlign w:val="center"/>
          </w:tcPr>
          <w:p w14:paraId="6F89AB91">
            <w:pPr>
              <w:overflowPunct w:val="0"/>
              <w:autoSpaceDE w:val="0"/>
              <w:autoSpaceDN w:val="0"/>
              <w:adjustRightInd w:val="0"/>
              <w:snapToGrid w:val="0"/>
              <w:jc w:val="center"/>
              <w:rPr>
                <w:rFonts w:eastAsia="宋体"/>
                <w:sz w:val="20"/>
                <w:szCs w:val="20"/>
              </w:rPr>
            </w:pPr>
            <w:r>
              <w:rPr>
                <w:sz w:val="20"/>
                <w:szCs w:val="20"/>
              </w:rPr>
              <w:t>1</w:t>
            </w:r>
          </w:p>
        </w:tc>
        <w:tc>
          <w:tcPr>
            <w:tcW w:w="500" w:type="pct"/>
            <w:tcMar>
              <w:top w:w="28" w:type="dxa"/>
              <w:left w:w="57" w:type="dxa"/>
              <w:bottom w:w="28" w:type="dxa"/>
              <w:right w:w="57" w:type="dxa"/>
            </w:tcMar>
            <w:vAlign w:val="center"/>
          </w:tcPr>
          <w:p w14:paraId="0F87D7B5">
            <w:pPr>
              <w:overflowPunct w:val="0"/>
              <w:autoSpaceDE w:val="0"/>
              <w:autoSpaceDN w:val="0"/>
              <w:adjustRightInd w:val="0"/>
              <w:snapToGrid w:val="0"/>
              <w:jc w:val="center"/>
              <w:rPr>
                <w:rFonts w:eastAsia="宋体"/>
                <w:sz w:val="20"/>
                <w:szCs w:val="20"/>
              </w:rPr>
            </w:pPr>
            <w:r>
              <w:rPr>
                <w:sz w:val="20"/>
                <w:szCs w:val="20"/>
              </w:rPr>
              <w:t>2</w:t>
            </w:r>
          </w:p>
        </w:tc>
        <w:tc>
          <w:tcPr>
            <w:tcW w:w="511" w:type="pct"/>
            <w:tcMar>
              <w:top w:w="28" w:type="dxa"/>
              <w:left w:w="57" w:type="dxa"/>
              <w:bottom w:w="28" w:type="dxa"/>
              <w:right w:w="57" w:type="dxa"/>
            </w:tcMar>
            <w:vAlign w:val="center"/>
          </w:tcPr>
          <w:p w14:paraId="696B024F">
            <w:pPr>
              <w:overflowPunct w:val="0"/>
              <w:autoSpaceDE w:val="0"/>
              <w:autoSpaceDN w:val="0"/>
              <w:adjustRightInd w:val="0"/>
              <w:snapToGrid w:val="0"/>
              <w:jc w:val="center"/>
              <w:rPr>
                <w:rFonts w:eastAsia="宋体"/>
                <w:sz w:val="20"/>
                <w:szCs w:val="20"/>
              </w:rPr>
            </w:pPr>
            <w:r>
              <w:rPr>
                <w:sz w:val="20"/>
                <w:szCs w:val="20"/>
              </w:rPr>
              <w:t>3</w:t>
            </w:r>
          </w:p>
        </w:tc>
      </w:tr>
      <w:tr w14:paraId="2F31C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3049" w:type="pct"/>
            <w:tcMar>
              <w:top w:w="28" w:type="dxa"/>
              <w:left w:w="57" w:type="dxa"/>
              <w:bottom w:w="28" w:type="dxa"/>
              <w:right w:w="57" w:type="dxa"/>
            </w:tcMar>
            <w:vAlign w:val="center"/>
          </w:tcPr>
          <w:p w14:paraId="01E6F119">
            <w:pPr>
              <w:overflowPunct w:val="0"/>
              <w:autoSpaceDE w:val="0"/>
              <w:autoSpaceDN w:val="0"/>
              <w:adjustRightInd w:val="0"/>
              <w:snapToGrid w:val="0"/>
              <w:rPr>
                <w:rFonts w:eastAsia="宋体"/>
                <w:sz w:val="20"/>
                <w:szCs w:val="20"/>
              </w:rPr>
            </w:pPr>
            <w:r>
              <w:rPr>
                <w:sz w:val="20"/>
                <w:szCs w:val="20"/>
              </w:rPr>
              <w:t>7. Trouble concentrating on things, such as reading the newspaper or watching television</w:t>
            </w:r>
          </w:p>
        </w:tc>
        <w:tc>
          <w:tcPr>
            <w:tcW w:w="470" w:type="pct"/>
            <w:tcMar>
              <w:top w:w="28" w:type="dxa"/>
              <w:left w:w="57" w:type="dxa"/>
              <w:bottom w:w="28" w:type="dxa"/>
              <w:right w:w="57" w:type="dxa"/>
            </w:tcMar>
            <w:vAlign w:val="center"/>
          </w:tcPr>
          <w:p w14:paraId="13BC00C2">
            <w:pPr>
              <w:overflowPunct w:val="0"/>
              <w:autoSpaceDE w:val="0"/>
              <w:autoSpaceDN w:val="0"/>
              <w:adjustRightInd w:val="0"/>
              <w:snapToGrid w:val="0"/>
              <w:jc w:val="center"/>
              <w:rPr>
                <w:rFonts w:eastAsia="宋体"/>
                <w:sz w:val="20"/>
                <w:szCs w:val="20"/>
              </w:rPr>
            </w:pPr>
            <w:r>
              <w:rPr>
                <w:sz w:val="20"/>
                <w:szCs w:val="20"/>
              </w:rPr>
              <w:t>0</w:t>
            </w:r>
          </w:p>
        </w:tc>
        <w:tc>
          <w:tcPr>
            <w:tcW w:w="470" w:type="pct"/>
            <w:tcMar>
              <w:top w:w="28" w:type="dxa"/>
              <w:left w:w="57" w:type="dxa"/>
              <w:bottom w:w="28" w:type="dxa"/>
              <w:right w:w="57" w:type="dxa"/>
            </w:tcMar>
            <w:vAlign w:val="center"/>
          </w:tcPr>
          <w:p w14:paraId="2E75E08E">
            <w:pPr>
              <w:overflowPunct w:val="0"/>
              <w:autoSpaceDE w:val="0"/>
              <w:autoSpaceDN w:val="0"/>
              <w:adjustRightInd w:val="0"/>
              <w:snapToGrid w:val="0"/>
              <w:jc w:val="center"/>
              <w:rPr>
                <w:rFonts w:eastAsia="宋体"/>
                <w:sz w:val="20"/>
                <w:szCs w:val="20"/>
              </w:rPr>
            </w:pPr>
            <w:r>
              <w:rPr>
                <w:sz w:val="20"/>
                <w:szCs w:val="20"/>
              </w:rPr>
              <w:t>1</w:t>
            </w:r>
          </w:p>
        </w:tc>
        <w:tc>
          <w:tcPr>
            <w:tcW w:w="500" w:type="pct"/>
            <w:tcMar>
              <w:top w:w="28" w:type="dxa"/>
              <w:left w:w="57" w:type="dxa"/>
              <w:bottom w:w="28" w:type="dxa"/>
              <w:right w:w="57" w:type="dxa"/>
            </w:tcMar>
            <w:vAlign w:val="center"/>
          </w:tcPr>
          <w:p w14:paraId="7B347C67">
            <w:pPr>
              <w:overflowPunct w:val="0"/>
              <w:autoSpaceDE w:val="0"/>
              <w:autoSpaceDN w:val="0"/>
              <w:adjustRightInd w:val="0"/>
              <w:snapToGrid w:val="0"/>
              <w:jc w:val="center"/>
              <w:rPr>
                <w:rFonts w:eastAsia="宋体"/>
                <w:sz w:val="20"/>
                <w:szCs w:val="20"/>
              </w:rPr>
            </w:pPr>
            <w:r>
              <w:rPr>
                <w:sz w:val="20"/>
                <w:szCs w:val="20"/>
              </w:rPr>
              <w:t>2</w:t>
            </w:r>
          </w:p>
        </w:tc>
        <w:tc>
          <w:tcPr>
            <w:tcW w:w="511" w:type="pct"/>
            <w:tcMar>
              <w:top w:w="28" w:type="dxa"/>
              <w:left w:w="57" w:type="dxa"/>
              <w:bottom w:w="28" w:type="dxa"/>
              <w:right w:w="57" w:type="dxa"/>
            </w:tcMar>
            <w:vAlign w:val="center"/>
          </w:tcPr>
          <w:p w14:paraId="27956CF0">
            <w:pPr>
              <w:overflowPunct w:val="0"/>
              <w:autoSpaceDE w:val="0"/>
              <w:autoSpaceDN w:val="0"/>
              <w:adjustRightInd w:val="0"/>
              <w:snapToGrid w:val="0"/>
              <w:jc w:val="center"/>
              <w:rPr>
                <w:rFonts w:eastAsia="宋体"/>
                <w:sz w:val="20"/>
                <w:szCs w:val="20"/>
              </w:rPr>
            </w:pPr>
            <w:r>
              <w:rPr>
                <w:sz w:val="20"/>
                <w:szCs w:val="20"/>
              </w:rPr>
              <w:t>3</w:t>
            </w:r>
          </w:p>
        </w:tc>
      </w:tr>
      <w:tr w14:paraId="23E1D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3049" w:type="pct"/>
            <w:tcMar>
              <w:top w:w="28" w:type="dxa"/>
              <w:left w:w="57" w:type="dxa"/>
              <w:bottom w:w="28" w:type="dxa"/>
              <w:right w:w="57" w:type="dxa"/>
            </w:tcMar>
            <w:vAlign w:val="center"/>
          </w:tcPr>
          <w:p w14:paraId="39E33FB3">
            <w:pPr>
              <w:overflowPunct w:val="0"/>
              <w:autoSpaceDE w:val="0"/>
              <w:autoSpaceDN w:val="0"/>
              <w:adjustRightInd w:val="0"/>
              <w:snapToGrid w:val="0"/>
              <w:rPr>
                <w:rFonts w:eastAsia="宋体"/>
                <w:sz w:val="20"/>
                <w:szCs w:val="20"/>
              </w:rPr>
            </w:pPr>
            <w:r>
              <w:rPr>
                <w:sz w:val="20"/>
                <w:szCs w:val="20"/>
              </w:rPr>
              <w:t>8. Moving or speaking so slowly that other people could have noticed? Or the opposite — being so fidgety or restless that you have been moving around a lot more than usual</w:t>
            </w:r>
          </w:p>
        </w:tc>
        <w:tc>
          <w:tcPr>
            <w:tcW w:w="470" w:type="pct"/>
            <w:tcMar>
              <w:top w:w="28" w:type="dxa"/>
              <w:left w:w="57" w:type="dxa"/>
              <w:bottom w:w="28" w:type="dxa"/>
              <w:right w:w="57" w:type="dxa"/>
            </w:tcMar>
            <w:vAlign w:val="center"/>
          </w:tcPr>
          <w:p w14:paraId="5E0F8C32">
            <w:pPr>
              <w:overflowPunct w:val="0"/>
              <w:autoSpaceDE w:val="0"/>
              <w:autoSpaceDN w:val="0"/>
              <w:adjustRightInd w:val="0"/>
              <w:snapToGrid w:val="0"/>
              <w:jc w:val="center"/>
              <w:rPr>
                <w:rFonts w:eastAsia="宋体"/>
                <w:sz w:val="20"/>
                <w:szCs w:val="20"/>
              </w:rPr>
            </w:pPr>
            <w:r>
              <w:rPr>
                <w:sz w:val="20"/>
                <w:szCs w:val="20"/>
              </w:rPr>
              <w:t>0</w:t>
            </w:r>
          </w:p>
        </w:tc>
        <w:tc>
          <w:tcPr>
            <w:tcW w:w="470" w:type="pct"/>
            <w:tcMar>
              <w:top w:w="28" w:type="dxa"/>
              <w:left w:w="57" w:type="dxa"/>
              <w:bottom w:w="28" w:type="dxa"/>
              <w:right w:w="57" w:type="dxa"/>
            </w:tcMar>
            <w:vAlign w:val="center"/>
          </w:tcPr>
          <w:p w14:paraId="15822FA9">
            <w:pPr>
              <w:overflowPunct w:val="0"/>
              <w:autoSpaceDE w:val="0"/>
              <w:autoSpaceDN w:val="0"/>
              <w:adjustRightInd w:val="0"/>
              <w:snapToGrid w:val="0"/>
              <w:jc w:val="center"/>
              <w:rPr>
                <w:rFonts w:eastAsia="宋体"/>
                <w:sz w:val="20"/>
                <w:szCs w:val="20"/>
              </w:rPr>
            </w:pPr>
            <w:r>
              <w:rPr>
                <w:sz w:val="20"/>
                <w:szCs w:val="20"/>
              </w:rPr>
              <w:t>1</w:t>
            </w:r>
          </w:p>
        </w:tc>
        <w:tc>
          <w:tcPr>
            <w:tcW w:w="500" w:type="pct"/>
            <w:tcMar>
              <w:top w:w="28" w:type="dxa"/>
              <w:left w:w="57" w:type="dxa"/>
              <w:bottom w:w="28" w:type="dxa"/>
              <w:right w:w="57" w:type="dxa"/>
            </w:tcMar>
            <w:vAlign w:val="center"/>
          </w:tcPr>
          <w:p w14:paraId="3E6B2389">
            <w:pPr>
              <w:overflowPunct w:val="0"/>
              <w:autoSpaceDE w:val="0"/>
              <w:autoSpaceDN w:val="0"/>
              <w:adjustRightInd w:val="0"/>
              <w:snapToGrid w:val="0"/>
              <w:jc w:val="center"/>
              <w:rPr>
                <w:rFonts w:eastAsia="宋体"/>
                <w:sz w:val="20"/>
                <w:szCs w:val="20"/>
              </w:rPr>
            </w:pPr>
            <w:r>
              <w:rPr>
                <w:sz w:val="20"/>
                <w:szCs w:val="20"/>
              </w:rPr>
              <w:t>2</w:t>
            </w:r>
          </w:p>
        </w:tc>
        <w:tc>
          <w:tcPr>
            <w:tcW w:w="511" w:type="pct"/>
            <w:tcMar>
              <w:top w:w="28" w:type="dxa"/>
              <w:left w:w="57" w:type="dxa"/>
              <w:bottom w:w="28" w:type="dxa"/>
              <w:right w:w="57" w:type="dxa"/>
            </w:tcMar>
            <w:vAlign w:val="center"/>
          </w:tcPr>
          <w:p w14:paraId="2F3F2100">
            <w:pPr>
              <w:overflowPunct w:val="0"/>
              <w:autoSpaceDE w:val="0"/>
              <w:autoSpaceDN w:val="0"/>
              <w:adjustRightInd w:val="0"/>
              <w:snapToGrid w:val="0"/>
              <w:jc w:val="center"/>
              <w:rPr>
                <w:rFonts w:eastAsia="宋体"/>
                <w:sz w:val="20"/>
                <w:szCs w:val="20"/>
              </w:rPr>
            </w:pPr>
            <w:r>
              <w:rPr>
                <w:sz w:val="20"/>
                <w:szCs w:val="20"/>
              </w:rPr>
              <w:t>3</w:t>
            </w:r>
          </w:p>
        </w:tc>
      </w:tr>
      <w:tr w14:paraId="60E78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3049" w:type="pct"/>
            <w:tcBorders>
              <w:bottom w:val="single" w:color="auto" w:sz="4" w:space="0"/>
            </w:tcBorders>
            <w:tcMar>
              <w:top w:w="28" w:type="dxa"/>
              <w:left w:w="57" w:type="dxa"/>
              <w:bottom w:w="28" w:type="dxa"/>
              <w:right w:w="57" w:type="dxa"/>
            </w:tcMar>
            <w:vAlign w:val="center"/>
          </w:tcPr>
          <w:p w14:paraId="7138E4E7">
            <w:pPr>
              <w:overflowPunct w:val="0"/>
              <w:autoSpaceDE w:val="0"/>
              <w:autoSpaceDN w:val="0"/>
              <w:adjustRightInd w:val="0"/>
              <w:snapToGrid w:val="0"/>
              <w:rPr>
                <w:rFonts w:eastAsia="宋体"/>
                <w:sz w:val="20"/>
                <w:szCs w:val="20"/>
              </w:rPr>
            </w:pPr>
            <w:r>
              <w:rPr>
                <w:sz w:val="20"/>
                <w:szCs w:val="20"/>
              </w:rPr>
              <w:t>9. Thoughts that you would be better off dead or of hurting yourself in some way</w:t>
            </w:r>
          </w:p>
        </w:tc>
        <w:tc>
          <w:tcPr>
            <w:tcW w:w="470" w:type="pct"/>
            <w:tcBorders>
              <w:bottom w:val="single" w:color="auto" w:sz="4" w:space="0"/>
            </w:tcBorders>
            <w:tcMar>
              <w:top w:w="28" w:type="dxa"/>
              <w:left w:w="57" w:type="dxa"/>
              <w:bottom w:w="28" w:type="dxa"/>
              <w:right w:w="57" w:type="dxa"/>
            </w:tcMar>
            <w:vAlign w:val="center"/>
          </w:tcPr>
          <w:p w14:paraId="2EB269A8">
            <w:pPr>
              <w:overflowPunct w:val="0"/>
              <w:autoSpaceDE w:val="0"/>
              <w:autoSpaceDN w:val="0"/>
              <w:adjustRightInd w:val="0"/>
              <w:snapToGrid w:val="0"/>
              <w:jc w:val="center"/>
              <w:rPr>
                <w:rFonts w:eastAsia="宋体"/>
                <w:sz w:val="20"/>
                <w:szCs w:val="20"/>
              </w:rPr>
            </w:pPr>
            <w:r>
              <w:rPr>
                <w:sz w:val="20"/>
                <w:szCs w:val="20"/>
              </w:rPr>
              <w:t>0</w:t>
            </w:r>
          </w:p>
        </w:tc>
        <w:tc>
          <w:tcPr>
            <w:tcW w:w="470" w:type="pct"/>
            <w:tcBorders>
              <w:bottom w:val="single" w:color="auto" w:sz="4" w:space="0"/>
            </w:tcBorders>
            <w:tcMar>
              <w:top w:w="28" w:type="dxa"/>
              <w:left w:w="57" w:type="dxa"/>
              <w:bottom w:w="28" w:type="dxa"/>
              <w:right w:w="57" w:type="dxa"/>
            </w:tcMar>
            <w:vAlign w:val="center"/>
          </w:tcPr>
          <w:p w14:paraId="0D8C0FB3">
            <w:pPr>
              <w:overflowPunct w:val="0"/>
              <w:autoSpaceDE w:val="0"/>
              <w:autoSpaceDN w:val="0"/>
              <w:adjustRightInd w:val="0"/>
              <w:snapToGrid w:val="0"/>
              <w:jc w:val="center"/>
              <w:rPr>
                <w:rFonts w:eastAsia="宋体"/>
                <w:sz w:val="20"/>
                <w:szCs w:val="20"/>
              </w:rPr>
            </w:pPr>
            <w:r>
              <w:rPr>
                <w:sz w:val="20"/>
                <w:szCs w:val="20"/>
              </w:rPr>
              <w:t>1</w:t>
            </w:r>
          </w:p>
        </w:tc>
        <w:tc>
          <w:tcPr>
            <w:tcW w:w="500" w:type="pct"/>
            <w:tcBorders>
              <w:bottom w:val="single" w:color="auto" w:sz="4" w:space="0"/>
            </w:tcBorders>
            <w:tcMar>
              <w:top w:w="28" w:type="dxa"/>
              <w:left w:w="57" w:type="dxa"/>
              <w:bottom w:w="28" w:type="dxa"/>
              <w:right w:w="57" w:type="dxa"/>
            </w:tcMar>
            <w:vAlign w:val="center"/>
          </w:tcPr>
          <w:p w14:paraId="51430C4F">
            <w:pPr>
              <w:overflowPunct w:val="0"/>
              <w:autoSpaceDE w:val="0"/>
              <w:autoSpaceDN w:val="0"/>
              <w:adjustRightInd w:val="0"/>
              <w:snapToGrid w:val="0"/>
              <w:jc w:val="center"/>
              <w:rPr>
                <w:rFonts w:eastAsia="宋体"/>
                <w:sz w:val="20"/>
                <w:szCs w:val="20"/>
              </w:rPr>
            </w:pPr>
            <w:r>
              <w:rPr>
                <w:sz w:val="20"/>
                <w:szCs w:val="20"/>
              </w:rPr>
              <w:t>2</w:t>
            </w:r>
          </w:p>
        </w:tc>
        <w:tc>
          <w:tcPr>
            <w:tcW w:w="511" w:type="pct"/>
            <w:tcBorders>
              <w:bottom w:val="single" w:color="auto" w:sz="4" w:space="0"/>
            </w:tcBorders>
            <w:tcMar>
              <w:top w:w="28" w:type="dxa"/>
              <w:left w:w="57" w:type="dxa"/>
              <w:bottom w:w="28" w:type="dxa"/>
              <w:right w:w="57" w:type="dxa"/>
            </w:tcMar>
            <w:vAlign w:val="center"/>
          </w:tcPr>
          <w:p w14:paraId="143C1B14">
            <w:pPr>
              <w:overflowPunct w:val="0"/>
              <w:autoSpaceDE w:val="0"/>
              <w:autoSpaceDN w:val="0"/>
              <w:adjustRightInd w:val="0"/>
              <w:snapToGrid w:val="0"/>
              <w:jc w:val="center"/>
              <w:rPr>
                <w:rFonts w:eastAsia="宋体"/>
                <w:sz w:val="20"/>
                <w:szCs w:val="20"/>
              </w:rPr>
            </w:pPr>
            <w:r>
              <w:rPr>
                <w:sz w:val="20"/>
                <w:szCs w:val="20"/>
              </w:rPr>
              <w:t>3</w:t>
            </w:r>
          </w:p>
        </w:tc>
      </w:tr>
      <w:tr w14:paraId="7F729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5000" w:type="pct"/>
            <w:gridSpan w:val="5"/>
            <w:tcBorders>
              <w:bottom w:val="single" w:color="auto" w:sz="2" w:space="0"/>
            </w:tcBorders>
            <w:tcMar>
              <w:top w:w="28" w:type="dxa"/>
              <w:left w:w="57" w:type="dxa"/>
              <w:bottom w:w="28" w:type="dxa"/>
              <w:right w:w="57" w:type="dxa"/>
            </w:tcMar>
            <w:vAlign w:val="center"/>
          </w:tcPr>
          <w:p w14:paraId="314000FC">
            <w:pPr>
              <w:overflowPunct w:val="0"/>
              <w:autoSpaceDE w:val="0"/>
              <w:autoSpaceDN w:val="0"/>
              <w:adjustRightInd w:val="0"/>
              <w:snapToGrid w:val="0"/>
              <w:jc w:val="right"/>
              <w:rPr>
                <w:rFonts w:eastAsia="宋体"/>
                <w:sz w:val="20"/>
                <w:szCs w:val="20"/>
              </w:rPr>
            </w:pPr>
            <w:r>
              <w:rPr>
                <w:sz w:val="20"/>
                <w:szCs w:val="20"/>
              </w:rPr>
              <w:t xml:space="preserve">Total score </w:t>
            </w:r>
            <w:r>
              <w:rPr>
                <w:sz w:val="20"/>
                <w:szCs w:val="20"/>
                <w:u w:val="single"/>
              </w:rPr>
              <w:tab/>
            </w:r>
            <w:r>
              <w:rPr>
                <w:sz w:val="20"/>
                <w:szCs w:val="20"/>
                <w:u w:val="single"/>
              </w:rPr>
              <w:tab/>
            </w:r>
            <w:r>
              <w:rPr>
                <w:sz w:val="20"/>
                <w:szCs w:val="20"/>
              </w:rPr>
              <w:t xml:space="preserve"> = </w:t>
            </w:r>
            <w:r>
              <w:rPr>
                <w:sz w:val="20"/>
                <w:szCs w:val="20"/>
                <w:u w:val="single"/>
              </w:rPr>
              <w:tab/>
            </w:r>
            <w:r>
              <w:rPr>
                <w:sz w:val="20"/>
                <w:szCs w:val="20"/>
                <w:u w:val="single"/>
              </w:rPr>
              <w:t>0</w:t>
            </w:r>
            <w:r>
              <w:rPr>
                <w:sz w:val="20"/>
                <w:szCs w:val="20"/>
                <w:u w:val="single"/>
              </w:rPr>
              <w:tab/>
            </w:r>
            <w:r>
              <w:rPr>
                <w:sz w:val="20"/>
                <w:szCs w:val="20"/>
              </w:rPr>
              <w:t xml:space="preserve"> + </w:t>
            </w:r>
            <w:r>
              <w:rPr>
                <w:sz w:val="20"/>
                <w:szCs w:val="20"/>
                <w:u w:val="single"/>
              </w:rPr>
              <w:tab/>
            </w:r>
            <w:r>
              <w:rPr>
                <w:sz w:val="20"/>
                <w:szCs w:val="20"/>
                <w:u w:val="single"/>
              </w:rPr>
              <w:tab/>
            </w:r>
            <w:r>
              <w:rPr>
                <w:sz w:val="20"/>
                <w:szCs w:val="20"/>
              </w:rPr>
              <w:t xml:space="preserve"> + </w:t>
            </w:r>
            <w:r>
              <w:rPr>
                <w:sz w:val="20"/>
                <w:szCs w:val="20"/>
                <w:u w:val="single"/>
              </w:rPr>
              <w:tab/>
            </w:r>
            <w:r>
              <w:rPr>
                <w:sz w:val="20"/>
                <w:szCs w:val="20"/>
                <w:u w:val="single"/>
              </w:rPr>
              <w:tab/>
            </w:r>
            <w:r>
              <w:rPr>
                <w:sz w:val="20"/>
                <w:szCs w:val="20"/>
              </w:rPr>
              <w:t xml:space="preserve"> + </w:t>
            </w:r>
            <w:r>
              <w:rPr>
                <w:sz w:val="20"/>
                <w:szCs w:val="20"/>
                <w:u w:val="single"/>
              </w:rPr>
              <w:tab/>
            </w:r>
            <w:r>
              <w:rPr>
                <w:sz w:val="20"/>
                <w:szCs w:val="20"/>
                <w:u w:val="single"/>
              </w:rPr>
              <w:tab/>
            </w:r>
            <w:r>
              <w:rPr>
                <w:sz w:val="20"/>
                <w:szCs w:val="20"/>
                <w:u w:val="single"/>
              </w:rPr>
              <w:t xml:space="preserve"> </w:t>
            </w:r>
          </w:p>
        </w:tc>
      </w:tr>
    </w:tbl>
    <w:p w14:paraId="66CF39B8">
      <w:pPr>
        <w:overflowPunct w:val="0"/>
        <w:autoSpaceDE w:val="0"/>
        <w:autoSpaceDN w:val="0"/>
        <w:adjustRightInd w:val="0"/>
        <w:snapToGrid w:val="0"/>
        <w:spacing w:before="120" w:beforeLines="50" w:after="120" w:afterLines="50" w:line="300" w:lineRule="auto"/>
        <w:jc w:val="center"/>
        <w:rPr>
          <w:rFonts w:eastAsia="宋体"/>
          <w:lang w:eastAsia="zh-CN"/>
        </w:rPr>
      </w:pPr>
    </w:p>
    <w:p w14:paraId="50D3B6E7">
      <w:pPr>
        <w:pStyle w:val="2"/>
        <w:overflowPunct w:val="0"/>
        <w:autoSpaceDE w:val="0"/>
        <w:autoSpaceDN w:val="0"/>
        <w:adjustRightInd w:val="0"/>
        <w:snapToGrid w:val="0"/>
        <w:spacing w:before="120" w:beforeLines="50" w:afterLines="50" w:line="300" w:lineRule="auto"/>
        <w:rPr>
          <w:rFonts w:eastAsia="宋体"/>
          <w:lang w:eastAsia="zh-CN"/>
        </w:rPr>
      </w:pPr>
    </w:p>
    <w:p w14:paraId="24E19E30">
      <w:pPr>
        <w:pStyle w:val="196"/>
        <w:rPr>
          <w:rFonts w:eastAsia="宋体"/>
        </w:rPr>
      </w:pPr>
      <w:bookmarkStart w:id="567" w:name="F5"/>
      <w:bookmarkStart w:id="568" w:name="_Toc159596339"/>
      <w:r>
        <w:t>Appendix 5</w:t>
      </w:r>
      <w:bookmarkEnd w:id="567"/>
      <w:r>
        <w:t>: Calculation Formula for Estimated Glomerular Filtration Rate (eGFR)</w:t>
      </w:r>
      <w:bookmarkEnd w:id="568"/>
    </w:p>
    <w:p w14:paraId="749CE362">
      <w:pPr>
        <w:pStyle w:val="78"/>
        <w:numPr>
          <w:ilvl w:val="0"/>
          <w:numId w:val="48"/>
        </w:numPr>
        <w:overflowPunct w:val="0"/>
        <w:autoSpaceDE w:val="0"/>
        <w:autoSpaceDN w:val="0"/>
        <w:adjustRightInd w:val="0"/>
        <w:snapToGrid w:val="0"/>
        <w:spacing w:before="120" w:beforeLines="50" w:after="120" w:afterLines="50" w:line="300" w:lineRule="auto"/>
        <w:rPr>
          <w:rFonts w:hAnsi="Times New Roman" w:eastAsia="宋体" w:cs="Times New Roman"/>
          <w:b/>
          <w:bCs/>
          <w:color w:val="auto"/>
        </w:rPr>
      </w:pPr>
      <w:r>
        <w:rPr>
          <w:rFonts w:hAnsi="Times New Roman" w:cs="Times New Roman"/>
          <w:b/>
          <w:bCs/>
          <w:color w:val="auto"/>
        </w:rPr>
        <w:t>The eGFR will be calculated using the CKD-EPI formula:</w:t>
      </w:r>
    </w:p>
    <w:p w14:paraId="41CC25FB">
      <w:pPr>
        <w:overflowPunct w:val="0"/>
        <w:autoSpaceDE w:val="0"/>
        <w:autoSpaceDN w:val="0"/>
        <w:adjustRightInd w:val="0"/>
        <w:snapToGrid w:val="0"/>
        <w:spacing w:before="120" w:beforeLines="50" w:after="120" w:afterLines="50" w:line="300" w:lineRule="auto"/>
        <w:jc w:val="center"/>
        <w:rPr>
          <w:rFonts w:eastAsia="宋体"/>
          <w:iCs/>
        </w:rPr>
      </w:pPr>
      <m:oMathPara>
        <m:oMath>
          <m:r>
            <m:rPr>
              <m:sty m:val="p"/>
            </m:rPr>
            <w:rPr>
              <w:rFonts w:ascii="Cambria Math" w:hAnsi="Cambria Math" w:eastAsia="宋体"/>
              <w:lang w:eastAsia="zh-CN"/>
            </w:rPr>
            <m:t>eGFR</m:t>
          </m:r>
          <m:r>
            <m:rPr>
              <m:sty m:val="p"/>
            </m:rPr>
            <w:rPr>
              <w:rFonts w:ascii="Cambria Math" w:hAnsi="Cambria Math" w:eastAsia="宋体"/>
            </w:rPr>
            <m:t xml:space="preserve">=a × </m:t>
          </m:r>
          <m:sSup>
            <m:sSupPr>
              <m:ctrlPr>
                <w:rPr>
                  <w:rFonts w:ascii="Cambria Math" w:hAnsi="Cambria Math" w:eastAsia="宋体"/>
                  <w:iCs/>
                </w:rPr>
              </m:ctrlPr>
            </m:sSupPr>
            <m:e>
              <m:r>
                <m:rPr>
                  <m:sty m:val="p"/>
                </m:rPr>
                <w:rPr>
                  <w:rFonts w:ascii="Cambria Math" w:hAnsi="Cambria Math" w:eastAsia="宋体"/>
                </w:rPr>
                <m:t>(</m:t>
              </m:r>
              <m:f>
                <m:fPr>
                  <m:ctrlPr>
                    <w:rPr>
                      <w:rFonts w:ascii="Cambria Math" w:hAnsi="Cambria Math" w:eastAsia="宋体"/>
                      <w:iCs/>
                    </w:rPr>
                  </m:ctrlPr>
                </m:fPr>
                <m:num>
                  <m:r>
                    <m:rPr>
                      <m:sty m:val="p"/>
                    </m:rPr>
                    <w:rPr>
                      <w:rFonts w:ascii="Cambria Math" w:hAnsi="Cambria Math" w:eastAsia="宋体"/>
                    </w:rPr>
                    <m:t>Scr</m:t>
                  </m:r>
                  <m:ctrlPr>
                    <w:rPr>
                      <w:rFonts w:ascii="Cambria Math" w:hAnsi="Cambria Math" w:eastAsia="宋体"/>
                      <w:iCs/>
                    </w:rPr>
                  </m:ctrlPr>
                </m:num>
                <m:den>
                  <m:r>
                    <m:rPr>
                      <m:sty m:val="p"/>
                    </m:rPr>
                    <w:rPr>
                      <w:rFonts w:ascii="Cambria Math" w:hAnsi="Cambria Math" w:eastAsia="宋体"/>
                    </w:rPr>
                    <m:t>b</m:t>
                  </m:r>
                  <m:ctrlPr>
                    <w:rPr>
                      <w:rFonts w:ascii="Cambria Math" w:hAnsi="Cambria Math" w:eastAsia="宋体"/>
                      <w:iCs/>
                    </w:rPr>
                  </m:ctrlPr>
                </m:den>
              </m:f>
              <m:r>
                <m:rPr>
                  <m:sty m:val="p"/>
                </m:rPr>
                <w:rPr>
                  <w:rFonts w:ascii="Cambria Math" w:hAnsi="Cambria Math" w:eastAsia="宋体"/>
                </w:rPr>
                <m:t>)</m:t>
              </m:r>
              <m:ctrlPr>
                <w:rPr>
                  <w:rFonts w:ascii="Cambria Math" w:hAnsi="Cambria Math" w:eastAsia="宋体"/>
                  <w:iCs/>
                </w:rPr>
              </m:ctrlPr>
            </m:e>
            <m:sup>
              <m:r>
                <m:rPr>
                  <m:sty m:val="p"/>
                </m:rPr>
                <w:rPr>
                  <w:rFonts w:ascii="Cambria Math" w:hAnsi="Cambria Math" w:eastAsia="宋体"/>
                </w:rPr>
                <m:t>c</m:t>
              </m:r>
              <m:ctrlPr>
                <w:rPr>
                  <w:rFonts w:ascii="Cambria Math" w:hAnsi="Cambria Math" w:eastAsia="宋体"/>
                  <w:iCs/>
                </w:rPr>
              </m:ctrlPr>
            </m:sup>
          </m:sSup>
          <m:r>
            <m:rPr>
              <m:sty m:val="p"/>
            </m:rPr>
            <w:rPr>
              <w:rFonts w:ascii="Cambria Math" w:hAnsi="Cambria Math" w:eastAsia="宋体"/>
            </w:rPr>
            <m:t>×</m:t>
          </m:r>
          <m:sSup>
            <m:sSupPr>
              <m:ctrlPr>
                <w:rPr>
                  <w:rFonts w:ascii="Cambria Math" w:hAnsi="Cambria Math" w:eastAsia="宋体"/>
                  <w:iCs/>
                </w:rPr>
              </m:ctrlPr>
            </m:sSupPr>
            <m:e>
              <m:r>
                <m:rPr>
                  <m:sty m:val="p"/>
                </m:rPr>
                <w:rPr>
                  <w:rFonts w:ascii="Cambria Math" w:hAnsi="Cambria Math" w:eastAsia="宋体"/>
                </w:rPr>
                <m:t>(0.993)</m:t>
              </m:r>
              <m:ctrlPr>
                <w:rPr>
                  <w:rFonts w:ascii="Cambria Math" w:hAnsi="Cambria Math" w:eastAsia="宋体"/>
                  <w:iCs/>
                </w:rPr>
              </m:ctrlPr>
            </m:e>
            <m:sup>
              <m:r>
                <m:rPr>
                  <m:sty m:val="p"/>
                </m:rPr>
                <w:rPr>
                  <w:rFonts w:ascii="Cambria Math" w:hAnsi="Cambria Math" w:eastAsia="宋体"/>
                </w:rPr>
                <m:t>age</m:t>
              </m:r>
              <m:ctrlPr>
                <w:rPr>
                  <w:rFonts w:ascii="Cambria Math" w:hAnsi="Cambria Math" w:eastAsia="宋体"/>
                  <w:iCs/>
                </w:rPr>
              </m:ctrlPr>
            </m:sup>
          </m:sSup>
        </m:oMath>
      </m:oMathPara>
    </w:p>
    <w:p w14:paraId="4FD9DFEE">
      <w:pPr>
        <w:overflowPunct w:val="0"/>
        <w:autoSpaceDE w:val="0"/>
        <w:autoSpaceDN w:val="0"/>
        <w:adjustRightInd w:val="0"/>
        <w:snapToGrid w:val="0"/>
        <w:spacing w:before="120" w:beforeLines="50" w:after="120" w:afterLines="50" w:line="300" w:lineRule="auto"/>
        <w:rPr>
          <w:rFonts w:eastAsia="宋体"/>
        </w:rPr>
      </w:pPr>
      <w:r>
        <w:t>Notes:</w:t>
      </w:r>
    </w:p>
    <w:p w14:paraId="74708DD1">
      <w:pPr>
        <w:pStyle w:val="78"/>
        <w:numPr>
          <w:ilvl w:val="0"/>
          <w:numId w:val="49"/>
        </w:numPr>
        <w:overflowPunct w:val="0"/>
        <w:autoSpaceDE w:val="0"/>
        <w:autoSpaceDN w:val="0"/>
        <w:adjustRightInd w:val="0"/>
        <w:snapToGrid w:val="0"/>
        <w:spacing w:before="120" w:beforeLines="50" w:after="120" w:afterLines="50" w:line="300" w:lineRule="auto"/>
        <w:ind w:left="434" w:hanging="434"/>
        <w:jc w:val="left"/>
        <w:rPr>
          <w:rFonts w:hAnsi="Times New Roman" w:eastAsia="宋体" w:cs="Times New Roman"/>
          <w:color w:val="auto"/>
        </w:rPr>
      </w:pPr>
      <w:r>
        <w:rPr>
          <w:rFonts w:hAnsi="Times New Roman" w:cs="Times New Roman"/>
          <w:color w:val="auto"/>
        </w:rPr>
        <w:t>a value: 144 for females and 141 for males;</w:t>
      </w:r>
    </w:p>
    <w:p w14:paraId="1CFD7B65">
      <w:pPr>
        <w:pStyle w:val="78"/>
        <w:numPr>
          <w:ilvl w:val="0"/>
          <w:numId w:val="49"/>
        </w:numPr>
        <w:overflowPunct w:val="0"/>
        <w:autoSpaceDE w:val="0"/>
        <w:autoSpaceDN w:val="0"/>
        <w:adjustRightInd w:val="0"/>
        <w:snapToGrid w:val="0"/>
        <w:spacing w:before="120" w:beforeLines="50" w:after="120" w:afterLines="50" w:line="300" w:lineRule="auto"/>
        <w:ind w:left="434" w:hanging="434"/>
        <w:jc w:val="left"/>
        <w:rPr>
          <w:rFonts w:hAnsi="Times New Roman" w:eastAsia="宋体" w:cs="Times New Roman"/>
          <w:color w:val="auto"/>
        </w:rPr>
      </w:pPr>
      <w:r>
        <w:rPr>
          <w:rFonts w:hAnsi="Times New Roman" w:cs="Times New Roman"/>
          <w:color w:val="auto"/>
        </w:rPr>
        <w:t>b value: 0.7 for females and 0.9 for males;</w:t>
      </w:r>
    </w:p>
    <w:p w14:paraId="253E94BF">
      <w:pPr>
        <w:pStyle w:val="78"/>
        <w:numPr>
          <w:ilvl w:val="0"/>
          <w:numId w:val="49"/>
        </w:numPr>
        <w:overflowPunct w:val="0"/>
        <w:autoSpaceDE w:val="0"/>
        <w:autoSpaceDN w:val="0"/>
        <w:adjustRightInd w:val="0"/>
        <w:snapToGrid w:val="0"/>
        <w:spacing w:before="120" w:beforeLines="50" w:after="120" w:afterLines="50" w:line="300" w:lineRule="auto"/>
        <w:ind w:left="434" w:hanging="434"/>
        <w:jc w:val="left"/>
        <w:rPr>
          <w:rFonts w:hAnsi="Times New Roman" w:eastAsia="宋体" w:cs="Times New Roman"/>
          <w:color w:val="auto"/>
          <w:spacing w:val="-4"/>
        </w:rPr>
      </w:pPr>
      <w:r>
        <w:rPr>
          <w:rFonts w:hAnsi="Times New Roman" w:cs="Times New Roman"/>
          <w:color w:val="auto"/>
          <w:spacing w:val="-4"/>
        </w:rPr>
        <w:t xml:space="preserve">c value: −0.329 for females with Scr </w:t>
      </w:r>
      <w:r>
        <w:rPr>
          <w:rFonts w:hAnsi="Times New Roman" w:cs="Times New Roman"/>
        </w:rPr>
        <w:sym w:font="Symbol" w:char="F0A3"/>
      </w:r>
      <w:r>
        <w:rPr>
          <w:rFonts w:hAnsi="Times New Roman" w:cs="Times New Roman"/>
          <w:color w:val="auto"/>
          <w:spacing w:val="-4"/>
        </w:rPr>
        <w:t xml:space="preserve"> 0.7 mg/dL, and −1.209 for females with Scr &gt; 0.7 mg/dL;</w:t>
      </w:r>
    </w:p>
    <w:p w14:paraId="43739DE5">
      <w:pPr>
        <w:overflowPunct w:val="0"/>
        <w:autoSpaceDE w:val="0"/>
        <w:autoSpaceDN w:val="0"/>
        <w:adjustRightInd w:val="0"/>
        <w:snapToGrid w:val="0"/>
        <w:spacing w:before="120" w:beforeLines="50" w:after="120" w:afterLines="50" w:line="300" w:lineRule="auto"/>
        <w:ind w:left="1204"/>
        <w:rPr>
          <w:rFonts w:eastAsia="宋体"/>
        </w:rPr>
      </w:pPr>
      <w:r>
        <w:t xml:space="preserve">−0.411 for males with Scr </w:t>
      </w:r>
      <w:r>
        <w:rPr/>
        <w:sym w:font="Symbol" w:char="F0A3"/>
      </w:r>
      <w:r>
        <w:t xml:space="preserve"> 0.9 mg/dL, and −1.209 for males with Scr &gt; 0.9 mg/dL;</w:t>
      </w:r>
    </w:p>
    <w:p w14:paraId="5D3B9DE3">
      <w:pPr>
        <w:pStyle w:val="78"/>
        <w:numPr>
          <w:ilvl w:val="0"/>
          <w:numId w:val="49"/>
        </w:numPr>
        <w:overflowPunct w:val="0"/>
        <w:autoSpaceDE w:val="0"/>
        <w:autoSpaceDN w:val="0"/>
        <w:adjustRightInd w:val="0"/>
        <w:snapToGrid w:val="0"/>
        <w:spacing w:before="120" w:beforeLines="50" w:after="120" w:afterLines="50" w:line="300" w:lineRule="auto"/>
        <w:ind w:left="434" w:hanging="434"/>
        <w:jc w:val="left"/>
        <w:rPr>
          <w:rFonts w:hAnsi="Times New Roman" w:eastAsia="宋体" w:cs="Times New Roman"/>
          <w:color w:val="auto"/>
        </w:rPr>
      </w:pPr>
      <w:r>
        <w:rPr>
          <w:rFonts w:hAnsi="Times New Roman" w:cs="Times New Roman"/>
          <w:color w:val="auto"/>
        </w:rPr>
        <w:t>Unit conversion of serum creatinine (Scr): 1 mg/dL = 88.4 μmol/L, 88.4 μmol/L = 0.0884 mmol/L.</w:t>
      </w:r>
    </w:p>
    <w:p w14:paraId="72F8F13E">
      <w:pPr>
        <w:pStyle w:val="196"/>
        <w:rPr>
          <w:rFonts w:eastAsia="宋体"/>
        </w:rPr>
      </w:pPr>
      <w:bookmarkStart w:id="569" w:name="F6"/>
      <w:bookmarkStart w:id="570" w:name="_Toc118108909"/>
      <w:bookmarkStart w:id="571" w:name="_Toc159596340"/>
      <w:bookmarkStart w:id="572" w:name="_Ref121758022"/>
      <w:r>
        <w:t>Appendix 6</w:t>
      </w:r>
      <w:bookmarkEnd w:id="569"/>
      <w:r>
        <w:t>: Diet and Exercise Guidance</w:t>
      </w:r>
      <w:bookmarkEnd w:id="570"/>
      <w:bookmarkEnd w:id="571"/>
    </w:p>
    <w:p w14:paraId="534BDA6C">
      <w:pPr>
        <w:pStyle w:val="2"/>
        <w:overflowPunct w:val="0"/>
        <w:autoSpaceDE w:val="0"/>
        <w:autoSpaceDN w:val="0"/>
        <w:adjustRightInd w:val="0"/>
        <w:snapToGrid w:val="0"/>
        <w:spacing w:before="120" w:beforeLines="50" w:afterLines="50" w:line="300" w:lineRule="auto"/>
        <w:rPr>
          <w:rFonts w:eastAsia="宋体"/>
          <w:b/>
          <w:bCs/>
          <w:u w:val="single"/>
        </w:rPr>
      </w:pPr>
      <w:r>
        <w:rPr>
          <w:b/>
          <w:bCs/>
          <w:u w:val="single"/>
        </w:rPr>
        <w:t>Dietary and Nutritional Factors</w:t>
      </w:r>
    </w:p>
    <w:p w14:paraId="200747AA">
      <w:pPr>
        <w:numPr>
          <w:ilvl w:val="0"/>
          <w:numId w:val="50"/>
        </w:numPr>
        <w:overflowPunct w:val="0"/>
        <w:autoSpaceDE w:val="0"/>
        <w:autoSpaceDN w:val="0"/>
        <w:adjustRightInd w:val="0"/>
        <w:snapToGrid w:val="0"/>
        <w:spacing w:before="120" w:beforeLines="50" w:after="120" w:afterLines="50" w:line="300" w:lineRule="auto"/>
        <w:ind w:left="426" w:hanging="426" w:hangingChars="177"/>
        <w:jc w:val="both"/>
        <w:rPr>
          <w:rFonts w:eastAsia="宋体"/>
          <w:b/>
          <w:bCs/>
        </w:rPr>
      </w:pPr>
      <w:r>
        <w:rPr>
          <w:b/>
          <w:bCs/>
        </w:rPr>
        <w:t>Energy</w:t>
      </w:r>
    </w:p>
    <w:p w14:paraId="525503D9">
      <w:pPr>
        <w:numPr>
          <w:ilvl w:val="0"/>
          <w:numId w:val="51"/>
        </w:numPr>
        <w:overflowPunct w:val="0"/>
        <w:autoSpaceDE w:val="0"/>
        <w:autoSpaceDN w:val="0"/>
        <w:adjustRightInd w:val="0"/>
        <w:snapToGrid w:val="0"/>
        <w:spacing w:before="120" w:beforeLines="50" w:after="120" w:afterLines="50" w:line="300" w:lineRule="auto"/>
        <w:ind w:hangingChars="177"/>
        <w:rPr>
          <w:rFonts w:eastAsia="宋体"/>
        </w:rPr>
      </w:pPr>
      <w:r>
        <w:t>Patients with prediabetes or diabetes shall receive an individualized energy balance plan with the goal of both achieving or maintaining ideal body weight and meeting nutritional needs in different situations.</w:t>
      </w:r>
    </w:p>
    <w:p w14:paraId="2281736D">
      <w:pPr>
        <w:numPr>
          <w:ilvl w:val="0"/>
          <w:numId w:val="51"/>
        </w:numPr>
        <w:overflowPunct w:val="0"/>
        <w:autoSpaceDE w:val="0"/>
        <w:autoSpaceDN w:val="0"/>
        <w:adjustRightInd w:val="0"/>
        <w:snapToGrid w:val="0"/>
        <w:spacing w:before="120" w:beforeLines="50" w:after="120" w:afterLines="50" w:line="300" w:lineRule="auto"/>
        <w:ind w:hangingChars="177"/>
        <w:rPr>
          <w:rFonts w:eastAsia="宋体"/>
        </w:rPr>
      </w:pPr>
      <w:r>
        <w:t>For all overweight or obese diabetic patients, lifestyle modifications shall be made to control total energy intake and reduce body weight by at least 5%.</w:t>
      </w:r>
    </w:p>
    <w:p w14:paraId="5B35DD09">
      <w:pPr>
        <w:numPr>
          <w:ilvl w:val="0"/>
          <w:numId w:val="51"/>
        </w:numPr>
        <w:overflowPunct w:val="0"/>
        <w:autoSpaceDE w:val="0"/>
        <w:autoSpaceDN w:val="0"/>
        <w:adjustRightInd w:val="0"/>
        <w:snapToGrid w:val="0"/>
        <w:spacing w:before="120" w:beforeLines="50" w:after="120" w:afterLines="50" w:line="300" w:lineRule="auto"/>
        <w:ind w:hangingChars="177"/>
        <w:rPr>
          <w:rFonts w:eastAsia="宋体"/>
        </w:rPr>
      </w:pPr>
      <w:r>
        <w:t>It is recommended that energy intake in diabetic patients be calculated according to the general coefficient method on the basis of 105–126 kJ (25–30 kcal)·kg</w:t>
      </w:r>
      <w:r>
        <w:rPr>
          <w:vertAlign w:val="superscript"/>
        </w:rPr>
        <w:t>-1</w:t>
      </w:r>
      <w:r>
        <w:t xml:space="preserve"> (standard body weight)·d</w:t>
      </w:r>
      <w:r>
        <w:rPr>
          <w:vertAlign w:val="superscript"/>
        </w:rPr>
        <w:t>-1</w:t>
      </w:r>
      <w:r>
        <w:t>. The coefficient will then be adjusted according to the patient's height, weight, gender, age, activity, and stress status. Long-term nutritional therapies with very low energy intake (&lt; 800 kcal/day) is not recommended for diabetic patients.</w:t>
      </w:r>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57" w:type="dxa"/>
          <w:bottom w:w="28" w:type="dxa"/>
          <w:right w:w="57" w:type="dxa"/>
        </w:tblCellMar>
      </w:tblPr>
      <w:tblGrid>
        <w:gridCol w:w="2726"/>
        <w:gridCol w:w="2010"/>
        <w:gridCol w:w="2369"/>
        <w:gridCol w:w="2369"/>
      </w:tblGrid>
      <w:tr w14:paraId="50758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9360" w:type="dxa"/>
            <w:gridSpan w:val="4"/>
            <w:tcBorders>
              <w:top w:val="nil"/>
              <w:left w:val="nil"/>
              <w:right w:val="nil"/>
            </w:tcBorders>
            <w:shd w:val="clear" w:color="auto" w:fill="auto"/>
            <w:tcMar>
              <w:top w:w="28" w:type="dxa"/>
              <w:left w:w="57" w:type="dxa"/>
              <w:bottom w:w="28" w:type="dxa"/>
              <w:right w:w="57" w:type="dxa"/>
            </w:tcMar>
            <w:vAlign w:val="center"/>
          </w:tcPr>
          <w:p w14:paraId="3C6D8434">
            <w:pPr>
              <w:pStyle w:val="2"/>
              <w:widowControl w:val="0"/>
              <w:overflowPunct w:val="0"/>
              <w:autoSpaceDE w:val="0"/>
              <w:autoSpaceDN w:val="0"/>
              <w:adjustRightInd w:val="0"/>
              <w:snapToGrid w:val="0"/>
              <w:spacing w:after="0"/>
              <w:jc w:val="center"/>
              <w:rPr>
                <w:rFonts w:eastAsia="宋体"/>
                <w:b/>
                <w:bCs/>
                <w:sz w:val="20"/>
                <w:szCs w:val="20"/>
              </w:rPr>
            </w:pPr>
            <w:r>
              <w:rPr>
                <w:b/>
                <w:bCs/>
                <w:sz w:val="20"/>
                <w:szCs w:val="20"/>
              </w:rPr>
              <w:t>Daily energy allowance for diabetic adults with different physical activity levels [kJ (kcal)/kg on the basis of standard body weight]</w:t>
            </w:r>
          </w:p>
        </w:tc>
      </w:tr>
      <w:tr w14:paraId="3EA7F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94" w:type="dxa"/>
            <w:tcBorders>
              <w:left w:val="nil"/>
              <w:right w:val="nil"/>
            </w:tcBorders>
            <w:shd w:val="clear" w:color="auto" w:fill="E6E0EC"/>
            <w:tcMar>
              <w:top w:w="28" w:type="dxa"/>
              <w:left w:w="57" w:type="dxa"/>
              <w:bottom w:w="28" w:type="dxa"/>
              <w:right w:w="57" w:type="dxa"/>
            </w:tcMar>
            <w:vAlign w:val="center"/>
          </w:tcPr>
          <w:p w14:paraId="4704570D">
            <w:pPr>
              <w:pStyle w:val="2"/>
              <w:widowControl w:val="0"/>
              <w:overflowPunct w:val="0"/>
              <w:autoSpaceDE w:val="0"/>
              <w:autoSpaceDN w:val="0"/>
              <w:adjustRightInd w:val="0"/>
              <w:snapToGrid w:val="0"/>
              <w:spacing w:after="0"/>
              <w:jc w:val="center"/>
              <w:rPr>
                <w:rFonts w:eastAsia="宋体"/>
                <w:b/>
                <w:bCs/>
                <w:sz w:val="20"/>
                <w:szCs w:val="20"/>
              </w:rPr>
            </w:pPr>
            <w:r>
              <w:rPr>
                <w:b/>
                <w:bCs/>
                <w:sz w:val="20"/>
                <w:szCs w:val="20"/>
              </w:rPr>
              <w:t>Physical activity level</w:t>
            </w:r>
          </w:p>
        </w:tc>
        <w:tc>
          <w:tcPr>
            <w:tcW w:w="1986" w:type="dxa"/>
            <w:tcBorders>
              <w:left w:val="nil"/>
              <w:right w:val="nil"/>
            </w:tcBorders>
            <w:shd w:val="clear" w:color="auto" w:fill="E6E0EC"/>
            <w:tcMar>
              <w:top w:w="28" w:type="dxa"/>
              <w:left w:w="57" w:type="dxa"/>
              <w:bottom w:w="28" w:type="dxa"/>
              <w:right w:w="57" w:type="dxa"/>
            </w:tcMar>
            <w:vAlign w:val="center"/>
          </w:tcPr>
          <w:p w14:paraId="0C8C5E0D">
            <w:pPr>
              <w:pStyle w:val="2"/>
              <w:widowControl w:val="0"/>
              <w:overflowPunct w:val="0"/>
              <w:autoSpaceDE w:val="0"/>
              <w:autoSpaceDN w:val="0"/>
              <w:adjustRightInd w:val="0"/>
              <w:snapToGrid w:val="0"/>
              <w:spacing w:after="0"/>
              <w:jc w:val="center"/>
              <w:rPr>
                <w:rFonts w:eastAsia="宋体"/>
                <w:b/>
                <w:bCs/>
                <w:sz w:val="20"/>
                <w:szCs w:val="20"/>
              </w:rPr>
            </w:pPr>
            <w:r>
              <w:rPr>
                <w:b/>
                <w:bCs/>
                <w:sz w:val="20"/>
                <w:szCs w:val="20"/>
              </w:rPr>
              <w:t>Underweight</w:t>
            </w:r>
          </w:p>
        </w:tc>
        <w:tc>
          <w:tcPr>
            <w:tcW w:w="2340" w:type="dxa"/>
            <w:tcBorders>
              <w:left w:val="nil"/>
              <w:right w:val="nil"/>
            </w:tcBorders>
            <w:shd w:val="clear" w:color="auto" w:fill="E6E0EC"/>
            <w:tcMar>
              <w:top w:w="28" w:type="dxa"/>
              <w:left w:w="57" w:type="dxa"/>
              <w:bottom w:w="28" w:type="dxa"/>
              <w:right w:w="57" w:type="dxa"/>
            </w:tcMar>
            <w:vAlign w:val="center"/>
          </w:tcPr>
          <w:p w14:paraId="0000C16A">
            <w:pPr>
              <w:pStyle w:val="2"/>
              <w:widowControl w:val="0"/>
              <w:overflowPunct w:val="0"/>
              <w:autoSpaceDE w:val="0"/>
              <w:autoSpaceDN w:val="0"/>
              <w:adjustRightInd w:val="0"/>
              <w:snapToGrid w:val="0"/>
              <w:spacing w:after="0"/>
              <w:jc w:val="center"/>
              <w:rPr>
                <w:rFonts w:eastAsia="宋体"/>
                <w:b/>
                <w:bCs/>
                <w:sz w:val="20"/>
                <w:szCs w:val="20"/>
              </w:rPr>
            </w:pPr>
            <w:r>
              <w:rPr>
                <w:b/>
                <w:bCs/>
                <w:sz w:val="20"/>
                <w:szCs w:val="20"/>
              </w:rPr>
              <w:t>Normal weight</w:t>
            </w:r>
          </w:p>
        </w:tc>
        <w:tc>
          <w:tcPr>
            <w:tcW w:w="2340" w:type="dxa"/>
            <w:tcBorders>
              <w:left w:val="nil"/>
              <w:right w:val="nil"/>
            </w:tcBorders>
            <w:shd w:val="clear" w:color="auto" w:fill="E6E0EC"/>
            <w:tcMar>
              <w:top w:w="28" w:type="dxa"/>
              <w:left w:w="57" w:type="dxa"/>
              <w:bottom w:w="28" w:type="dxa"/>
              <w:right w:w="57" w:type="dxa"/>
            </w:tcMar>
            <w:vAlign w:val="center"/>
          </w:tcPr>
          <w:p w14:paraId="3808A4D3">
            <w:pPr>
              <w:pStyle w:val="2"/>
              <w:widowControl w:val="0"/>
              <w:overflowPunct w:val="0"/>
              <w:autoSpaceDE w:val="0"/>
              <w:autoSpaceDN w:val="0"/>
              <w:adjustRightInd w:val="0"/>
              <w:snapToGrid w:val="0"/>
              <w:spacing w:after="0"/>
              <w:jc w:val="center"/>
              <w:rPr>
                <w:rFonts w:eastAsia="宋体"/>
                <w:b/>
                <w:bCs/>
                <w:sz w:val="20"/>
                <w:szCs w:val="20"/>
              </w:rPr>
            </w:pPr>
            <w:r>
              <w:rPr>
                <w:b/>
                <w:bCs/>
                <w:sz w:val="20"/>
                <w:szCs w:val="20"/>
              </w:rPr>
              <w:t>Overweight or obesity</w:t>
            </w:r>
          </w:p>
        </w:tc>
      </w:tr>
      <w:tr w14:paraId="684E3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694" w:type="dxa"/>
            <w:tcBorders>
              <w:left w:val="nil"/>
              <w:bottom w:val="nil"/>
              <w:right w:val="nil"/>
            </w:tcBorders>
            <w:shd w:val="clear" w:color="auto" w:fill="auto"/>
            <w:tcMar>
              <w:top w:w="28" w:type="dxa"/>
              <w:left w:w="57" w:type="dxa"/>
              <w:bottom w:w="28" w:type="dxa"/>
              <w:right w:w="57" w:type="dxa"/>
            </w:tcMar>
            <w:vAlign w:val="center"/>
          </w:tcPr>
          <w:p w14:paraId="4CD5012F">
            <w:pPr>
              <w:pStyle w:val="2"/>
              <w:widowControl w:val="0"/>
              <w:overflowPunct w:val="0"/>
              <w:autoSpaceDE w:val="0"/>
              <w:autoSpaceDN w:val="0"/>
              <w:adjustRightInd w:val="0"/>
              <w:snapToGrid w:val="0"/>
              <w:spacing w:after="0"/>
              <w:jc w:val="center"/>
              <w:rPr>
                <w:rFonts w:eastAsia="宋体"/>
                <w:sz w:val="20"/>
                <w:szCs w:val="20"/>
              </w:rPr>
            </w:pPr>
            <w:r>
              <w:rPr>
                <w:sz w:val="20"/>
                <w:szCs w:val="20"/>
              </w:rPr>
              <w:t>Heavy (e.g., porter)</w:t>
            </w:r>
          </w:p>
        </w:tc>
        <w:tc>
          <w:tcPr>
            <w:tcW w:w="1986" w:type="dxa"/>
            <w:tcBorders>
              <w:left w:val="nil"/>
              <w:bottom w:val="nil"/>
              <w:right w:val="nil"/>
            </w:tcBorders>
            <w:shd w:val="clear" w:color="auto" w:fill="auto"/>
            <w:tcMar>
              <w:top w:w="28" w:type="dxa"/>
              <w:left w:w="57" w:type="dxa"/>
              <w:bottom w:w="28" w:type="dxa"/>
              <w:right w:w="57" w:type="dxa"/>
            </w:tcMar>
            <w:vAlign w:val="center"/>
          </w:tcPr>
          <w:p w14:paraId="229B4C68">
            <w:pPr>
              <w:pStyle w:val="2"/>
              <w:widowControl w:val="0"/>
              <w:overflowPunct w:val="0"/>
              <w:autoSpaceDE w:val="0"/>
              <w:autoSpaceDN w:val="0"/>
              <w:adjustRightInd w:val="0"/>
              <w:snapToGrid w:val="0"/>
              <w:spacing w:after="0"/>
              <w:jc w:val="center"/>
              <w:rPr>
                <w:rFonts w:eastAsia="宋体"/>
                <w:sz w:val="20"/>
                <w:szCs w:val="20"/>
              </w:rPr>
            </w:pPr>
            <w:r>
              <w:rPr>
                <w:sz w:val="20"/>
                <w:szCs w:val="20"/>
              </w:rPr>
              <w:t>188–209 (45–50)</w:t>
            </w:r>
          </w:p>
        </w:tc>
        <w:tc>
          <w:tcPr>
            <w:tcW w:w="2340" w:type="dxa"/>
            <w:tcBorders>
              <w:left w:val="nil"/>
              <w:bottom w:val="nil"/>
              <w:right w:val="nil"/>
            </w:tcBorders>
            <w:shd w:val="clear" w:color="auto" w:fill="auto"/>
            <w:tcMar>
              <w:top w:w="28" w:type="dxa"/>
              <w:left w:w="57" w:type="dxa"/>
              <w:bottom w:w="28" w:type="dxa"/>
              <w:right w:w="57" w:type="dxa"/>
            </w:tcMar>
            <w:vAlign w:val="center"/>
          </w:tcPr>
          <w:p w14:paraId="3ACEED93">
            <w:pPr>
              <w:pStyle w:val="2"/>
              <w:widowControl w:val="0"/>
              <w:overflowPunct w:val="0"/>
              <w:autoSpaceDE w:val="0"/>
              <w:autoSpaceDN w:val="0"/>
              <w:adjustRightInd w:val="0"/>
              <w:snapToGrid w:val="0"/>
              <w:spacing w:after="0"/>
              <w:jc w:val="center"/>
              <w:rPr>
                <w:rFonts w:eastAsia="宋体"/>
                <w:sz w:val="20"/>
                <w:szCs w:val="20"/>
              </w:rPr>
            </w:pPr>
            <w:r>
              <w:rPr>
                <w:sz w:val="20"/>
                <w:szCs w:val="20"/>
              </w:rPr>
              <w:t>167 (40)</w:t>
            </w:r>
          </w:p>
        </w:tc>
        <w:tc>
          <w:tcPr>
            <w:tcW w:w="2340" w:type="dxa"/>
            <w:tcBorders>
              <w:left w:val="nil"/>
              <w:bottom w:val="nil"/>
              <w:right w:val="nil"/>
            </w:tcBorders>
            <w:shd w:val="clear" w:color="auto" w:fill="auto"/>
            <w:tcMar>
              <w:top w:w="28" w:type="dxa"/>
              <w:left w:w="57" w:type="dxa"/>
              <w:bottom w:w="28" w:type="dxa"/>
              <w:right w:w="57" w:type="dxa"/>
            </w:tcMar>
            <w:vAlign w:val="center"/>
          </w:tcPr>
          <w:p w14:paraId="2F7CF84B">
            <w:pPr>
              <w:pStyle w:val="2"/>
              <w:widowControl w:val="0"/>
              <w:overflowPunct w:val="0"/>
              <w:autoSpaceDE w:val="0"/>
              <w:autoSpaceDN w:val="0"/>
              <w:adjustRightInd w:val="0"/>
              <w:snapToGrid w:val="0"/>
              <w:spacing w:after="0"/>
              <w:jc w:val="center"/>
              <w:rPr>
                <w:rFonts w:eastAsia="宋体"/>
                <w:sz w:val="20"/>
                <w:szCs w:val="20"/>
              </w:rPr>
            </w:pPr>
            <w:r>
              <w:rPr>
                <w:sz w:val="20"/>
                <w:szCs w:val="20"/>
              </w:rPr>
              <w:t>146 (35)</w:t>
            </w:r>
          </w:p>
        </w:tc>
      </w:tr>
      <w:tr w14:paraId="44745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694" w:type="dxa"/>
            <w:tcBorders>
              <w:top w:val="nil"/>
              <w:left w:val="nil"/>
              <w:bottom w:val="nil"/>
              <w:right w:val="nil"/>
            </w:tcBorders>
            <w:shd w:val="clear" w:color="auto" w:fill="auto"/>
            <w:tcMar>
              <w:top w:w="28" w:type="dxa"/>
              <w:left w:w="57" w:type="dxa"/>
              <w:bottom w:w="28" w:type="dxa"/>
              <w:right w:w="57" w:type="dxa"/>
            </w:tcMar>
            <w:vAlign w:val="center"/>
          </w:tcPr>
          <w:p w14:paraId="1AD00C66">
            <w:pPr>
              <w:pStyle w:val="2"/>
              <w:widowControl w:val="0"/>
              <w:overflowPunct w:val="0"/>
              <w:autoSpaceDE w:val="0"/>
              <w:autoSpaceDN w:val="0"/>
              <w:adjustRightInd w:val="0"/>
              <w:snapToGrid w:val="0"/>
              <w:spacing w:after="0"/>
              <w:jc w:val="center"/>
              <w:rPr>
                <w:rFonts w:eastAsia="宋体"/>
                <w:sz w:val="20"/>
                <w:szCs w:val="20"/>
              </w:rPr>
            </w:pPr>
            <w:r>
              <w:rPr>
                <w:sz w:val="20"/>
                <w:szCs w:val="20"/>
              </w:rPr>
              <w:t>Medium (e.g., electrical installation)</w:t>
            </w:r>
          </w:p>
        </w:tc>
        <w:tc>
          <w:tcPr>
            <w:tcW w:w="1986" w:type="dxa"/>
            <w:tcBorders>
              <w:top w:val="nil"/>
              <w:left w:val="nil"/>
              <w:bottom w:val="nil"/>
              <w:right w:val="nil"/>
            </w:tcBorders>
            <w:shd w:val="clear" w:color="auto" w:fill="auto"/>
            <w:tcMar>
              <w:top w:w="28" w:type="dxa"/>
              <w:left w:w="57" w:type="dxa"/>
              <w:bottom w:w="28" w:type="dxa"/>
              <w:right w:w="57" w:type="dxa"/>
            </w:tcMar>
            <w:vAlign w:val="center"/>
          </w:tcPr>
          <w:p w14:paraId="3A78698A">
            <w:pPr>
              <w:pStyle w:val="2"/>
              <w:widowControl w:val="0"/>
              <w:overflowPunct w:val="0"/>
              <w:autoSpaceDE w:val="0"/>
              <w:autoSpaceDN w:val="0"/>
              <w:adjustRightInd w:val="0"/>
              <w:snapToGrid w:val="0"/>
              <w:spacing w:after="0"/>
              <w:jc w:val="center"/>
              <w:rPr>
                <w:rFonts w:eastAsia="宋体"/>
                <w:sz w:val="20"/>
                <w:szCs w:val="20"/>
              </w:rPr>
            </w:pPr>
            <w:r>
              <w:rPr>
                <w:sz w:val="20"/>
                <w:szCs w:val="20"/>
              </w:rPr>
              <w:t>167 (40)</w:t>
            </w:r>
          </w:p>
        </w:tc>
        <w:tc>
          <w:tcPr>
            <w:tcW w:w="2340" w:type="dxa"/>
            <w:tcBorders>
              <w:top w:val="nil"/>
              <w:left w:val="nil"/>
              <w:bottom w:val="nil"/>
              <w:right w:val="nil"/>
            </w:tcBorders>
            <w:shd w:val="clear" w:color="auto" w:fill="auto"/>
            <w:tcMar>
              <w:top w:w="28" w:type="dxa"/>
              <w:left w:w="57" w:type="dxa"/>
              <w:bottom w:w="28" w:type="dxa"/>
              <w:right w:w="57" w:type="dxa"/>
            </w:tcMar>
            <w:vAlign w:val="center"/>
          </w:tcPr>
          <w:p w14:paraId="3875ADB9">
            <w:pPr>
              <w:pStyle w:val="2"/>
              <w:widowControl w:val="0"/>
              <w:overflowPunct w:val="0"/>
              <w:autoSpaceDE w:val="0"/>
              <w:autoSpaceDN w:val="0"/>
              <w:adjustRightInd w:val="0"/>
              <w:snapToGrid w:val="0"/>
              <w:spacing w:after="0"/>
              <w:jc w:val="center"/>
              <w:rPr>
                <w:rFonts w:eastAsia="宋体"/>
                <w:sz w:val="20"/>
                <w:szCs w:val="20"/>
              </w:rPr>
            </w:pPr>
            <w:r>
              <w:rPr>
                <w:sz w:val="20"/>
                <w:szCs w:val="20"/>
              </w:rPr>
              <w:t>125–146 (30–35)</w:t>
            </w:r>
          </w:p>
        </w:tc>
        <w:tc>
          <w:tcPr>
            <w:tcW w:w="2340" w:type="dxa"/>
            <w:tcBorders>
              <w:top w:val="nil"/>
              <w:left w:val="nil"/>
              <w:bottom w:val="nil"/>
              <w:right w:val="nil"/>
            </w:tcBorders>
            <w:shd w:val="clear" w:color="auto" w:fill="auto"/>
            <w:tcMar>
              <w:top w:w="28" w:type="dxa"/>
              <w:left w:w="57" w:type="dxa"/>
              <w:bottom w:w="28" w:type="dxa"/>
              <w:right w:w="57" w:type="dxa"/>
            </w:tcMar>
            <w:vAlign w:val="center"/>
          </w:tcPr>
          <w:p w14:paraId="15965CD7">
            <w:pPr>
              <w:pStyle w:val="2"/>
              <w:widowControl w:val="0"/>
              <w:overflowPunct w:val="0"/>
              <w:autoSpaceDE w:val="0"/>
              <w:autoSpaceDN w:val="0"/>
              <w:adjustRightInd w:val="0"/>
              <w:snapToGrid w:val="0"/>
              <w:spacing w:after="0"/>
              <w:jc w:val="center"/>
              <w:rPr>
                <w:rFonts w:eastAsia="宋体"/>
                <w:sz w:val="20"/>
                <w:szCs w:val="20"/>
              </w:rPr>
            </w:pPr>
            <w:r>
              <w:rPr>
                <w:sz w:val="20"/>
                <w:szCs w:val="20"/>
              </w:rPr>
              <w:t>125 (30)</w:t>
            </w:r>
          </w:p>
        </w:tc>
      </w:tr>
      <w:tr w14:paraId="1814F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694" w:type="dxa"/>
            <w:tcBorders>
              <w:top w:val="nil"/>
              <w:left w:val="nil"/>
              <w:bottom w:val="nil"/>
              <w:right w:val="nil"/>
            </w:tcBorders>
            <w:shd w:val="clear" w:color="auto" w:fill="auto"/>
            <w:tcMar>
              <w:top w:w="28" w:type="dxa"/>
              <w:left w:w="57" w:type="dxa"/>
              <w:bottom w:w="28" w:type="dxa"/>
              <w:right w:w="57" w:type="dxa"/>
            </w:tcMar>
            <w:vAlign w:val="center"/>
          </w:tcPr>
          <w:p w14:paraId="3DD2467E">
            <w:pPr>
              <w:pStyle w:val="2"/>
              <w:widowControl w:val="0"/>
              <w:overflowPunct w:val="0"/>
              <w:autoSpaceDE w:val="0"/>
              <w:autoSpaceDN w:val="0"/>
              <w:adjustRightInd w:val="0"/>
              <w:snapToGrid w:val="0"/>
              <w:spacing w:after="0"/>
              <w:jc w:val="center"/>
              <w:rPr>
                <w:rFonts w:eastAsia="宋体"/>
                <w:sz w:val="20"/>
                <w:szCs w:val="20"/>
              </w:rPr>
            </w:pPr>
            <w:r>
              <w:rPr>
                <w:sz w:val="20"/>
                <w:szCs w:val="20"/>
              </w:rPr>
              <w:t>Mild (e.g., sedentary work)</w:t>
            </w:r>
          </w:p>
        </w:tc>
        <w:tc>
          <w:tcPr>
            <w:tcW w:w="1986" w:type="dxa"/>
            <w:tcBorders>
              <w:top w:val="nil"/>
              <w:left w:val="nil"/>
              <w:bottom w:val="nil"/>
              <w:right w:val="nil"/>
            </w:tcBorders>
            <w:shd w:val="clear" w:color="auto" w:fill="auto"/>
            <w:tcMar>
              <w:top w:w="28" w:type="dxa"/>
              <w:left w:w="57" w:type="dxa"/>
              <w:bottom w:w="28" w:type="dxa"/>
              <w:right w:w="57" w:type="dxa"/>
            </w:tcMar>
            <w:vAlign w:val="center"/>
          </w:tcPr>
          <w:p w14:paraId="46E71EAC">
            <w:pPr>
              <w:pStyle w:val="2"/>
              <w:widowControl w:val="0"/>
              <w:overflowPunct w:val="0"/>
              <w:autoSpaceDE w:val="0"/>
              <w:autoSpaceDN w:val="0"/>
              <w:adjustRightInd w:val="0"/>
              <w:snapToGrid w:val="0"/>
              <w:spacing w:after="0"/>
              <w:jc w:val="center"/>
              <w:rPr>
                <w:rFonts w:eastAsia="宋体"/>
                <w:sz w:val="20"/>
                <w:szCs w:val="20"/>
              </w:rPr>
            </w:pPr>
            <w:r>
              <w:rPr>
                <w:sz w:val="20"/>
                <w:szCs w:val="20"/>
              </w:rPr>
              <w:t>146 (35)</w:t>
            </w:r>
          </w:p>
        </w:tc>
        <w:tc>
          <w:tcPr>
            <w:tcW w:w="2340" w:type="dxa"/>
            <w:tcBorders>
              <w:top w:val="nil"/>
              <w:left w:val="nil"/>
              <w:bottom w:val="nil"/>
              <w:right w:val="nil"/>
            </w:tcBorders>
            <w:shd w:val="clear" w:color="auto" w:fill="auto"/>
            <w:tcMar>
              <w:top w:w="28" w:type="dxa"/>
              <w:left w:w="57" w:type="dxa"/>
              <w:bottom w:w="28" w:type="dxa"/>
              <w:right w:w="57" w:type="dxa"/>
            </w:tcMar>
            <w:vAlign w:val="center"/>
          </w:tcPr>
          <w:p w14:paraId="2B909097">
            <w:pPr>
              <w:pStyle w:val="2"/>
              <w:widowControl w:val="0"/>
              <w:overflowPunct w:val="0"/>
              <w:autoSpaceDE w:val="0"/>
              <w:autoSpaceDN w:val="0"/>
              <w:adjustRightInd w:val="0"/>
              <w:snapToGrid w:val="0"/>
              <w:spacing w:after="0"/>
              <w:jc w:val="center"/>
              <w:rPr>
                <w:rFonts w:eastAsia="宋体"/>
                <w:sz w:val="20"/>
                <w:szCs w:val="20"/>
              </w:rPr>
            </w:pPr>
            <w:r>
              <w:rPr>
                <w:sz w:val="20"/>
                <w:szCs w:val="20"/>
              </w:rPr>
              <w:t>104–125 (25–30)</w:t>
            </w:r>
          </w:p>
        </w:tc>
        <w:tc>
          <w:tcPr>
            <w:tcW w:w="2340" w:type="dxa"/>
            <w:tcBorders>
              <w:top w:val="nil"/>
              <w:left w:val="nil"/>
              <w:bottom w:val="nil"/>
              <w:right w:val="nil"/>
            </w:tcBorders>
            <w:shd w:val="clear" w:color="auto" w:fill="auto"/>
            <w:tcMar>
              <w:top w:w="28" w:type="dxa"/>
              <w:left w:w="57" w:type="dxa"/>
              <w:bottom w:w="28" w:type="dxa"/>
              <w:right w:w="57" w:type="dxa"/>
            </w:tcMar>
            <w:vAlign w:val="center"/>
          </w:tcPr>
          <w:p w14:paraId="6407BE1B">
            <w:pPr>
              <w:pStyle w:val="2"/>
              <w:widowControl w:val="0"/>
              <w:overflowPunct w:val="0"/>
              <w:autoSpaceDE w:val="0"/>
              <w:autoSpaceDN w:val="0"/>
              <w:adjustRightInd w:val="0"/>
              <w:snapToGrid w:val="0"/>
              <w:spacing w:after="0"/>
              <w:jc w:val="center"/>
              <w:rPr>
                <w:rFonts w:eastAsia="宋体"/>
                <w:sz w:val="20"/>
                <w:szCs w:val="20"/>
              </w:rPr>
            </w:pPr>
            <w:r>
              <w:rPr>
                <w:sz w:val="20"/>
                <w:szCs w:val="20"/>
              </w:rPr>
              <w:t>84–104 (20–25)</w:t>
            </w:r>
          </w:p>
        </w:tc>
      </w:tr>
      <w:tr w14:paraId="26225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2694" w:type="dxa"/>
            <w:tcBorders>
              <w:top w:val="nil"/>
              <w:left w:val="nil"/>
              <w:right w:val="nil"/>
            </w:tcBorders>
            <w:shd w:val="clear" w:color="auto" w:fill="auto"/>
            <w:tcMar>
              <w:top w:w="28" w:type="dxa"/>
              <w:left w:w="57" w:type="dxa"/>
              <w:bottom w:w="28" w:type="dxa"/>
              <w:right w:w="57" w:type="dxa"/>
            </w:tcMar>
            <w:vAlign w:val="center"/>
          </w:tcPr>
          <w:p w14:paraId="77309EFF">
            <w:pPr>
              <w:pStyle w:val="2"/>
              <w:widowControl w:val="0"/>
              <w:overflowPunct w:val="0"/>
              <w:autoSpaceDE w:val="0"/>
              <w:autoSpaceDN w:val="0"/>
              <w:adjustRightInd w:val="0"/>
              <w:snapToGrid w:val="0"/>
              <w:spacing w:after="0"/>
              <w:jc w:val="center"/>
              <w:rPr>
                <w:rFonts w:eastAsia="宋体"/>
                <w:sz w:val="20"/>
                <w:szCs w:val="20"/>
              </w:rPr>
            </w:pPr>
            <w:r>
              <w:rPr>
                <w:sz w:val="20"/>
                <w:szCs w:val="20"/>
              </w:rPr>
              <w:t>At rest (e.g., staying in bed)</w:t>
            </w:r>
          </w:p>
        </w:tc>
        <w:tc>
          <w:tcPr>
            <w:tcW w:w="1986" w:type="dxa"/>
            <w:tcBorders>
              <w:top w:val="nil"/>
              <w:left w:val="nil"/>
              <w:right w:val="nil"/>
            </w:tcBorders>
            <w:shd w:val="clear" w:color="auto" w:fill="auto"/>
            <w:tcMar>
              <w:top w:w="28" w:type="dxa"/>
              <w:left w:w="57" w:type="dxa"/>
              <w:bottom w:w="28" w:type="dxa"/>
              <w:right w:w="57" w:type="dxa"/>
            </w:tcMar>
            <w:vAlign w:val="center"/>
          </w:tcPr>
          <w:p w14:paraId="1F509F04">
            <w:pPr>
              <w:pStyle w:val="2"/>
              <w:widowControl w:val="0"/>
              <w:overflowPunct w:val="0"/>
              <w:autoSpaceDE w:val="0"/>
              <w:autoSpaceDN w:val="0"/>
              <w:adjustRightInd w:val="0"/>
              <w:snapToGrid w:val="0"/>
              <w:spacing w:after="0"/>
              <w:jc w:val="center"/>
              <w:rPr>
                <w:rFonts w:eastAsia="宋体"/>
                <w:sz w:val="20"/>
                <w:szCs w:val="20"/>
              </w:rPr>
            </w:pPr>
            <w:r>
              <w:rPr>
                <w:sz w:val="20"/>
                <w:szCs w:val="20"/>
              </w:rPr>
              <w:t>104–125 (25–30)</w:t>
            </w:r>
          </w:p>
        </w:tc>
        <w:tc>
          <w:tcPr>
            <w:tcW w:w="2340" w:type="dxa"/>
            <w:tcBorders>
              <w:top w:val="nil"/>
              <w:left w:val="nil"/>
              <w:right w:val="nil"/>
            </w:tcBorders>
            <w:shd w:val="clear" w:color="auto" w:fill="auto"/>
            <w:tcMar>
              <w:top w:w="28" w:type="dxa"/>
              <w:left w:w="57" w:type="dxa"/>
              <w:bottom w:w="28" w:type="dxa"/>
              <w:right w:w="57" w:type="dxa"/>
            </w:tcMar>
            <w:vAlign w:val="center"/>
          </w:tcPr>
          <w:p w14:paraId="72F11206">
            <w:pPr>
              <w:pStyle w:val="2"/>
              <w:widowControl w:val="0"/>
              <w:overflowPunct w:val="0"/>
              <w:autoSpaceDE w:val="0"/>
              <w:autoSpaceDN w:val="0"/>
              <w:adjustRightInd w:val="0"/>
              <w:snapToGrid w:val="0"/>
              <w:spacing w:after="0"/>
              <w:jc w:val="center"/>
              <w:rPr>
                <w:rFonts w:eastAsia="宋体"/>
                <w:sz w:val="20"/>
                <w:szCs w:val="20"/>
              </w:rPr>
            </w:pPr>
            <w:r>
              <w:rPr>
                <w:sz w:val="20"/>
                <w:szCs w:val="20"/>
              </w:rPr>
              <w:t>84–104 (20–25)</w:t>
            </w:r>
          </w:p>
        </w:tc>
        <w:tc>
          <w:tcPr>
            <w:tcW w:w="2340" w:type="dxa"/>
            <w:tcBorders>
              <w:top w:val="nil"/>
              <w:left w:val="nil"/>
              <w:right w:val="nil"/>
            </w:tcBorders>
            <w:shd w:val="clear" w:color="auto" w:fill="auto"/>
            <w:tcMar>
              <w:top w:w="28" w:type="dxa"/>
              <w:left w:w="57" w:type="dxa"/>
              <w:bottom w:w="28" w:type="dxa"/>
              <w:right w:w="57" w:type="dxa"/>
            </w:tcMar>
            <w:vAlign w:val="center"/>
          </w:tcPr>
          <w:p w14:paraId="254D6B83">
            <w:pPr>
              <w:pStyle w:val="2"/>
              <w:widowControl w:val="0"/>
              <w:overflowPunct w:val="0"/>
              <w:autoSpaceDE w:val="0"/>
              <w:autoSpaceDN w:val="0"/>
              <w:adjustRightInd w:val="0"/>
              <w:snapToGrid w:val="0"/>
              <w:spacing w:after="0"/>
              <w:jc w:val="center"/>
              <w:rPr>
                <w:rFonts w:eastAsia="宋体"/>
                <w:sz w:val="20"/>
                <w:szCs w:val="20"/>
              </w:rPr>
            </w:pPr>
            <w:r>
              <w:rPr>
                <w:sz w:val="20"/>
                <w:szCs w:val="20"/>
              </w:rPr>
              <w:t>62–84 (15–20)</w:t>
            </w:r>
          </w:p>
        </w:tc>
      </w:tr>
      <w:tr w14:paraId="01C66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c>
          <w:tcPr>
            <w:tcW w:w="9360" w:type="dxa"/>
            <w:gridSpan w:val="4"/>
            <w:tcBorders>
              <w:left w:val="nil"/>
              <w:bottom w:val="nil"/>
              <w:right w:val="nil"/>
            </w:tcBorders>
            <w:shd w:val="clear" w:color="auto" w:fill="auto"/>
            <w:tcMar>
              <w:top w:w="28" w:type="dxa"/>
              <w:left w:w="57" w:type="dxa"/>
              <w:bottom w:w="28" w:type="dxa"/>
              <w:right w:w="57" w:type="dxa"/>
            </w:tcMar>
            <w:vAlign w:val="center"/>
          </w:tcPr>
          <w:p w14:paraId="4F6F741D">
            <w:pPr>
              <w:pStyle w:val="2"/>
              <w:widowControl w:val="0"/>
              <w:overflowPunct w:val="0"/>
              <w:autoSpaceDE w:val="0"/>
              <w:autoSpaceDN w:val="0"/>
              <w:adjustRightInd w:val="0"/>
              <w:snapToGrid w:val="0"/>
              <w:spacing w:after="0"/>
              <w:rPr>
                <w:rFonts w:eastAsia="宋体"/>
                <w:sz w:val="20"/>
                <w:szCs w:val="20"/>
              </w:rPr>
            </w:pPr>
            <w:r>
              <w:rPr>
                <w:sz w:val="20"/>
                <w:szCs w:val="20"/>
              </w:rPr>
              <w:t>Note: Calculation method of standard body weight issued by the World Health Organization (1999): standard body weight of males = [height (cm) − 100] × 0.9 (kg); standard body weight of females = [height (cm) − 100] × 0.9 (kg) − 2.5 (kg); according to the judgment standard for body mass index in China, ≤ 18.5 kg/m</w:t>
            </w:r>
            <w:r>
              <w:rPr>
                <w:sz w:val="20"/>
                <w:szCs w:val="20"/>
                <w:vertAlign w:val="superscript"/>
              </w:rPr>
              <w:t>2</w:t>
            </w:r>
            <w:r>
              <w:rPr>
                <w:sz w:val="20"/>
                <w:szCs w:val="20"/>
              </w:rPr>
              <w:t xml:space="preserve"> represents underweight, 18.6–23.9 kg/m</w:t>
            </w:r>
            <w:r>
              <w:rPr>
                <w:sz w:val="20"/>
                <w:szCs w:val="20"/>
                <w:vertAlign w:val="superscript"/>
              </w:rPr>
              <w:t>2</w:t>
            </w:r>
            <w:r>
              <w:rPr>
                <w:sz w:val="20"/>
                <w:szCs w:val="20"/>
              </w:rPr>
              <w:t xml:space="preserve"> represents normal weight, 24–27.9 kg/m</w:t>
            </w:r>
            <w:r>
              <w:rPr>
                <w:sz w:val="20"/>
                <w:szCs w:val="20"/>
                <w:vertAlign w:val="superscript"/>
              </w:rPr>
              <w:t>2</w:t>
            </w:r>
            <w:r>
              <w:rPr>
                <w:sz w:val="20"/>
                <w:szCs w:val="20"/>
              </w:rPr>
              <w:t xml:space="preserve"> represents overweight, and ≥ 28.0 kg/m</w:t>
            </w:r>
            <w:r>
              <w:rPr>
                <w:sz w:val="20"/>
                <w:szCs w:val="20"/>
                <w:vertAlign w:val="superscript"/>
              </w:rPr>
              <w:t>2</w:t>
            </w:r>
            <w:r>
              <w:rPr>
                <w:sz w:val="20"/>
                <w:szCs w:val="20"/>
              </w:rPr>
              <w:t xml:space="preserve"> represents obesity</w:t>
            </w:r>
          </w:p>
        </w:tc>
      </w:tr>
    </w:tbl>
    <w:p w14:paraId="347BA98D">
      <w:pPr>
        <w:numPr>
          <w:ilvl w:val="0"/>
          <w:numId w:val="50"/>
        </w:numPr>
        <w:overflowPunct w:val="0"/>
        <w:autoSpaceDE w:val="0"/>
        <w:autoSpaceDN w:val="0"/>
        <w:adjustRightInd w:val="0"/>
        <w:snapToGrid w:val="0"/>
        <w:spacing w:before="120" w:beforeLines="50" w:after="120" w:afterLines="50" w:line="300" w:lineRule="auto"/>
        <w:jc w:val="both"/>
        <w:rPr>
          <w:rFonts w:eastAsia="宋体"/>
          <w:b/>
          <w:bCs/>
        </w:rPr>
      </w:pPr>
      <w:r>
        <w:rPr>
          <w:b/>
          <w:bCs/>
        </w:rPr>
        <w:t>Fat</w:t>
      </w:r>
    </w:p>
    <w:p w14:paraId="07245D98">
      <w:pPr>
        <w:numPr>
          <w:ilvl w:val="0"/>
          <w:numId w:val="52"/>
        </w:numPr>
        <w:overflowPunct w:val="0"/>
        <w:autoSpaceDE w:val="0"/>
        <w:autoSpaceDN w:val="0"/>
        <w:adjustRightInd w:val="0"/>
        <w:snapToGrid w:val="0"/>
        <w:spacing w:before="120" w:beforeLines="50" w:after="120" w:afterLines="50" w:line="300" w:lineRule="auto"/>
        <w:ind w:hangingChars="177"/>
        <w:rPr>
          <w:rFonts w:eastAsia="宋体"/>
        </w:rPr>
      </w:pPr>
      <w:r>
        <w:t>The effects of different types of fat on blood glucose and cardiovascular disease vary considerably, making it difficult to accurately recommend dietary fat for energy supply. It is generally believed that dietary fat shall provide 20%–30% of the total energy. For high-quality fats (e.g., fats composed of monounsaturated fatty acids and n-3 polyunsaturated fatty acids), the fat-to-energy ratio can be increased to 35%.</w:t>
      </w:r>
    </w:p>
    <w:p w14:paraId="192752C2">
      <w:pPr>
        <w:numPr>
          <w:ilvl w:val="0"/>
          <w:numId w:val="52"/>
        </w:numPr>
        <w:overflowPunct w:val="0"/>
        <w:autoSpaceDE w:val="0"/>
        <w:autoSpaceDN w:val="0"/>
        <w:adjustRightInd w:val="0"/>
        <w:snapToGrid w:val="0"/>
        <w:spacing w:before="120" w:beforeLines="50" w:after="120" w:afterLines="50" w:line="300" w:lineRule="auto"/>
        <w:ind w:hangingChars="177"/>
        <w:rPr>
          <w:rFonts w:eastAsia="宋体"/>
        </w:rPr>
      </w:pPr>
      <w:r>
        <w:t>The intake of saturated fatty acids and trans fatty acids shall be limited as much as possible. Monounsaturated fatty acids and n-3 polyunsaturated fatty acids (e.g., fish oil, some nuts, and seeds) can help improve blood glucose and blood lipids and can be increased appropriately.</w:t>
      </w:r>
    </w:p>
    <w:p w14:paraId="149E9B58">
      <w:pPr>
        <w:numPr>
          <w:ilvl w:val="0"/>
          <w:numId w:val="52"/>
        </w:numPr>
        <w:overflowPunct w:val="0"/>
        <w:autoSpaceDE w:val="0"/>
        <w:autoSpaceDN w:val="0"/>
        <w:adjustRightInd w:val="0"/>
        <w:snapToGrid w:val="0"/>
        <w:spacing w:before="120" w:beforeLines="50" w:after="120" w:afterLines="50" w:line="300" w:lineRule="auto"/>
        <w:ind w:hangingChars="177"/>
        <w:rPr>
          <w:rFonts w:eastAsia="宋体"/>
        </w:rPr>
      </w:pPr>
      <w:r>
        <w:t>According to the "Dietary Guidelines for Chinese Residents (2016)", excessive intake of dietary cholesterol shall be controlled.</w:t>
      </w:r>
    </w:p>
    <w:p w14:paraId="23BA41A8">
      <w:pPr>
        <w:numPr>
          <w:ilvl w:val="0"/>
          <w:numId w:val="50"/>
        </w:numPr>
        <w:overflowPunct w:val="0"/>
        <w:autoSpaceDE w:val="0"/>
        <w:autoSpaceDN w:val="0"/>
        <w:adjustRightInd w:val="0"/>
        <w:snapToGrid w:val="0"/>
        <w:spacing w:before="120" w:beforeLines="50" w:after="120" w:afterLines="50" w:line="300" w:lineRule="auto"/>
        <w:jc w:val="both"/>
        <w:rPr>
          <w:rFonts w:eastAsia="宋体"/>
          <w:b/>
          <w:bCs/>
        </w:rPr>
      </w:pPr>
      <w:r>
        <w:rPr>
          <w:b/>
          <w:bCs/>
        </w:rPr>
        <w:t>Carbohydrates</w:t>
      </w:r>
    </w:p>
    <w:p w14:paraId="3B7596D5">
      <w:pPr>
        <w:numPr>
          <w:ilvl w:val="0"/>
          <w:numId w:val="53"/>
        </w:numPr>
        <w:overflowPunct w:val="0"/>
        <w:autoSpaceDE w:val="0"/>
        <w:autoSpaceDN w:val="0"/>
        <w:adjustRightInd w:val="0"/>
        <w:snapToGrid w:val="0"/>
        <w:spacing w:before="120" w:beforeLines="50" w:after="120" w:afterLines="50" w:line="300" w:lineRule="auto"/>
        <w:ind w:hangingChars="177"/>
        <w:rPr>
          <w:rFonts w:eastAsia="宋体"/>
        </w:rPr>
      </w:pPr>
      <w:r>
        <w:t>The results of the Atherosclerosis Risk in Communities (ARIC) study have shown that the risk of all-cause mortality is the lowest when carbohydrates provide 50% to 55% of the total energy. Considering the dietary habits of diabetic patients in China, it is recommended that the energy provided by carbohydrates in the diet of most diabetic patients accounts for 50% to 65% of the total energy. For diabetic patients with poor postprandial blood glucose control, the carbohydrate energy supply ratio can be appropriately reduced. Long-term use of very low carbohydrate diets is not recommended.</w:t>
      </w:r>
    </w:p>
    <w:p w14:paraId="29284A30">
      <w:pPr>
        <w:numPr>
          <w:ilvl w:val="0"/>
          <w:numId w:val="53"/>
        </w:numPr>
        <w:overflowPunct w:val="0"/>
        <w:autoSpaceDE w:val="0"/>
        <w:autoSpaceDN w:val="0"/>
        <w:adjustRightInd w:val="0"/>
        <w:snapToGrid w:val="0"/>
        <w:spacing w:before="120" w:beforeLines="50" w:after="120" w:afterLines="50" w:line="300" w:lineRule="auto"/>
        <w:ind w:hangingChars="177"/>
        <w:rPr>
          <w:rFonts w:eastAsia="宋体"/>
        </w:rPr>
      </w:pPr>
      <w:r>
        <w:t>While controlling the total amount of carbohydrates, carbohydrates with a low glycemic index shall be selected. Non-starchy vegetables, fruits, and whole grains can be appropriately increased to reduce the intake of processed grains. Whole grains shall account for more than half of total grains. The intake of whole grains is negatively associated with the risk of all-cause mortality, coronary heart disease, T2DM, and colorectal cancer.</w:t>
      </w:r>
    </w:p>
    <w:p w14:paraId="09B2E0FE">
      <w:pPr>
        <w:numPr>
          <w:ilvl w:val="0"/>
          <w:numId w:val="53"/>
        </w:numPr>
        <w:overflowPunct w:val="0"/>
        <w:autoSpaceDE w:val="0"/>
        <w:autoSpaceDN w:val="0"/>
        <w:adjustRightInd w:val="0"/>
        <w:snapToGrid w:val="0"/>
        <w:spacing w:before="120" w:beforeLines="50" w:after="120" w:afterLines="50" w:line="300" w:lineRule="auto"/>
        <w:ind w:hangingChars="177"/>
        <w:rPr>
          <w:rFonts w:eastAsia="宋体"/>
        </w:rPr>
      </w:pPr>
      <w:r>
        <w:t>Meals shall be served at regular intervals and amounts. Patients who inject insulin shall maintain a carbohydrate intake that matches the insulin dose and onset time.</w:t>
      </w:r>
    </w:p>
    <w:p w14:paraId="2E6E23AD">
      <w:pPr>
        <w:numPr>
          <w:ilvl w:val="0"/>
          <w:numId w:val="53"/>
        </w:numPr>
        <w:overflowPunct w:val="0"/>
        <w:autoSpaceDE w:val="0"/>
        <w:autoSpaceDN w:val="0"/>
        <w:adjustRightInd w:val="0"/>
        <w:snapToGrid w:val="0"/>
        <w:spacing w:before="120" w:beforeLines="50" w:after="120" w:afterLines="50" w:line="300" w:lineRule="auto"/>
        <w:ind w:hangingChars="177"/>
        <w:rPr>
          <w:rFonts w:eastAsia="宋体"/>
        </w:rPr>
      </w:pPr>
      <w:r>
        <w:t>Dietary fiber intake shall be increased. Dietary fiber intake shall be &gt; 14 g/1000 kcal per day in adults. Dietary fiber intake is negatively associated with the risk of all-cause mortality, coronary heart disease, T2DM, and colorectal cancer.</w:t>
      </w:r>
    </w:p>
    <w:p w14:paraId="525B6E8D">
      <w:pPr>
        <w:numPr>
          <w:ilvl w:val="0"/>
          <w:numId w:val="53"/>
        </w:numPr>
        <w:overflowPunct w:val="0"/>
        <w:autoSpaceDE w:val="0"/>
        <w:autoSpaceDN w:val="0"/>
        <w:adjustRightInd w:val="0"/>
        <w:snapToGrid w:val="0"/>
        <w:spacing w:before="120" w:beforeLines="50" w:after="120" w:afterLines="50" w:line="300" w:lineRule="auto"/>
        <w:ind w:hangingChars="177"/>
        <w:rPr>
          <w:rFonts w:eastAsia="宋体"/>
        </w:rPr>
      </w:pPr>
      <w:r>
        <w:t>The intake of sucrose and fructose products (e.g., corn syrup) shall be strictly controlled.</w:t>
      </w:r>
    </w:p>
    <w:p w14:paraId="18ACF4BC">
      <w:pPr>
        <w:numPr>
          <w:ilvl w:val="0"/>
          <w:numId w:val="53"/>
        </w:numPr>
        <w:overflowPunct w:val="0"/>
        <w:autoSpaceDE w:val="0"/>
        <w:autoSpaceDN w:val="0"/>
        <w:adjustRightInd w:val="0"/>
        <w:snapToGrid w:val="0"/>
        <w:spacing w:before="120" w:beforeLines="50" w:after="120" w:afterLines="50" w:line="300" w:lineRule="auto"/>
        <w:ind w:hangingChars="177"/>
        <w:rPr>
          <w:rFonts w:eastAsia="宋体"/>
        </w:rPr>
      </w:pPr>
      <w:r>
        <w:t>Diabetic patients who prefer sweets can consume sugar alcohols and non-nutritive sweeteners as appropriate.</w:t>
      </w:r>
    </w:p>
    <w:p w14:paraId="3E359E26">
      <w:pPr>
        <w:numPr>
          <w:ilvl w:val="0"/>
          <w:numId w:val="50"/>
        </w:numPr>
        <w:overflowPunct w:val="0"/>
        <w:autoSpaceDE w:val="0"/>
        <w:autoSpaceDN w:val="0"/>
        <w:adjustRightInd w:val="0"/>
        <w:snapToGrid w:val="0"/>
        <w:spacing w:before="120" w:beforeLines="50" w:after="120" w:afterLines="50" w:line="300" w:lineRule="auto"/>
        <w:rPr>
          <w:rFonts w:eastAsia="宋体"/>
          <w:b/>
          <w:bCs/>
        </w:rPr>
      </w:pPr>
      <w:r>
        <w:rPr>
          <w:b/>
          <w:bCs/>
        </w:rPr>
        <w:t>Protein</w:t>
      </w:r>
    </w:p>
    <w:p w14:paraId="2A00E715">
      <w:pPr>
        <w:numPr>
          <w:ilvl w:val="0"/>
          <w:numId w:val="54"/>
        </w:numPr>
        <w:overflowPunct w:val="0"/>
        <w:autoSpaceDE w:val="0"/>
        <w:autoSpaceDN w:val="0"/>
        <w:adjustRightInd w:val="0"/>
        <w:snapToGrid w:val="0"/>
        <w:spacing w:before="120" w:beforeLines="50" w:after="120" w:afterLines="50" w:line="300" w:lineRule="auto"/>
        <w:ind w:hangingChars="177"/>
        <w:rPr>
          <w:rFonts w:eastAsia="宋体"/>
        </w:rPr>
      </w:pPr>
      <w:r>
        <w:t>For diabetic patients with normal renal function, it is recommended that the protein energy supply ratio be 15% to 20%, and that high-quality protein accounts for more than half of the total protein.</w:t>
      </w:r>
    </w:p>
    <w:p w14:paraId="7FADCAD8">
      <w:pPr>
        <w:numPr>
          <w:ilvl w:val="0"/>
          <w:numId w:val="54"/>
        </w:numPr>
        <w:overflowPunct w:val="0"/>
        <w:autoSpaceDE w:val="0"/>
        <w:autoSpaceDN w:val="0"/>
        <w:adjustRightInd w:val="0"/>
        <w:snapToGrid w:val="0"/>
        <w:spacing w:before="120" w:beforeLines="50" w:after="120" w:afterLines="50" w:line="300" w:lineRule="auto"/>
        <w:ind w:hangingChars="177"/>
        <w:rPr>
          <w:rFonts w:eastAsia="宋体"/>
        </w:rPr>
      </w:pPr>
      <w:r>
        <w:t>Protein intake in diabetic patients with overt proteinuria or decreased glomerular filtration rate shall be controlled at 0.8g/kg body weight per day.</w:t>
      </w:r>
    </w:p>
    <w:p w14:paraId="494BC5D7">
      <w:pPr>
        <w:numPr>
          <w:ilvl w:val="0"/>
          <w:numId w:val="50"/>
        </w:numPr>
        <w:overflowPunct w:val="0"/>
        <w:autoSpaceDE w:val="0"/>
        <w:autoSpaceDN w:val="0"/>
        <w:adjustRightInd w:val="0"/>
        <w:snapToGrid w:val="0"/>
        <w:spacing w:before="120" w:beforeLines="50" w:after="120" w:afterLines="50" w:line="300" w:lineRule="auto"/>
        <w:rPr>
          <w:rFonts w:eastAsia="宋体"/>
          <w:b/>
          <w:bCs/>
        </w:rPr>
      </w:pPr>
      <w:r>
        <w:rPr>
          <w:b/>
          <w:bCs/>
        </w:rPr>
        <w:t>Alcohol use</w:t>
      </w:r>
    </w:p>
    <w:p w14:paraId="7AF1AF3B">
      <w:pPr>
        <w:numPr>
          <w:ilvl w:val="0"/>
          <w:numId w:val="55"/>
        </w:numPr>
        <w:overflowPunct w:val="0"/>
        <w:autoSpaceDE w:val="0"/>
        <w:autoSpaceDN w:val="0"/>
        <w:adjustRightInd w:val="0"/>
        <w:snapToGrid w:val="0"/>
        <w:spacing w:before="120" w:beforeLines="50" w:after="120" w:afterLines="50" w:line="300" w:lineRule="auto"/>
        <w:rPr>
          <w:rFonts w:eastAsia="宋体"/>
        </w:rPr>
      </w:pPr>
      <w:r>
        <w:t>Alcohol use is not recommended in diabetic patients. The total energy contained in alcohol, when consumed, shall be calculated.</w:t>
      </w:r>
    </w:p>
    <w:p w14:paraId="24DC5A61">
      <w:pPr>
        <w:numPr>
          <w:ilvl w:val="0"/>
          <w:numId w:val="55"/>
        </w:numPr>
        <w:overflowPunct w:val="0"/>
        <w:autoSpaceDE w:val="0"/>
        <w:autoSpaceDN w:val="0"/>
        <w:adjustRightInd w:val="0"/>
        <w:snapToGrid w:val="0"/>
        <w:spacing w:before="120" w:beforeLines="50" w:after="120" w:afterLines="50" w:line="300" w:lineRule="auto"/>
        <w:rPr>
          <w:rFonts w:eastAsia="宋体"/>
        </w:rPr>
      </w:pPr>
      <w:r>
        <w:t>The alcohol consumption shall not exceed 15 g/day for women and 25 g/day for men (15 g of alcohol is equivalent to 350 mL of beer, 150 mL of wine, or 45 mL of distilled spirits). Alcohol use shall be limited to no more than twice per week.</w:t>
      </w:r>
    </w:p>
    <w:p w14:paraId="3483FD1A">
      <w:pPr>
        <w:numPr>
          <w:ilvl w:val="0"/>
          <w:numId w:val="55"/>
        </w:numPr>
        <w:overflowPunct w:val="0"/>
        <w:autoSpaceDE w:val="0"/>
        <w:autoSpaceDN w:val="0"/>
        <w:adjustRightInd w:val="0"/>
        <w:snapToGrid w:val="0"/>
        <w:spacing w:before="120" w:beforeLines="50" w:after="120" w:afterLines="50" w:line="300" w:lineRule="auto"/>
        <w:rPr>
          <w:rFonts w:eastAsia="宋体"/>
        </w:rPr>
      </w:pPr>
      <w:r>
        <w:t>Caution shall be exercised against possible alcohol-induced hypoglycemia, especially in patients taking sulfonylureas or injecting insulin and insulin analogs, alcohol use on an empty stomach shall be avoided and blood glucose shall be strictly monitored.</w:t>
      </w:r>
    </w:p>
    <w:p w14:paraId="46919B52">
      <w:pPr>
        <w:numPr>
          <w:ilvl w:val="0"/>
          <w:numId w:val="50"/>
        </w:numPr>
        <w:overflowPunct w:val="0"/>
        <w:autoSpaceDE w:val="0"/>
        <w:autoSpaceDN w:val="0"/>
        <w:adjustRightInd w:val="0"/>
        <w:snapToGrid w:val="0"/>
        <w:spacing w:before="120" w:beforeLines="50" w:after="120" w:afterLines="50" w:line="300" w:lineRule="auto"/>
        <w:rPr>
          <w:rFonts w:eastAsia="宋体"/>
          <w:b/>
          <w:bCs/>
        </w:rPr>
      </w:pPr>
      <w:r>
        <w:rPr>
          <w:b/>
          <w:bCs/>
        </w:rPr>
        <w:t>Salt</w:t>
      </w:r>
    </w:p>
    <w:p w14:paraId="5B008090">
      <w:pPr>
        <w:numPr>
          <w:ilvl w:val="0"/>
          <w:numId w:val="56"/>
        </w:numPr>
        <w:overflowPunct w:val="0"/>
        <w:autoSpaceDE w:val="0"/>
        <w:autoSpaceDN w:val="0"/>
        <w:adjustRightInd w:val="0"/>
        <w:snapToGrid w:val="0"/>
        <w:spacing w:before="120" w:beforeLines="50" w:after="120" w:afterLines="50" w:line="300" w:lineRule="auto"/>
        <w:rPr>
          <w:rFonts w:eastAsia="宋体"/>
        </w:rPr>
      </w:pPr>
      <w:r>
        <w:t>Salt intake shall be limited to less than 5 g per day and may be further limited in patients with concomitant hypertension.</w:t>
      </w:r>
    </w:p>
    <w:p w14:paraId="3D51041B">
      <w:pPr>
        <w:numPr>
          <w:ilvl w:val="0"/>
          <w:numId w:val="56"/>
        </w:numPr>
        <w:overflowPunct w:val="0"/>
        <w:autoSpaceDE w:val="0"/>
        <w:autoSpaceDN w:val="0"/>
        <w:adjustRightInd w:val="0"/>
        <w:snapToGrid w:val="0"/>
        <w:spacing w:before="120" w:beforeLines="50" w:after="120" w:afterLines="50" w:line="300" w:lineRule="auto"/>
        <w:rPr>
          <w:rFonts w:eastAsia="宋体"/>
        </w:rPr>
      </w:pPr>
      <w:r>
        <w:t>Meanwhile, the intake of food containing high salt, such as monosodium glutamate, soy sauce, salt-soaked food, and flavored sauces, shall be limited.</w:t>
      </w:r>
    </w:p>
    <w:p w14:paraId="681759F2">
      <w:pPr>
        <w:numPr>
          <w:ilvl w:val="0"/>
          <w:numId w:val="50"/>
        </w:numPr>
        <w:overflowPunct w:val="0"/>
        <w:autoSpaceDE w:val="0"/>
        <w:autoSpaceDN w:val="0"/>
        <w:adjustRightInd w:val="0"/>
        <w:snapToGrid w:val="0"/>
        <w:spacing w:before="120" w:beforeLines="50" w:after="120" w:afterLines="50" w:line="300" w:lineRule="auto"/>
        <w:rPr>
          <w:rFonts w:eastAsia="宋体"/>
          <w:b/>
          <w:bCs/>
        </w:rPr>
      </w:pPr>
      <w:r>
        <w:rPr>
          <w:b/>
          <w:bCs/>
        </w:rPr>
        <w:t>Micronutrients</w:t>
      </w:r>
    </w:p>
    <w:p w14:paraId="62E28675">
      <w:pPr>
        <w:overflowPunct w:val="0"/>
        <w:autoSpaceDE w:val="0"/>
        <w:autoSpaceDN w:val="0"/>
        <w:adjustRightInd w:val="0"/>
        <w:snapToGrid w:val="0"/>
        <w:spacing w:before="120" w:beforeLines="50" w:after="120" w:afterLines="50" w:line="300" w:lineRule="auto"/>
        <w:rPr>
          <w:rFonts w:eastAsia="宋体"/>
        </w:rPr>
      </w:pPr>
      <w:r>
        <w:t>Diabetic patients are prone to deficiencies of B vitamins, vitamin C, vitamin D, and various micronutrients such as chromium, zinc, selenium, magnesium, iron, and manganese, which can be supplemented in appropriate amounts based on the nutritional assessment results. Vitamin B</w:t>
      </w:r>
      <w:r>
        <w:rPr>
          <w:vertAlign w:val="subscript"/>
        </w:rPr>
        <w:t>12</w:t>
      </w:r>
      <w:r>
        <w:t xml:space="preserve"> deficiency shall be prevented in long-term metformin users. Diabetic patients who do not have micronutrient deficiencies do not require long-term massive supplementation of vitamins, trace elements, as well as preparations such as plant extracts, whose long-term safety and role in improving clinical outcomes await validation.</w:t>
      </w:r>
    </w:p>
    <w:p w14:paraId="274D25C6">
      <w:pPr>
        <w:numPr>
          <w:ilvl w:val="0"/>
          <w:numId w:val="50"/>
        </w:numPr>
        <w:overflowPunct w:val="0"/>
        <w:autoSpaceDE w:val="0"/>
        <w:autoSpaceDN w:val="0"/>
        <w:adjustRightInd w:val="0"/>
        <w:snapToGrid w:val="0"/>
        <w:spacing w:before="120" w:beforeLines="50" w:after="120" w:afterLines="50" w:line="300" w:lineRule="auto"/>
        <w:rPr>
          <w:rFonts w:eastAsia="宋体"/>
          <w:b/>
          <w:bCs/>
        </w:rPr>
      </w:pPr>
      <w:r>
        <w:rPr>
          <w:b/>
          <w:bCs/>
        </w:rPr>
        <w:t>Dietary pattern</w:t>
      </w:r>
    </w:p>
    <w:p w14:paraId="1596F46F">
      <w:pPr>
        <w:overflowPunct w:val="0"/>
        <w:autoSpaceDE w:val="0"/>
        <w:autoSpaceDN w:val="0"/>
        <w:adjustRightInd w:val="0"/>
        <w:snapToGrid w:val="0"/>
        <w:spacing w:before="120" w:beforeLines="50" w:after="120" w:afterLines="50" w:line="288" w:lineRule="auto"/>
        <w:rPr>
          <w:rFonts w:eastAsia="宋体"/>
        </w:rPr>
      </w:pPr>
      <w:r>
        <w:t>No specific dietary pattern is recommended for diabetic patients. Mediterranean diets, vegetarian diets, low-carbohydrate diets, and low-fat and low-energy diets all contribute to weight control in the short term, but shall be completed under the guidance of professionals, taking into account the patient's metabolic goals and personal preferences (e.g., custom, culture, religion, health concept, and economic condition), and the blood lipids, renal function, and changes in visceral proteins shall be monitored simultaneously.</w:t>
      </w:r>
    </w:p>
    <w:p w14:paraId="32B9A6B3">
      <w:pPr>
        <w:pStyle w:val="2"/>
        <w:overflowPunct w:val="0"/>
        <w:autoSpaceDE w:val="0"/>
        <w:autoSpaceDN w:val="0"/>
        <w:adjustRightInd w:val="0"/>
        <w:snapToGrid w:val="0"/>
        <w:spacing w:before="120" w:beforeLines="50" w:afterLines="50" w:line="288" w:lineRule="auto"/>
        <w:rPr>
          <w:rFonts w:eastAsia="宋体"/>
          <w:b/>
          <w:bCs/>
          <w:u w:val="single"/>
        </w:rPr>
      </w:pPr>
      <w:r>
        <w:rPr>
          <w:b/>
          <w:bCs/>
          <w:u w:val="single"/>
        </w:rPr>
        <w:t>Exercise guidance</w:t>
      </w:r>
    </w:p>
    <w:p w14:paraId="173CE750">
      <w:pPr>
        <w:numPr>
          <w:ilvl w:val="0"/>
          <w:numId w:val="57"/>
        </w:numPr>
        <w:overflowPunct w:val="0"/>
        <w:autoSpaceDE w:val="0"/>
        <w:autoSpaceDN w:val="0"/>
        <w:adjustRightInd w:val="0"/>
        <w:snapToGrid w:val="0"/>
        <w:spacing w:before="120" w:beforeLines="50" w:after="120" w:afterLines="50" w:line="288" w:lineRule="auto"/>
        <w:rPr>
          <w:rFonts w:eastAsia="宋体"/>
        </w:rPr>
      </w:pPr>
      <w:r>
        <w:t>Exercise therapies shall be conducted under the guidance of relevant professionals. Necessary health evaluation and exercise ability evaluation before exercise can help ensure the safety and scientificity of exercise therapies.</w:t>
      </w:r>
    </w:p>
    <w:p w14:paraId="1682AA14">
      <w:pPr>
        <w:numPr>
          <w:ilvl w:val="0"/>
          <w:numId w:val="57"/>
        </w:numPr>
        <w:overflowPunct w:val="0"/>
        <w:autoSpaceDE w:val="0"/>
        <w:autoSpaceDN w:val="0"/>
        <w:adjustRightInd w:val="0"/>
        <w:snapToGrid w:val="0"/>
        <w:spacing w:before="120" w:beforeLines="50" w:after="120" w:afterLines="50" w:line="288" w:lineRule="auto"/>
        <w:rPr>
          <w:rFonts w:eastAsia="宋体"/>
        </w:rPr>
      </w:pPr>
      <w:r>
        <w:t xml:space="preserve">Adult patients with T2DM shall engage in moderate-intensity (50% to 70% of the maximum heart rate, with moderate effort, accelerated but not shortened heart rate and breathing) aerobic exercise for at least 150 min per week (e.g., 5 d of exercise per week, 30 min each </w:t>
      </w:r>
      <w:r>
        <w:rPr>
          <w:spacing w:val="-6"/>
        </w:rPr>
        <w:t>time). Even a short period of physical exercise (e.g., 10 min), accumulating 30 min/d, is beneficial.</w:t>
      </w:r>
    </w:p>
    <w:p w14:paraId="2DC375B8">
      <w:pPr>
        <w:numPr>
          <w:ilvl w:val="0"/>
          <w:numId w:val="57"/>
        </w:numPr>
        <w:overflowPunct w:val="0"/>
        <w:autoSpaceDE w:val="0"/>
        <w:autoSpaceDN w:val="0"/>
        <w:adjustRightInd w:val="0"/>
        <w:snapToGrid w:val="0"/>
        <w:spacing w:before="120" w:beforeLines="50" w:after="120" w:afterLines="50" w:line="300" w:lineRule="auto"/>
        <w:rPr>
          <w:rFonts w:eastAsia="宋体"/>
        </w:rPr>
      </w:pPr>
      <w:r>
        <w:t>Moderate-intensity sports include brisk walking, tai chi, cycling, table tennis, badminton, and golf. Higher-intensity sports include fast-paced dancing, aerobics, swimming, cycling uphill, soccer, and basketball.</w:t>
      </w:r>
    </w:p>
    <w:p w14:paraId="3E87CD04">
      <w:pPr>
        <w:numPr>
          <w:ilvl w:val="0"/>
          <w:numId w:val="57"/>
        </w:numPr>
        <w:overflowPunct w:val="0"/>
        <w:autoSpaceDE w:val="0"/>
        <w:autoSpaceDN w:val="0"/>
        <w:adjustRightInd w:val="0"/>
        <w:snapToGrid w:val="0"/>
        <w:spacing w:before="120" w:beforeLines="50" w:after="120" w:afterLines="50" w:line="300" w:lineRule="auto"/>
        <w:rPr>
          <w:rFonts w:eastAsia="宋体"/>
        </w:rPr>
      </w:pPr>
      <w:r>
        <w:t>If there are no contraindications, it is best to perform resistance exercise 2 to 3 times per week (≥ 48 h between two exercises) to build muscle strength and endurance. Exercise sites shall include the main muscle groups such as the upper limbs, lower limbs, and trunk, with moderate training intensity. The combination of resistance exercise and aerobic exercise may result in greater metabolic improvement.</w:t>
      </w:r>
    </w:p>
    <w:p w14:paraId="7AD0DCA1">
      <w:pPr>
        <w:numPr>
          <w:ilvl w:val="0"/>
          <w:numId w:val="57"/>
        </w:numPr>
        <w:overflowPunct w:val="0"/>
        <w:autoSpaceDE w:val="0"/>
        <w:autoSpaceDN w:val="0"/>
        <w:adjustRightInd w:val="0"/>
        <w:snapToGrid w:val="0"/>
        <w:spacing w:before="120" w:beforeLines="50" w:after="120" w:afterLines="50" w:line="300" w:lineRule="auto"/>
        <w:rPr>
          <w:rFonts w:eastAsia="宋体"/>
        </w:rPr>
      </w:pPr>
      <w:r>
        <w:t>The exercise prescription shall be formulated following the principle of individualization. The exercise program shall be matched with the patient's age, condition, preference, and physical tolerance, and shall be regularly evaluated to adjust the exercise plan as appropriate. The use of wearable devices for exercise (e.g., pedometers) can help improve exercise compliance. Blood glucose monitoring shall be strengthened before and after exercise. When exercising heavily or intensely, patients shall be advised to temporarily adjust their diet and drug therapy regimen to avoid hypoglycemia. Water shall be supplemented in a timely manner during exercise.</w:t>
      </w:r>
    </w:p>
    <w:p w14:paraId="39AD05F3">
      <w:pPr>
        <w:numPr>
          <w:ilvl w:val="0"/>
          <w:numId w:val="57"/>
        </w:numPr>
        <w:overflowPunct w:val="0"/>
        <w:autoSpaceDE w:val="0"/>
        <w:autoSpaceDN w:val="0"/>
        <w:adjustRightInd w:val="0"/>
        <w:snapToGrid w:val="0"/>
        <w:spacing w:before="120" w:beforeLines="50" w:after="120" w:afterLines="50" w:line="300" w:lineRule="auto"/>
        <w:rPr>
          <w:rFonts w:eastAsia="宋体"/>
        </w:rPr>
      </w:pPr>
      <w:r>
        <w:t>Healthy living habits shall be developed. An active lifestyle shall be developed, such as increasing daily physical activity, breaking sedentary behavior, reducing sitting time, and incorporating beneficial physical activity into daily life.</w:t>
      </w:r>
    </w:p>
    <w:p w14:paraId="3DC9FFB0">
      <w:pPr>
        <w:numPr>
          <w:ilvl w:val="0"/>
          <w:numId w:val="57"/>
        </w:numPr>
        <w:overflowPunct w:val="0"/>
        <w:autoSpaceDE w:val="0"/>
        <w:autoSpaceDN w:val="0"/>
        <w:adjustRightInd w:val="0"/>
        <w:snapToGrid w:val="0"/>
        <w:spacing w:before="120" w:beforeLines="50" w:after="120" w:afterLines="50" w:line="300" w:lineRule="auto"/>
        <w:rPr>
          <w:rFonts w:eastAsia="宋体"/>
        </w:rPr>
      </w:pPr>
      <w:r>
        <w:t>Exercise shall be contraindicated in the case of acute metabolic complications such as severe hypoglycemia and diabetic ketoacidosis, concomitant acute infection, proliferative retinopathy, and severe cardiovascular and cerebrovascular diseases (unstable angina pectoris, severe arrhythmia, and transient ischemic attack), and exercise can be resumed gradually only when the condition is under control and stable.</w:t>
      </w:r>
    </w:p>
    <w:p w14:paraId="0962D690">
      <w:pPr>
        <w:numPr>
          <w:ilvl w:val="0"/>
          <w:numId w:val="57"/>
        </w:numPr>
        <w:overflowPunct w:val="0"/>
        <w:autoSpaceDE w:val="0"/>
        <w:autoSpaceDN w:val="0"/>
        <w:adjustRightInd w:val="0"/>
        <w:snapToGrid w:val="0"/>
        <w:spacing w:before="120" w:beforeLines="50" w:after="120" w:afterLines="50" w:line="300" w:lineRule="auto"/>
        <w:rPr>
          <w:rFonts w:eastAsia="宋体"/>
        </w:rPr>
      </w:pPr>
      <w:r>
        <w:t>T2DM patients generally do not need to postpone exercise due to hyperglycemia as long as they feel well. If blood glucose is &gt;16.7 mmol/L during strenuous physical activity, caution shall be exercised to ensure that water are adequately supplemented for the patients.</w:t>
      </w:r>
    </w:p>
    <w:p w14:paraId="3C554DC6">
      <w:pPr>
        <w:pStyle w:val="2"/>
        <w:overflowPunct w:val="0"/>
        <w:autoSpaceDE w:val="0"/>
        <w:autoSpaceDN w:val="0"/>
        <w:adjustRightInd w:val="0"/>
        <w:snapToGrid w:val="0"/>
        <w:spacing w:before="120" w:beforeLines="50" w:afterLines="50" w:line="300" w:lineRule="auto"/>
        <w:rPr>
          <w:rFonts w:eastAsia="宋体"/>
        </w:rPr>
        <w:sectPr>
          <w:endnotePr>
            <w:numFmt w:val="decimal"/>
          </w:endnotePr>
          <w:pgSz w:w="12240" w:h="15840"/>
          <w:pgMar w:top="1440" w:right="1440" w:bottom="1440" w:left="1440" w:header="720" w:footer="720" w:gutter="0"/>
          <w:cols w:space="720" w:num="1"/>
          <w:docGrid w:linePitch="326" w:charSpace="0"/>
        </w:sectPr>
      </w:pPr>
      <w:r>
        <w:t>Reference: Chinese Diabetes Society, Chinese Medical Association. Guideline for the Prevention and Treatment of Type 2 Diabetes Mellitus in China (2020 Edition) [J]. Chinese Journal of Diabetes Mellitus, 2021, 13(4): 95.</w:t>
      </w:r>
    </w:p>
    <w:p w14:paraId="61D6B9FD">
      <w:pPr>
        <w:pStyle w:val="196"/>
        <w:rPr>
          <w:rFonts w:eastAsia="宋体"/>
        </w:rPr>
      </w:pPr>
      <w:bookmarkStart w:id="573" w:name="F7"/>
      <w:bookmarkStart w:id="574" w:name="_Toc159596341"/>
      <w:r>
        <w:t xml:space="preserve">Appendix </w:t>
      </w:r>
      <w:bookmarkEnd w:id="572"/>
      <w:r>
        <w:t>7</w:t>
      </w:r>
      <w:bookmarkEnd w:id="573"/>
      <w:r>
        <w:t>: Methods of Contraception and Requirements</w:t>
      </w:r>
      <w:bookmarkEnd w:id="574"/>
    </w:p>
    <w:p w14:paraId="05AA0617">
      <w:pPr>
        <w:overflowPunct w:val="0"/>
        <w:autoSpaceDE w:val="0"/>
        <w:autoSpaceDN w:val="0"/>
        <w:adjustRightInd w:val="0"/>
        <w:snapToGrid w:val="0"/>
        <w:spacing w:before="120" w:beforeLines="50" w:after="120" w:afterLines="50" w:line="300" w:lineRule="auto"/>
        <w:rPr>
          <w:rFonts w:eastAsia="宋体"/>
        </w:rPr>
      </w:pPr>
      <w:r>
        <w:t>At present, there is no information on the use of RAY1225 injection in pregnant women. Female subjects of childbearing age and male subjects shall be reminded to take contraception measures and avoid pregnancy during the study from the screening period to 6 months after the last dose of the study drug.</w:t>
      </w:r>
    </w:p>
    <w:p w14:paraId="66B85866">
      <w:pPr>
        <w:overflowPunct w:val="0"/>
        <w:autoSpaceDE w:val="0"/>
        <w:autoSpaceDN w:val="0"/>
        <w:adjustRightInd w:val="0"/>
        <w:snapToGrid w:val="0"/>
        <w:spacing w:before="120" w:beforeLines="50" w:after="120" w:afterLines="50" w:line="300" w:lineRule="auto"/>
        <w:rPr>
          <w:rFonts w:eastAsia="宋体"/>
        </w:rPr>
      </w:pPr>
      <w:r>
        <w:t>Female subjects of childbearing age must have a negative result in the pregnancy test within 7 days prior to the first dose. Female subjects with documented evidence of any of the following may be exempted from a blood pregnancy test in the screening period:</w:t>
      </w:r>
    </w:p>
    <w:p w14:paraId="49243C29">
      <w:pPr>
        <w:pStyle w:val="78"/>
        <w:numPr>
          <w:ilvl w:val="0"/>
          <w:numId w:val="58"/>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Postmenopausal women (amenorrhea for ≥ 2 years as confirmed by a follicle-stimulating hormone test);</w:t>
      </w:r>
    </w:p>
    <w:p w14:paraId="0E24DB72">
      <w:pPr>
        <w:pStyle w:val="78"/>
        <w:numPr>
          <w:ilvl w:val="0"/>
          <w:numId w:val="58"/>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Sterilized women (amputation of uterus, bilateral oophorectomy, or tubal ligation).</w:t>
      </w:r>
    </w:p>
    <w:p w14:paraId="37036321">
      <w:pPr>
        <w:overflowPunct w:val="0"/>
        <w:autoSpaceDE w:val="0"/>
        <w:autoSpaceDN w:val="0"/>
        <w:adjustRightInd w:val="0"/>
        <w:snapToGrid w:val="0"/>
        <w:spacing w:before="120" w:beforeLines="50" w:after="120" w:afterLines="50" w:line="300" w:lineRule="auto"/>
        <w:rPr>
          <w:rFonts w:eastAsia="宋体"/>
        </w:rPr>
      </w:pPr>
      <w:r>
        <w:t>Due to the delayed gastric emptying effect, the combined use of RAY1225 and oral contraceptives may reduce the efficacy of contraception. For more information, refer to the latest version of the investigator's brochure for RAY1225.</w:t>
      </w:r>
    </w:p>
    <w:p w14:paraId="17FEC41B">
      <w:pPr>
        <w:overflowPunct w:val="0"/>
        <w:autoSpaceDE w:val="0"/>
        <w:autoSpaceDN w:val="0"/>
        <w:adjustRightInd w:val="0"/>
        <w:snapToGrid w:val="0"/>
        <w:spacing w:before="120" w:beforeLines="50" w:after="120" w:afterLines="50" w:line="300" w:lineRule="auto"/>
        <w:rPr>
          <w:rFonts w:eastAsia="宋体"/>
        </w:rPr>
      </w:pPr>
      <w:r>
        <w:t>Therefore, subjects and their partners of childbearing age must adhere to the following effective methods of contraception from the screening period to 6 months after the last dose of the study drug. Effective methods of contraception include:</w:t>
      </w:r>
    </w:p>
    <w:p w14:paraId="23B5EE7E">
      <w:pPr>
        <w:pStyle w:val="78"/>
        <w:numPr>
          <w:ilvl w:val="0"/>
          <w:numId w:val="59"/>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Full sexual abstinence throughout the study. Periodic abstinence (e.g., calendar, ovulation, sympto-thermal, and post-ovulation methods) is not permitted;</w:t>
      </w:r>
    </w:p>
    <w:p w14:paraId="158B1179">
      <w:pPr>
        <w:pStyle w:val="78"/>
        <w:numPr>
          <w:ilvl w:val="0"/>
          <w:numId w:val="59"/>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Intra-uterine device (IUD) with an annual failure rate &lt; 1%;</w:t>
      </w:r>
    </w:p>
    <w:p w14:paraId="1329FD31">
      <w:pPr>
        <w:pStyle w:val="78"/>
        <w:numPr>
          <w:ilvl w:val="0"/>
          <w:numId w:val="59"/>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Cervical caps or dutch caps with spermicide;</w:t>
      </w:r>
    </w:p>
    <w:p w14:paraId="4CE2F70C">
      <w:pPr>
        <w:pStyle w:val="78"/>
        <w:numPr>
          <w:ilvl w:val="0"/>
          <w:numId w:val="59"/>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Tubal ligation;</w:t>
      </w:r>
    </w:p>
    <w:p w14:paraId="3A2C74AE">
      <w:pPr>
        <w:pStyle w:val="78"/>
        <w:numPr>
          <w:ilvl w:val="0"/>
          <w:numId w:val="59"/>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Vasoligation for male partners;</w:t>
      </w:r>
    </w:p>
    <w:p w14:paraId="56851193">
      <w:pPr>
        <w:pStyle w:val="78"/>
        <w:numPr>
          <w:ilvl w:val="0"/>
          <w:numId w:val="59"/>
        </w:numPr>
        <w:overflowPunct w:val="0"/>
        <w:autoSpaceDE w:val="0"/>
        <w:autoSpaceDN w:val="0"/>
        <w:adjustRightInd w:val="0"/>
        <w:snapToGrid w:val="0"/>
        <w:spacing w:before="120" w:beforeLines="50" w:after="120" w:afterLines="50" w:line="300" w:lineRule="auto"/>
        <w:jc w:val="left"/>
        <w:rPr>
          <w:rFonts w:hAnsi="Times New Roman" w:eastAsia="宋体" w:cs="Times New Roman"/>
          <w:color w:val="auto"/>
        </w:rPr>
      </w:pPr>
      <w:r>
        <w:rPr>
          <w:rFonts w:hAnsi="Times New Roman" w:cs="Times New Roman"/>
          <w:color w:val="auto"/>
        </w:rPr>
        <w:t>Hormonal methods of contraception (e.g., levonorgestrel implants, injectable progesterone, and vaginal contraceptive rings) via percutaneous, injectable, or implantable routes of administration that can be adhered to and used properly.</w:t>
      </w:r>
    </w:p>
    <w:p w14:paraId="4A00107D">
      <w:pPr>
        <w:overflowPunct w:val="0"/>
        <w:autoSpaceDE w:val="0"/>
        <w:autoSpaceDN w:val="0"/>
        <w:adjustRightInd w:val="0"/>
        <w:snapToGrid w:val="0"/>
        <w:spacing w:before="120" w:beforeLines="50" w:after="120" w:afterLines="50" w:line="300" w:lineRule="auto"/>
        <w:rPr>
          <w:rFonts w:eastAsia="宋体"/>
        </w:rPr>
      </w:pPr>
      <w:r>
        <w:t>If female subjects or partners of male subjects use oral drugs for contraception, they must switch to or concomitantly use one of the effective methods of contraception listed above.</w:t>
      </w:r>
    </w:p>
    <w:p w14:paraId="7B9B74F7">
      <w:pPr>
        <w:overflowPunct w:val="0"/>
        <w:autoSpaceDE w:val="0"/>
        <w:autoSpaceDN w:val="0"/>
        <w:adjustRightInd w:val="0"/>
        <w:snapToGrid w:val="0"/>
        <w:spacing w:before="120" w:beforeLines="50" w:after="120" w:afterLines="50" w:line="300" w:lineRule="auto"/>
        <w:rPr>
          <w:rFonts w:eastAsia="宋体"/>
        </w:rPr>
      </w:pPr>
      <w:r>
        <w:t>Male subjects must agree to refrain from supplying sperm to females from the screening period to 6 months after the last dose of the study drug.</w:t>
      </w:r>
    </w:p>
    <w:p w14:paraId="3E829EFD">
      <w:pPr>
        <w:pageBreakBefore/>
        <w:overflowPunct w:val="0"/>
        <w:autoSpaceDE w:val="0"/>
        <w:autoSpaceDN w:val="0"/>
        <w:adjustRightInd w:val="0"/>
        <w:snapToGrid w:val="0"/>
        <w:spacing w:before="120" w:beforeLines="50" w:after="120" w:afterLines="50" w:line="300" w:lineRule="auto"/>
        <w:rPr>
          <w:rFonts w:eastAsia="宋体"/>
        </w:rPr>
      </w:pPr>
      <w:r>
        <w:t xml:space="preserve">If a subject (or the partner) becomes pregnant at any time during the study, or if the subject becomes pregnant within 6 months after the last dose of the study drug (the partner of a male subject becomes pregnant within 6 months), the subject will notify the investigator as instructed. </w:t>
      </w:r>
      <w:bookmarkStart w:id="575" w:name="OLE_LINK26"/>
      <w:r>
        <w:t>Subjects who are pregnant or suspected to be pregnant are required to immediately report this information to the investigator and discontinue the study drug</w:t>
      </w:r>
      <w:bookmarkEnd w:id="575"/>
      <w:r>
        <w:t>. If the partner of a male subject becomes pregnant, he will not be required to withdraw from the study, but his partner shall be recorded, reported, and followed up in the same manner as female subjects who become pregnant.</w:t>
      </w:r>
      <w:r>
        <w:br w:type="page"/>
      </w:r>
    </w:p>
    <w:p w14:paraId="6B345FBC">
      <w:pPr>
        <w:pStyle w:val="196"/>
        <w:rPr>
          <w:rFonts w:eastAsia="宋体"/>
        </w:rPr>
      </w:pPr>
      <w:bookmarkStart w:id="576" w:name="_Ref121758043"/>
      <w:bookmarkStart w:id="577" w:name="F8"/>
      <w:bookmarkStart w:id="578" w:name="_Toc159596342"/>
      <w:r>
        <w:t xml:space="preserve">Appendix </w:t>
      </w:r>
      <w:bookmarkEnd w:id="553"/>
      <w:bookmarkEnd w:id="576"/>
      <w:r>
        <w:t>8</w:t>
      </w:r>
      <w:bookmarkEnd w:id="577"/>
      <w:r>
        <w:t>: Blood Sampling Time Deviations</w:t>
      </w:r>
      <w:bookmarkEnd w:id="554"/>
      <w:bookmarkEnd w:id="555"/>
      <w:bookmarkEnd w:id="556"/>
      <w:bookmarkEnd w:id="557"/>
      <w:bookmarkEnd w:id="558"/>
      <w:bookmarkEnd w:id="578"/>
    </w:p>
    <w:p w14:paraId="5349A8C1">
      <w:pPr>
        <w:overflowPunct w:val="0"/>
        <w:autoSpaceDE w:val="0"/>
        <w:autoSpaceDN w:val="0"/>
        <w:adjustRightInd w:val="0"/>
        <w:snapToGrid w:val="0"/>
        <w:spacing w:before="120" w:beforeLines="50" w:after="120" w:afterLines="50" w:line="300" w:lineRule="auto"/>
        <w:rPr>
          <w:rFonts w:eastAsia="宋体"/>
        </w:rPr>
      </w:pPr>
      <w:r>
        <w:t>In this study, blood samples shall be collected within the allowed time frame. The specific blood sampling time window requirements for the dose escalation group and acetaminophen PK in Part B are shown in the table below.</w:t>
      </w:r>
    </w:p>
    <w:p w14:paraId="4BDBDEE3">
      <w:pPr>
        <w:overflowPunct w:val="0"/>
        <w:autoSpaceDE w:val="0"/>
        <w:autoSpaceDN w:val="0"/>
        <w:adjustRightInd w:val="0"/>
        <w:snapToGrid w:val="0"/>
        <w:spacing w:before="120" w:beforeLines="50" w:after="120" w:afterLines="50" w:line="300" w:lineRule="auto"/>
        <w:rPr>
          <w:rFonts w:eastAsia="宋体"/>
        </w:rPr>
      </w:pPr>
      <w:r>
        <w:t>Any failure to comply with the allowable blood sampling time frame shall be immediately documented in the relevant source data sheet. Disposable sterile syringes and needles shall be used for blood sampling.</w:t>
      </w:r>
    </w:p>
    <w:p w14:paraId="5478F524">
      <w:pPr>
        <w:pStyle w:val="15"/>
        <w:rPr>
          <w:rFonts w:eastAsia="宋体"/>
        </w:rPr>
      </w:pPr>
      <w:bookmarkStart w:id="579" w:name="_Ref119921441"/>
      <w:bookmarkStart w:id="580" w:name="_Toc159511678"/>
      <w:r>
        <w:t xml:space="preserve">Table </w:t>
      </w:r>
      <w:r>
        <w:rPr>
          <w:rFonts w:eastAsia="宋体"/>
        </w:rPr>
        <w:fldChar w:fldCharType="begin"/>
      </w:r>
      <w:r>
        <w:rPr>
          <w:rFonts w:eastAsia="宋体"/>
        </w:rPr>
        <w:instrText xml:space="preserve"> SEQ 表 \* ARABIC </w:instrText>
      </w:r>
      <w:r>
        <w:rPr>
          <w:rFonts w:eastAsia="宋体"/>
        </w:rPr>
        <w:fldChar w:fldCharType="separate"/>
      </w:r>
      <w:r>
        <w:rPr>
          <w:rFonts w:eastAsia="宋体"/>
        </w:rPr>
        <w:t>4</w:t>
      </w:r>
      <w:r>
        <w:rPr>
          <w:rFonts w:eastAsia="宋体"/>
        </w:rPr>
        <w:fldChar w:fldCharType="end"/>
      </w:r>
      <w:bookmarkEnd w:id="579"/>
      <w:r>
        <w:t xml:space="preserve">. </w:t>
      </w:r>
      <w:bookmarkStart w:id="581" w:name="_Ref119921437"/>
      <w:r>
        <w:t>Blood sampling time deviations for the dose escalation group in Part B</w:t>
      </w:r>
      <w:bookmarkEnd w:id="580"/>
      <w:bookmarkEnd w:id="581"/>
    </w:p>
    <w:tbl>
      <w:tblPr>
        <w:tblStyle w:val="42"/>
        <w:tblW w:w="5000" w:type="pct"/>
        <w:tblInd w:w="0" w:type="dxa"/>
        <w:tblLayout w:type="autofit"/>
        <w:tblCellMar>
          <w:top w:w="28" w:type="dxa"/>
          <w:left w:w="57" w:type="dxa"/>
          <w:bottom w:w="28" w:type="dxa"/>
          <w:right w:w="57" w:type="dxa"/>
        </w:tblCellMar>
      </w:tblPr>
      <w:tblGrid>
        <w:gridCol w:w="4396"/>
        <w:gridCol w:w="5078"/>
      </w:tblGrid>
      <w:tr w14:paraId="0D4E1183">
        <w:tblPrEx>
          <w:tblCellMar>
            <w:top w:w="28" w:type="dxa"/>
            <w:left w:w="57" w:type="dxa"/>
            <w:bottom w:w="28" w:type="dxa"/>
            <w:right w:w="57" w:type="dxa"/>
          </w:tblCellMar>
        </w:tblPrEx>
        <w:trPr>
          <w:trHeight w:val="20" w:hRule="atLeast"/>
        </w:trPr>
        <w:tc>
          <w:tcPr>
            <w:tcW w:w="2320" w:type="pct"/>
            <w:tcBorders>
              <w:top w:val="single" w:color="auto" w:sz="8" w:space="0"/>
              <w:left w:val="single" w:color="auto" w:sz="8" w:space="0"/>
              <w:bottom w:val="single" w:color="auto" w:sz="8" w:space="0"/>
              <w:right w:val="single" w:color="auto" w:sz="8" w:space="0"/>
            </w:tcBorders>
            <w:tcMar>
              <w:top w:w="28" w:type="dxa"/>
              <w:left w:w="57" w:type="dxa"/>
              <w:bottom w:w="28" w:type="dxa"/>
              <w:right w:w="57" w:type="dxa"/>
            </w:tcMar>
            <w:vAlign w:val="center"/>
          </w:tcPr>
          <w:p w14:paraId="3F613BB9">
            <w:pPr>
              <w:overflowPunct w:val="0"/>
              <w:autoSpaceDE w:val="0"/>
              <w:autoSpaceDN w:val="0"/>
              <w:adjustRightInd w:val="0"/>
              <w:snapToGrid w:val="0"/>
              <w:jc w:val="center"/>
              <w:rPr>
                <w:rFonts w:eastAsia="宋体"/>
                <w:b/>
                <w:bCs/>
                <w:sz w:val="20"/>
                <w:szCs w:val="20"/>
              </w:rPr>
            </w:pPr>
            <w:r>
              <w:rPr>
                <w:b/>
                <w:bCs/>
                <w:sz w:val="20"/>
                <w:szCs w:val="20"/>
              </w:rPr>
              <w:t>Blood sampling point</w:t>
            </w:r>
          </w:p>
        </w:tc>
        <w:tc>
          <w:tcPr>
            <w:tcW w:w="2680" w:type="pct"/>
            <w:tcBorders>
              <w:top w:val="single" w:color="auto" w:sz="8" w:space="0"/>
              <w:left w:val="nil"/>
              <w:bottom w:val="single" w:color="auto" w:sz="8" w:space="0"/>
              <w:right w:val="single" w:color="auto" w:sz="8" w:space="0"/>
            </w:tcBorders>
            <w:tcMar>
              <w:top w:w="28" w:type="dxa"/>
              <w:left w:w="57" w:type="dxa"/>
              <w:bottom w:w="28" w:type="dxa"/>
              <w:right w:w="57" w:type="dxa"/>
            </w:tcMar>
            <w:vAlign w:val="center"/>
          </w:tcPr>
          <w:p w14:paraId="103CF34A">
            <w:pPr>
              <w:overflowPunct w:val="0"/>
              <w:autoSpaceDE w:val="0"/>
              <w:autoSpaceDN w:val="0"/>
              <w:adjustRightInd w:val="0"/>
              <w:snapToGrid w:val="0"/>
              <w:jc w:val="center"/>
              <w:rPr>
                <w:rFonts w:eastAsia="宋体"/>
                <w:b/>
                <w:bCs/>
                <w:sz w:val="20"/>
                <w:szCs w:val="20"/>
              </w:rPr>
            </w:pPr>
            <w:r>
              <w:rPr>
                <w:b/>
                <w:bCs/>
                <w:sz w:val="20"/>
                <w:szCs w:val="20"/>
              </w:rPr>
              <w:t>Blood sampling time deviation</w:t>
            </w:r>
          </w:p>
        </w:tc>
      </w:tr>
      <w:tr w14:paraId="3BB012CE">
        <w:tblPrEx>
          <w:tblCellMar>
            <w:top w:w="28" w:type="dxa"/>
            <w:left w:w="57" w:type="dxa"/>
            <w:bottom w:w="28" w:type="dxa"/>
            <w:right w:w="57" w:type="dxa"/>
          </w:tblCellMar>
        </w:tblPrEx>
        <w:trPr>
          <w:trHeight w:val="20" w:hRule="atLeast"/>
        </w:trPr>
        <w:tc>
          <w:tcPr>
            <w:tcW w:w="2320" w:type="pct"/>
            <w:tcBorders>
              <w:top w:val="single" w:color="auto" w:sz="8" w:space="0"/>
              <w:left w:val="single" w:color="auto" w:sz="8" w:space="0"/>
              <w:bottom w:val="single" w:color="auto" w:sz="8" w:space="0"/>
              <w:right w:val="single" w:color="auto" w:sz="8" w:space="0"/>
            </w:tcBorders>
            <w:tcMar>
              <w:top w:w="28" w:type="dxa"/>
              <w:left w:w="57" w:type="dxa"/>
              <w:bottom w:w="28" w:type="dxa"/>
              <w:right w:w="57" w:type="dxa"/>
            </w:tcMar>
            <w:vAlign w:val="center"/>
          </w:tcPr>
          <w:p w14:paraId="070287D7">
            <w:pPr>
              <w:overflowPunct w:val="0"/>
              <w:autoSpaceDE w:val="0"/>
              <w:autoSpaceDN w:val="0"/>
              <w:adjustRightInd w:val="0"/>
              <w:snapToGrid w:val="0"/>
              <w:jc w:val="center"/>
              <w:rPr>
                <w:rFonts w:eastAsia="宋体"/>
                <w:sz w:val="20"/>
                <w:szCs w:val="20"/>
              </w:rPr>
            </w:pPr>
            <w:r>
              <w:rPr>
                <w:sz w:val="20"/>
                <w:szCs w:val="20"/>
              </w:rPr>
              <w:t>0</w:t>
            </w:r>
          </w:p>
        </w:tc>
        <w:tc>
          <w:tcPr>
            <w:tcW w:w="2680" w:type="pct"/>
            <w:tcBorders>
              <w:top w:val="nil"/>
              <w:left w:val="nil"/>
              <w:bottom w:val="single" w:color="auto" w:sz="8" w:space="0"/>
              <w:right w:val="single" w:color="auto" w:sz="8" w:space="0"/>
            </w:tcBorders>
            <w:tcMar>
              <w:top w:w="28" w:type="dxa"/>
              <w:left w:w="57" w:type="dxa"/>
              <w:bottom w:w="28" w:type="dxa"/>
              <w:right w:w="57" w:type="dxa"/>
            </w:tcMar>
            <w:vAlign w:val="center"/>
          </w:tcPr>
          <w:p w14:paraId="0721EDE5">
            <w:pPr>
              <w:overflowPunct w:val="0"/>
              <w:autoSpaceDE w:val="0"/>
              <w:autoSpaceDN w:val="0"/>
              <w:adjustRightInd w:val="0"/>
              <w:snapToGrid w:val="0"/>
              <w:jc w:val="center"/>
              <w:rPr>
                <w:rFonts w:eastAsia="宋体"/>
                <w:sz w:val="20"/>
                <w:szCs w:val="20"/>
              </w:rPr>
            </w:pPr>
            <w:r>
              <w:rPr>
                <w:sz w:val="20"/>
                <w:szCs w:val="20"/>
              </w:rPr>
              <w:t>Within 2 h before administration</w:t>
            </w:r>
          </w:p>
        </w:tc>
      </w:tr>
      <w:tr w14:paraId="3AC069AA">
        <w:tblPrEx>
          <w:tblCellMar>
            <w:top w:w="28" w:type="dxa"/>
            <w:left w:w="57" w:type="dxa"/>
            <w:bottom w:w="28" w:type="dxa"/>
            <w:right w:w="57" w:type="dxa"/>
          </w:tblCellMar>
        </w:tblPrEx>
        <w:trPr>
          <w:trHeight w:val="20" w:hRule="atLeast"/>
        </w:trPr>
        <w:tc>
          <w:tcPr>
            <w:tcW w:w="2320" w:type="pct"/>
            <w:tcBorders>
              <w:top w:val="single" w:color="auto" w:sz="8" w:space="0"/>
              <w:left w:val="single" w:color="auto" w:sz="8" w:space="0"/>
              <w:bottom w:val="single" w:color="auto" w:sz="8" w:space="0"/>
              <w:right w:val="single" w:color="auto" w:sz="8" w:space="0"/>
            </w:tcBorders>
            <w:tcMar>
              <w:top w:w="28" w:type="dxa"/>
              <w:left w:w="57" w:type="dxa"/>
              <w:bottom w:w="28" w:type="dxa"/>
              <w:right w:w="57" w:type="dxa"/>
            </w:tcMar>
            <w:vAlign w:val="center"/>
          </w:tcPr>
          <w:p w14:paraId="35A5689F">
            <w:pPr>
              <w:overflowPunct w:val="0"/>
              <w:autoSpaceDE w:val="0"/>
              <w:autoSpaceDN w:val="0"/>
              <w:adjustRightInd w:val="0"/>
              <w:snapToGrid w:val="0"/>
              <w:jc w:val="center"/>
              <w:rPr>
                <w:rFonts w:eastAsia="宋体"/>
                <w:sz w:val="20"/>
                <w:szCs w:val="20"/>
              </w:rPr>
            </w:pPr>
            <w:r>
              <w:rPr>
                <w:sz w:val="20"/>
                <w:szCs w:val="20"/>
              </w:rPr>
              <w:t>4 h</w:t>
            </w:r>
          </w:p>
        </w:tc>
        <w:tc>
          <w:tcPr>
            <w:tcW w:w="2680" w:type="pct"/>
            <w:tcBorders>
              <w:top w:val="nil"/>
              <w:left w:val="nil"/>
              <w:bottom w:val="single" w:color="auto" w:sz="8" w:space="0"/>
              <w:right w:val="single" w:color="auto" w:sz="8" w:space="0"/>
            </w:tcBorders>
            <w:tcMar>
              <w:top w:w="28" w:type="dxa"/>
              <w:left w:w="57" w:type="dxa"/>
              <w:bottom w:w="28" w:type="dxa"/>
              <w:right w:w="57" w:type="dxa"/>
            </w:tcMar>
            <w:vAlign w:val="center"/>
          </w:tcPr>
          <w:p w14:paraId="25AB614C">
            <w:pPr>
              <w:overflowPunct w:val="0"/>
              <w:autoSpaceDE w:val="0"/>
              <w:autoSpaceDN w:val="0"/>
              <w:adjustRightInd w:val="0"/>
              <w:snapToGrid w:val="0"/>
              <w:jc w:val="center"/>
              <w:rPr>
                <w:rFonts w:eastAsia="宋体"/>
                <w:sz w:val="20"/>
                <w:szCs w:val="20"/>
              </w:rPr>
            </w:pPr>
            <w:r>
              <w:rPr>
                <w:sz w:val="20"/>
                <w:szCs w:val="20"/>
              </w:rPr>
              <w:t>30 min</w:t>
            </w:r>
          </w:p>
        </w:tc>
      </w:tr>
      <w:tr w14:paraId="3182FA8A">
        <w:tblPrEx>
          <w:tblCellMar>
            <w:top w:w="28" w:type="dxa"/>
            <w:left w:w="57" w:type="dxa"/>
            <w:bottom w:w="28" w:type="dxa"/>
            <w:right w:w="57" w:type="dxa"/>
          </w:tblCellMar>
        </w:tblPrEx>
        <w:trPr>
          <w:trHeight w:val="20" w:hRule="atLeast"/>
        </w:trPr>
        <w:tc>
          <w:tcPr>
            <w:tcW w:w="2320" w:type="pct"/>
            <w:tcBorders>
              <w:top w:val="single" w:color="auto" w:sz="8" w:space="0"/>
              <w:left w:val="single" w:color="auto" w:sz="8" w:space="0"/>
              <w:bottom w:val="single" w:color="auto" w:sz="8" w:space="0"/>
              <w:right w:val="single" w:color="auto" w:sz="8" w:space="0"/>
            </w:tcBorders>
            <w:tcMar>
              <w:top w:w="28" w:type="dxa"/>
              <w:left w:w="57" w:type="dxa"/>
              <w:bottom w:w="28" w:type="dxa"/>
              <w:right w:w="57" w:type="dxa"/>
            </w:tcMar>
            <w:vAlign w:val="center"/>
          </w:tcPr>
          <w:p w14:paraId="6CCE2D8B">
            <w:pPr>
              <w:overflowPunct w:val="0"/>
              <w:autoSpaceDE w:val="0"/>
              <w:autoSpaceDN w:val="0"/>
              <w:adjustRightInd w:val="0"/>
              <w:snapToGrid w:val="0"/>
              <w:jc w:val="center"/>
              <w:rPr>
                <w:rFonts w:eastAsia="宋体"/>
                <w:sz w:val="20"/>
                <w:szCs w:val="20"/>
              </w:rPr>
            </w:pPr>
            <w:r>
              <w:rPr>
                <w:sz w:val="20"/>
                <w:szCs w:val="20"/>
              </w:rPr>
              <w:t>8 h</w:t>
            </w:r>
          </w:p>
        </w:tc>
        <w:tc>
          <w:tcPr>
            <w:tcW w:w="2680" w:type="pct"/>
            <w:tcBorders>
              <w:top w:val="nil"/>
              <w:left w:val="nil"/>
              <w:bottom w:val="single" w:color="auto" w:sz="8" w:space="0"/>
              <w:right w:val="single" w:color="auto" w:sz="8" w:space="0"/>
            </w:tcBorders>
            <w:tcMar>
              <w:top w:w="28" w:type="dxa"/>
              <w:left w:w="57" w:type="dxa"/>
              <w:bottom w:w="28" w:type="dxa"/>
              <w:right w:w="57" w:type="dxa"/>
            </w:tcMar>
            <w:vAlign w:val="center"/>
          </w:tcPr>
          <w:p w14:paraId="3CB61CFD">
            <w:pPr>
              <w:overflowPunct w:val="0"/>
              <w:autoSpaceDE w:val="0"/>
              <w:autoSpaceDN w:val="0"/>
              <w:adjustRightInd w:val="0"/>
              <w:snapToGrid w:val="0"/>
              <w:jc w:val="center"/>
              <w:rPr>
                <w:rFonts w:eastAsia="宋体"/>
                <w:sz w:val="20"/>
                <w:szCs w:val="20"/>
              </w:rPr>
            </w:pPr>
            <w:r>
              <w:rPr>
                <w:sz w:val="20"/>
                <w:szCs w:val="20"/>
              </w:rPr>
              <w:t>30 min</w:t>
            </w:r>
          </w:p>
        </w:tc>
      </w:tr>
      <w:tr w14:paraId="0F37078D">
        <w:tblPrEx>
          <w:tblCellMar>
            <w:top w:w="28" w:type="dxa"/>
            <w:left w:w="57" w:type="dxa"/>
            <w:bottom w:w="28" w:type="dxa"/>
            <w:right w:w="57" w:type="dxa"/>
          </w:tblCellMar>
        </w:tblPrEx>
        <w:trPr>
          <w:trHeight w:val="20" w:hRule="atLeast"/>
        </w:trPr>
        <w:tc>
          <w:tcPr>
            <w:tcW w:w="2320" w:type="pct"/>
            <w:tcBorders>
              <w:top w:val="single" w:color="auto" w:sz="8" w:space="0"/>
              <w:left w:val="single" w:color="auto" w:sz="8" w:space="0"/>
              <w:bottom w:val="single" w:color="auto" w:sz="8" w:space="0"/>
              <w:right w:val="single" w:color="auto" w:sz="8" w:space="0"/>
            </w:tcBorders>
            <w:tcMar>
              <w:top w:w="28" w:type="dxa"/>
              <w:left w:w="57" w:type="dxa"/>
              <w:bottom w:w="28" w:type="dxa"/>
              <w:right w:w="57" w:type="dxa"/>
            </w:tcMar>
            <w:vAlign w:val="center"/>
          </w:tcPr>
          <w:p w14:paraId="08D257CD">
            <w:pPr>
              <w:overflowPunct w:val="0"/>
              <w:autoSpaceDE w:val="0"/>
              <w:autoSpaceDN w:val="0"/>
              <w:adjustRightInd w:val="0"/>
              <w:snapToGrid w:val="0"/>
              <w:jc w:val="center"/>
              <w:rPr>
                <w:rFonts w:eastAsia="宋体"/>
                <w:sz w:val="20"/>
                <w:szCs w:val="20"/>
              </w:rPr>
            </w:pPr>
            <w:r>
              <w:rPr>
                <w:sz w:val="20"/>
                <w:szCs w:val="20"/>
              </w:rPr>
              <w:t>24 h</w:t>
            </w:r>
          </w:p>
        </w:tc>
        <w:tc>
          <w:tcPr>
            <w:tcW w:w="2680" w:type="pct"/>
            <w:tcBorders>
              <w:top w:val="nil"/>
              <w:left w:val="nil"/>
              <w:bottom w:val="single" w:color="auto" w:sz="8" w:space="0"/>
              <w:right w:val="single" w:color="auto" w:sz="8" w:space="0"/>
            </w:tcBorders>
            <w:tcMar>
              <w:top w:w="28" w:type="dxa"/>
              <w:left w:w="57" w:type="dxa"/>
              <w:bottom w:w="28" w:type="dxa"/>
              <w:right w:w="57" w:type="dxa"/>
            </w:tcMar>
            <w:vAlign w:val="center"/>
          </w:tcPr>
          <w:p w14:paraId="087F1AE2">
            <w:pPr>
              <w:overflowPunct w:val="0"/>
              <w:autoSpaceDE w:val="0"/>
              <w:autoSpaceDN w:val="0"/>
              <w:adjustRightInd w:val="0"/>
              <w:snapToGrid w:val="0"/>
              <w:jc w:val="center"/>
              <w:rPr>
                <w:rFonts w:eastAsia="宋体"/>
                <w:sz w:val="20"/>
                <w:szCs w:val="20"/>
              </w:rPr>
            </w:pPr>
            <w:r>
              <w:rPr>
                <w:sz w:val="20"/>
                <w:szCs w:val="20"/>
              </w:rPr>
              <w:t>1 h</w:t>
            </w:r>
          </w:p>
        </w:tc>
      </w:tr>
      <w:tr w14:paraId="0B13321E">
        <w:tblPrEx>
          <w:tblCellMar>
            <w:top w:w="28" w:type="dxa"/>
            <w:left w:w="57" w:type="dxa"/>
            <w:bottom w:w="28" w:type="dxa"/>
            <w:right w:w="57" w:type="dxa"/>
          </w:tblCellMar>
        </w:tblPrEx>
        <w:trPr>
          <w:trHeight w:val="20" w:hRule="atLeast"/>
        </w:trPr>
        <w:tc>
          <w:tcPr>
            <w:tcW w:w="2320" w:type="pct"/>
            <w:tcBorders>
              <w:top w:val="single" w:color="auto" w:sz="8" w:space="0"/>
              <w:left w:val="single" w:color="auto" w:sz="8" w:space="0"/>
              <w:bottom w:val="single" w:color="auto" w:sz="8" w:space="0"/>
              <w:right w:val="single" w:color="auto" w:sz="8" w:space="0"/>
            </w:tcBorders>
            <w:tcMar>
              <w:top w:w="28" w:type="dxa"/>
              <w:left w:w="57" w:type="dxa"/>
              <w:bottom w:w="28" w:type="dxa"/>
              <w:right w:w="57" w:type="dxa"/>
            </w:tcMar>
            <w:vAlign w:val="center"/>
          </w:tcPr>
          <w:p w14:paraId="1ABDC454">
            <w:pPr>
              <w:overflowPunct w:val="0"/>
              <w:autoSpaceDE w:val="0"/>
              <w:autoSpaceDN w:val="0"/>
              <w:adjustRightInd w:val="0"/>
              <w:snapToGrid w:val="0"/>
              <w:jc w:val="center"/>
              <w:rPr>
                <w:rFonts w:eastAsia="宋体"/>
                <w:sz w:val="20"/>
                <w:szCs w:val="20"/>
              </w:rPr>
            </w:pPr>
            <w:r>
              <w:rPr>
                <w:sz w:val="20"/>
                <w:szCs w:val="20"/>
              </w:rPr>
              <w:t>48 h</w:t>
            </w:r>
          </w:p>
        </w:tc>
        <w:tc>
          <w:tcPr>
            <w:tcW w:w="2680" w:type="pct"/>
            <w:tcBorders>
              <w:top w:val="nil"/>
              <w:left w:val="nil"/>
              <w:bottom w:val="single" w:color="auto" w:sz="8" w:space="0"/>
              <w:right w:val="single" w:color="auto" w:sz="8" w:space="0"/>
            </w:tcBorders>
            <w:tcMar>
              <w:top w:w="28" w:type="dxa"/>
              <w:left w:w="57" w:type="dxa"/>
              <w:bottom w:w="28" w:type="dxa"/>
              <w:right w:w="57" w:type="dxa"/>
            </w:tcMar>
            <w:vAlign w:val="center"/>
          </w:tcPr>
          <w:p w14:paraId="7D218C60">
            <w:pPr>
              <w:overflowPunct w:val="0"/>
              <w:autoSpaceDE w:val="0"/>
              <w:autoSpaceDN w:val="0"/>
              <w:adjustRightInd w:val="0"/>
              <w:snapToGrid w:val="0"/>
              <w:jc w:val="center"/>
              <w:rPr>
                <w:rFonts w:eastAsia="宋体"/>
                <w:sz w:val="20"/>
                <w:szCs w:val="20"/>
              </w:rPr>
            </w:pPr>
            <w:r>
              <w:rPr>
                <w:sz w:val="20"/>
                <w:szCs w:val="20"/>
              </w:rPr>
              <w:t>1 h</w:t>
            </w:r>
          </w:p>
        </w:tc>
      </w:tr>
      <w:tr w14:paraId="224A69E3">
        <w:tblPrEx>
          <w:tblCellMar>
            <w:top w:w="28" w:type="dxa"/>
            <w:left w:w="57" w:type="dxa"/>
            <w:bottom w:w="28" w:type="dxa"/>
            <w:right w:w="57" w:type="dxa"/>
          </w:tblCellMar>
        </w:tblPrEx>
        <w:trPr>
          <w:trHeight w:val="20" w:hRule="atLeast"/>
        </w:trPr>
        <w:tc>
          <w:tcPr>
            <w:tcW w:w="2320" w:type="pct"/>
            <w:tcBorders>
              <w:top w:val="single" w:color="auto" w:sz="8" w:space="0"/>
              <w:left w:val="single" w:color="auto" w:sz="8" w:space="0"/>
              <w:bottom w:val="single" w:color="auto" w:sz="8" w:space="0"/>
              <w:right w:val="single" w:color="auto" w:sz="8" w:space="0"/>
            </w:tcBorders>
            <w:tcMar>
              <w:top w:w="28" w:type="dxa"/>
              <w:left w:w="57" w:type="dxa"/>
              <w:bottom w:w="28" w:type="dxa"/>
              <w:right w:w="57" w:type="dxa"/>
            </w:tcMar>
            <w:vAlign w:val="center"/>
          </w:tcPr>
          <w:p w14:paraId="2A7B5D16">
            <w:pPr>
              <w:overflowPunct w:val="0"/>
              <w:autoSpaceDE w:val="0"/>
              <w:autoSpaceDN w:val="0"/>
              <w:adjustRightInd w:val="0"/>
              <w:snapToGrid w:val="0"/>
              <w:jc w:val="center"/>
              <w:rPr>
                <w:rFonts w:eastAsia="宋体"/>
                <w:sz w:val="20"/>
                <w:szCs w:val="20"/>
              </w:rPr>
            </w:pPr>
            <w:r>
              <w:rPr>
                <w:sz w:val="20"/>
                <w:szCs w:val="20"/>
              </w:rPr>
              <w:t>72 h</w:t>
            </w:r>
          </w:p>
        </w:tc>
        <w:tc>
          <w:tcPr>
            <w:tcW w:w="2680" w:type="pct"/>
            <w:tcBorders>
              <w:top w:val="nil"/>
              <w:left w:val="nil"/>
              <w:bottom w:val="single" w:color="auto" w:sz="8" w:space="0"/>
              <w:right w:val="single" w:color="auto" w:sz="8" w:space="0"/>
            </w:tcBorders>
            <w:tcMar>
              <w:top w:w="28" w:type="dxa"/>
              <w:left w:w="57" w:type="dxa"/>
              <w:bottom w:w="28" w:type="dxa"/>
              <w:right w:w="57" w:type="dxa"/>
            </w:tcMar>
            <w:vAlign w:val="center"/>
          </w:tcPr>
          <w:p w14:paraId="59AECF0F">
            <w:pPr>
              <w:overflowPunct w:val="0"/>
              <w:autoSpaceDE w:val="0"/>
              <w:autoSpaceDN w:val="0"/>
              <w:adjustRightInd w:val="0"/>
              <w:snapToGrid w:val="0"/>
              <w:jc w:val="center"/>
              <w:rPr>
                <w:rFonts w:eastAsia="宋体"/>
                <w:sz w:val="20"/>
                <w:szCs w:val="20"/>
              </w:rPr>
            </w:pPr>
            <w:r>
              <w:rPr>
                <w:sz w:val="20"/>
                <w:szCs w:val="20"/>
              </w:rPr>
              <w:t>1 h</w:t>
            </w:r>
          </w:p>
        </w:tc>
      </w:tr>
      <w:tr w14:paraId="63C5B355">
        <w:tblPrEx>
          <w:tblCellMar>
            <w:top w:w="28" w:type="dxa"/>
            <w:left w:w="57" w:type="dxa"/>
            <w:bottom w:w="28" w:type="dxa"/>
            <w:right w:w="57" w:type="dxa"/>
          </w:tblCellMar>
        </w:tblPrEx>
        <w:trPr>
          <w:trHeight w:val="20" w:hRule="atLeast"/>
        </w:trPr>
        <w:tc>
          <w:tcPr>
            <w:tcW w:w="2320" w:type="pct"/>
            <w:tcBorders>
              <w:top w:val="single" w:color="auto" w:sz="8" w:space="0"/>
              <w:left w:val="single" w:color="auto" w:sz="8" w:space="0"/>
              <w:bottom w:val="single" w:color="auto" w:sz="8" w:space="0"/>
              <w:right w:val="single" w:color="auto" w:sz="8" w:space="0"/>
            </w:tcBorders>
            <w:tcMar>
              <w:top w:w="28" w:type="dxa"/>
              <w:left w:w="57" w:type="dxa"/>
              <w:bottom w:w="28" w:type="dxa"/>
              <w:right w:w="57" w:type="dxa"/>
            </w:tcMar>
            <w:vAlign w:val="center"/>
          </w:tcPr>
          <w:p w14:paraId="444FE9E2">
            <w:pPr>
              <w:overflowPunct w:val="0"/>
              <w:autoSpaceDE w:val="0"/>
              <w:autoSpaceDN w:val="0"/>
              <w:adjustRightInd w:val="0"/>
              <w:snapToGrid w:val="0"/>
              <w:jc w:val="center"/>
              <w:rPr>
                <w:rFonts w:eastAsia="宋体"/>
                <w:sz w:val="20"/>
                <w:szCs w:val="20"/>
              </w:rPr>
            </w:pPr>
            <w:r>
              <w:rPr>
                <w:sz w:val="20"/>
                <w:szCs w:val="20"/>
              </w:rPr>
              <w:t>168 h</w:t>
            </w:r>
          </w:p>
        </w:tc>
        <w:tc>
          <w:tcPr>
            <w:tcW w:w="2680" w:type="pct"/>
            <w:tcBorders>
              <w:top w:val="nil"/>
              <w:left w:val="nil"/>
              <w:bottom w:val="single" w:color="auto" w:sz="8" w:space="0"/>
              <w:right w:val="single" w:color="auto" w:sz="8" w:space="0"/>
            </w:tcBorders>
            <w:tcMar>
              <w:top w:w="28" w:type="dxa"/>
              <w:left w:w="57" w:type="dxa"/>
              <w:bottom w:w="28" w:type="dxa"/>
              <w:right w:w="57" w:type="dxa"/>
            </w:tcMar>
            <w:vAlign w:val="center"/>
          </w:tcPr>
          <w:p w14:paraId="48CC6183">
            <w:pPr>
              <w:overflowPunct w:val="0"/>
              <w:autoSpaceDE w:val="0"/>
              <w:autoSpaceDN w:val="0"/>
              <w:adjustRightInd w:val="0"/>
              <w:snapToGrid w:val="0"/>
              <w:jc w:val="center"/>
              <w:rPr>
                <w:rFonts w:eastAsia="宋体"/>
                <w:sz w:val="20"/>
                <w:szCs w:val="20"/>
              </w:rPr>
            </w:pPr>
            <w:r>
              <w:rPr>
                <w:sz w:val="20"/>
                <w:szCs w:val="20"/>
              </w:rPr>
              <w:t>24 h</w:t>
            </w:r>
          </w:p>
        </w:tc>
      </w:tr>
      <w:tr w14:paraId="0B8477F7">
        <w:tblPrEx>
          <w:tblCellMar>
            <w:top w:w="28" w:type="dxa"/>
            <w:left w:w="57" w:type="dxa"/>
            <w:bottom w:w="28" w:type="dxa"/>
            <w:right w:w="57" w:type="dxa"/>
          </w:tblCellMar>
        </w:tblPrEx>
        <w:trPr>
          <w:trHeight w:val="20" w:hRule="atLeast"/>
        </w:trPr>
        <w:tc>
          <w:tcPr>
            <w:tcW w:w="2320" w:type="pct"/>
            <w:tcBorders>
              <w:top w:val="single" w:color="auto" w:sz="8" w:space="0"/>
              <w:left w:val="single" w:color="auto" w:sz="8" w:space="0"/>
              <w:bottom w:val="single" w:color="auto" w:sz="8" w:space="0"/>
              <w:right w:val="single" w:color="auto" w:sz="8" w:space="0"/>
            </w:tcBorders>
            <w:tcMar>
              <w:top w:w="28" w:type="dxa"/>
              <w:left w:w="57" w:type="dxa"/>
              <w:bottom w:w="28" w:type="dxa"/>
              <w:right w:w="57" w:type="dxa"/>
            </w:tcMar>
            <w:vAlign w:val="center"/>
          </w:tcPr>
          <w:p w14:paraId="327DAE6E">
            <w:pPr>
              <w:overflowPunct w:val="0"/>
              <w:autoSpaceDE w:val="0"/>
              <w:autoSpaceDN w:val="0"/>
              <w:adjustRightInd w:val="0"/>
              <w:snapToGrid w:val="0"/>
              <w:jc w:val="center"/>
              <w:rPr>
                <w:rFonts w:eastAsia="宋体"/>
                <w:sz w:val="20"/>
                <w:szCs w:val="20"/>
              </w:rPr>
            </w:pPr>
            <w:r>
              <w:rPr>
                <w:sz w:val="20"/>
                <w:szCs w:val="20"/>
              </w:rPr>
              <w:t>240 h</w:t>
            </w:r>
          </w:p>
        </w:tc>
        <w:tc>
          <w:tcPr>
            <w:tcW w:w="2680" w:type="pct"/>
            <w:tcBorders>
              <w:top w:val="nil"/>
              <w:left w:val="nil"/>
              <w:bottom w:val="single" w:color="auto" w:sz="8" w:space="0"/>
              <w:right w:val="single" w:color="auto" w:sz="8" w:space="0"/>
            </w:tcBorders>
            <w:tcMar>
              <w:top w:w="28" w:type="dxa"/>
              <w:left w:w="57" w:type="dxa"/>
              <w:bottom w:w="28" w:type="dxa"/>
              <w:right w:w="57" w:type="dxa"/>
            </w:tcMar>
            <w:vAlign w:val="center"/>
          </w:tcPr>
          <w:p w14:paraId="1A9970AE">
            <w:pPr>
              <w:overflowPunct w:val="0"/>
              <w:autoSpaceDE w:val="0"/>
              <w:autoSpaceDN w:val="0"/>
              <w:adjustRightInd w:val="0"/>
              <w:snapToGrid w:val="0"/>
              <w:jc w:val="center"/>
              <w:rPr>
                <w:rFonts w:eastAsia="宋体"/>
                <w:sz w:val="20"/>
                <w:szCs w:val="20"/>
              </w:rPr>
            </w:pPr>
            <w:r>
              <w:rPr>
                <w:sz w:val="20"/>
                <w:szCs w:val="20"/>
              </w:rPr>
              <w:t xml:space="preserve">48 h </w:t>
            </w:r>
          </w:p>
        </w:tc>
      </w:tr>
      <w:tr w14:paraId="579E60A2">
        <w:tblPrEx>
          <w:tblCellMar>
            <w:top w:w="28" w:type="dxa"/>
            <w:left w:w="57" w:type="dxa"/>
            <w:bottom w:w="28" w:type="dxa"/>
            <w:right w:w="57" w:type="dxa"/>
          </w:tblCellMar>
        </w:tblPrEx>
        <w:trPr>
          <w:trHeight w:val="20" w:hRule="atLeast"/>
        </w:trPr>
        <w:tc>
          <w:tcPr>
            <w:tcW w:w="2320" w:type="pct"/>
            <w:tcBorders>
              <w:top w:val="single" w:color="auto" w:sz="8" w:space="0"/>
              <w:left w:val="single" w:color="auto" w:sz="8" w:space="0"/>
              <w:bottom w:val="single" w:color="auto" w:sz="8" w:space="0"/>
              <w:right w:val="single" w:color="auto" w:sz="8" w:space="0"/>
            </w:tcBorders>
            <w:tcMar>
              <w:top w:w="28" w:type="dxa"/>
              <w:left w:w="57" w:type="dxa"/>
              <w:bottom w:w="28" w:type="dxa"/>
              <w:right w:w="57" w:type="dxa"/>
            </w:tcMar>
            <w:vAlign w:val="center"/>
          </w:tcPr>
          <w:p w14:paraId="73FAED68">
            <w:pPr>
              <w:overflowPunct w:val="0"/>
              <w:autoSpaceDE w:val="0"/>
              <w:autoSpaceDN w:val="0"/>
              <w:adjustRightInd w:val="0"/>
              <w:snapToGrid w:val="0"/>
              <w:jc w:val="center"/>
              <w:rPr>
                <w:rFonts w:eastAsia="宋体"/>
                <w:sz w:val="20"/>
                <w:szCs w:val="20"/>
              </w:rPr>
            </w:pPr>
            <w:r>
              <w:rPr>
                <w:sz w:val="20"/>
                <w:szCs w:val="20"/>
              </w:rPr>
              <w:t>336 h</w:t>
            </w:r>
          </w:p>
        </w:tc>
        <w:tc>
          <w:tcPr>
            <w:tcW w:w="2680" w:type="pct"/>
            <w:tcBorders>
              <w:top w:val="nil"/>
              <w:left w:val="nil"/>
              <w:bottom w:val="single" w:color="auto" w:sz="8" w:space="0"/>
              <w:right w:val="single" w:color="auto" w:sz="8" w:space="0"/>
            </w:tcBorders>
            <w:tcMar>
              <w:top w:w="28" w:type="dxa"/>
              <w:left w:w="57" w:type="dxa"/>
              <w:bottom w:w="28" w:type="dxa"/>
              <w:right w:w="57" w:type="dxa"/>
            </w:tcMar>
            <w:vAlign w:val="center"/>
          </w:tcPr>
          <w:p w14:paraId="7C72B533">
            <w:pPr>
              <w:overflowPunct w:val="0"/>
              <w:autoSpaceDE w:val="0"/>
              <w:autoSpaceDN w:val="0"/>
              <w:adjustRightInd w:val="0"/>
              <w:snapToGrid w:val="0"/>
              <w:jc w:val="center"/>
              <w:rPr>
                <w:rFonts w:eastAsia="宋体"/>
                <w:sz w:val="20"/>
                <w:szCs w:val="20"/>
              </w:rPr>
            </w:pPr>
            <w:r>
              <w:rPr>
                <w:sz w:val="20"/>
                <w:szCs w:val="20"/>
              </w:rPr>
              <w:t xml:space="preserve">48 h </w:t>
            </w:r>
          </w:p>
        </w:tc>
      </w:tr>
      <w:tr w14:paraId="76E16C80">
        <w:tblPrEx>
          <w:tblCellMar>
            <w:top w:w="28" w:type="dxa"/>
            <w:left w:w="57" w:type="dxa"/>
            <w:bottom w:w="28" w:type="dxa"/>
            <w:right w:w="57" w:type="dxa"/>
          </w:tblCellMar>
        </w:tblPrEx>
        <w:trPr>
          <w:trHeight w:val="20" w:hRule="atLeast"/>
        </w:trPr>
        <w:tc>
          <w:tcPr>
            <w:tcW w:w="2320" w:type="pct"/>
            <w:tcBorders>
              <w:top w:val="single" w:color="auto" w:sz="8" w:space="0"/>
              <w:left w:val="single" w:color="auto" w:sz="8" w:space="0"/>
              <w:bottom w:val="single" w:color="auto" w:sz="4" w:space="0"/>
              <w:right w:val="single" w:color="auto" w:sz="8" w:space="0"/>
            </w:tcBorders>
            <w:tcMar>
              <w:top w:w="28" w:type="dxa"/>
              <w:left w:w="57" w:type="dxa"/>
              <w:bottom w:w="28" w:type="dxa"/>
              <w:right w:w="57" w:type="dxa"/>
            </w:tcMar>
            <w:vAlign w:val="center"/>
          </w:tcPr>
          <w:p w14:paraId="71EE1179">
            <w:pPr>
              <w:overflowPunct w:val="0"/>
              <w:autoSpaceDE w:val="0"/>
              <w:autoSpaceDN w:val="0"/>
              <w:adjustRightInd w:val="0"/>
              <w:snapToGrid w:val="0"/>
              <w:jc w:val="center"/>
              <w:rPr>
                <w:rFonts w:eastAsia="宋体"/>
                <w:sz w:val="20"/>
                <w:szCs w:val="20"/>
              </w:rPr>
            </w:pPr>
            <w:r>
              <w:rPr>
                <w:sz w:val="20"/>
                <w:szCs w:val="20"/>
              </w:rPr>
              <w:t>504 h</w:t>
            </w:r>
          </w:p>
        </w:tc>
        <w:tc>
          <w:tcPr>
            <w:tcW w:w="2680" w:type="pct"/>
            <w:tcBorders>
              <w:top w:val="nil"/>
              <w:left w:val="nil"/>
              <w:bottom w:val="single" w:color="auto" w:sz="4" w:space="0"/>
              <w:right w:val="single" w:color="auto" w:sz="8" w:space="0"/>
            </w:tcBorders>
            <w:tcMar>
              <w:top w:w="28" w:type="dxa"/>
              <w:left w:w="57" w:type="dxa"/>
              <w:bottom w:w="28" w:type="dxa"/>
              <w:right w:w="57" w:type="dxa"/>
            </w:tcMar>
          </w:tcPr>
          <w:p w14:paraId="55213B01">
            <w:pPr>
              <w:overflowPunct w:val="0"/>
              <w:autoSpaceDE w:val="0"/>
              <w:autoSpaceDN w:val="0"/>
              <w:adjustRightInd w:val="0"/>
              <w:snapToGrid w:val="0"/>
              <w:jc w:val="center"/>
              <w:rPr>
                <w:rFonts w:eastAsia="宋体"/>
                <w:sz w:val="20"/>
                <w:szCs w:val="20"/>
              </w:rPr>
            </w:pPr>
            <w:r>
              <w:rPr>
                <w:sz w:val="20"/>
                <w:szCs w:val="20"/>
              </w:rPr>
              <w:t>72 h</w:t>
            </w:r>
          </w:p>
        </w:tc>
      </w:tr>
      <w:tr w14:paraId="689B800E">
        <w:tblPrEx>
          <w:tblCellMar>
            <w:top w:w="28" w:type="dxa"/>
            <w:left w:w="57" w:type="dxa"/>
            <w:bottom w:w="28" w:type="dxa"/>
            <w:right w:w="57" w:type="dxa"/>
          </w:tblCellMar>
        </w:tblPrEx>
        <w:trPr>
          <w:trHeight w:val="20" w:hRule="atLeast"/>
        </w:trPr>
        <w:tc>
          <w:tcPr>
            <w:tcW w:w="2320" w:type="pct"/>
            <w:tcBorders>
              <w:top w:val="single" w:color="auto" w:sz="4" w:space="0"/>
              <w:left w:val="single" w:color="auto" w:sz="4" w:space="0"/>
              <w:bottom w:val="single" w:color="auto" w:sz="4" w:space="0"/>
              <w:right w:val="single" w:color="auto" w:sz="4" w:space="0"/>
            </w:tcBorders>
            <w:tcMar>
              <w:top w:w="28" w:type="dxa"/>
              <w:left w:w="57" w:type="dxa"/>
              <w:bottom w:w="28" w:type="dxa"/>
              <w:right w:w="57" w:type="dxa"/>
            </w:tcMar>
            <w:vAlign w:val="center"/>
          </w:tcPr>
          <w:p w14:paraId="410C7438">
            <w:pPr>
              <w:overflowPunct w:val="0"/>
              <w:autoSpaceDE w:val="0"/>
              <w:autoSpaceDN w:val="0"/>
              <w:adjustRightInd w:val="0"/>
              <w:snapToGrid w:val="0"/>
              <w:jc w:val="center"/>
              <w:rPr>
                <w:rFonts w:eastAsia="宋体"/>
                <w:sz w:val="20"/>
                <w:szCs w:val="20"/>
              </w:rPr>
            </w:pPr>
            <w:r>
              <w:rPr>
                <w:sz w:val="20"/>
                <w:szCs w:val="20"/>
              </w:rPr>
              <w:t>672 h</w:t>
            </w:r>
          </w:p>
        </w:tc>
        <w:tc>
          <w:tcPr>
            <w:tcW w:w="2680" w:type="pct"/>
            <w:tcBorders>
              <w:top w:val="single" w:color="auto" w:sz="4" w:space="0"/>
              <w:left w:val="single" w:color="auto" w:sz="4" w:space="0"/>
              <w:bottom w:val="single" w:color="auto" w:sz="4" w:space="0"/>
              <w:right w:val="single" w:color="auto" w:sz="4" w:space="0"/>
            </w:tcBorders>
            <w:tcMar>
              <w:top w:w="28" w:type="dxa"/>
              <w:left w:w="57" w:type="dxa"/>
              <w:bottom w:w="28" w:type="dxa"/>
              <w:right w:w="57" w:type="dxa"/>
            </w:tcMar>
          </w:tcPr>
          <w:p w14:paraId="15D35CCA">
            <w:pPr>
              <w:overflowPunct w:val="0"/>
              <w:autoSpaceDE w:val="0"/>
              <w:autoSpaceDN w:val="0"/>
              <w:adjustRightInd w:val="0"/>
              <w:snapToGrid w:val="0"/>
              <w:jc w:val="center"/>
              <w:rPr>
                <w:rFonts w:eastAsia="宋体"/>
                <w:sz w:val="20"/>
                <w:szCs w:val="20"/>
              </w:rPr>
            </w:pPr>
            <w:r>
              <w:rPr>
                <w:sz w:val="20"/>
                <w:szCs w:val="20"/>
              </w:rPr>
              <w:t>72 h</w:t>
            </w:r>
          </w:p>
        </w:tc>
      </w:tr>
      <w:tr w14:paraId="594D56A2">
        <w:tblPrEx>
          <w:tblCellMar>
            <w:top w:w="28" w:type="dxa"/>
            <w:left w:w="57" w:type="dxa"/>
            <w:bottom w:w="28" w:type="dxa"/>
            <w:right w:w="57" w:type="dxa"/>
          </w:tblCellMar>
        </w:tblPrEx>
        <w:trPr>
          <w:trHeight w:val="20" w:hRule="atLeast"/>
        </w:trPr>
        <w:tc>
          <w:tcPr>
            <w:tcW w:w="2320" w:type="pct"/>
            <w:tcBorders>
              <w:top w:val="single" w:color="auto" w:sz="4" w:space="0"/>
              <w:left w:val="single" w:color="auto" w:sz="8" w:space="0"/>
              <w:bottom w:val="single" w:color="auto" w:sz="8" w:space="0"/>
              <w:right w:val="single" w:color="auto" w:sz="8" w:space="0"/>
            </w:tcBorders>
            <w:tcMar>
              <w:top w:w="28" w:type="dxa"/>
              <w:left w:w="57" w:type="dxa"/>
              <w:bottom w:w="28" w:type="dxa"/>
              <w:right w:w="57" w:type="dxa"/>
            </w:tcMar>
            <w:vAlign w:val="center"/>
          </w:tcPr>
          <w:p w14:paraId="291E13EF">
            <w:pPr>
              <w:overflowPunct w:val="0"/>
              <w:autoSpaceDE w:val="0"/>
              <w:autoSpaceDN w:val="0"/>
              <w:adjustRightInd w:val="0"/>
              <w:snapToGrid w:val="0"/>
              <w:jc w:val="center"/>
              <w:rPr>
                <w:rFonts w:eastAsia="宋体"/>
                <w:sz w:val="20"/>
                <w:szCs w:val="20"/>
              </w:rPr>
            </w:pPr>
            <w:r>
              <w:rPr>
                <w:sz w:val="20"/>
                <w:szCs w:val="20"/>
              </w:rPr>
              <w:t>840 h</w:t>
            </w:r>
          </w:p>
        </w:tc>
        <w:tc>
          <w:tcPr>
            <w:tcW w:w="2680" w:type="pct"/>
            <w:tcBorders>
              <w:top w:val="single" w:color="auto" w:sz="4" w:space="0"/>
              <w:left w:val="nil"/>
              <w:bottom w:val="single" w:color="auto" w:sz="8" w:space="0"/>
              <w:right w:val="single" w:color="auto" w:sz="8" w:space="0"/>
            </w:tcBorders>
            <w:tcMar>
              <w:top w:w="28" w:type="dxa"/>
              <w:left w:w="57" w:type="dxa"/>
              <w:bottom w:w="28" w:type="dxa"/>
              <w:right w:w="57" w:type="dxa"/>
            </w:tcMar>
          </w:tcPr>
          <w:p w14:paraId="01EF6DA0">
            <w:pPr>
              <w:overflowPunct w:val="0"/>
              <w:autoSpaceDE w:val="0"/>
              <w:autoSpaceDN w:val="0"/>
              <w:adjustRightInd w:val="0"/>
              <w:snapToGrid w:val="0"/>
              <w:jc w:val="center"/>
              <w:rPr>
                <w:rFonts w:eastAsia="宋体"/>
                <w:sz w:val="20"/>
                <w:szCs w:val="20"/>
              </w:rPr>
            </w:pPr>
            <w:r>
              <w:rPr>
                <w:sz w:val="20"/>
                <w:szCs w:val="20"/>
              </w:rPr>
              <w:t>72 h</w:t>
            </w:r>
          </w:p>
        </w:tc>
      </w:tr>
      <w:tr w14:paraId="2887ACF2">
        <w:tblPrEx>
          <w:tblCellMar>
            <w:top w:w="28" w:type="dxa"/>
            <w:left w:w="57" w:type="dxa"/>
            <w:bottom w:w="28" w:type="dxa"/>
            <w:right w:w="57" w:type="dxa"/>
          </w:tblCellMar>
        </w:tblPrEx>
        <w:trPr>
          <w:trHeight w:val="20" w:hRule="atLeast"/>
        </w:trPr>
        <w:tc>
          <w:tcPr>
            <w:tcW w:w="2320" w:type="pct"/>
            <w:tcBorders>
              <w:top w:val="single" w:color="auto" w:sz="8" w:space="0"/>
              <w:left w:val="single" w:color="auto" w:sz="8" w:space="0"/>
              <w:bottom w:val="single" w:color="auto" w:sz="8" w:space="0"/>
              <w:right w:val="single" w:color="auto" w:sz="8" w:space="0"/>
            </w:tcBorders>
            <w:tcMar>
              <w:top w:w="28" w:type="dxa"/>
              <w:left w:w="57" w:type="dxa"/>
              <w:bottom w:w="28" w:type="dxa"/>
              <w:right w:w="57" w:type="dxa"/>
            </w:tcMar>
            <w:vAlign w:val="center"/>
          </w:tcPr>
          <w:p w14:paraId="580A45CE">
            <w:pPr>
              <w:overflowPunct w:val="0"/>
              <w:autoSpaceDE w:val="0"/>
              <w:autoSpaceDN w:val="0"/>
              <w:adjustRightInd w:val="0"/>
              <w:snapToGrid w:val="0"/>
              <w:jc w:val="center"/>
              <w:rPr>
                <w:rFonts w:eastAsia="宋体"/>
                <w:sz w:val="20"/>
                <w:szCs w:val="20"/>
              </w:rPr>
            </w:pPr>
            <w:r>
              <w:rPr>
                <w:sz w:val="20"/>
                <w:szCs w:val="20"/>
              </w:rPr>
              <w:t>1008 h</w:t>
            </w:r>
          </w:p>
        </w:tc>
        <w:tc>
          <w:tcPr>
            <w:tcW w:w="2680" w:type="pct"/>
            <w:tcBorders>
              <w:top w:val="nil"/>
              <w:left w:val="nil"/>
              <w:bottom w:val="single" w:color="auto" w:sz="8" w:space="0"/>
              <w:right w:val="single" w:color="auto" w:sz="8" w:space="0"/>
            </w:tcBorders>
            <w:tcMar>
              <w:top w:w="28" w:type="dxa"/>
              <w:left w:w="57" w:type="dxa"/>
              <w:bottom w:w="28" w:type="dxa"/>
              <w:right w:w="57" w:type="dxa"/>
            </w:tcMar>
            <w:vAlign w:val="center"/>
          </w:tcPr>
          <w:p w14:paraId="1D24D18C">
            <w:pPr>
              <w:overflowPunct w:val="0"/>
              <w:autoSpaceDE w:val="0"/>
              <w:autoSpaceDN w:val="0"/>
              <w:adjustRightInd w:val="0"/>
              <w:snapToGrid w:val="0"/>
              <w:jc w:val="center"/>
              <w:rPr>
                <w:rFonts w:eastAsia="宋体"/>
                <w:sz w:val="20"/>
                <w:szCs w:val="20"/>
              </w:rPr>
            </w:pPr>
            <w:r>
              <w:rPr>
                <w:sz w:val="20"/>
                <w:szCs w:val="20"/>
              </w:rPr>
              <w:t>72 h</w:t>
            </w:r>
          </w:p>
        </w:tc>
      </w:tr>
    </w:tbl>
    <w:p w14:paraId="1AE5D362">
      <w:pPr>
        <w:pStyle w:val="15"/>
        <w:rPr>
          <w:rFonts w:eastAsia="宋体"/>
        </w:rPr>
      </w:pPr>
      <w:bookmarkStart w:id="582" w:name="_Toc159511679"/>
      <w:r>
        <w:t xml:space="preserve">Table </w:t>
      </w:r>
      <w:r>
        <w:rPr>
          <w:rFonts w:eastAsia="宋体"/>
        </w:rPr>
        <w:fldChar w:fldCharType="begin"/>
      </w:r>
      <w:r>
        <w:rPr>
          <w:rFonts w:eastAsia="宋体"/>
        </w:rPr>
        <w:instrText xml:space="preserve"> SEQ 表 \* ARABIC </w:instrText>
      </w:r>
      <w:r>
        <w:rPr>
          <w:rFonts w:eastAsia="宋体"/>
        </w:rPr>
        <w:fldChar w:fldCharType="separate"/>
      </w:r>
      <w:r>
        <w:rPr>
          <w:rFonts w:eastAsia="宋体"/>
        </w:rPr>
        <w:t>5</w:t>
      </w:r>
      <w:r>
        <w:rPr>
          <w:rFonts w:eastAsia="宋体"/>
        </w:rPr>
        <w:fldChar w:fldCharType="end"/>
      </w:r>
      <w:r>
        <w:t>. Blood sampling time deviations for acetaminophen PK</w:t>
      </w:r>
      <w:bookmarkEnd w:id="582"/>
    </w:p>
    <w:tbl>
      <w:tblPr>
        <w:tblStyle w:val="42"/>
        <w:tblW w:w="5000" w:type="pct"/>
        <w:tblInd w:w="0" w:type="dxa"/>
        <w:tblLayout w:type="autofit"/>
        <w:tblCellMar>
          <w:top w:w="28" w:type="dxa"/>
          <w:left w:w="57" w:type="dxa"/>
          <w:bottom w:w="28" w:type="dxa"/>
          <w:right w:w="57" w:type="dxa"/>
        </w:tblCellMar>
      </w:tblPr>
      <w:tblGrid>
        <w:gridCol w:w="4396"/>
        <w:gridCol w:w="5078"/>
      </w:tblGrid>
      <w:tr w14:paraId="14D06CAC">
        <w:tblPrEx>
          <w:tblCellMar>
            <w:top w:w="28" w:type="dxa"/>
            <w:left w:w="57" w:type="dxa"/>
            <w:bottom w:w="28" w:type="dxa"/>
            <w:right w:w="57" w:type="dxa"/>
          </w:tblCellMar>
        </w:tblPrEx>
        <w:trPr>
          <w:trHeight w:val="20" w:hRule="atLeast"/>
        </w:trPr>
        <w:tc>
          <w:tcPr>
            <w:tcW w:w="2320" w:type="pct"/>
            <w:tcBorders>
              <w:top w:val="single" w:color="auto" w:sz="8" w:space="0"/>
              <w:left w:val="single" w:color="auto" w:sz="8" w:space="0"/>
              <w:bottom w:val="single" w:color="auto" w:sz="8" w:space="0"/>
              <w:right w:val="single" w:color="auto" w:sz="8" w:space="0"/>
            </w:tcBorders>
            <w:tcMar>
              <w:top w:w="28" w:type="dxa"/>
              <w:left w:w="57" w:type="dxa"/>
              <w:bottom w:w="28" w:type="dxa"/>
              <w:right w:w="57" w:type="dxa"/>
            </w:tcMar>
            <w:vAlign w:val="center"/>
          </w:tcPr>
          <w:p w14:paraId="7DEB0F8B">
            <w:pPr>
              <w:overflowPunct w:val="0"/>
              <w:autoSpaceDE w:val="0"/>
              <w:autoSpaceDN w:val="0"/>
              <w:adjustRightInd w:val="0"/>
              <w:snapToGrid w:val="0"/>
              <w:jc w:val="center"/>
              <w:rPr>
                <w:rFonts w:eastAsia="宋体"/>
                <w:b/>
                <w:bCs/>
                <w:sz w:val="20"/>
                <w:szCs w:val="20"/>
              </w:rPr>
            </w:pPr>
            <w:r>
              <w:rPr>
                <w:b/>
                <w:bCs/>
                <w:sz w:val="20"/>
                <w:szCs w:val="20"/>
              </w:rPr>
              <w:t>Blood sampling point</w:t>
            </w:r>
          </w:p>
        </w:tc>
        <w:tc>
          <w:tcPr>
            <w:tcW w:w="2680" w:type="pct"/>
            <w:tcBorders>
              <w:top w:val="single" w:color="auto" w:sz="8" w:space="0"/>
              <w:left w:val="nil"/>
              <w:bottom w:val="single" w:color="auto" w:sz="8" w:space="0"/>
              <w:right w:val="single" w:color="auto" w:sz="8" w:space="0"/>
            </w:tcBorders>
            <w:tcMar>
              <w:top w:w="28" w:type="dxa"/>
              <w:left w:w="57" w:type="dxa"/>
              <w:bottom w:w="28" w:type="dxa"/>
              <w:right w:w="57" w:type="dxa"/>
            </w:tcMar>
            <w:vAlign w:val="center"/>
          </w:tcPr>
          <w:p w14:paraId="3DC0497F">
            <w:pPr>
              <w:overflowPunct w:val="0"/>
              <w:autoSpaceDE w:val="0"/>
              <w:autoSpaceDN w:val="0"/>
              <w:adjustRightInd w:val="0"/>
              <w:snapToGrid w:val="0"/>
              <w:jc w:val="center"/>
              <w:rPr>
                <w:rFonts w:eastAsia="宋体"/>
                <w:b/>
                <w:bCs/>
                <w:sz w:val="20"/>
                <w:szCs w:val="20"/>
              </w:rPr>
            </w:pPr>
            <w:r>
              <w:rPr>
                <w:b/>
                <w:bCs/>
                <w:sz w:val="20"/>
                <w:szCs w:val="20"/>
              </w:rPr>
              <w:t>Blood sampling time deviation</w:t>
            </w:r>
          </w:p>
        </w:tc>
      </w:tr>
      <w:tr w14:paraId="21685DE5">
        <w:tblPrEx>
          <w:tblCellMar>
            <w:top w:w="28" w:type="dxa"/>
            <w:left w:w="57" w:type="dxa"/>
            <w:bottom w:w="28" w:type="dxa"/>
            <w:right w:w="57" w:type="dxa"/>
          </w:tblCellMar>
        </w:tblPrEx>
        <w:trPr>
          <w:trHeight w:val="20" w:hRule="atLeast"/>
        </w:trPr>
        <w:tc>
          <w:tcPr>
            <w:tcW w:w="2320" w:type="pct"/>
            <w:tcBorders>
              <w:top w:val="single" w:color="auto" w:sz="8" w:space="0"/>
              <w:left w:val="single" w:color="auto" w:sz="8" w:space="0"/>
              <w:bottom w:val="single" w:color="auto" w:sz="8" w:space="0"/>
              <w:right w:val="single" w:color="auto" w:sz="8" w:space="0"/>
            </w:tcBorders>
            <w:tcMar>
              <w:top w:w="28" w:type="dxa"/>
              <w:left w:w="57" w:type="dxa"/>
              <w:bottom w:w="28" w:type="dxa"/>
              <w:right w:w="57" w:type="dxa"/>
            </w:tcMar>
            <w:vAlign w:val="center"/>
          </w:tcPr>
          <w:p w14:paraId="1AE5CCAA">
            <w:pPr>
              <w:overflowPunct w:val="0"/>
              <w:autoSpaceDE w:val="0"/>
              <w:autoSpaceDN w:val="0"/>
              <w:adjustRightInd w:val="0"/>
              <w:snapToGrid w:val="0"/>
              <w:jc w:val="center"/>
              <w:rPr>
                <w:rFonts w:eastAsia="宋体"/>
                <w:sz w:val="20"/>
                <w:szCs w:val="20"/>
              </w:rPr>
            </w:pPr>
            <w:r>
              <w:rPr>
                <w:sz w:val="20"/>
                <w:szCs w:val="20"/>
              </w:rPr>
              <w:t>0</w:t>
            </w:r>
          </w:p>
        </w:tc>
        <w:tc>
          <w:tcPr>
            <w:tcW w:w="2680" w:type="pct"/>
            <w:tcBorders>
              <w:top w:val="nil"/>
              <w:left w:val="nil"/>
              <w:bottom w:val="single" w:color="auto" w:sz="8" w:space="0"/>
              <w:right w:val="single" w:color="auto" w:sz="8" w:space="0"/>
            </w:tcBorders>
            <w:tcMar>
              <w:top w:w="28" w:type="dxa"/>
              <w:left w:w="57" w:type="dxa"/>
              <w:bottom w:w="28" w:type="dxa"/>
              <w:right w:w="57" w:type="dxa"/>
            </w:tcMar>
            <w:vAlign w:val="center"/>
          </w:tcPr>
          <w:p w14:paraId="7CE968DA">
            <w:pPr>
              <w:overflowPunct w:val="0"/>
              <w:autoSpaceDE w:val="0"/>
              <w:autoSpaceDN w:val="0"/>
              <w:adjustRightInd w:val="0"/>
              <w:snapToGrid w:val="0"/>
              <w:jc w:val="center"/>
              <w:rPr>
                <w:rFonts w:eastAsia="宋体"/>
                <w:sz w:val="20"/>
                <w:szCs w:val="20"/>
              </w:rPr>
            </w:pPr>
            <w:r>
              <w:rPr>
                <w:sz w:val="20"/>
                <w:szCs w:val="20"/>
              </w:rPr>
              <w:t>Within 2 h before administration</w:t>
            </w:r>
          </w:p>
        </w:tc>
      </w:tr>
      <w:tr w14:paraId="49E34266">
        <w:tblPrEx>
          <w:tblCellMar>
            <w:top w:w="28" w:type="dxa"/>
            <w:left w:w="57" w:type="dxa"/>
            <w:bottom w:w="28" w:type="dxa"/>
            <w:right w:w="57" w:type="dxa"/>
          </w:tblCellMar>
        </w:tblPrEx>
        <w:trPr>
          <w:trHeight w:val="20" w:hRule="atLeast"/>
        </w:trPr>
        <w:tc>
          <w:tcPr>
            <w:tcW w:w="2320" w:type="pct"/>
            <w:tcBorders>
              <w:top w:val="single" w:color="auto" w:sz="8" w:space="0"/>
              <w:left w:val="single" w:color="auto" w:sz="8" w:space="0"/>
              <w:bottom w:val="single" w:color="auto" w:sz="8" w:space="0"/>
              <w:right w:val="single" w:color="auto" w:sz="8" w:space="0"/>
            </w:tcBorders>
            <w:tcMar>
              <w:top w:w="28" w:type="dxa"/>
              <w:left w:w="57" w:type="dxa"/>
              <w:bottom w:w="28" w:type="dxa"/>
              <w:right w:w="57" w:type="dxa"/>
            </w:tcMar>
            <w:vAlign w:val="center"/>
          </w:tcPr>
          <w:p w14:paraId="3BE6E6D8">
            <w:pPr>
              <w:overflowPunct w:val="0"/>
              <w:autoSpaceDE w:val="0"/>
              <w:autoSpaceDN w:val="0"/>
              <w:adjustRightInd w:val="0"/>
              <w:snapToGrid w:val="0"/>
              <w:jc w:val="center"/>
              <w:rPr>
                <w:rFonts w:eastAsia="宋体"/>
                <w:sz w:val="20"/>
                <w:szCs w:val="20"/>
              </w:rPr>
            </w:pPr>
            <w:r>
              <w:rPr>
                <w:sz w:val="20"/>
                <w:szCs w:val="20"/>
              </w:rPr>
              <w:t>0.25 h</w:t>
            </w:r>
          </w:p>
        </w:tc>
        <w:tc>
          <w:tcPr>
            <w:tcW w:w="2680" w:type="pct"/>
            <w:tcBorders>
              <w:top w:val="nil"/>
              <w:left w:val="nil"/>
              <w:bottom w:val="single" w:color="auto" w:sz="8" w:space="0"/>
              <w:right w:val="single" w:color="auto" w:sz="8" w:space="0"/>
            </w:tcBorders>
            <w:tcMar>
              <w:top w:w="28" w:type="dxa"/>
              <w:left w:w="57" w:type="dxa"/>
              <w:bottom w:w="28" w:type="dxa"/>
              <w:right w:w="57" w:type="dxa"/>
            </w:tcMar>
            <w:vAlign w:val="center"/>
          </w:tcPr>
          <w:p w14:paraId="2432BF57">
            <w:pPr>
              <w:overflowPunct w:val="0"/>
              <w:autoSpaceDE w:val="0"/>
              <w:autoSpaceDN w:val="0"/>
              <w:adjustRightInd w:val="0"/>
              <w:snapToGrid w:val="0"/>
              <w:jc w:val="center"/>
              <w:rPr>
                <w:rFonts w:eastAsia="宋体"/>
                <w:sz w:val="20"/>
                <w:szCs w:val="20"/>
              </w:rPr>
            </w:pPr>
            <w:r>
              <w:rPr>
                <w:sz w:val="20"/>
                <w:szCs w:val="20"/>
              </w:rPr>
              <w:t>1.5 min</w:t>
            </w:r>
          </w:p>
        </w:tc>
      </w:tr>
      <w:tr w14:paraId="0C83C0E1">
        <w:tblPrEx>
          <w:tblCellMar>
            <w:top w:w="28" w:type="dxa"/>
            <w:left w:w="57" w:type="dxa"/>
            <w:bottom w:w="28" w:type="dxa"/>
            <w:right w:w="57" w:type="dxa"/>
          </w:tblCellMar>
        </w:tblPrEx>
        <w:trPr>
          <w:trHeight w:val="20" w:hRule="atLeast"/>
        </w:trPr>
        <w:tc>
          <w:tcPr>
            <w:tcW w:w="2320" w:type="pct"/>
            <w:tcBorders>
              <w:top w:val="single" w:color="auto" w:sz="8" w:space="0"/>
              <w:left w:val="single" w:color="auto" w:sz="8" w:space="0"/>
              <w:bottom w:val="single" w:color="auto" w:sz="8" w:space="0"/>
              <w:right w:val="single" w:color="auto" w:sz="8" w:space="0"/>
            </w:tcBorders>
            <w:tcMar>
              <w:top w:w="28" w:type="dxa"/>
              <w:left w:w="57" w:type="dxa"/>
              <w:bottom w:w="28" w:type="dxa"/>
              <w:right w:w="57" w:type="dxa"/>
            </w:tcMar>
            <w:vAlign w:val="center"/>
          </w:tcPr>
          <w:p w14:paraId="2E771C12">
            <w:pPr>
              <w:overflowPunct w:val="0"/>
              <w:autoSpaceDE w:val="0"/>
              <w:autoSpaceDN w:val="0"/>
              <w:adjustRightInd w:val="0"/>
              <w:snapToGrid w:val="0"/>
              <w:jc w:val="center"/>
              <w:rPr>
                <w:rFonts w:eastAsia="宋体"/>
                <w:sz w:val="20"/>
                <w:szCs w:val="20"/>
              </w:rPr>
            </w:pPr>
            <w:r>
              <w:rPr>
                <w:sz w:val="20"/>
                <w:szCs w:val="20"/>
              </w:rPr>
              <w:t>0.5 h</w:t>
            </w:r>
          </w:p>
        </w:tc>
        <w:tc>
          <w:tcPr>
            <w:tcW w:w="2680" w:type="pct"/>
            <w:tcBorders>
              <w:top w:val="nil"/>
              <w:left w:val="nil"/>
              <w:bottom w:val="single" w:color="auto" w:sz="8" w:space="0"/>
              <w:right w:val="single" w:color="auto" w:sz="8" w:space="0"/>
            </w:tcBorders>
            <w:tcMar>
              <w:top w:w="28" w:type="dxa"/>
              <w:left w:w="57" w:type="dxa"/>
              <w:bottom w:w="28" w:type="dxa"/>
              <w:right w:w="57" w:type="dxa"/>
            </w:tcMar>
            <w:vAlign w:val="center"/>
          </w:tcPr>
          <w:p w14:paraId="2A7CB04A">
            <w:pPr>
              <w:overflowPunct w:val="0"/>
              <w:autoSpaceDE w:val="0"/>
              <w:autoSpaceDN w:val="0"/>
              <w:adjustRightInd w:val="0"/>
              <w:snapToGrid w:val="0"/>
              <w:jc w:val="center"/>
              <w:rPr>
                <w:rFonts w:eastAsia="宋体"/>
                <w:sz w:val="20"/>
                <w:szCs w:val="20"/>
              </w:rPr>
            </w:pPr>
            <w:r>
              <w:rPr>
                <w:sz w:val="20"/>
                <w:szCs w:val="20"/>
              </w:rPr>
              <w:t>1.5 min</w:t>
            </w:r>
          </w:p>
        </w:tc>
      </w:tr>
      <w:tr w14:paraId="071B010B">
        <w:tblPrEx>
          <w:tblCellMar>
            <w:top w:w="28" w:type="dxa"/>
            <w:left w:w="57" w:type="dxa"/>
            <w:bottom w:w="28" w:type="dxa"/>
            <w:right w:w="57" w:type="dxa"/>
          </w:tblCellMar>
        </w:tblPrEx>
        <w:trPr>
          <w:trHeight w:val="20" w:hRule="atLeast"/>
        </w:trPr>
        <w:tc>
          <w:tcPr>
            <w:tcW w:w="2320" w:type="pct"/>
            <w:tcBorders>
              <w:top w:val="single" w:color="auto" w:sz="8" w:space="0"/>
              <w:left w:val="single" w:color="auto" w:sz="8" w:space="0"/>
              <w:bottom w:val="single" w:color="auto" w:sz="8" w:space="0"/>
              <w:right w:val="single" w:color="auto" w:sz="8" w:space="0"/>
            </w:tcBorders>
            <w:tcMar>
              <w:top w:w="28" w:type="dxa"/>
              <w:left w:w="57" w:type="dxa"/>
              <w:bottom w:w="28" w:type="dxa"/>
              <w:right w:w="57" w:type="dxa"/>
            </w:tcMar>
            <w:vAlign w:val="center"/>
          </w:tcPr>
          <w:p w14:paraId="358B41D8">
            <w:pPr>
              <w:overflowPunct w:val="0"/>
              <w:autoSpaceDE w:val="0"/>
              <w:autoSpaceDN w:val="0"/>
              <w:adjustRightInd w:val="0"/>
              <w:snapToGrid w:val="0"/>
              <w:jc w:val="center"/>
              <w:rPr>
                <w:rFonts w:eastAsia="宋体"/>
                <w:sz w:val="20"/>
                <w:szCs w:val="20"/>
              </w:rPr>
            </w:pPr>
            <w:r>
              <w:rPr>
                <w:sz w:val="20"/>
                <w:szCs w:val="20"/>
              </w:rPr>
              <w:t>0.75 h</w:t>
            </w:r>
          </w:p>
        </w:tc>
        <w:tc>
          <w:tcPr>
            <w:tcW w:w="2680" w:type="pct"/>
            <w:tcBorders>
              <w:top w:val="nil"/>
              <w:left w:val="nil"/>
              <w:bottom w:val="single" w:color="auto" w:sz="8" w:space="0"/>
              <w:right w:val="single" w:color="auto" w:sz="8" w:space="0"/>
            </w:tcBorders>
            <w:tcMar>
              <w:top w:w="28" w:type="dxa"/>
              <w:left w:w="57" w:type="dxa"/>
              <w:bottom w:w="28" w:type="dxa"/>
              <w:right w:w="57" w:type="dxa"/>
            </w:tcMar>
            <w:vAlign w:val="center"/>
          </w:tcPr>
          <w:p w14:paraId="3A69C799">
            <w:pPr>
              <w:overflowPunct w:val="0"/>
              <w:autoSpaceDE w:val="0"/>
              <w:autoSpaceDN w:val="0"/>
              <w:adjustRightInd w:val="0"/>
              <w:snapToGrid w:val="0"/>
              <w:jc w:val="center"/>
              <w:rPr>
                <w:rFonts w:eastAsia="宋体"/>
                <w:sz w:val="20"/>
                <w:szCs w:val="20"/>
              </w:rPr>
            </w:pPr>
            <w:r>
              <w:rPr>
                <w:sz w:val="20"/>
                <w:szCs w:val="20"/>
              </w:rPr>
              <w:t>1.5 min</w:t>
            </w:r>
          </w:p>
        </w:tc>
      </w:tr>
      <w:tr w14:paraId="61F448AA">
        <w:tblPrEx>
          <w:tblCellMar>
            <w:top w:w="28" w:type="dxa"/>
            <w:left w:w="57" w:type="dxa"/>
            <w:bottom w:w="28" w:type="dxa"/>
            <w:right w:w="57" w:type="dxa"/>
          </w:tblCellMar>
        </w:tblPrEx>
        <w:trPr>
          <w:trHeight w:val="20" w:hRule="atLeast"/>
        </w:trPr>
        <w:tc>
          <w:tcPr>
            <w:tcW w:w="2320" w:type="pct"/>
            <w:tcBorders>
              <w:top w:val="single" w:color="auto" w:sz="8" w:space="0"/>
              <w:left w:val="single" w:color="auto" w:sz="8" w:space="0"/>
              <w:bottom w:val="single" w:color="auto" w:sz="8" w:space="0"/>
              <w:right w:val="single" w:color="auto" w:sz="8" w:space="0"/>
            </w:tcBorders>
            <w:tcMar>
              <w:top w:w="28" w:type="dxa"/>
              <w:left w:w="57" w:type="dxa"/>
              <w:bottom w:w="28" w:type="dxa"/>
              <w:right w:w="57" w:type="dxa"/>
            </w:tcMar>
            <w:vAlign w:val="center"/>
          </w:tcPr>
          <w:p w14:paraId="3203A8E9">
            <w:pPr>
              <w:overflowPunct w:val="0"/>
              <w:autoSpaceDE w:val="0"/>
              <w:autoSpaceDN w:val="0"/>
              <w:adjustRightInd w:val="0"/>
              <w:snapToGrid w:val="0"/>
              <w:jc w:val="center"/>
              <w:rPr>
                <w:rFonts w:eastAsia="宋体"/>
                <w:sz w:val="20"/>
                <w:szCs w:val="20"/>
              </w:rPr>
            </w:pPr>
            <w:r>
              <w:rPr>
                <w:sz w:val="20"/>
                <w:szCs w:val="20"/>
              </w:rPr>
              <w:t>1 h</w:t>
            </w:r>
          </w:p>
        </w:tc>
        <w:tc>
          <w:tcPr>
            <w:tcW w:w="2680" w:type="pct"/>
            <w:tcBorders>
              <w:top w:val="nil"/>
              <w:left w:val="nil"/>
              <w:bottom w:val="single" w:color="auto" w:sz="8" w:space="0"/>
              <w:right w:val="single" w:color="auto" w:sz="8" w:space="0"/>
            </w:tcBorders>
            <w:tcMar>
              <w:top w:w="28" w:type="dxa"/>
              <w:left w:w="57" w:type="dxa"/>
              <w:bottom w:w="28" w:type="dxa"/>
              <w:right w:w="57" w:type="dxa"/>
            </w:tcMar>
            <w:vAlign w:val="center"/>
          </w:tcPr>
          <w:p w14:paraId="5173C909">
            <w:pPr>
              <w:overflowPunct w:val="0"/>
              <w:autoSpaceDE w:val="0"/>
              <w:autoSpaceDN w:val="0"/>
              <w:adjustRightInd w:val="0"/>
              <w:snapToGrid w:val="0"/>
              <w:jc w:val="center"/>
              <w:rPr>
                <w:rFonts w:eastAsia="宋体"/>
                <w:sz w:val="20"/>
                <w:szCs w:val="20"/>
              </w:rPr>
            </w:pPr>
            <w:r>
              <w:rPr>
                <w:sz w:val="20"/>
                <w:szCs w:val="20"/>
              </w:rPr>
              <w:t>2 min</w:t>
            </w:r>
          </w:p>
        </w:tc>
      </w:tr>
      <w:tr w14:paraId="73BD711B">
        <w:tblPrEx>
          <w:tblCellMar>
            <w:top w:w="28" w:type="dxa"/>
            <w:left w:w="57" w:type="dxa"/>
            <w:bottom w:w="28" w:type="dxa"/>
            <w:right w:w="57" w:type="dxa"/>
          </w:tblCellMar>
        </w:tblPrEx>
        <w:trPr>
          <w:trHeight w:val="20" w:hRule="atLeast"/>
        </w:trPr>
        <w:tc>
          <w:tcPr>
            <w:tcW w:w="2320" w:type="pct"/>
            <w:tcBorders>
              <w:top w:val="single" w:color="auto" w:sz="8" w:space="0"/>
              <w:left w:val="single" w:color="auto" w:sz="8" w:space="0"/>
              <w:bottom w:val="single" w:color="auto" w:sz="8" w:space="0"/>
              <w:right w:val="single" w:color="auto" w:sz="8" w:space="0"/>
            </w:tcBorders>
            <w:tcMar>
              <w:top w:w="28" w:type="dxa"/>
              <w:left w:w="57" w:type="dxa"/>
              <w:bottom w:w="28" w:type="dxa"/>
              <w:right w:w="57" w:type="dxa"/>
            </w:tcMar>
            <w:vAlign w:val="center"/>
          </w:tcPr>
          <w:p w14:paraId="73949F43">
            <w:pPr>
              <w:overflowPunct w:val="0"/>
              <w:autoSpaceDE w:val="0"/>
              <w:autoSpaceDN w:val="0"/>
              <w:adjustRightInd w:val="0"/>
              <w:snapToGrid w:val="0"/>
              <w:jc w:val="center"/>
              <w:rPr>
                <w:rFonts w:eastAsia="宋体"/>
                <w:sz w:val="20"/>
                <w:szCs w:val="20"/>
              </w:rPr>
            </w:pPr>
            <w:r>
              <w:rPr>
                <w:sz w:val="20"/>
                <w:szCs w:val="20"/>
              </w:rPr>
              <w:t>2 h</w:t>
            </w:r>
          </w:p>
        </w:tc>
        <w:tc>
          <w:tcPr>
            <w:tcW w:w="2680" w:type="pct"/>
            <w:tcBorders>
              <w:top w:val="nil"/>
              <w:left w:val="nil"/>
              <w:bottom w:val="single" w:color="auto" w:sz="8" w:space="0"/>
              <w:right w:val="single" w:color="auto" w:sz="8" w:space="0"/>
            </w:tcBorders>
            <w:tcMar>
              <w:top w:w="28" w:type="dxa"/>
              <w:left w:w="57" w:type="dxa"/>
              <w:bottom w:w="28" w:type="dxa"/>
              <w:right w:w="57" w:type="dxa"/>
            </w:tcMar>
            <w:vAlign w:val="center"/>
          </w:tcPr>
          <w:p w14:paraId="27AEB0B2">
            <w:pPr>
              <w:overflowPunct w:val="0"/>
              <w:autoSpaceDE w:val="0"/>
              <w:autoSpaceDN w:val="0"/>
              <w:adjustRightInd w:val="0"/>
              <w:snapToGrid w:val="0"/>
              <w:jc w:val="center"/>
              <w:rPr>
                <w:rFonts w:eastAsia="宋体"/>
                <w:sz w:val="20"/>
                <w:szCs w:val="20"/>
              </w:rPr>
            </w:pPr>
            <w:r>
              <w:rPr>
                <w:sz w:val="20"/>
                <w:szCs w:val="20"/>
              </w:rPr>
              <w:t>2 min</w:t>
            </w:r>
          </w:p>
        </w:tc>
      </w:tr>
      <w:tr w14:paraId="68578542">
        <w:tblPrEx>
          <w:tblCellMar>
            <w:top w:w="28" w:type="dxa"/>
            <w:left w:w="57" w:type="dxa"/>
            <w:bottom w:w="28" w:type="dxa"/>
            <w:right w:w="57" w:type="dxa"/>
          </w:tblCellMar>
        </w:tblPrEx>
        <w:trPr>
          <w:trHeight w:val="20" w:hRule="atLeast"/>
        </w:trPr>
        <w:tc>
          <w:tcPr>
            <w:tcW w:w="2320" w:type="pct"/>
            <w:tcBorders>
              <w:top w:val="single" w:color="auto" w:sz="8" w:space="0"/>
              <w:left w:val="single" w:color="auto" w:sz="8" w:space="0"/>
              <w:bottom w:val="single" w:color="auto" w:sz="8" w:space="0"/>
              <w:right w:val="single" w:color="auto" w:sz="8" w:space="0"/>
            </w:tcBorders>
            <w:tcMar>
              <w:top w:w="28" w:type="dxa"/>
              <w:left w:w="57" w:type="dxa"/>
              <w:bottom w:w="28" w:type="dxa"/>
              <w:right w:w="57" w:type="dxa"/>
            </w:tcMar>
            <w:vAlign w:val="center"/>
          </w:tcPr>
          <w:p w14:paraId="45A90DD9">
            <w:pPr>
              <w:overflowPunct w:val="0"/>
              <w:autoSpaceDE w:val="0"/>
              <w:autoSpaceDN w:val="0"/>
              <w:adjustRightInd w:val="0"/>
              <w:snapToGrid w:val="0"/>
              <w:jc w:val="center"/>
              <w:rPr>
                <w:rFonts w:eastAsia="宋体"/>
                <w:sz w:val="20"/>
                <w:szCs w:val="20"/>
              </w:rPr>
            </w:pPr>
            <w:r>
              <w:rPr>
                <w:sz w:val="20"/>
                <w:szCs w:val="20"/>
              </w:rPr>
              <w:t>3 h</w:t>
            </w:r>
          </w:p>
        </w:tc>
        <w:tc>
          <w:tcPr>
            <w:tcW w:w="2680" w:type="pct"/>
            <w:tcBorders>
              <w:top w:val="nil"/>
              <w:left w:val="nil"/>
              <w:bottom w:val="single" w:color="auto" w:sz="8" w:space="0"/>
              <w:right w:val="single" w:color="auto" w:sz="8" w:space="0"/>
            </w:tcBorders>
            <w:tcMar>
              <w:top w:w="28" w:type="dxa"/>
              <w:left w:w="57" w:type="dxa"/>
              <w:bottom w:w="28" w:type="dxa"/>
              <w:right w:w="57" w:type="dxa"/>
            </w:tcMar>
            <w:vAlign w:val="center"/>
          </w:tcPr>
          <w:p w14:paraId="01850D2F">
            <w:pPr>
              <w:overflowPunct w:val="0"/>
              <w:autoSpaceDE w:val="0"/>
              <w:autoSpaceDN w:val="0"/>
              <w:adjustRightInd w:val="0"/>
              <w:snapToGrid w:val="0"/>
              <w:jc w:val="center"/>
              <w:rPr>
                <w:rFonts w:eastAsia="宋体"/>
                <w:sz w:val="20"/>
                <w:szCs w:val="20"/>
              </w:rPr>
            </w:pPr>
            <w:r>
              <w:rPr>
                <w:sz w:val="20"/>
                <w:szCs w:val="20"/>
              </w:rPr>
              <w:t>3 min</w:t>
            </w:r>
          </w:p>
        </w:tc>
      </w:tr>
      <w:tr w14:paraId="37C4DAAD">
        <w:tblPrEx>
          <w:tblCellMar>
            <w:top w:w="28" w:type="dxa"/>
            <w:left w:w="57" w:type="dxa"/>
            <w:bottom w:w="28" w:type="dxa"/>
            <w:right w:w="57" w:type="dxa"/>
          </w:tblCellMar>
        </w:tblPrEx>
        <w:trPr>
          <w:trHeight w:val="20" w:hRule="atLeast"/>
        </w:trPr>
        <w:tc>
          <w:tcPr>
            <w:tcW w:w="2320" w:type="pct"/>
            <w:tcBorders>
              <w:top w:val="single" w:color="auto" w:sz="8" w:space="0"/>
              <w:left w:val="single" w:color="auto" w:sz="8" w:space="0"/>
              <w:bottom w:val="single" w:color="auto" w:sz="4" w:space="0"/>
              <w:right w:val="single" w:color="auto" w:sz="8" w:space="0"/>
            </w:tcBorders>
            <w:tcMar>
              <w:top w:w="28" w:type="dxa"/>
              <w:left w:w="57" w:type="dxa"/>
              <w:bottom w:w="28" w:type="dxa"/>
              <w:right w:w="57" w:type="dxa"/>
            </w:tcMar>
            <w:vAlign w:val="center"/>
          </w:tcPr>
          <w:p w14:paraId="00A0363C">
            <w:pPr>
              <w:overflowPunct w:val="0"/>
              <w:autoSpaceDE w:val="0"/>
              <w:autoSpaceDN w:val="0"/>
              <w:adjustRightInd w:val="0"/>
              <w:snapToGrid w:val="0"/>
              <w:jc w:val="center"/>
              <w:rPr>
                <w:rFonts w:eastAsia="宋体"/>
                <w:sz w:val="20"/>
                <w:szCs w:val="20"/>
              </w:rPr>
            </w:pPr>
            <w:r>
              <w:rPr>
                <w:sz w:val="20"/>
                <w:szCs w:val="20"/>
              </w:rPr>
              <w:t>4 h</w:t>
            </w:r>
          </w:p>
        </w:tc>
        <w:tc>
          <w:tcPr>
            <w:tcW w:w="2680" w:type="pct"/>
            <w:tcBorders>
              <w:top w:val="nil"/>
              <w:left w:val="nil"/>
              <w:bottom w:val="single" w:color="auto" w:sz="4" w:space="0"/>
              <w:right w:val="single" w:color="auto" w:sz="8" w:space="0"/>
            </w:tcBorders>
            <w:tcMar>
              <w:top w:w="28" w:type="dxa"/>
              <w:left w:w="57" w:type="dxa"/>
              <w:bottom w:w="28" w:type="dxa"/>
              <w:right w:w="57" w:type="dxa"/>
            </w:tcMar>
            <w:vAlign w:val="center"/>
          </w:tcPr>
          <w:p w14:paraId="1D4D410A">
            <w:pPr>
              <w:overflowPunct w:val="0"/>
              <w:autoSpaceDE w:val="0"/>
              <w:autoSpaceDN w:val="0"/>
              <w:adjustRightInd w:val="0"/>
              <w:snapToGrid w:val="0"/>
              <w:jc w:val="center"/>
              <w:rPr>
                <w:rFonts w:eastAsia="宋体"/>
                <w:sz w:val="20"/>
                <w:szCs w:val="20"/>
              </w:rPr>
            </w:pPr>
            <w:r>
              <w:rPr>
                <w:sz w:val="20"/>
                <w:szCs w:val="20"/>
              </w:rPr>
              <w:t>3 min</w:t>
            </w:r>
          </w:p>
        </w:tc>
      </w:tr>
      <w:tr w14:paraId="76F146E3">
        <w:tblPrEx>
          <w:tblCellMar>
            <w:top w:w="28" w:type="dxa"/>
            <w:left w:w="57" w:type="dxa"/>
            <w:bottom w:w="28" w:type="dxa"/>
            <w:right w:w="57" w:type="dxa"/>
          </w:tblCellMar>
        </w:tblPrEx>
        <w:trPr>
          <w:trHeight w:val="20" w:hRule="atLeast"/>
        </w:trPr>
        <w:tc>
          <w:tcPr>
            <w:tcW w:w="2320" w:type="pct"/>
            <w:tcBorders>
              <w:top w:val="single" w:color="auto" w:sz="4" w:space="0"/>
              <w:left w:val="single" w:color="auto" w:sz="4" w:space="0"/>
              <w:bottom w:val="single" w:color="auto" w:sz="4" w:space="0"/>
              <w:right w:val="single" w:color="auto" w:sz="4" w:space="0"/>
            </w:tcBorders>
            <w:tcMar>
              <w:top w:w="28" w:type="dxa"/>
              <w:left w:w="57" w:type="dxa"/>
              <w:bottom w:w="28" w:type="dxa"/>
              <w:right w:w="57" w:type="dxa"/>
            </w:tcMar>
            <w:vAlign w:val="center"/>
          </w:tcPr>
          <w:p w14:paraId="1605ED1D">
            <w:pPr>
              <w:overflowPunct w:val="0"/>
              <w:autoSpaceDE w:val="0"/>
              <w:autoSpaceDN w:val="0"/>
              <w:adjustRightInd w:val="0"/>
              <w:snapToGrid w:val="0"/>
              <w:jc w:val="center"/>
              <w:rPr>
                <w:rFonts w:eastAsia="宋体"/>
                <w:sz w:val="20"/>
                <w:szCs w:val="20"/>
              </w:rPr>
            </w:pPr>
            <w:r>
              <w:rPr>
                <w:sz w:val="20"/>
                <w:szCs w:val="20"/>
              </w:rPr>
              <w:t>6 h</w:t>
            </w:r>
          </w:p>
        </w:tc>
        <w:tc>
          <w:tcPr>
            <w:tcW w:w="2680" w:type="pct"/>
            <w:tcBorders>
              <w:top w:val="single" w:color="auto" w:sz="4" w:space="0"/>
              <w:left w:val="single" w:color="auto" w:sz="4" w:space="0"/>
              <w:bottom w:val="single" w:color="auto" w:sz="4" w:space="0"/>
              <w:right w:val="single" w:color="auto" w:sz="4" w:space="0"/>
            </w:tcBorders>
            <w:tcMar>
              <w:top w:w="28" w:type="dxa"/>
              <w:left w:w="57" w:type="dxa"/>
              <w:bottom w:w="28" w:type="dxa"/>
              <w:right w:w="57" w:type="dxa"/>
            </w:tcMar>
            <w:vAlign w:val="center"/>
          </w:tcPr>
          <w:p w14:paraId="7C662DA0">
            <w:pPr>
              <w:overflowPunct w:val="0"/>
              <w:autoSpaceDE w:val="0"/>
              <w:autoSpaceDN w:val="0"/>
              <w:adjustRightInd w:val="0"/>
              <w:snapToGrid w:val="0"/>
              <w:jc w:val="center"/>
              <w:rPr>
                <w:rFonts w:eastAsia="宋体"/>
                <w:sz w:val="20"/>
                <w:szCs w:val="20"/>
              </w:rPr>
            </w:pPr>
            <w:r>
              <w:rPr>
                <w:sz w:val="20"/>
                <w:szCs w:val="20"/>
              </w:rPr>
              <w:t>3 min</w:t>
            </w:r>
          </w:p>
        </w:tc>
      </w:tr>
      <w:tr w14:paraId="1B06C458">
        <w:tblPrEx>
          <w:tblCellMar>
            <w:top w:w="28" w:type="dxa"/>
            <w:left w:w="57" w:type="dxa"/>
            <w:bottom w:w="28" w:type="dxa"/>
            <w:right w:w="57" w:type="dxa"/>
          </w:tblCellMar>
        </w:tblPrEx>
        <w:trPr>
          <w:trHeight w:val="20" w:hRule="atLeast"/>
        </w:trPr>
        <w:tc>
          <w:tcPr>
            <w:tcW w:w="2320" w:type="pct"/>
            <w:tcBorders>
              <w:top w:val="single" w:color="auto" w:sz="4" w:space="0"/>
              <w:left w:val="single" w:color="auto" w:sz="8" w:space="0"/>
              <w:bottom w:val="single" w:color="auto" w:sz="8" w:space="0"/>
              <w:right w:val="single" w:color="auto" w:sz="8" w:space="0"/>
            </w:tcBorders>
            <w:tcMar>
              <w:top w:w="28" w:type="dxa"/>
              <w:left w:w="57" w:type="dxa"/>
              <w:bottom w:w="28" w:type="dxa"/>
              <w:right w:w="57" w:type="dxa"/>
            </w:tcMar>
            <w:vAlign w:val="center"/>
          </w:tcPr>
          <w:p w14:paraId="213964BC">
            <w:pPr>
              <w:overflowPunct w:val="0"/>
              <w:autoSpaceDE w:val="0"/>
              <w:autoSpaceDN w:val="0"/>
              <w:adjustRightInd w:val="0"/>
              <w:snapToGrid w:val="0"/>
              <w:jc w:val="center"/>
              <w:rPr>
                <w:rFonts w:eastAsia="宋体"/>
                <w:sz w:val="20"/>
                <w:szCs w:val="20"/>
              </w:rPr>
            </w:pPr>
            <w:r>
              <w:rPr>
                <w:sz w:val="20"/>
                <w:szCs w:val="20"/>
              </w:rPr>
              <w:t>9 h</w:t>
            </w:r>
          </w:p>
        </w:tc>
        <w:tc>
          <w:tcPr>
            <w:tcW w:w="2680" w:type="pct"/>
            <w:tcBorders>
              <w:top w:val="single" w:color="auto" w:sz="4" w:space="0"/>
              <w:left w:val="nil"/>
              <w:bottom w:val="single" w:color="auto" w:sz="8" w:space="0"/>
              <w:right w:val="single" w:color="auto" w:sz="8" w:space="0"/>
            </w:tcBorders>
            <w:tcMar>
              <w:top w:w="28" w:type="dxa"/>
              <w:left w:w="57" w:type="dxa"/>
              <w:bottom w:w="28" w:type="dxa"/>
              <w:right w:w="57" w:type="dxa"/>
            </w:tcMar>
            <w:vAlign w:val="center"/>
          </w:tcPr>
          <w:p w14:paraId="31DA33EC">
            <w:pPr>
              <w:overflowPunct w:val="0"/>
              <w:autoSpaceDE w:val="0"/>
              <w:autoSpaceDN w:val="0"/>
              <w:adjustRightInd w:val="0"/>
              <w:snapToGrid w:val="0"/>
              <w:jc w:val="center"/>
              <w:rPr>
                <w:rFonts w:eastAsia="宋体"/>
                <w:sz w:val="20"/>
                <w:szCs w:val="20"/>
              </w:rPr>
            </w:pPr>
            <w:r>
              <w:rPr>
                <w:sz w:val="20"/>
                <w:szCs w:val="20"/>
              </w:rPr>
              <w:t>3 min</w:t>
            </w:r>
          </w:p>
        </w:tc>
      </w:tr>
      <w:tr w14:paraId="174EEC3D">
        <w:tblPrEx>
          <w:tblCellMar>
            <w:top w:w="28" w:type="dxa"/>
            <w:left w:w="57" w:type="dxa"/>
            <w:bottom w:w="28" w:type="dxa"/>
            <w:right w:w="57" w:type="dxa"/>
          </w:tblCellMar>
        </w:tblPrEx>
        <w:trPr>
          <w:trHeight w:val="20" w:hRule="atLeast"/>
        </w:trPr>
        <w:tc>
          <w:tcPr>
            <w:tcW w:w="2320" w:type="pct"/>
            <w:tcBorders>
              <w:top w:val="single" w:color="auto" w:sz="8" w:space="0"/>
              <w:left w:val="single" w:color="auto" w:sz="8" w:space="0"/>
              <w:bottom w:val="single" w:color="auto" w:sz="8" w:space="0"/>
              <w:right w:val="single" w:color="auto" w:sz="8" w:space="0"/>
            </w:tcBorders>
            <w:tcMar>
              <w:top w:w="28" w:type="dxa"/>
              <w:left w:w="57" w:type="dxa"/>
              <w:bottom w:w="28" w:type="dxa"/>
              <w:right w:w="57" w:type="dxa"/>
            </w:tcMar>
            <w:vAlign w:val="center"/>
          </w:tcPr>
          <w:p w14:paraId="6DA7351D">
            <w:pPr>
              <w:overflowPunct w:val="0"/>
              <w:autoSpaceDE w:val="0"/>
              <w:autoSpaceDN w:val="0"/>
              <w:adjustRightInd w:val="0"/>
              <w:snapToGrid w:val="0"/>
              <w:jc w:val="center"/>
              <w:rPr>
                <w:rFonts w:eastAsia="宋体"/>
                <w:sz w:val="20"/>
                <w:szCs w:val="20"/>
              </w:rPr>
            </w:pPr>
            <w:r>
              <w:rPr>
                <w:sz w:val="20"/>
                <w:szCs w:val="20"/>
              </w:rPr>
              <w:t>12 h</w:t>
            </w:r>
          </w:p>
        </w:tc>
        <w:tc>
          <w:tcPr>
            <w:tcW w:w="2680" w:type="pct"/>
            <w:tcBorders>
              <w:top w:val="nil"/>
              <w:left w:val="nil"/>
              <w:bottom w:val="single" w:color="auto" w:sz="2" w:space="0"/>
              <w:right w:val="single" w:color="auto" w:sz="8" w:space="0"/>
            </w:tcBorders>
            <w:tcMar>
              <w:top w:w="28" w:type="dxa"/>
              <w:left w:w="57" w:type="dxa"/>
              <w:bottom w:w="28" w:type="dxa"/>
              <w:right w:w="57" w:type="dxa"/>
            </w:tcMar>
            <w:vAlign w:val="center"/>
          </w:tcPr>
          <w:p w14:paraId="42AD8EDF">
            <w:pPr>
              <w:overflowPunct w:val="0"/>
              <w:autoSpaceDE w:val="0"/>
              <w:autoSpaceDN w:val="0"/>
              <w:adjustRightInd w:val="0"/>
              <w:snapToGrid w:val="0"/>
              <w:jc w:val="center"/>
              <w:rPr>
                <w:rFonts w:eastAsia="宋体"/>
                <w:sz w:val="20"/>
                <w:szCs w:val="20"/>
              </w:rPr>
            </w:pPr>
            <w:r>
              <w:rPr>
                <w:sz w:val="20"/>
                <w:szCs w:val="20"/>
              </w:rPr>
              <w:t>6 min</w:t>
            </w:r>
          </w:p>
        </w:tc>
      </w:tr>
      <w:tr w14:paraId="73792A3A">
        <w:tblPrEx>
          <w:tblCellMar>
            <w:top w:w="28" w:type="dxa"/>
            <w:left w:w="57" w:type="dxa"/>
            <w:bottom w:w="28" w:type="dxa"/>
            <w:right w:w="57" w:type="dxa"/>
          </w:tblCellMar>
        </w:tblPrEx>
        <w:trPr>
          <w:trHeight w:val="20" w:hRule="atLeast"/>
        </w:trPr>
        <w:tc>
          <w:tcPr>
            <w:tcW w:w="2320" w:type="pct"/>
            <w:tcBorders>
              <w:top w:val="single" w:color="auto" w:sz="8" w:space="0"/>
              <w:left w:val="single" w:color="auto" w:sz="8" w:space="0"/>
              <w:bottom w:val="single" w:color="auto" w:sz="8" w:space="0"/>
              <w:right w:val="single" w:color="auto" w:sz="8" w:space="0"/>
            </w:tcBorders>
            <w:tcMar>
              <w:top w:w="28" w:type="dxa"/>
              <w:left w:w="57" w:type="dxa"/>
              <w:bottom w:w="28" w:type="dxa"/>
              <w:right w:w="57" w:type="dxa"/>
            </w:tcMar>
            <w:vAlign w:val="center"/>
          </w:tcPr>
          <w:p w14:paraId="7080DB0B">
            <w:pPr>
              <w:overflowPunct w:val="0"/>
              <w:autoSpaceDE w:val="0"/>
              <w:autoSpaceDN w:val="0"/>
              <w:adjustRightInd w:val="0"/>
              <w:snapToGrid w:val="0"/>
              <w:jc w:val="center"/>
              <w:rPr>
                <w:rFonts w:eastAsia="宋体"/>
                <w:sz w:val="20"/>
                <w:szCs w:val="20"/>
              </w:rPr>
            </w:pPr>
            <w:r>
              <w:rPr>
                <w:sz w:val="20"/>
                <w:szCs w:val="20"/>
              </w:rPr>
              <w:t>24 h</w:t>
            </w:r>
          </w:p>
        </w:tc>
        <w:tc>
          <w:tcPr>
            <w:tcW w:w="2680" w:type="pct"/>
            <w:tcBorders>
              <w:top w:val="single" w:color="auto" w:sz="2" w:space="0"/>
              <w:left w:val="nil"/>
              <w:bottom w:val="single" w:color="auto" w:sz="8" w:space="0"/>
              <w:right w:val="single" w:color="auto" w:sz="8" w:space="0"/>
            </w:tcBorders>
            <w:tcMar>
              <w:top w:w="28" w:type="dxa"/>
              <w:left w:w="57" w:type="dxa"/>
              <w:bottom w:w="28" w:type="dxa"/>
              <w:right w:w="57" w:type="dxa"/>
            </w:tcMar>
            <w:vAlign w:val="center"/>
          </w:tcPr>
          <w:p w14:paraId="1A6017AE">
            <w:pPr>
              <w:overflowPunct w:val="0"/>
              <w:autoSpaceDE w:val="0"/>
              <w:autoSpaceDN w:val="0"/>
              <w:adjustRightInd w:val="0"/>
              <w:snapToGrid w:val="0"/>
              <w:jc w:val="center"/>
              <w:rPr>
                <w:rFonts w:eastAsia="宋体"/>
                <w:sz w:val="20"/>
                <w:szCs w:val="20"/>
              </w:rPr>
            </w:pPr>
            <w:r>
              <w:rPr>
                <w:sz w:val="20"/>
                <w:szCs w:val="20"/>
              </w:rPr>
              <w:t>12 min</w:t>
            </w:r>
          </w:p>
        </w:tc>
      </w:tr>
    </w:tbl>
    <w:p w14:paraId="2D007F94">
      <w:pPr>
        <w:pStyle w:val="196"/>
        <w:rPr>
          <w:rFonts w:eastAsia="宋体"/>
          <w:spacing w:val="-6"/>
        </w:rPr>
      </w:pPr>
      <w:bookmarkStart w:id="583" w:name="_Ref121758064"/>
      <w:bookmarkStart w:id="584" w:name="F9"/>
      <w:bookmarkStart w:id="585" w:name="_Toc8496"/>
      <w:bookmarkStart w:id="586" w:name="_Toc6357"/>
      <w:bookmarkStart w:id="587" w:name="_Toc446058204"/>
      <w:bookmarkStart w:id="588" w:name="_Toc493637993"/>
      <w:bookmarkStart w:id="589" w:name="_Toc11681"/>
      <w:bookmarkStart w:id="590" w:name="_Toc159596343"/>
      <w:r>
        <w:rPr>
          <w:spacing w:val="-6"/>
        </w:rPr>
        <w:t xml:space="preserve">Appendix </w:t>
      </w:r>
      <w:bookmarkEnd w:id="583"/>
      <w:r>
        <w:rPr>
          <w:spacing w:val="-6"/>
        </w:rPr>
        <w:t>9</w:t>
      </w:r>
      <w:bookmarkEnd w:id="584"/>
      <w:r>
        <w:rPr>
          <w:spacing w:val="-6"/>
        </w:rPr>
        <w:t xml:space="preserve">: </w:t>
      </w:r>
      <w:bookmarkEnd w:id="585"/>
      <w:bookmarkEnd w:id="586"/>
      <w:bookmarkEnd w:id="587"/>
      <w:bookmarkEnd w:id="588"/>
      <w:bookmarkEnd w:id="589"/>
      <w:bookmarkStart w:id="591" w:name="OLE_LINK55"/>
      <w:r>
        <w:rPr>
          <w:spacing w:val="-6"/>
        </w:rPr>
        <w:t xml:space="preserve">Specific </w:t>
      </w:r>
      <w:bookmarkEnd w:id="591"/>
      <w:r>
        <w:rPr>
          <w:spacing w:val="-6"/>
        </w:rPr>
        <w:t>Indicators for Each Test (including but not limited to the items listed below)</w:t>
      </w:r>
      <w:bookmarkEnd w:id="590"/>
    </w:p>
    <w:p w14:paraId="0C28F805">
      <w:pPr>
        <w:pStyle w:val="4"/>
        <w:overflowPunct w:val="0"/>
        <w:autoSpaceDE w:val="0"/>
        <w:autoSpaceDN w:val="0"/>
        <w:adjustRightInd w:val="0"/>
        <w:snapToGrid w:val="0"/>
        <w:spacing w:before="120" w:beforeLines="50" w:after="120" w:afterLines="50" w:line="300" w:lineRule="auto"/>
        <w:ind w:firstLine="0" w:firstLineChars="0"/>
        <w:rPr>
          <w:rFonts w:cs="Times New Roman"/>
          <w:color w:val="auto"/>
          <w:szCs w:val="24"/>
        </w:rPr>
      </w:pPr>
      <w:bookmarkStart w:id="592" w:name="OLE_LINK47"/>
      <w:bookmarkStart w:id="593" w:name="_Toc446058205"/>
      <w:r>
        <w:rPr>
          <w:rFonts w:cs="Times New Roman"/>
          <w:color w:val="auto"/>
          <w:szCs w:val="24"/>
        </w:rPr>
        <w:t>The specific test item and abbreviation shall be based on the actual results of the study site</w:t>
      </w:r>
    </w:p>
    <w:tbl>
      <w:tblPr>
        <w:tblStyle w:val="42"/>
        <w:tblW w:w="5000" w:type="pct"/>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28" w:type="dxa"/>
          <w:left w:w="57" w:type="dxa"/>
          <w:bottom w:w="28" w:type="dxa"/>
          <w:right w:w="57" w:type="dxa"/>
        </w:tblCellMar>
      </w:tblPr>
      <w:tblGrid>
        <w:gridCol w:w="1991"/>
        <w:gridCol w:w="7483"/>
      </w:tblGrid>
      <w:tr w14:paraId="340C8C6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28" w:type="dxa"/>
            <w:left w:w="57" w:type="dxa"/>
            <w:bottom w:w="28" w:type="dxa"/>
            <w:right w:w="57" w:type="dxa"/>
          </w:tblCellMar>
        </w:tblPrEx>
        <w:tc>
          <w:tcPr>
            <w:tcW w:w="1051" w:type="pct"/>
            <w:tcBorders>
              <w:top w:val="single" w:color="auto" w:sz="12" w:space="0"/>
              <w:left w:val="single" w:color="auto" w:sz="4" w:space="0"/>
              <w:bottom w:val="single" w:color="auto" w:sz="8" w:space="0"/>
            </w:tcBorders>
            <w:shd w:val="clear" w:color="auto" w:fill="BEBEBE"/>
            <w:tcMar>
              <w:top w:w="28" w:type="dxa"/>
              <w:left w:w="57" w:type="dxa"/>
              <w:bottom w:w="28" w:type="dxa"/>
              <w:right w:w="57" w:type="dxa"/>
            </w:tcMar>
            <w:vAlign w:val="center"/>
          </w:tcPr>
          <w:p w14:paraId="16D1D027">
            <w:pPr>
              <w:widowControl w:val="0"/>
              <w:overflowPunct w:val="0"/>
              <w:autoSpaceDE w:val="0"/>
              <w:autoSpaceDN w:val="0"/>
              <w:adjustRightInd w:val="0"/>
              <w:snapToGrid w:val="0"/>
              <w:rPr>
                <w:rFonts w:eastAsia="宋体"/>
                <w:b/>
                <w:kern w:val="2"/>
                <w:sz w:val="20"/>
                <w:szCs w:val="20"/>
              </w:rPr>
            </w:pPr>
            <w:r>
              <w:rPr>
                <w:b/>
                <w:sz w:val="20"/>
                <w:szCs w:val="20"/>
              </w:rPr>
              <w:t>Item</w:t>
            </w:r>
          </w:p>
        </w:tc>
        <w:tc>
          <w:tcPr>
            <w:tcW w:w="3949" w:type="pct"/>
            <w:tcBorders>
              <w:top w:val="single" w:color="auto" w:sz="12" w:space="0"/>
              <w:bottom w:val="single" w:color="auto" w:sz="8" w:space="0"/>
              <w:right w:val="single" w:color="auto" w:sz="4" w:space="0"/>
            </w:tcBorders>
            <w:shd w:val="clear" w:color="auto" w:fill="BEBEBE"/>
            <w:tcMar>
              <w:top w:w="28" w:type="dxa"/>
              <w:left w:w="57" w:type="dxa"/>
              <w:bottom w:w="28" w:type="dxa"/>
              <w:right w:w="57" w:type="dxa"/>
            </w:tcMar>
            <w:vAlign w:val="center"/>
          </w:tcPr>
          <w:p w14:paraId="0A2B23E4">
            <w:pPr>
              <w:widowControl w:val="0"/>
              <w:overflowPunct w:val="0"/>
              <w:autoSpaceDE w:val="0"/>
              <w:autoSpaceDN w:val="0"/>
              <w:adjustRightInd w:val="0"/>
              <w:snapToGrid w:val="0"/>
              <w:rPr>
                <w:rFonts w:eastAsia="宋体"/>
                <w:b/>
                <w:kern w:val="2"/>
                <w:sz w:val="20"/>
                <w:szCs w:val="20"/>
              </w:rPr>
            </w:pPr>
            <w:r>
              <w:rPr>
                <w:b/>
                <w:sz w:val="20"/>
                <w:szCs w:val="20"/>
              </w:rPr>
              <w:t>Test content</w:t>
            </w:r>
          </w:p>
        </w:tc>
      </w:tr>
      <w:tr w14:paraId="5DE1CDF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28" w:type="dxa"/>
            <w:left w:w="57" w:type="dxa"/>
            <w:bottom w:w="28" w:type="dxa"/>
            <w:right w:w="57" w:type="dxa"/>
          </w:tblCellMar>
        </w:tblPrEx>
        <w:tc>
          <w:tcPr>
            <w:tcW w:w="1051" w:type="pct"/>
            <w:tcBorders>
              <w:top w:val="single" w:color="auto" w:sz="8" w:space="0"/>
              <w:left w:val="single" w:color="auto" w:sz="4" w:space="0"/>
              <w:bottom w:val="dotted" w:color="auto" w:sz="4" w:space="0"/>
            </w:tcBorders>
            <w:tcMar>
              <w:top w:w="28" w:type="dxa"/>
              <w:left w:w="57" w:type="dxa"/>
              <w:bottom w:w="28" w:type="dxa"/>
              <w:right w:w="57" w:type="dxa"/>
            </w:tcMar>
            <w:vAlign w:val="center"/>
          </w:tcPr>
          <w:p w14:paraId="60729265">
            <w:pPr>
              <w:widowControl w:val="0"/>
              <w:overflowPunct w:val="0"/>
              <w:autoSpaceDE w:val="0"/>
              <w:autoSpaceDN w:val="0"/>
              <w:adjustRightInd w:val="0"/>
              <w:snapToGrid w:val="0"/>
              <w:rPr>
                <w:rFonts w:eastAsia="宋体"/>
                <w:kern w:val="2"/>
                <w:sz w:val="20"/>
                <w:szCs w:val="20"/>
              </w:rPr>
            </w:pPr>
            <w:r>
              <w:rPr>
                <w:sz w:val="20"/>
                <w:szCs w:val="20"/>
              </w:rPr>
              <w:t>Demographic information</w:t>
            </w:r>
          </w:p>
        </w:tc>
        <w:tc>
          <w:tcPr>
            <w:tcW w:w="3949" w:type="pct"/>
            <w:tcBorders>
              <w:top w:val="single" w:color="auto" w:sz="8" w:space="0"/>
              <w:bottom w:val="dotted" w:color="auto" w:sz="4" w:space="0"/>
              <w:right w:val="single" w:color="auto" w:sz="4" w:space="0"/>
            </w:tcBorders>
            <w:tcMar>
              <w:top w:w="28" w:type="dxa"/>
              <w:left w:w="57" w:type="dxa"/>
              <w:bottom w:w="28" w:type="dxa"/>
              <w:right w:w="57" w:type="dxa"/>
            </w:tcMar>
            <w:vAlign w:val="center"/>
          </w:tcPr>
          <w:p w14:paraId="26672421">
            <w:pPr>
              <w:widowControl w:val="0"/>
              <w:overflowPunct w:val="0"/>
              <w:autoSpaceDE w:val="0"/>
              <w:autoSpaceDN w:val="0"/>
              <w:adjustRightInd w:val="0"/>
              <w:snapToGrid w:val="0"/>
              <w:rPr>
                <w:rFonts w:eastAsia="宋体"/>
                <w:kern w:val="2"/>
                <w:sz w:val="20"/>
                <w:szCs w:val="20"/>
              </w:rPr>
            </w:pPr>
            <w:r>
              <w:rPr>
                <w:sz w:val="20"/>
                <w:szCs w:val="20"/>
              </w:rPr>
              <w:t>Gender, ethnicity, age, and race</w:t>
            </w:r>
          </w:p>
        </w:tc>
      </w:tr>
      <w:tr w14:paraId="7D3DAA7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28" w:type="dxa"/>
            <w:left w:w="57" w:type="dxa"/>
            <w:bottom w:w="28" w:type="dxa"/>
            <w:right w:w="57" w:type="dxa"/>
          </w:tblCellMar>
        </w:tblPrEx>
        <w:tc>
          <w:tcPr>
            <w:tcW w:w="1051" w:type="pct"/>
            <w:tcBorders>
              <w:top w:val="dotted" w:color="auto" w:sz="4" w:space="0"/>
              <w:left w:val="single" w:color="auto" w:sz="4" w:space="0"/>
              <w:bottom w:val="dotted" w:color="auto" w:sz="4" w:space="0"/>
            </w:tcBorders>
            <w:tcMar>
              <w:top w:w="28" w:type="dxa"/>
              <w:left w:w="57" w:type="dxa"/>
              <w:bottom w:w="28" w:type="dxa"/>
              <w:right w:w="57" w:type="dxa"/>
            </w:tcMar>
            <w:vAlign w:val="center"/>
          </w:tcPr>
          <w:p w14:paraId="3AA87878">
            <w:pPr>
              <w:widowControl w:val="0"/>
              <w:overflowPunct w:val="0"/>
              <w:autoSpaceDE w:val="0"/>
              <w:autoSpaceDN w:val="0"/>
              <w:adjustRightInd w:val="0"/>
              <w:snapToGrid w:val="0"/>
              <w:rPr>
                <w:rFonts w:eastAsia="宋体"/>
                <w:kern w:val="2"/>
                <w:sz w:val="20"/>
                <w:szCs w:val="20"/>
              </w:rPr>
            </w:pPr>
            <w:r>
              <w:rPr>
                <w:sz w:val="20"/>
                <w:szCs w:val="20"/>
              </w:rPr>
              <w:t>Medical history and personal history</w:t>
            </w:r>
          </w:p>
        </w:tc>
        <w:tc>
          <w:tcPr>
            <w:tcW w:w="3949" w:type="pct"/>
            <w:tcBorders>
              <w:top w:val="dotted" w:color="auto" w:sz="4" w:space="0"/>
              <w:bottom w:val="dotted" w:color="auto" w:sz="4" w:space="0"/>
              <w:right w:val="single" w:color="auto" w:sz="4" w:space="0"/>
            </w:tcBorders>
            <w:tcMar>
              <w:top w:w="28" w:type="dxa"/>
              <w:left w:w="57" w:type="dxa"/>
              <w:bottom w:w="28" w:type="dxa"/>
              <w:right w:w="57" w:type="dxa"/>
            </w:tcMar>
            <w:vAlign w:val="center"/>
          </w:tcPr>
          <w:p w14:paraId="6C225C59">
            <w:pPr>
              <w:widowControl w:val="0"/>
              <w:overflowPunct w:val="0"/>
              <w:autoSpaceDE w:val="0"/>
              <w:autoSpaceDN w:val="0"/>
              <w:adjustRightInd w:val="0"/>
              <w:snapToGrid w:val="0"/>
              <w:rPr>
                <w:rFonts w:eastAsia="宋体"/>
                <w:kern w:val="2"/>
                <w:sz w:val="20"/>
                <w:szCs w:val="20"/>
              </w:rPr>
            </w:pPr>
            <w:r>
              <w:rPr>
                <w:sz w:val="20"/>
                <w:szCs w:val="20"/>
              </w:rPr>
              <w:t>Allergy history, menstrual history of women, family history, smoking history, drinking history, past medical history, and treatment history</w:t>
            </w:r>
          </w:p>
        </w:tc>
      </w:tr>
      <w:tr w14:paraId="052732D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28" w:type="dxa"/>
            <w:left w:w="57" w:type="dxa"/>
            <w:bottom w:w="28" w:type="dxa"/>
            <w:right w:w="57" w:type="dxa"/>
          </w:tblCellMar>
        </w:tblPrEx>
        <w:tc>
          <w:tcPr>
            <w:tcW w:w="1051" w:type="pct"/>
            <w:tcBorders>
              <w:top w:val="dotted" w:color="auto" w:sz="4" w:space="0"/>
              <w:left w:val="single" w:color="auto" w:sz="4" w:space="0"/>
              <w:bottom w:val="dotted" w:color="auto" w:sz="4" w:space="0"/>
            </w:tcBorders>
            <w:tcMar>
              <w:top w:w="28" w:type="dxa"/>
              <w:left w:w="57" w:type="dxa"/>
              <w:bottom w:w="28" w:type="dxa"/>
              <w:right w:w="57" w:type="dxa"/>
            </w:tcMar>
            <w:vAlign w:val="center"/>
          </w:tcPr>
          <w:p w14:paraId="41C21D1B">
            <w:pPr>
              <w:widowControl w:val="0"/>
              <w:overflowPunct w:val="0"/>
              <w:autoSpaceDE w:val="0"/>
              <w:autoSpaceDN w:val="0"/>
              <w:adjustRightInd w:val="0"/>
              <w:snapToGrid w:val="0"/>
              <w:rPr>
                <w:rFonts w:eastAsia="宋体"/>
                <w:kern w:val="2"/>
                <w:sz w:val="20"/>
                <w:szCs w:val="20"/>
              </w:rPr>
            </w:pPr>
            <w:r>
              <w:rPr>
                <w:sz w:val="20"/>
                <w:szCs w:val="20"/>
              </w:rPr>
              <w:t>Physical examination</w:t>
            </w:r>
          </w:p>
        </w:tc>
        <w:tc>
          <w:tcPr>
            <w:tcW w:w="3949" w:type="pct"/>
            <w:tcBorders>
              <w:top w:val="dotted" w:color="auto" w:sz="4" w:space="0"/>
              <w:bottom w:val="dotted" w:color="auto" w:sz="4" w:space="0"/>
              <w:right w:val="single" w:color="auto" w:sz="4" w:space="0"/>
            </w:tcBorders>
            <w:tcMar>
              <w:top w:w="28" w:type="dxa"/>
              <w:left w:w="57" w:type="dxa"/>
              <w:bottom w:w="28" w:type="dxa"/>
              <w:right w:w="57" w:type="dxa"/>
            </w:tcMar>
            <w:vAlign w:val="center"/>
          </w:tcPr>
          <w:p w14:paraId="4EE3685A">
            <w:pPr>
              <w:widowControl w:val="0"/>
              <w:overflowPunct w:val="0"/>
              <w:autoSpaceDE w:val="0"/>
              <w:autoSpaceDN w:val="0"/>
              <w:adjustRightInd w:val="0"/>
              <w:snapToGrid w:val="0"/>
              <w:rPr>
                <w:rFonts w:eastAsia="宋体"/>
                <w:kern w:val="2"/>
                <w:sz w:val="20"/>
                <w:szCs w:val="20"/>
              </w:rPr>
            </w:pPr>
            <w:r>
              <w:rPr>
                <w:sz w:val="20"/>
                <w:szCs w:val="20"/>
              </w:rPr>
              <w:t>General condition, skin/mucosa, lymph nodes, head, neck, chest, abdomen, spine/extremities, and nervous system</w:t>
            </w:r>
          </w:p>
        </w:tc>
      </w:tr>
      <w:tr w14:paraId="147FC33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c>
          <w:tcPr>
            <w:tcW w:w="1051" w:type="pct"/>
            <w:tcBorders>
              <w:top w:val="dotted" w:color="auto" w:sz="4" w:space="0"/>
              <w:left w:val="single" w:color="auto" w:sz="4" w:space="0"/>
              <w:bottom w:val="dotted" w:color="auto" w:sz="4" w:space="0"/>
            </w:tcBorders>
            <w:tcMar>
              <w:top w:w="28" w:type="dxa"/>
              <w:left w:w="57" w:type="dxa"/>
              <w:bottom w:w="28" w:type="dxa"/>
              <w:right w:w="57" w:type="dxa"/>
            </w:tcMar>
            <w:vAlign w:val="center"/>
          </w:tcPr>
          <w:p w14:paraId="4BD63C65">
            <w:pPr>
              <w:widowControl w:val="0"/>
              <w:overflowPunct w:val="0"/>
              <w:autoSpaceDE w:val="0"/>
              <w:autoSpaceDN w:val="0"/>
              <w:adjustRightInd w:val="0"/>
              <w:snapToGrid w:val="0"/>
              <w:rPr>
                <w:rFonts w:eastAsia="宋体"/>
                <w:kern w:val="2"/>
                <w:sz w:val="20"/>
                <w:szCs w:val="20"/>
              </w:rPr>
            </w:pPr>
            <w:r>
              <w:rPr>
                <w:sz w:val="20"/>
                <w:szCs w:val="20"/>
              </w:rPr>
              <w:t>Vital signs</w:t>
            </w:r>
          </w:p>
        </w:tc>
        <w:tc>
          <w:tcPr>
            <w:tcW w:w="3949" w:type="pct"/>
            <w:tcBorders>
              <w:top w:val="dotted" w:color="auto" w:sz="4" w:space="0"/>
              <w:bottom w:val="dotted" w:color="auto" w:sz="4" w:space="0"/>
              <w:right w:val="single" w:color="auto" w:sz="4" w:space="0"/>
            </w:tcBorders>
            <w:tcMar>
              <w:top w:w="28" w:type="dxa"/>
              <w:left w:w="57" w:type="dxa"/>
              <w:bottom w:w="28" w:type="dxa"/>
              <w:right w:w="57" w:type="dxa"/>
            </w:tcMar>
            <w:vAlign w:val="center"/>
          </w:tcPr>
          <w:p w14:paraId="74D7C3CF">
            <w:pPr>
              <w:widowControl w:val="0"/>
              <w:overflowPunct w:val="0"/>
              <w:autoSpaceDE w:val="0"/>
              <w:autoSpaceDN w:val="0"/>
              <w:adjustRightInd w:val="0"/>
              <w:snapToGrid w:val="0"/>
              <w:rPr>
                <w:rFonts w:eastAsia="宋体"/>
                <w:kern w:val="2"/>
                <w:sz w:val="20"/>
                <w:szCs w:val="20"/>
              </w:rPr>
            </w:pPr>
            <w:r>
              <w:rPr>
                <w:sz w:val="20"/>
                <w:szCs w:val="20"/>
              </w:rPr>
              <w:t>Blood pressure, pulse, respiration, and body temperature</w:t>
            </w:r>
          </w:p>
        </w:tc>
      </w:tr>
      <w:tr w14:paraId="37DF276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28" w:type="dxa"/>
            <w:left w:w="57" w:type="dxa"/>
            <w:bottom w:w="28" w:type="dxa"/>
            <w:right w:w="57" w:type="dxa"/>
          </w:tblCellMar>
        </w:tblPrEx>
        <w:tc>
          <w:tcPr>
            <w:tcW w:w="1051" w:type="pct"/>
            <w:tcBorders>
              <w:top w:val="dotted" w:color="auto" w:sz="4" w:space="0"/>
              <w:left w:val="single" w:color="auto" w:sz="4" w:space="0"/>
              <w:bottom w:val="dotted" w:color="auto" w:sz="4" w:space="0"/>
            </w:tcBorders>
            <w:tcMar>
              <w:top w:w="28" w:type="dxa"/>
              <w:left w:w="57" w:type="dxa"/>
              <w:bottom w:w="28" w:type="dxa"/>
              <w:right w:w="57" w:type="dxa"/>
            </w:tcMar>
            <w:vAlign w:val="center"/>
          </w:tcPr>
          <w:p w14:paraId="0471589F">
            <w:pPr>
              <w:widowControl w:val="0"/>
              <w:overflowPunct w:val="0"/>
              <w:autoSpaceDE w:val="0"/>
              <w:autoSpaceDN w:val="0"/>
              <w:adjustRightInd w:val="0"/>
              <w:snapToGrid w:val="0"/>
              <w:rPr>
                <w:rFonts w:eastAsia="宋体"/>
                <w:kern w:val="2"/>
                <w:sz w:val="20"/>
                <w:szCs w:val="20"/>
              </w:rPr>
            </w:pPr>
            <w:r>
              <w:rPr>
                <w:sz w:val="20"/>
                <w:szCs w:val="20"/>
              </w:rPr>
              <w:t>Constitution indicators</w:t>
            </w:r>
          </w:p>
        </w:tc>
        <w:tc>
          <w:tcPr>
            <w:tcW w:w="3949" w:type="pct"/>
            <w:tcBorders>
              <w:top w:val="dotted" w:color="auto" w:sz="4" w:space="0"/>
              <w:bottom w:val="dotted" w:color="auto" w:sz="4" w:space="0"/>
              <w:right w:val="single" w:color="auto" w:sz="4" w:space="0"/>
            </w:tcBorders>
            <w:tcMar>
              <w:top w:w="28" w:type="dxa"/>
              <w:left w:w="57" w:type="dxa"/>
              <w:bottom w:w="28" w:type="dxa"/>
              <w:right w:w="57" w:type="dxa"/>
            </w:tcMar>
            <w:vAlign w:val="center"/>
          </w:tcPr>
          <w:p w14:paraId="0B61895B">
            <w:pPr>
              <w:widowControl w:val="0"/>
              <w:overflowPunct w:val="0"/>
              <w:autoSpaceDE w:val="0"/>
              <w:autoSpaceDN w:val="0"/>
              <w:adjustRightInd w:val="0"/>
              <w:snapToGrid w:val="0"/>
              <w:rPr>
                <w:rFonts w:eastAsia="宋体"/>
                <w:kern w:val="2"/>
                <w:sz w:val="20"/>
                <w:szCs w:val="20"/>
              </w:rPr>
            </w:pPr>
            <w:r>
              <w:rPr>
                <w:sz w:val="20"/>
                <w:szCs w:val="20"/>
              </w:rPr>
              <w:t>Measurement of body height, body weight, waist circumference, and hip circumference, and calculation of BMI and waist-to-hip ratio</w:t>
            </w:r>
          </w:p>
        </w:tc>
      </w:tr>
      <w:tr w14:paraId="62104D5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28" w:type="dxa"/>
            <w:left w:w="57" w:type="dxa"/>
            <w:bottom w:w="28" w:type="dxa"/>
            <w:right w:w="57" w:type="dxa"/>
          </w:tblCellMar>
        </w:tblPrEx>
        <w:tc>
          <w:tcPr>
            <w:tcW w:w="1051" w:type="pct"/>
            <w:tcBorders>
              <w:top w:val="dotted" w:color="auto" w:sz="4" w:space="0"/>
              <w:left w:val="single" w:color="auto" w:sz="4" w:space="0"/>
              <w:bottom w:val="dotted" w:color="auto" w:sz="4" w:space="0"/>
            </w:tcBorders>
            <w:tcMar>
              <w:top w:w="28" w:type="dxa"/>
              <w:left w:w="57" w:type="dxa"/>
              <w:bottom w:w="28" w:type="dxa"/>
              <w:right w:w="57" w:type="dxa"/>
            </w:tcMar>
            <w:vAlign w:val="center"/>
          </w:tcPr>
          <w:p w14:paraId="06F65403">
            <w:pPr>
              <w:widowControl w:val="0"/>
              <w:overflowPunct w:val="0"/>
              <w:autoSpaceDE w:val="0"/>
              <w:autoSpaceDN w:val="0"/>
              <w:adjustRightInd w:val="0"/>
              <w:snapToGrid w:val="0"/>
              <w:rPr>
                <w:rFonts w:eastAsia="宋体"/>
                <w:kern w:val="2"/>
                <w:sz w:val="20"/>
                <w:szCs w:val="20"/>
              </w:rPr>
            </w:pPr>
            <w:r>
              <w:rPr>
                <w:sz w:val="20"/>
                <w:szCs w:val="20"/>
              </w:rPr>
              <w:t>12-lead ECG</w:t>
            </w:r>
          </w:p>
        </w:tc>
        <w:tc>
          <w:tcPr>
            <w:tcW w:w="3949" w:type="pct"/>
            <w:tcBorders>
              <w:top w:val="dotted" w:color="auto" w:sz="4" w:space="0"/>
              <w:bottom w:val="dotted" w:color="auto" w:sz="4" w:space="0"/>
              <w:right w:val="single" w:color="auto" w:sz="4" w:space="0"/>
            </w:tcBorders>
            <w:tcMar>
              <w:top w:w="28" w:type="dxa"/>
              <w:left w:w="57" w:type="dxa"/>
              <w:bottom w:w="28" w:type="dxa"/>
              <w:right w:w="57" w:type="dxa"/>
            </w:tcMar>
            <w:vAlign w:val="center"/>
          </w:tcPr>
          <w:p w14:paraId="3301AB2B">
            <w:pPr>
              <w:widowControl w:val="0"/>
              <w:overflowPunct w:val="0"/>
              <w:autoSpaceDE w:val="0"/>
              <w:autoSpaceDN w:val="0"/>
              <w:adjustRightInd w:val="0"/>
              <w:snapToGrid w:val="0"/>
              <w:rPr>
                <w:rFonts w:eastAsia="宋体"/>
                <w:kern w:val="2"/>
                <w:sz w:val="20"/>
                <w:szCs w:val="20"/>
              </w:rPr>
            </w:pPr>
            <w:r>
              <w:rPr>
                <w:sz w:val="20"/>
                <w:szCs w:val="20"/>
              </w:rPr>
              <w:t>Recording of heart rate, PR interval, RR interval, QT interval, and QTcF</w:t>
            </w:r>
          </w:p>
        </w:tc>
      </w:tr>
      <w:tr w14:paraId="46B2FFB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28" w:type="dxa"/>
            <w:left w:w="57" w:type="dxa"/>
            <w:bottom w:w="28" w:type="dxa"/>
            <w:right w:w="57" w:type="dxa"/>
          </w:tblCellMar>
        </w:tblPrEx>
        <w:tc>
          <w:tcPr>
            <w:tcW w:w="1051" w:type="pct"/>
            <w:tcBorders>
              <w:top w:val="dotted" w:color="auto" w:sz="4" w:space="0"/>
              <w:left w:val="single" w:color="auto" w:sz="4" w:space="0"/>
              <w:bottom w:val="dotted" w:color="auto" w:sz="4" w:space="0"/>
            </w:tcBorders>
            <w:tcMar>
              <w:top w:w="28" w:type="dxa"/>
              <w:left w:w="57" w:type="dxa"/>
              <w:bottom w:w="28" w:type="dxa"/>
              <w:right w:w="57" w:type="dxa"/>
            </w:tcMar>
            <w:vAlign w:val="center"/>
          </w:tcPr>
          <w:p w14:paraId="0F44B7E4">
            <w:pPr>
              <w:widowControl w:val="0"/>
              <w:overflowPunct w:val="0"/>
              <w:autoSpaceDE w:val="0"/>
              <w:autoSpaceDN w:val="0"/>
              <w:adjustRightInd w:val="0"/>
              <w:snapToGrid w:val="0"/>
              <w:rPr>
                <w:rFonts w:eastAsia="宋体"/>
                <w:kern w:val="2"/>
                <w:sz w:val="20"/>
                <w:szCs w:val="20"/>
              </w:rPr>
            </w:pPr>
            <w:r>
              <w:rPr>
                <w:sz w:val="20"/>
                <w:szCs w:val="20"/>
              </w:rPr>
              <w:t>Fundoscopy</w:t>
            </w:r>
          </w:p>
        </w:tc>
        <w:tc>
          <w:tcPr>
            <w:tcW w:w="3949" w:type="pct"/>
            <w:tcBorders>
              <w:top w:val="dotted" w:color="auto" w:sz="4" w:space="0"/>
              <w:bottom w:val="dotted" w:color="auto" w:sz="4" w:space="0"/>
              <w:right w:val="single" w:color="auto" w:sz="4" w:space="0"/>
            </w:tcBorders>
            <w:tcMar>
              <w:top w:w="28" w:type="dxa"/>
              <w:left w:w="57" w:type="dxa"/>
              <w:bottom w:w="28" w:type="dxa"/>
              <w:right w:w="57" w:type="dxa"/>
            </w:tcMar>
            <w:vAlign w:val="center"/>
          </w:tcPr>
          <w:p w14:paraId="5A4F528F">
            <w:pPr>
              <w:widowControl w:val="0"/>
              <w:overflowPunct w:val="0"/>
              <w:autoSpaceDE w:val="0"/>
              <w:autoSpaceDN w:val="0"/>
              <w:adjustRightInd w:val="0"/>
              <w:snapToGrid w:val="0"/>
              <w:rPr>
                <w:rFonts w:eastAsia="宋体"/>
                <w:kern w:val="2"/>
                <w:sz w:val="20"/>
                <w:szCs w:val="20"/>
              </w:rPr>
            </w:pPr>
            <w:r>
              <w:rPr>
                <w:sz w:val="20"/>
                <w:szCs w:val="20"/>
              </w:rPr>
              <w:t>/</w:t>
            </w:r>
          </w:p>
        </w:tc>
      </w:tr>
      <w:tr w14:paraId="0A1F108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28" w:type="dxa"/>
            <w:left w:w="57" w:type="dxa"/>
            <w:bottom w:w="28" w:type="dxa"/>
            <w:right w:w="57" w:type="dxa"/>
          </w:tblCellMar>
        </w:tblPrEx>
        <w:tc>
          <w:tcPr>
            <w:tcW w:w="1051" w:type="pct"/>
            <w:tcBorders>
              <w:top w:val="dotted" w:color="auto" w:sz="4" w:space="0"/>
              <w:left w:val="single" w:color="auto" w:sz="4" w:space="0"/>
              <w:bottom w:val="dotted" w:color="auto" w:sz="4" w:space="0"/>
            </w:tcBorders>
            <w:tcMar>
              <w:top w:w="28" w:type="dxa"/>
              <w:left w:w="57" w:type="dxa"/>
              <w:bottom w:w="28" w:type="dxa"/>
              <w:right w:w="57" w:type="dxa"/>
            </w:tcMar>
            <w:vAlign w:val="center"/>
          </w:tcPr>
          <w:p w14:paraId="6066F432">
            <w:pPr>
              <w:widowControl w:val="0"/>
              <w:overflowPunct w:val="0"/>
              <w:autoSpaceDE w:val="0"/>
              <w:autoSpaceDN w:val="0"/>
              <w:adjustRightInd w:val="0"/>
              <w:snapToGrid w:val="0"/>
              <w:rPr>
                <w:rFonts w:eastAsia="宋体"/>
                <w:kern w:val="2"/>
                <w:sz w:val="20"/>
                <w:szCs w:val="20"/>
              </w:rPr>
            </w:pPr>
            <w:r>
              <w:rPr>
                <w:sz w:val="20"/>
                <w:szCs w:val="20"/>
              </w:rPr>
              <w:t>Urine drug screening</w:t>
            </w:r>
          </w:p>
        </w:tc>
        <w:tc>
          <w:tcPr>
            <w:tcW w:w="3949" w:type="pct"/>
            <w:tcBorders>
              <w:top w:val="dotted" w:color="auto" w:sz="4" w:space="0"/>
              <w:bottom w:val="dotted" w:color="auto" w:sz="4" w:space="0"/>
              <w:right w:val="single" w:color="auto" w:sz="4" w:space="0"/>
            </w:tcBorders>
            <w:tcMar>
              <w:top w:w="28" w:type="dxa"/>
              <w:left w:w="57" w:type="dxa"/>
              <w:bottom w:w="28" w:type="dxa"/>
              <w:right w:w="57" w:type="dxa"/>
            </w:tcMar>
            <w:vAlign w:val="center"/>
          </w:tcPr>
          <w:p w14:paraId="68B31507">
            <w:pPr>
              <w:widowControl w:val="0"/>
              <w:overflowPunct w:val="0"/>
              <w:autoSpaceDE w:val="0"/>
              <w:autoSpaceDN w:val="0"/>
              <w:adjustRightInd w:val="0"/>
              <w:snapToGrid w:val="0"/>
              <w:rPr>
                <w:rFonts w:eastAsia="宋体"/>
                <w:kern w:val="2"/>
                <w:sz w:val="20"/>
                <w:szCs w:val="20"/>
              </w:rPr>
            </w:pPr>
            <w:r>
              <w:rPr>
                <w:sz w:val="20"/>
                <w:szCs w:val="20"/>
              </w:rPr>
              <w:t>Morphine and marijuana, for subjects in the dose escalation group in Part B only</w:t>
            </w:r>
          </w:p>
        </w:tc>
      </w:tr>
      <w:tr w14:paraId="054375D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28" w:type="dxa"/>
            <w:left w:w="57" w:type="dxa"/>
            <w:bottom w:w="28" w:type="dxa"/>
            <w:right w:w="57" w:type="dxa"/>
          </w:tblCellMar>
        </w:tblPrEx>
        <w:tc>
          <w:tcPr>
            <w:tcW w:w="1051" w:type="pct"/>
            <w:tcBorders>
              <w:top w:val="dotted" w:color="auto" w:sz="4" w:space="0"/>
              <w:left w:val="single" w:color="auto" w:sz="4" w:space="0"/>
              <w:bottom w:val="dotted" w:color="auto" w:sz="4" w:space="0"/>
            </w:tcBorders>
            <w:shd w:val="clear" w:color="auto" w:fill="BEBEBE"/>
            <w:tcMar>
              <w:top w:w="28" w:type="dxa"/>
              <w:left w:w="57" w:type="dxa"/>
              <w:bottom w:w="28" w:type="dxa"/>
              <w:right w:w="57" w:type="dxa"/>
            </w:tcMar>
            <w:vAlign w:val="center"/>
          </w:tcPr>
          <w:p w14:paraId="36A23437">
            <w:pPr>
              <w:widowControl w:val="0"/>
              <w:overflowPunct w:val="0"/>
              <w:autoSpaceDE w:val="0"/>
              <w:autoSpaceDN w:val="0"/>
              <w:adjustRightInd w:val="0"/>
              <w:snapToGrid w:val="0"/>
              <w:rPr>
                <w:rFonts w:eastAsia="宋体"/>
                <w:b/>
                <w:kern w:val="2"/>
                <w:sz w:val="20"/>
                <w:szCs w:val="20"/>
              </w:rPr>
            </w:pPr>
            <w:r>
              <w:rPr>
                <w:b/>
                <w:sz w:val="20"/>
                <w:szCs w:val="20"/>
              </w:rPr>
              <w:t>Laboratory tests</w:t>
            </w:r>
          </w:p>
        </w:tc>
        <w:tc>
          <w:tcPr>
            <w:tcW w:w="3949" w:type="pct"/>
            <w:tcBorders>
              <w:top w:val="dotted" w:color="auto" w:sz="4" w:space="0"/>
              <w:bottom w:val="dotted" w:color="auto" w:sz="4" w:space="0"/>
              <w:right w:val="single" w:color="auto" w:sz="4" w:space="0"/>
            </w:tcBorders>
            <w:shd w:val="clear" w:color="auto" w:fill="BEBEBE"/>
            <w:tcMar>
              <w:top w:w="28" w:type="dxa"/>
              <w:left w:w="57" w:type="dxa"/>
              <w:bottom w:w="28" w:type="dxa"/>
              <w:right w:w="57" w:type="dxa"/>
            </w:tcMar>
            <w:vAlign w:val="center"/>
          </w:tcPr>
          <w:p w14:paraId="07B9FD9F">
            <w:pPr>
              <w:widowControl w:val="0"/>
              <w:overflowPunct w:val="0"/>
              <w:autoSpaceDE w:val="0"/>
              <w:autoSpaceDN w:val="0"/>
              <w:adjustRightInd w:val="0"/>
              <w:snapToGrid w:val="0"/>
              <w:rPr>
                <w:rFonts w:eastAsia="宋体"/>
                <w:b/>
                <w:kern w:val="2"/>
                <w:sz w:val="20"/>
                <w:szCs w:val="20"/>
              </w:rPr>
            </w:pPr>
            <w:r>
              <w:rPr>
                <w:b/>
                <w:sz w:val="20"/>
                <w:szCs w:val="20"/>
              </w:rPr>
              <w:t>Test content</w:t>
            </w:r>
          </w:p>
        </w:tc>
      </w:tr>
      <w:tr w14:paraId="75D093F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28" w:type="dxa"/>
            <w:left w:w="57" w:type="dxa"/>
            <w:bottom w:w="28" w:type="dxa"/>
            <w:right w:w="57" w:type="dxa"/>
          </w:tblCellMar>
        </w:tblPrEx>
        <w:tc>
          <w:tcPr>
            <w:tcW w:w="1051" w:type="pct"/>
            <w:tcBorders>
              <w:top w:val="dotted" w:color="auto" w:sz="4" w:space="0"/>
              <w:left w:val="single" w:color="auto" w:sz="4" w:space="0"/>
              <w:bottom w:val="dotted" w:color="auto" w:sz="4" w:space="0"/>
            </w:tcBorders>
            <w:tcMar>
              <w:top w:w="28" w:type="dxa"/>
              <w:left w:w="57" w:type="dxa"/>
              <w:bottom w:w="28" w:type="dxa"/>
              <w:right w:w="57" w:type="dxa"/>
            </w:tcMar>
            <w:vAlign w:val="center"/>
          </w:tcPr>
          <w:p w14:paraId="080D3C23">
            <w:pPr>
              <w:widowControl w:val="0"/>
              <w:overflowPunct w:val="0"/>
              <w:autoSpaceDE w:val="0"/>
              <w:autoSpaceDN w:val="0"/>
              <w:adjustRightInd w:val="0"/>
              <w:snapToGrid w:val="0"/>
              <w:rPr>
                <w:rFonts w:eastAsia="宋体"/>
                <w:kern w:val="2"/>
                <w:sz w:val="20"/>
                <w:szCs w:val="20"/>
              </w:rPr>
            </w:pPr>
            <w:r>
              <w:rPr>
                <w:sz w:val="20"/>
                <w:szCs w:val="20"/>
              </w:rPr>
              <w:t>Infectious disease examination</w:t>
            </w:r>
          </w:p>
        </w:tc>
        <w:tc>
          <w:tcPr>
            <w:tcW w:w="3949" w:type="pct"/>
            <w:tcBorders>
              <w:top w:val="dotted" w:color="auto" w:sz="4" w:space="0"/>
              <w:bottom w:val="dotted" w:color="auto" w:sz="4" w:space="0"/>
              <w:right w:val="single" w:color="auto" w:sz="4" w:space="0"/>
            </w:tcBorders>
            <w:tcMar>
              <w:top w:w="28" w:type="dxa"/>
              <w:left w:w="57" w:type="dxa"/>
              <w:bottom w:w="28" w:type="dxa"/>
              <w:right w:w="57" w:type="dxa"/>
            </w:tcMar>
            <w:vAlign w:val="center"/>
          </w:tcPr>
          <w:p w14:paraId="7EC8BB91">
            <w:pPr>
              <w:widowControl w:val="0"/>
              <w:overflowPunct w:val="0"/>
              <w:autoSpaceDE w:val="0"/>
              <w:autoSpaceDN w:val="0"/>
              <w:adjustRightInd w:val="0"/>
              <w:snapToGrid w:val="0"/>
              <w:rPr>
                <w:rFonts w:eastAsia="宋体"/>
                <w:kern w:val="2"/>
                <w:sz w:val="20"/>
                <w:szCs w:val="20"/>
              </w:rPr>
            </w:pPr>
            <w:r>
              <w:rPr>
                <w:sz w:val="20"/>
                <w:szCs w:val="20"/>
              </w:rPr>
              <w:t xml:space="preserve">Hepatitis B surface antigen (HBsAg), hepatitis C virus (HCV) antibody, human immunodeficiency virus (HIV) antibody, and </w:t>
            </w:r>
            <w:r>
              <w:rPr>
                <w:i/>
                <w:iCs/>
                <w:sz w:val="20"/>
                <w:szCs w:val="20"/>
              </w:rPr>
              <w:t>treponema pallidum</w:t>
            </w:r>
            <w:r>
              <w:rPr>
                <w:sz w:val="20"/>
                <w:szCs w:val="20"/>
              </w:rPr>
              <w:t xml:space="preserve"> antibody</w:t>
            </w:r>
          </w:p>
        </w:tc>
      </w:tr>
      <w:tr w14:paraId="63A9238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28" w:type="dxa"/>
            <w:left w:w="57" w:type="dxa"/>
            <w:bottom w:w="28" w:type="dxa"/>
            <w:right w:w="57" w:type="dxa"/>
          </w:tblCellMar>
        </w:tblPrEx>
        <w:tc>
          <w:tcPr>
            <w:tcW w:w="1051" w:type="pct"/>
            <w:tcBorders>
              <w:top w:val="dotted" w:color="auto" w:sz="4" w:space="0"/>
              <w:left w:val="single" w:color="auto" w:sz="4" w:space="0"/>
              <w:bottom w:val="dotted" w:color="auto" w:sz="4" w:space="0"/>
            </w:tcBorders>
            <w:tcMar>
              <w:top w:w="28" w:type="dxa"/>
              <w:left w:w="57" w:type="dxa"/>
              <w:bottom w:w="28" w:type="dxa"/>
              <w:right w:w="57" w:type="dxa"/>
            </w:tcMar>
            <w:vAlign w:val="center"/>
          </w:tcPr>
          <w:p w14:paraId="5DCA943F">
            <w:pPr>
              <w:widowControl w:val="0"/>
              <w:overflowPunct w:val="0"/>
              <w:autoSpaceDE w:val="0"/>
              <w:autoSpaceDN w:val="0"/>
              <w:adjustRightInd w:val="0"/>
              <w:snapToGrid w:val="0"/>
              <w:rPr>
                <w:rFonts w:eastAsia="宋体"/>
                <w:kern w:val="2"/>
                <w:sz w:val="20"/>
                <w:szCs w:val="20"/>
              </w:rPr>
            </w:pPr>
            <w:r>
              <w:rPr>
                <w:sz w:val="20"/>
                <w:szCs w:val="20"/>
              </w:rPr>
              <w:t>Five tests of thyroid function</w:t>
            </w:r>
          </w:p>
        </w:tc>
        <w:tc>
          <w:tcPr>
            <w:tcW w:w="3949" w:type="pct"/>
            <w:tcBorders>
              <w:top w:val="dotted" w:color="auto" w:sz="4" w:space="0"/>
              <w:bottom w:val="dotted" w:color="auto" w:sz="4" w:space="0"/>
              <w:right w:val="single" w:color="auto" w:sz="4" w:space="0"/>
            </w:tcBorders>
            <w:tcMar>
              <w:top w:w="28" w:type="dxa"/>
              <w:left w:w="57" w:type="dxa"/>
              <w:bottom w:w="28" w:type="dxa"/>
              <w:right w:w="57" w:type="dxa"/>
            </w:tcMar>
            <w:vAlign w:val="center"/>
          </w:tcPr>
          <w:p w14:paraId="3FA62368">
            <w:pPr>
              <w:widowControl w:val="0"/>
              <w:overflowPunct w:val="0"/>
              <w:autoSpaceDE w:val="0"/>
              <w:autoSpaceDN w:val="0"/>
              <w:adjustRightInd w:val="0"/>
              <w:snapToGrid w:val="0"/>
              <w:rPr>
                <w:rFonts w:eastAsia="宋体"/>
                <w:kern w:val="2"/>
                <w:sz w:val="20"/>
                <w:szCs w:val="20"/>
              </w:rPr>
            </w:pPr>
            <w:bookmarkStart w:id="594" w:name="_Hlk116489112"/>
            <w:r>
              <w:rPr>
                <w:sz w:val="20"/>
                <w:szCs w:val="20"/>
              </w:rPr>
              <w:t xml:space="preserve">Thyroid-stimulating hormone (TSH), thyroxine (T4), triiodothyronine (T3), free T3 (FT3), and free T4 </w:t>
            </w:r>
            <w:bookmarkEnd w:id="594"/>
            <w:r>
              <w:rPr>
                <w:sz w:val="20"/>
                <w:szCs w:val="20"/>
              </w:rPr>
              <w:t>(FT4)</w:t>
            </w:r>
          </w:p>
        </w:tc>
      </w:tr>
      <w:tr w14:paraId="1C514CF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28" w:type="dxa"/>
            <w:left w:w="57" w:type="dxa"/>
            <w:bottom w:w="28" w:type="dxa"/>
            <w:right w:w="57" w:type="dxa"/>
          </w:tblCellMar>
        </w:tblPrEx>
        <w:tc>
          <w:tcPr>
            <w:tcW w:w="1051" w:type="pct"/>
            <w:tcBorders>
              <w:top w:val="dotted" w:color="auto" w:sz="4" w:space="0"/>
              <w:left w:val="single" w:color="auto" w:sz="4" w:space="0"/>
              <w:bottom w:val="dotted" w:color="auto" w:sz="4" w:space="0"/>
            </w:tcBorders>
            <w:tcMar>
              <w:top w:w="28" w:type="dxa"/>
              <w:left w:w="57" w:type="dxa"/>
              <w:bottom w:w="28" w:type="dxa"/>
              <w:right w:w="57" w:type="dxa"/>
            </w:tcMar>
            <w:vAlign w:val="center"/>
          </w:tcPr>
          <w:p w14:paraId="4081A3D6">
            <w:pPr>
              <w:widowControl w:val="0"/>
              <w:overflowPunct w:val="0"/>
              <w:autoSpaceDE w:val="0"/>
              <w:autoSpaceDN w:val="0"/>
              <w:adjustRightInd w:val="0"/>
              <w:snapToGrid w:val="0"/>
              <w:rPr>
                <w:rFonts w:eastAsia="宋体"/>
                <w:kern w:val="2"/>
                <w:sz w:val="20"/>
                <w:szCs w:val="20"/>
              </w:rPr>
            </w:pPr>
            <w:r>
              <w:rPr>
                <w:sz w:val="20"/>
                <w:szCs w:val="20"/>
              </w:rPr>
              <w:t>Calcitonin</w:t>
            </w:r>
          </w:p>
        </w:tc>
        <w:tc>
          <w:tcPr>
            <w:tcW w:w="3949" w:type="pct"/>
            <w:tcBorders>
              <w:top w:val="dotted" w:color="auto" w:sz="4" w:space="0"/>
              <w:bottom w:val="dotted" w:color="auto" w:sz="4" w:space="0"/>
              <w:right w:val="single" w:color="auto" w:sz="4" w:space="0"/>
            </w:tcBorders>
            <w:tcMar>
              <w:top w:w="28" w:type="dxa"/>
              <w:left w:w="57" w:type="dxa"/>
              <w:bottom w:w="28" w:type="dxa"/>
              <w:right w:w="57" w:type="dxa"/>
            </w:tcMar>
            <w:vAlign w:val="center"/>
          </w:tcPr>
          <w:p w14:paraId="48771AF0">
            <w:pPr>
              <w:widowControl w:val="0"/>
              <w:overflowPunct w:val="0"/>
              <w:autoSpaceDE w:val="0"/>
              <w:autoSpaceDN w:val="0"/>
              <w:adjustRightInd w:val="0"/>
              <w:snapToGrid w:val="0"/>
              <w:rPr>
                <w:rFonts w:eastAsia="宋体"/>
                <w:kern w:val="2"/>
                <w:sz w:val="20"/>
                <w:szCs w:val="20"/>
              </w:rPr>
            </w:pPr>
            <w:r>
              <w:rPr>
                <w:sz w:val="20"/>
                <w:szCs w:val="20"/>
              </w:rPr>
              <w:t>Serum calcitonin</w:t>
            </w:r>
          </w:p>
        </w:tc>
      </w:tr>
      <w:tr w14:paraId="307B5C6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28" w:type="dxa"/>
            <w:left w:w="57" w:type="dxa"/>
            <w:bottom w:w="28" w:type="dxa"/>
            <w:right w:w="57" w:type="dxa"/>
          </w:tblCellMar>
        </w:tblPrEx>
        <w:tc>
          <w:tcPr>
            <w:tcW w:w="1051" w:type="pct"/>
            <w:tcBorders>
              <w:top w:val="dotted" w:color="auto" w:sz="4" w:space="0"/>
              <w:left w:val="single" w:color="auto" w:sz="4" w:space="0"/>
              <w:bottom w:val="dotted" w:color="auto" w:sz="4" w:space="0"/>
            </w:tcBorders>
            <w:tcMar>
              <w:top w:w="28" w:type="dxa"/>
              <w:left w:w="57" w:type="dxa"/>
              <w:bottom w:w="28" w:type="dxa"/>
              <w:right w:w="57" w:type="dxa"/>
            </w:tcMar>
            <w:vAlign w:val="center"/>
          </w:tcPr>
          <w:p w14:paraId="6AC598BC">
            <w:pPr>
              <w:widowControl w:val="0"/>
              <w:overflowPunct w:val="0"/>
              <w:autoSpaceDE w:val="0"/>
              <w:autoSpaceDN w:val="0"/>
              <w:adjustRightInd w:val="0"/>
              <w:snapToGrid w:val="0"/>
              <w:rPr>
                <w:rFonts w:eastAsia="宋体"/>
                <w:kern w:val="2"/>
                <w:sz w:val="20"/>
                <w:szCs w:val="20"/>
              </w:rPr>
            </w:pPr>
            <w:r>
              <w:rPr>
                <w:sz w:val="20"/>
                <w:szCs w:val="20"/>
              </w:rPr>
              <w:t>Serum pregnancy test</w:t>
            </w:r>
          </w:p>
        </w:tc>
        <w:tc>
          <w:tcPr>
            <w:tcW w:w="3949" w:type="pct"/>
            <w:tcBorders>
              <w:top w:val="dotted" w:color="auto" w:sz="4" w:space="0"/>
              <w:bottom w:val="dotted" w:color="auto" w:sz="4" w:space="0"/>
              <w:right w:val="single" w:color="auto" w:sz="4" w:space="0"/>
            </w:tcBorders>
            <w:tcMar>
              <w:top w:w="28" w:type="dxa"/>
              <w:left w:w="57" w:type="dxa"/>
              <w:bottom w:w="28" w:type="dxa"/>
              <w:right w:w="57" w:type="dxa"/>
            </w:tcMar>
            <w:vAlign w:val="center"/>
          </w:tcPr>
          <w:p w14:paraId="39814D32">
            <w:pPr>
              <w:widowControl w:val="0"/>
              <w:overflowPunct w:val="0"/>
              <w:autoSpaceDE w:val="0"/>
              <w:autoSpaceDN w:val="0"/>
              <w:adjustRightInd w:val="0"/>
              <w:snapToGrid w:val="0"/>
              <w:rPr>
                <w:rFonts w:eastAsia="宋体"/>
                <w:kern w:val="2"/>
                <w:sz w:val="20"/>
                <w:szCs w:val="20"/>
              </w:rPr>
            </w:pPr>
            <w:r>
              <w:rPr>
                <w:sz w:val="20"/>
                <w:szCs w:val="20"/>
              </w:rPr>
              <w:t>Blood human chorionic gonadotropin (HCG) for female subjects only; except postmenopausal women (amenorrhea for ≥ 2 years as confirmed by a follicle-stimulating hormone test) and women who have received amputation of uterus, bilateral oophorectomy, or tubal ligation, female subjects shall undergo a pregnancy test</w:t>
            </w:r>
          </w:p>
        </w:tc>
      </w:tr>
      <w:tr w14:paraId="6501377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28" w:type="dxa"/>
            <w:left w:w="57" w:type="dxa"/>
            <w:bottom w:w="28" w:type="dxa"/>
            <w:right w:w="57" w:type="dxa"/>
          </w:tblCellMar>
        </w:tblPrEx>
        <w:tc>
          <w:tcPr>
            <w:tcW w:w="1051" w:type="pct"/>
            <w:tcBorders>
              <w:top w:val="dotted" w:color="auto" w:sz="4" w:space="0"/>
              <w:left w:val="single" w:color="auto" w:sz="4" w:space="0"/>
              <w:bottom w:val="dotted" w:color="auto" w:sz="4" w:space="0"/>
            </w:tcBorders>
            <w:tcMar>
              <w:top w:w="28" w:type="dxa"/>
              <w:left w:w="57" w:type="dxa"/>
              <w:bottom w:w="28" w:type="dxa"/>
              <w:right w:w="57" w:type="dxa"/>
            </w:tcMar>
            <w:vAlign w:val="center"/>
          </w:tcPr>
          <w:p w14:paraId="07945162">
            <w:pPr>
              <w:widowControl w:val="0"/>
              <w:overflowPunct w:val="0"/>
              <w:autoSpaceDE w:val="0"/>
              <w:autoSpaceDN w:val="0"/>
              <w:adjustRightInd w:val="0"/>
              <w:snapToGrid w:val="0"/>
              <w:rPr>
                <w:rFonts w:eastAsia="宋体"/>
                <w:kern w:val="2"/>
                <w:sz w:val="20"/>
                <w:szCs w:val="20"/>
              </w:rPr>
            </w:pPr>
            <w:r>
              <w:rPr>
                <w:sz w:val="20"/>
                <w:szCs w:val="20"/>
              </w:rPr>
              <w:t>Routine hematology + reticulocyte (Ret)</w:t>
            </w:r>
          </w:p>
        </w:tc>
        <w:tc>
          <w:tcPr>
            <w:tcW w:w="3949" w:type="pct"/>
            <w:tcBorders>
              <w:top w:val="dotted" w:color="auto" w:sz="4" w:space="0"/>
              <w:bottom w:val="dotted" w:color="auto" w:sz="4" w:space="0"/>
              <w:right w:val="single" w:color="auto" w:sz="4" w:space="0"/>
            </w:tcBorders>
            <w:tcMar>
              <w:top w:w="28" w:type="dxa"/>
              <w:left w:w="57" w:type="dxa"/>
              <w:bottom w:w="28" w:type="dxa"/>
              <w:right w:w="57" w:type="dxa"/>
            </w:tcMar>
            <w:vAlign w:val="center"/>
          </w:tcPr>
          <w:p w14:paraId="6002C30A">
            <w:pPr>
              <w:widowControl w:val="0"/>
              <w:overflowPunct w:val="0"/>
              <w:autoSpaceDE w:val="0"/>
              <w:autoSpaceDN w:val="0"/>
              <w:adjustRightInd w:val="0"/>
              <w:snapToGrid w:val="0"/>
              <w:rPr>
                <w:rFonts w:eastAsia="宋体"/>
                <w:kern w:val="2"/>
                <w:sz w:val="20"/>
                <w:szCs w:val="20"/>
              </w:rPr>
            </w:pPr>
            <w:r>
              <w:rPr>
                <w:sz w:val="20"/>
                <w:szCs w:val="20"/>
              </w:rPr>
              <w:t>Red blood cell count (RBC), hemoglobin (HGB), hematocrit (HCT), mean corpuscular volume (MCV), mean corpuscular hemoglobin (MCH), mean corpuscular hemoglobin concentration (MCHC), white blood cell (WBC), neutrophil percentage (NE%), lymphocyte percentage (LY%), absolute neutrophil count (NE), absolute lymphocyte count (LY), monocyte percentage (MO%), absolute monocyte count (MO#), eosinophil percentage (EO%), basophil percentage (BA%), absolute eosinophil count (EO#), absolute basophil count (BA#), platelet count (PLT), absolute reticulocyte count, and reticulocyte percentage</w:t>
            </w:r>
          </w:p>
        </w:tc>
      </w:tr>
      <w:tr w14:paraId="1233832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28" w:type="dxa"/>
            <w:left w:w="57" w:type="dxa"/>
            <w:bottom w:w="28" w:type="dxa"/>
            <w:right w:w="57" w:type="dxa"/>
          </w:tblCellMar>
        </w:tblPrEx>
        <w:tc>
          <w:tcPr>
            <w:tcW w:w="1051" w:type="pct"/>
            <w:tcBorders>
              <w:top w:val="dotted" w:color="auto" w:sz="4" w:space="0"/>
              <w:left w:val="single" w:color="auto" w:sz="4" w:space="0"/>
              <w:bottom w:val="dotted" w:color="auto" w:sz="4" w:space="0"/>
            </w:tcBorders>
            <w:tcMar>
              <w:top w:w="28" w:type="dxa"/>
              <w:left w:w="57" w:type="dxa"/>
              <w:bottom w:w="28" w:type="dxa"/>
              <w:right w:w="57" w:type="dxa"/>
            </w:tcMar>
            <w:vAlign w:val="center"/>
          </w:tcPr>
          <w:p w14:paraId="5F376B4C">
            <w:pPr>
              <w:widowControl w:val="0"/>
              <w:overflowPunct w:val="0"/>
              <w:autoSpaceDE w:val="0"/>
              <w:autoSpaceDN w:val="0"/>
              <w:adjustRightInd w:val="0"/>
              <w:snapToGrid w:val="0"/>
              <w:rPr>
                <w:rFonts w:eastAsia="宋体"/>
                <w:kern w:val="2"/>
                <w:sz w:val="20"/>
                <w:szCs w:val="20"/>
              </w:rPr>
            </w:pPr>
            <w:r>
              <w:rPr>
                <w:sz w:val="20"/>
                <w:szCs w:val="20"/>
              </w:rPr>
              <w:t>T-lymphocyte subsets</w:t>
            </w:r>
          </w:p>
        </w:tc>
        <w:tc>
          <w:tcPr>
            <w:tcW w:w="3949" w:type="pct"/>
            <w:tcBorders>
              <w:top w:val="dotted" w:color="auto" w:sz="4" w:space="0"/>
              <w:bottom w:val="dotted" w:color="auto" w:sz="4" w:space="0"/>
              <w:right w:val="single" w:color="auto" w:sz="4" w:space="0"/>
            </w:tcBorders>
            <w:tcMar>
              <w:top w:w="28" w:type="dxa"/>
              <w:left w:w="57" w:type="dxa"/>
              <w:bottom w:w="28" w:type="dxa"/>
              <w:right w:w="57" w:type="dxa"/>
            </w:tcMar>
            <w:vAlign w:val="center"/>
          </w:tcPr>
          <w:p w14:paraId="6C1C3BEA">
            <w:pPr>
              <w:widowControl w:val="0"/>
              <w:overflowPunct w:val="0"/>
              <w:autoSpaceDE w:val="0"/>
              <w:autoSpaceDN w:val="0"/>
              <w:adjustRightInd w:val="0"/>
              <w:snapToGrid w:val="0"/>
              <w:rPr>
                <w:rFonts w:eastAsia="宋体"/>
                <w:sz w:val="20"/>
                <w:szCs w:val="20"/>
              </w:rPr>
            </w:pPr>
            <w:r>
              <w:rPr>
                <w:sz w:val="20"/>
                <w:szCs w:val="20"/>
              </w:rPr>
              <w:t>Counts or percentages of CD3</w:t>
            </w:r>
            <w:r>
              <w:rPr>
                <w:sz w:val="20"/>
                <w:szCs w:val="20"/>
                <w:vertAlign w:val="superscript"/>
              </w:rPr>
              <w:t>+</w:t>
            </w:r>
            <w:r>
              <w:rPr>
                <w:sz w:val="20"/>
                <w:szCs w:val="20"/>
              </w:rPr>
              <w:t>, CD4</w:t>
            </w:r>
            <w:r>
              <w:rPr>
                <w:sz w:val="20"/>
                <w:szCs w:val="20"/>
                <w:vertAlign w:val="superscript"/>
              </w:rPr>
              <w:t>+</w:t>
            </w:r>
            <w:r>
              <w:rPr>
                <w:sz w:val="20"/>
                <w:szCs w:val="20"/>
              </w:rPr>
              <w:t>, CD8</w:t>
            </w:r>
            <w:r>
              <w:rPr>
                <w:sz w:val="20"/>
                <w:szCs w:val="20"/>
                <w:vertAlign w:val="superscript"/>
              </w:rPr>
              <w:t>+</w:t>
            </w:r>
            <w:r>
              <w:rPr>
                <w:sz w:val="20"/>
                <w:szCs w:val="20"/>
              </w:rPr>
              <w:t>, and CD4</w:t>
            </w:r>
            <w:r>
              <w:rPr>
                <w:sz w:val="20"/>
                <w:szCs w:val="20"/>
                <w:vertAlign w:val="superscript"/>
              </w:rPr>
              <w:t>+</w:t>
            </w:r>
            <w:r>
              <w:rPr>
                <w:sz w:val="20"/>
                <w:szCs w:val="20"/>
              </w:rPr>
              <w:t>/CD8</w:t>
            </w:r>
            <w:r>
              <w:rPr>
                <w:sz w:val="20"/>
                <w:szCs w:val="20"/>
                <w:vertAlign w:val="superscript"/>
              </w:rPr>
              <w:t>+</w:t>
            </w:r>
          </w:p>
        </w:tc>
      </w:tr>
      <w:tr w14:paraId="0F85D8F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28" w:type="dxa"/>
            <w:left w:w="57" w:type="dxa"/>
            <w:bottom w:w="28" w:type="dxa"/>
            <w:right w:w="57" w:type="dxa"/>
          </w:tblCellMar>
        </w:tblPrEx>
        <w:tc>
          <w:tcPr>
            <w:tcW w:w="1051" w:type="pct"/>
            <w:tcBorders>
              <w:top w:val="dotted" w:color="auto" w:sz="4" w:space="0"/>
              <w:left w:val="single" w:color="auto" w:sz="4" w:space="0"/>
              <w:bottom w:val="dotted" w:color="auto" w:sz="4" w:space="0"/>
            </w:tcBorders>
            <w:tcMar>
              <w:top w:w="28" w:type="dxa"/>
              <w:left w:w="57" w:type="dxa"/>
              <w:bottom w:w="28" w:type="dxa"/>
              <w:right w:w="57" w:type="dxa"/>
            </w:tcMar>
            <w:vAlign w:val="center"/>
          </w:tcPr>
          <w:p w14:paraId="7AB8B799">
            <w:pPr>
              <w:widowControl w:val="0"/>
              <w:overflowPunct w:val="0"/>
              <w:autoSpaceDE w:val="0"/>
              <w:autoSpaceDN w:val="0"/>
              <w:adjustRightInd w:val="0"/>
              <w:snapToGrid w:val="0"/>
              <w:rPr>
                <w:rFonts w:eastAsia="宋体"/>
                <w:kern w:val="2"/>
                <w:sz w:val="20"/>
                <w:szCs w:val="20"/>
              </w:rPr>
            </w:pPr>
            <w:r>
              <w:rPr>
                <w:sz w:val="20"/>
                <w:szCs w:val="20"/>
              </w:rPr>
              <w:t>Urinalysis</w:t>
            </w:r>
          </w:p>
        </w:tc>
        <w:tc>
          <w:tcPr>
            <w:tcW w:w="3949" w:type="pct"/>
            <w:tcBorders>
              <w:top w:val="dotted" w:color="auto" w:sz="4" w:space="0"/>
              <w:bottom w:val="dotted" w:color="auto" w:sz="4" w:space="0"/>
              <w:right w:val="single" w:color="auto" w:sz="4" w:space="0"/>
            </w:tcBorders>
            <w:tcMar>
              <w:top w:w="28" w:type="dxa"/>
              <w:left w:w="57" w:type="dxa"/>
              <w:bottom w:w="28" w:type="dxa"/>
              <w:right w:w="57" w:type="dxa"/>
            </w:tcMar>
            <w:vAlign w:val="center"/>
          </w:tcPr>
          <w:p w14:paraId="1B6868B6">
            <w:pPr>
              <w:widowControl w:val="0"/>
              <w:overflowPunct w:val="0"/>
              <w:autoSpaceDE w:val="0"/>
              <w:autoSpaceDN w:val="0"/>
              <w:adjustRightInd w:val="0"/>
              <w:snapToGrid w:val="0"/>
              <w:rPr>
                <w:rFonts w:eastAsia="宋体"/>
                <w:kern w:val="2"/>
                <w:sz w:val="20"/>
                <w:szCs w:val="20"/>
              </w:rPr>
            </w:pPr>
            <w:r>
              <w:rPr>
                <w:sz w:val="20"/>
                <w:szCs w:val="20"/>
              </w:rPr>
              <w:t>Specific gravity (SG), pH, urine glucose (GLU), urine bilirubin (BIL), urobilinogen (UBG), urine protein (PRO), urine ketone body (KET), urine red blood cell (RBC), urine white blood cell (WBC), and cast (CAST)</w:t>
            </w:r>
          </w:p>
        </w:tc>
      </w:tr>
      <w:tr w14:paraId="635BCCD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28" w:type="dxa"/>
            <w:left w:w="57" w:type="dxa"/>
            <w:bottom w:w="28" w:type="dxa"/>
            <w:right w:w="57" w:type="dxa"/>
          </w:tblCellMar>
        </w:tblPrEx>
        <w:tc>
          <w:tcPr>
            <w:tcW w:w="1051" w:type="pct"/>
            <w:tcBorders>
              <w:top w:val="dotted" w:color="auto" w:sz="4" w:space="0"/>
              <w:left w:val="single" w:color="auto" w:sz="4" w:space="0"/>
              <w:bottom w:val="dotted" w:color="auto" w:sz="4" w:space="0"/>
            </w:tcBorders>
            <w:tcMar>
              <w:top w:w="28" w:type="dxa"/>
              <w:left w:w="57" w:type="dxa"/>
              <w:bottom w:w="28" w:type="dxa"/>
              <w:right w:w="57" w:type="dxa"/>
            </w:tcMar>
            <w:vAlign w:val="center"/>
          </w:tcPr>
          <w:p w14:paraId="620C65B4">
            <w:pPr>
              <w:widowControl w:val="0"/>
              <w:overflowPunct w:val="0"/>
              <w:autoSpaceDE w:val="0"/>
              <w:autoSpaceDN w:val="0"/>
              <w:adjustRightInd w:val="0"/>
              <w:snapToGrid w:val="0"/>
              <w:rPr>
                <w:rFonts w:eastAsia="宋体"/>
                <w:kern w:val="2"/>
                <w:sz w:val="20"/>
                <w:szCs w:val="20"/>
              </w:rPr>
            </w:pPr>
            <w:r>
              <w:rPr>
                <w:sz w:val="20"/>
                <w:szCs w:val="20"/>
              </w:rPr>
              <w:t>Urine albumin-creatinine ratio</w:t>
            </w:r>
          </w:p>
        </w:tc>
        <w:tc>
          <w:tcPr>
            <w:tcW w:w="3949" w:type="pct"/>
            <w:tcBorders>
              <w:top w:val="dotted" w:color="auto" w:sz="4" w:space="0"/>
              <w:bottom w:val="dotted" w:color="auto" w:sz="4" w:space="0"/>
              <w:right w:val="single" w:color="auto" w:sz="4" w:space="0"/>
            </w:tcBorders>
            <w:tcMar>
              <w:top w:w="28" w:type="dxa"/>
              <w:left w:w="57" w:type="dxa"/>
              <w:bottom w:w="28" w:type="dxa"/>
              <w:right w:w="57" w:type="dxa"/>
            </w:tcMar>
            <w:vAlign w:val="center"/>
          </w:tcPr>
          <w:p w14:paraId="10A6A02E">
            <w:pPr>
              <w:widowControl w:val="0"/>
              <w:overflowPunct w:val="0"/>
              <w:autoSpaceDE w:val="0"/>
              <w:autoSpaceDN w:val="0"/>
              <w:adjustRightInd w:val="0"/>
              <w:snapToGrid w:val="0"/>
              <w:rPr>
                <w:rFonts w:eastAsia="宋体"/>
                <w:kern w:val="2"/>
                <w:sz w:val="20"/>
                <w:szCs w:val="20"/>
              </w:rPr>
            </w:pPr>
            <w:r>
              <w:rPr>
                <w:sz w:val="20"/>
                <w:szCs w:val="20"/>
              </w:rPr>
              <w:t>Urine albumin/creatinine ratio (UACR)</w:t>
            </w:r>
          </w:p>
        </w:tc>
      </w:tr>
      <w:tr w14:paraId="585282D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28" w:type="dxa"/>
            <w:left w:w="57" w:type="dxa"/>
            <w:bottom w:w="28" w:type="dxa"/>
            <w:right w:w="57" w:type="dxa"/>
          </w:tblCellMar>
        </w:tblPrEx>
        <w:tc>
          <w:tcPr>
            <w:tcW w:w="1051" w:type="pct"/>
            <w:tcBorders>
              <w:top w:val="dotted" w:color="auto" w:sz="4" w:space="0"/>
              <w:left w:val="single" w:color="auto" w:sz="4" w:space="0"/>
              <w:bottom w:val="dotted" w:color="auto" w:sz="4" w:space="0"/>
            </w:tcBorders>
            <w:tcMar>
              <w:top w:w="28" w:type="dxa"/>
              <w:left w:w="57" w:type="dxa"/>
              <w:bottom w:w="28" w:type="dxa"/>
              <w:right w:w="57" w:type="dxa"/>
            </w:tcMar>
            <w:vAlign w:val="center"/>
          </w:tcPr>
          <w:p w14:paraId="1CE18D8B">
            <w:pPr>
              <w:widowControl w:val="0"/>
              <w:overflowPunct w:val="0"/>
              <w:autoSpaceDE w:val="0"/>
              <w:autoSpaceDN w:val="0"/>
              <w:adjustRightInd w:val="0"/>
              <w:snapToGrid w:val="0"/>
              <w:rPr>
                <w:rFonts w:eastAsia="宋体"/>
                <w:kern w:val="2"/>
                <w:sz w:val="20"/>
                <w:szCs w:val="20"/>
              </w:rPr>
            </w:pPr>
            <w:r>
              <w:rPr>
                <w:sz w:val="20"/>
                <w:szCs w:val="20"/>
              </w:rPr>
              <w:t>Blood chemistry</w:t>
            </w:r>
          </w:p>
        </w:tc>
        <w:tc>
          <w:tcPr>
            <w:tcW w:w="3949" w:type="pct"/>
            <w:tcBorders>
              <w:top w:val="dotted" w:color="auto" w:sz="4" w:space="0"/>
              <w:bottom w:val="dotted" w:color="auto" w:sz="4" w:space="0"/>
              <w:right w:val="single" w:color="auto" w:sz="4" w:space="0"/>
            </w:tcBorders>
            <w:tcMar>
              <w:top w:w="28" w:type="dxa"/>
              <w:left w:w="57" w:type="dxa"/>
              <w:bottom w:w="28" w:type="dxa"/>
              <w:right w:w="57" w:type="dxa"/>
            </w:tcMar>
            <w:vAlign w:val="center"/>
          </w:tcPr>
          <w:p w14:paraId="3E024B59">
            <w:pPr>
              <w:pStyle w:val="2"/>
              <w:overflowPunct w:val="0"/>
              <w:autoSpaceDE w:val="0"/>
              <w:autoSpaceDN w:val="0"/>
              <w:adjustRightInd w:val="0"/>
              <w:snapToGrid w:val="0"/>
              <w:spacing w:after="0"/>
              <w:rPr>
                <w:rFonts w:eastAsia="宋体"/>
                <w:sz w:val="20"/>
                <w:szCs w:val="20"/>
              </w:rPr>
            </w:pPr>
            <w:r>
              <w:rPr>
                <w:sz w:val="20"/>
                <w:szCs w:val="20"/>
              </w:rPr>
              <w:t>Alanine aminotransferase (ALT), aspartate aminotransferase (AST), alkaline phosphatase (ALP), gamma-glutamyl transpeptidase (GGT), total bilirubin (TBIL), direct bilirubin (DBIL), albumin (ALB), globulin (GLB), albumin/globulin ratio (A/G), urea (UREA) or blood urea nitrogen (BUN), serum creatinine (SCr), triglyceride (TG), total cholesterol (TC), low density lipoprotein cholesterol (LDL-C), high density lipoprotein cholesterol (HDL-C), free fatty acid (FFA), sodium (Na</w:t>
            </w:r>
            <w:r>
              <w:rPr>
                <w:sz w:val="20"/>
                <w:szCs w:val="20"/>
                <w:vertAlign w:val="superscript"/>
              </w:rPr>
              <w:t>+</w:t>
            </w:r>
            <w:r>
              <w:rPr>
                <w:sz w:val="20"/>
                <w:szCs w:val="20"/>
              </w:rPr>
              <w:t>), potassium (K</w:t>
            </w:r>
            <w:r>
              <w:rPr>
                <w:sz w:val="20"/>
                <w:szCs w:val="20"/>
                <w:vertAlign w:val="superscript"/>
              </w:rPr>
              <w:t>+</w:t>
            </w:r>
            <w:r>
              <w:rPr>
                <w:sz w:val="20"/>
                <w:szCs w:val="20"/>
              </w:rPr>
              <w:t>), magnesium (Mg</w:t>
            </w:r>
            <w:r>
              <w:rPr>
                <w:sz w:val="20"/>
                <w:szCs w:val="20"/>
                <w:vertAlign w:val="superscript"/>
              </w:rPr>
              <w:t>2+</w:t>
            </w:r>
            <w:r>
              <w:rPr>
                <w:sz w:val="20"/>
                <w:szCs w:val="20"/>
              </w:rPr>
              <w:t>), calcium (Ca</w:t>
            </w:r>
            <w:r>
              <w:rPr>
                <w:sz w:val="20"/>
                <w:szCs w:val="20"/>
                <w:vertAlign w:val="superscript"/>
              </w:rPr>
              <w:t>2+</w:t>
            </w:r>
            <w:r>
              <w:rPr>
                <w:sz w:val="20"/>
                <w:szCs w:val="20"/>
              </w:rPr>
              <w:t>), phosphorus (P</w:t>
            </w:r>
            <w:r>
              <w:rPr>
                <w:sz w:val="20"/>
                <w:szCs w:val="20"/>
                <w:vertAlign w:val="superscript"/>
              </w:rPr>
              <w:t>+</w:t>
            </w:r>
            <w:r>
              <w:rPr>
                <w:sz w:val="20"/>
                <w:szCs w:val="20"/>
              </w:rPr>
              <w:t>), creatine kinase-myocardial band (CKMB), creatine kinase (CK), lactate dehydrogenase (LDH), α-hydroxybutyrate dehydrogenase (α-HBDH), fasting plasma glucose (GLU), serum amylase (AMY), serum lipase (LPS), total bile acid (TBA)</w:t>
            </w:r>
            <w:r>
              <w:rPr>
                <w:sz w:val="20"/>
                <w:szCs w:val="20"/>
                <w:vertAlign w:val="superscript"/>
              </w:rPr>
              <w:t>*</w:t>
            </w:r>
            <w:r>
              <w:rPr>
                <w:sz w:val="20"/>
                <w:szCs w:val="20"/>
              </w:rPr>
              <w:t>, uric acid (UA), and derived and calculated non-high density lipoprotein cholesterol (non-HDL-C)</w:t>
            </w:r>
          </w:p>
          <w:p w14:paraId="13FFD31C">
            <w:pPr>
              <w:widowControl w:val="0"/>
              <w:overflowPunct w:val="0"/>
              <w:autoSpaceDE w:val="0"/>
              <w:autoSpaceDN w:val="0"/>
              <w:adjustRightInd w:val="0"/>
              <w:snapToGrid w:val="0"/>
              <w:rPr>
                <w:rFonts w:eastAsia="宋体"/>
                <w:sz w:val="20"/>
                <w:szCs w:val="20"/>
              </w:rPr>
            </w:pPr>
            <w:r>
              <w:rPr>
                <w:sz w:val="20"/>
                <w:szCs w:val="20"/>
              </w:rPr>
              <w:t xml:space="preserve">Note: </w:t>
            </w:r>
            <w:r>
              <w:rPr>
                <w:sz w:val="20"/>
                <w:szCs w:val="20"/>
                <w:vertAlign w:val="superscript"/>
              </w:rPr>
              <w:t>*</w:t>
            </w:r>
            <w:r>
              <w:rPr>
                <w:sz w:val="20"/>
                <w:szCs w:val="20"/>
              </w:rPr>
              <w:t>This indicator can be tested at the local laboratory of the study site.</w:t>
            </w:r>
          </w:p>
        </w:tc>
      </w:tr>
      <w:tr w14:paraId="1270A06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28" w:type="dxa"/>
            <w:left w:w="57" w:type="dxa"/>
            <w:bottom w:w="28" w:type="dxa"/>
            <w:right w:w="57" w:type="dxa"/>
          </w:tblCellMar>
        </w:tblPrEx>
        <w:tc>
          <w:tcPr>
            <w:tcW w:w="1051" w:type="pct"/>
            <w:tcBorders>
              <w:top w:val="dotted" w:color="auto" w:sz="4" w:space="0"/>
              <w:left w:val="single" w:color="auto" w:sz="4" w:space="0"/>
              <w:bottom w:val="dotted" w:color="auto" w:sz="4" w:space="0"/>
            </w:tcBorders>
            <w:tcMar>
              <w:top w:w="28" w:type="dxa"/>
              <w:left w:w="57" w:type="dxa"/>
              <w:bottom w:w="28" w:type="dxa"/>
              <w:right w:w="57" w:type="dxa"/>
            </w:tcMar>
            <w:vAlign w:val="center"/>
          </w:tcPr>
          <w:p w14:paraId="7071FEEA">
            <w:pPr>
              <w:widowControl w:val="0"/>
              <w:overflowPunct w:val="0"/>
              <w:autoSpaceDE w:val="0"/>
              <w:autoSpaceDN w:val="0"/>
              <w:adjustRightInd w:val="0"/>
              <w:snapToGrid w:val="0"/>
              <w:rPr>
                <w:rFonts w:eastAsia="宋体"/>
                <w:kern w:val="2"/>
                <w:sz w:val="20"/>
                <w:szCs w:val="20"/>
              </w:rPr>
            </w:pPr>
            <w:r>
              <w:rPr>
                <w:sz w:val="20"/>
                <w:szCs w:val="20"/>
              </w:rPr>
              <w:t>Coagulation test</w:t>
            </w:r>
          </w:p>
        </w:tc>
        <w:tc>
          <w:tcPr>
            <w:tcW w:w="3949" w:type="pct"/>
            <w:tcBorders>
              <w:top w:val="dotted" w:color="auto" w:sz="4" w:space="0"/>
              <w:bottom w:val="dotted" w:color="auto" w:sz="4" w:space="0"/>
              <w:right w:val="single" w:color="auto" w:sz="4" w:space="0"/>
            </w:tcBorders>
            <w:tcMar>
              <w:top w:w="28" w:type="dxa"/>
              <w:left w:w="57" w:type="dxa"/>
              <w:bottom w:w="28" w:type="dxa"/>
              <w:right w:w="57" w:type="dxa"/>
            </w:tcMar>
            <w:vAlign w:val="center"/>
          </w:tcPr>
          <w:p w14:paraId="604D5988">
            <w:pPr>
              <w:pStyle w:val="2"/>
              <w:overflowPunct w:val="0"/>
              <w:autoSpaceDE w:val="0"/>
              <w:autoSpaceDN w:val="0"/>
              <w:adjustRightInd w:val="0"/>
              <w:snapToGrid w:val="0"/>
              <w:spacing w:after="0"/>
              <w:rPr>
                <w:rFonts w:eastAsia="宋体"/>
                <w:sz w:val="20"/>
                <w:szCs w:val="20"/>
              </w:rPr>
            </w:pPr>
            <w:r>
              <w:rPr>
                <w:sz w:val="20"/>
                <w:szCs w:val="20"/>
              </w:rPr>
              <w:t>Thrombin time (TT), activated partial thromboplastin time (APTT), prothrombin time (PT), international normalized ratio (INR), and fibrinogen (FBG)</w:t>
            </w:r>
          </w:p>
        </w:tc>
      </w:tr>
      <w:tr w14:paraId="4361F0A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28" w:type="dxa"/>
            <w:left w:w="57" w:type="dxa"/>
            <w:bottom w:w="28" w:type="dxa"/>
            <w:right w:w="57" w:type="dxa"/>
          </w:tblCellMar>
        </w:tblPrEx>
        <w:tc>
          <w:tcPr>
            <w:tcW w:w="1051" w:type="pct"/>
            <w:tcBorders>
              <w:top w:val="dotted" w:color="auto" w:sz="4" w:space="0"/>
              <w:left w:val="single" w:color="auto" w:sz="4" w:space="0"/>
              <w:bottom w:val="dotted" w:color="auto" w:sz="4" w:space="0"/>
            </w:tcBorders>
            <w:tcMar>
              <w:top w:w="28" w:type="dxa"/>
              <w:left w:w="57" w:type="dxa"/>
              <w:bottom w:w="28" w:type="dxa"/>
              <w:right w:w="57" w:type="dxa"/>
            </w:tcMar>
            <w:vAlign w:val="center"/>
          </w:tcPr>
          <w:p w14:paraId="05C776A1">
            <w:pPr>
              <w:widowControl w:val="0"/>
              <w:overflowPunct w:val="0"/>
              <w:autoSpaceDE w:val="0"/>
              <w:autoSpaceDN w:val="0"/>
              <w:adjustRightInd w:val="0"/>
              <w:snapToGrid w:val="0"/>
              <w:rPr>
                <w:rFonts w:eastAsia="宋体"/>
                <w:kern w:val="2"/>
                <w:sz w:val="20"/>
                <w:szCs w:val="20"/>
              </w:rPr>
            </w:pPr>
            <w:r>
              <w:rPr>
                <w:sz w:val="20"/>
                <w:szCs w:val="20"/>
              </w:rPr>
              <w:t>Relevant indicators of glucose metabolism</w:t>
            </w:r>
          </w:p>
        </w:tc>
        <w:tc>
          <w:tcPr>
            <w:tcW w:w="3949" w:type="pct"/>
            <w:tcBorders>
              <w:top w:val="dotted" w:color="auto" w:sz="4" w:space="0"/>
              <w:bottom w:val="dotted" w:color="auto" w:sz="4" w:space="0"/>
              <w:right w:val="single" w:color="auto" w:sz="4" w:space="0"/>
            </w:tcBorders>
            <w:tcMar>
              <w:top w:w="28" w:type="dxa"/>
              <w:left w:w="57" w:type="dxa"/>
              <w:bottom w:w="28" w:type="dxa"/>
              <w:right w:w="57" w:type="dxa"/>
            </w:tcMar>
            <w:vAlign w:val="center"/>
          </w:tcPr>
          <w:p w14:paraId="501EA9B9">
            <w:pPr>
              <w:widowControl w:val="0"/>
              <w:overflowPunct w:val="0"/>
              <w:autoSpaceDE w:val="0"/>
              <w:autoSpaceDN w:val="0"/>
              <w:adjustRightInd w:val="0"/>
              <w:snapToGrid w:val="0"/>
              <w:rPr>
                <w:rFonts w:eastAsia="宋体"/>
                <w:sz w:val="20"/>
                <w:szCs w:val="20"/>
              </w:rPr>
            </w:pPr>
            <w:r>
              <w:rPr>
                <w:sz w:val="20"/>
                <w:szCs w:val="20"/>
              </w:rPr>
              <w:t>HbA1c and fasting plasma glucose</w:t>
            </w:r>
          </w:p>
        </w:tc>
      </w:tr>
      <w:tr w14:paraId="1C03715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28" w:type="dxa"/>
            <w:left w:w="57" w:type="dxa"/>
            <w:bottom w:w="28" w:type="dxa"/>
            <w:right w:w="57" w:type="dxa"/>
          </w:tblCellMar>
        </w:tblPrEx>
        <w:tc>
          <w:tcPr>
            <w:tcW w:w="5000" w:type="pct"/>
            <w:gridSpan w:val="2"/>
            <w:tcBorders>
              <w:top w:val="single" w:color="auto" w:sz="4" w:space="0"/>
              <w:left w:val="nil"/>
              <w:bottom w:val="nil"/>
              <w:right w:val="nil"/>
            </w:tcBorders>
            <w:tcMar>
              <w:top w:w="28" w:type="dxa"/>
              <w:left w:w="57" w:type="dxa"/>
              <w:bottom w:w="28" w:type="dxa"/>
              <w:right w:w="57" w:type="dxa"/>
            </w:tcMar>
            <w:vAlign w:val="center"/>
          </w:tcPr>
          <w:p w14:paraId="5E2712A7">
            <w:pPr>
              <w:widowControl w:val="0"/>
              <w:overflowPunct w:val="0"/>
              <w:autoSpaceDE w:val="0"/>
              <w:autoSpaceDN w:val="0"/>
              <w:adjustRightInd w:val="0"/>
              <w:snapToGrid w:val="0"/>
              <w:rPr>
                <w:rFonts w:eastAsia="宋体"/>
                <w:sz w:val="20"/>
                <w:szCs w:val="20"/>
                <w:lang w:eastAsia="zh-CN"/>
              </w:rPr>
            </w:pPr>
          </w:p>
        </w:tc>
      </w:tr>
      <w:bookmarkEnd w:id="592"/>
      <w:bookmarkEnd w:id="593"/>
    </w:tbl>
    <w:p w14:paraId="3484803C">
      <w:pPr>
        <w:overflowPunct w:val="0"/>
        <w:autoSpaceDE w:val="0"/>
        <w:autoSpaceDN w:val="0"/>
        <w:adjustRightInd w:val="0"/>
        <w:snapToGrid w:val="0"/>
        <w:spacing w:before="120" w:beforeLines="50" w:after="120" w:afterLines="50" w:line="300" w:lineRule="auto"/>
        <w:rPr>
          <w:rFonts w:eastAsia="宋体"/>
          <w:lang w:eastAsia="zh-CN"/>
        </w:rPr>
      </w:pPr>
    </w:p>
    <w:sectPr>
      <w:endnotePr>
        <w:numFmt w:val="decimal"/>
      </w:endnotePr>
      <w:pgSz w:w="12240" w:h="15840"/>
      <w:pgMar w:top="1440" w:right="1440" w:bottom="1440" w:left="1440" w:header="720" w:footer="720" w:gutter="0"/>
      <w:cols w:space="0" w:num="1"/>
      <w:titlePg/>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 w:name="Arial Unicode MS">
    <w:altName w:val="Arial"/>
    <w:panose1 w:val="020B0604020202020204"/>
    <w:charset w:val="00"/>
    <w:family w:val="roman"/>
    <w:pitch w:val="default"/>
    <w:sig w:usb0="00000000" w:usb1="00000000" w:usb2="00000000" w:usb3="00000000" w:csb0="00000001" w:csb1="00000000"/>
  </w:font>
  <w:font w:name="Times New Roman Bold">
    <w:altName w:val="Times New Roman"/>
    <w:panose1 w:val="02020803070505020304"/>
    <w:charset w:val="00"/>
    <w:family w:val="roman"/>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MS Mincho">
    <w:altName w:val="Yu Gothic UI"/>
    <w:panose1 w:val="02020609040205080304"/>
    <w:charset w:val="80"/>
    <w:family w:val="roman"/>
    <w:pitch w:val="default"/>
    <w:sig w:usb0="00000000" w:usb1="00000000" w:usb2="00000010" w:usb3="00000000" w:csb0="00020000" w:csb1="0000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STSongti-SC-Regular">
    <w:altName w:val="Segoe Print"/>
    <w:panose1 w:val="00000000000000000000"/>
    <w:charset w:val="00"/>
    <w:family w:val="auto"/>
    <w:pitch w:val="default"/>
    <w:sig w:usb0="00000000" w:usb1="00000000" w:usb2="00000000" w:usb3="00000000" w:csb0="00000000" w:csb1="00000000"/>
  </w:font>
  <w:font w:name="HYShuSongErKW">
    <w:altName w:val="Cambria"/>
    <w:panose1 w:val="00000000000000000000"/>
    <w:charset w:val="00"/>
    <w:family w:val="roman"/>
    <w:pitch w:val="default"/>
    <w:sig w:usb0="00000000" w:usb1="00000000" w:usb2="00000000" w:usb3="00000000" w:csb0="00000000" w:csb1="00000000"/>
  </w:font>
  <w:font w:name="TimesNewRomanPSMT">
    <w:altName w:val="Times New Roman"/>
    <w:panose1 w:val="00000000000000000000"/>
    <w:charset w:val="00"/>
    <w:family w:val="auto"/>
    <w:pitch w:val="default"/>
    <w:sig w:usb0="00000000" w:usb1="00000000" w:usb2="00000010" w:usb3="00000000" w:csb0="00020001" w:csb1="00000000"/>
  </w:font>
  <w:font w:name="PMingLiU">
    <w:altName w:val="Microsoft JhengHei UI"/>
    <w:panose1 w:val="02010601000101010101"/>
    <w:charset w:val="88"/>
    <w:family w:val="auto"/>
    <w:pitch w:val="default"/>
    <w:sig w:usb0="00000000" w:usb1="00000000" w:usb2="00000010" w:usb3="00000000" w:csb0="00100000"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4DCCC">
    <w:pPr>
      <w:pStyle w:val="2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E170A">
    <w:pPr>
      <w:pStyle w:val="27"/>
      <w:tabs>
        <w:tab w:val="center" w:pos="4533"/>
        <w:tab w:val="clear" w:pos="4153"/>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67CFD">
    <w:pPr>
      <w:pStyle w:val="2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0D3BC">
    <w:pPr>
      <w:pStyle w:val="2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F1700">
    <w:pPr>
      <w:snapToGrid w:val="0"/>
      <w:jc w:val="center"/>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sz w:val="20"/>
        <w:szCs w:val="20"/>
      </w:rPr>
      <w:t>16</w:t>
    </w:r>
    <w:r>
      <w:rPr>
        <w:sz w:val="20"/>
        <w:szCs w:val="20"/>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741B2">
    <w:pPr>
      <w:pStyle w:val="27"/>
      <w:jc w:val="center"/>
      <w:rPr>
        <w:rFonts w:ascii="Times New Roman" w:hAnsi="Times New Roman" w:cs="Times New Roman" w:eastAsiaTheme="minorEastAsia"/>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sz w:val="20"/>
        <w:szCs w:val="20"/>
      </w:rPr>
      <w:t>15</w:t>
    </w:r>
    <w:r>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4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88"/>
      <w:gridCol w:w="3188"/>
      <w:gridCol w:w="3189"/>
    </w:tblGrid>
    <w:tr w14:paraId="626E0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188" w:type="dxa"/>
        </w:tcPr>
        <w:p w14:paraId="56378D2E">
          <w:pPr>
            <w:pStyle w:val="28"/>
            <w:jc w:val="left"/>
            <w:rPr>
              <w:rFonts w:ascii="Times New Roman" w:hAnsi="Times New Roman" w:cs="Times New Roman" w:eastAsiaTheme="minorEastAsia"/>
              <w:sz w:val="20"/>
              <w:szCs w:val="20"/>
            </w:rPr>
          </w:pPr>
          <w:r>
            <w:rPr>
              <w:rFonts w:ascii="Times New Roman" w:hAnsi="Times New Roman"/>
              <w:sz w:val="20"/>
              <w:szCs w:val="20"/>
            </w:rPr>
            <w:t>Protocol No.: RAY1225-23-03</w:t>
          </w:r>
        </w:p>
      </w:tc>
      <w:tc>
        <w:tcPr>
          <w:tcW w:w="3188" w:type="dxa"/>
        </w:tcPr>
        <w:p w14:paraId="2C2FF9B9">
          <w:pPr>
            <w:pStyle w:val="28"/>
            <w:rPr>
              <w:rFonts w:ascii="Times New Roman" w:hAnsi="Times New Roman" w:cs="Times New Roman" w:eastAsiaTheme="minorEastAsia"/>
              <w:sz w:val="20"/>
              <w:szCs w:val="20"/>
            </w:rPr>
          </w:pPr>
          <w:r>
            <w:rPr>
              <w:rFonts w:ascii="Times New Roman" w:hAnsi="Times New Roman"/>
              <w:sz w:val="20"/>
              <w:szCs w:val="20"/>
            </w:rPr>
            <w:t>Version No.: 1.1</w:t>
          </w:r>
        </w:p>
      </w:tc>
      <w:tc>
        <w:tcPr>
          <w:tcW w:w="3189" w:type="dxa"/>
        </w:tcPr>
        <w:p w14:paraId="478C0A25">
          <w:pPr>
            <w:pStyle w:val="28"/>
            <w:jc w:val="right"/>
            <w:rPr>
              <w:rFonts w:ascii="Times New Roman" w:hAnsi="Times New Roman" w:cs="Times New Roman" w:eastAsiaTheme="minorEastAsia"/>
              <w:sz w:val="20"/>
              <w:szCs w:val="20"/>
            </w:rPr>
          </w:pPr>
          <w:r>
            <w:rPr>
              <w:rFonts w:ascii="Times New Roman" w:hAnsi="Times New Roman"/>
              <w:sz w:val="20"/>
              <w:szCs w:val="20"/>
            </w:rPr>
            <w:t>Version Date: Jan. 26, 2024</w:t>
          </w:r>
        </w:p>
      </w:tc>
    </w:tr>
  </w:tbl>
  <w:p w14:paraId="44FEF477">
    <w:pPr>
      <w:pStyle w:val="28"/>
      <w:jc w:val="left"/>
      <w:rPr>
        <w:rFonts w:eastAsiaTheme="minor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4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88"/>
      <w:gridCol w:w="3188"/>
      <w:gridCol w:w="3189"/>
    </w:tblGrid>
    <w:tr w14:paraId="68930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188" w:type="dxa"/>
        </w:tcPr>
        <w:p w14:paraId="74BD3401">
          <w:pPr>
            <w:pStyle w:val="28"/>
            <w:jc w:val="left"/>
            <w:rPr>
              <w:rFonts w:ascii="Times New Roman" w:hAnsi="Times New Roman" w:cs="Times New Roman" w:eastAsiaTheme="minorEastAsia"/>
              <w:sz w:val="20"/>
              <w:szCs w:val="20"/>
            </w:rPr>
          </w:pPr>
          <w:r>
            <w:rPr>
              <w:rFonts w:ascii="Times New Roman" w:hAnsi="Times New Roman"/>
              <w:sz w:val="20"/>
              <w:szCs w:val="20"/>
            </w:rPr>
            <w:t>Protocol No.: RAY1225-23-03</w:t>
          </w:r>
        </w:p>
      </w:tc>
      <w:tc>
        <w:tcPr>
          <w:tcW w:w="3188" w:type="dxa"/>
        </w:tcPr>
        <w:p w14:paraId="1980EF72">
          <w:pPr>
            <w:pStyle w:val="28"/>
            <w:rPr>
              <w:rFonts w:ascii="Times New Roman" w:hAnsi="Times New Roman" w:cs="Times New Roman" w:eastAsiaTheme="minorEastAsia"/>
              <w:sz w:val="20"/>
              <w:szCs w:val="20"/>
            </w:rPr>
          </w:pPr>
          <w:r>
            <w:rPr>
              <w:rFonts w:ascii="Times New Roman" w:hAnsi="Times New Roman"/>
              <w:sz w:val="20"/>
              <w:szCs w:val="20"/>
            </w:rPr>
            <w:t>Version No.: 1.1</w:t>
          </w:r>
        </w:p>
      </w:tc>
      <w:tc>
        <w:tcPr>
          <w:tcW w:w="3189" w:type="dxa"/>
        </w:tcPr>
        <w:p w14:paraId="026E9D3E">
          <w:pPr>
            <w:pStyle w:val="28"/>
            <w:jc w:val="right"/>
            <w:rPr>
              <w:rFonts w:ascii="Times New Roman" w:hAnsi="Times New Roman" w:cs="Times New Roman" w:eastAsiaTheme="minorEastAsia"/>
              <w:sz w:val="20"/>
              <w:szCs w:val="20"/>
            </w:rPr>
          </w:pPr>
          <w:r>
            <w:rPr>
              <w:rFonts w:ascii="Times New Roman" w:hAnsi="Times New Roman"/>
              <w:sz w:val="20"/>
              <w:szCs w:val="20"/>
            </w:rPr>
            <w:t>Version Date: Jan. 26, 2024</w:t>
          </w:r>
        </w:p>
      </w:tc>
    </w:tr>
  </w:tbl>
  <w:p w14:paraId="6BD3B8EC">
    <w:pPr>
      <w:pStyle w:val="28"/>
      <w:rPr>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4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88"/>
      <w:gridCol w:w="3188"/>
      <w:gridCol w:w="3189"/>
    </w:tblGrid>
    <w:tr w14:paraId="238A9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188" w:type="dxa"/>
        </w:tcPr>
        <w:p w14:paraId="306F8983">
          <w:pPr>
            <w:pStyle w:val="28"/>
            <w:jc w:val="left"/>
            <w:rPr>
              <w:rFonts w:ascii="Times New Roman" w:hAnsi="Times New Roman" w:cs="Times New Roman" w:eastAsiaTheme="minorEastAsia"/>
              <w:sz w:val="20"/>
              <w:szCs w:val="20"/>
            </w:rPr>
          </w:pPr>
          <w:r>
            <w:rPr>
              <w:rFonts w:ascii="Times New Roman" w:hAnsi="Times New Roman"/>
              <w:sz w:val="20"/>
              <w:szCs w:val="20"/>
            </w:rPr>
            <w:t>Protocol No.: RAY1225-23-03</w:t>
          </w:r>
        </w:p>
      </w:tc>
      <w:tc>
        <w:tcPr>
          <w:tcW w:w="3188" w:type="dxa"/>
        </w:tcPr>
        <w:p w14:paraId="41FB42D4">
          <w:pPr>
            <w:pStyle w:val="28"/>
            <w:rPr>
              <w:rFonts w:ascii="Times New Roman" w:hAnsi="Times New Roman" w:cs="Times New Roman" w:eastAsiaTheme="minorEastAsia"/>
              <w:sz w:val="20"/>
              <w:szCs w:val="20"/>
            </w:rPr>
          </w:pPr>
          <w:r>
            <w:rPr>
              <w:rFonts w:ascii="Times New Roman" w:hAnsi="Times New Roman"/>
              <w:sz w:val="20"/>
              <w:szCs w:val="20"/>
            </w:rPr>
            <w:t>Version No.: 1.1</w:t>
          </w:r>
        </w:p>
      </w:tc>
      <w:tc>
        <w:tcPr>
          <w:tcW w:w="3189" w:type="dxa"/>
        </w:tcPr>
        <w:p w14:paraId="5F3F897E">
          <w:pPr>
            <w:pStyle w:val="28"/>
            <w:jc w:val="right"/>
            <w:rPr>
              <w:rFonts w:ascii="Times New Roman" w:hAnsi="Times New Roman" w:cs="Times New Roman" w:eastAsiaTheme="minorEastAsia"/>
              <w:sz w:val="20"/>
              <w:szCs w:val="20"/>
            </w:rPr>
          </w:pPr>
          <w:r>
            <w:rPr>
              <w:rFonts w:ascii="Times New Roman" w:hAnsi="Times New Roman"/>
              <w:sz w:val="20"/>
              <w:szCs w:val="20"/>
            </w:rPr>
            <w:t>Version Date: Jan. 26, 2024</w:t>
          </w:r>
        </w:p>
      </w:tc>
    </w:tr>
  </w:tbl>
  <w:p w14:paraId="27326AF9">
    <w:pPr>
      <w:pStyle w:val="28"/>
      <w:jc w:val="left"/>
      <w:rPr>
        <w:rFonts w:eastAsiaTheme="minor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4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88"/>
      <w:gridCol w:w="3188"/>
      <w:gridCol w:w="3189"/>
    </w:tblGrid>
    <w:tr w14:paraId="0369C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188" w:type="dxa"/>
        </w:tcPr>
        <w:p w14:paraId="7E3B164F">
          <w:pPr>
            <w:pStyle w:val="28"/>
            <w:jc w:val="left"/>
            <w:rPr>
              <w:rFonts w:ascii="Times New Roman" w:hAnsi="Times New Roman" w:cs="Times New Roman" w:eastAsiaTheme="minorEastAsia"/>
              <w:sz w:val="20"/>
              <w:szCs w:val="20"/>
            </w:rPr>
          </w:pPr>
          <w:r>
            <w:rPr>
              <w:rFonts w:ascii="Times New Roman" w:hAnsi="Times New Roman"/>
              <w:sz w:val="20"/>
              <w:szCs w:val="20"/>
            </w:rPr>
            <w:t>Protocol No.: RAY1225-23-03</w:t>
          </w:r>
        </w:p>
      </w:tc>
      <w:tc>
        <w:tcPr>
          <w:tcW w:w="3188" w:type="dxa"/>
        </w:tcPr>
        <w:p w14:paraId="3BD3BFD9">
          <w:pPr>
            <w:pStyle w:val="28"/>
            <w:rPr>
              <w:rFonts w:ascii="Times New Roman" w:hAnsi="Times New Roman" w:cs="Times New Roman" w:eastAsiaTheme="minorEastAsia"/>
              <w:sz w:val="20"/>
              <w:szCs w:val="20"/>
            </w:rPr>
          </w:pPr>
          <w:r>
            <w:rPr>
              <w:rFonts w:ascii="Times New Roman" w:hAnsi="Times New Roman"/>
              <w:sz w:val="20"/>
              <w:szCs w:val="20"/>
            </w:rPr>
            <w:t>Version No.: 1.1</w:t>
          </w:r>
        </w:p>
      </w:tc>
      <w:tc>
        <w:tcPr>
          <w:tcW w:w="3189" w:type="dxa"/>
        </w:tcPr>
        <w:p w14:paraId="4573B815">
          <w:pPr>
            <w:pStyle w:val="28"/>
            <w:jc w:val="right"/>
            <w:rPr>
              <w:rFonts w:ascii="Times New Roman" w:hAnsi="Times New Roman" w:cs="Times New Roman" w:eastAsiaTheme="minorEastAsia"/>
              <w:sz w:val="20"/>
              <w:szCs w:val="20"/>
            </w:rPr>
          </w:pPr>
          <w:r>
            <w:rPr>
              <w:rFonts w:ascii="Times New Roman" w:hAnsi="Times New Roman"/>
              <w:sz w:val="20"/>
              <w:szCs w:val="20"/>
            </w:rPr>
            <w:t>Version Date: Jan. 26, 2024</w:t>
          </w:r>
        </w:p>
      </w:tc>
    </w:tr>
  </w:tbl>
  <w:p w14:paraId="51845696">
    <w:pPr>
      <w:pStyle w:val="28"/>
      <w:jc w:val="left"/>
      <w:rPr>
        <w:rFonts w:eastAsiaTheme="minor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43"/>
      <w:tblW w:w="1296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48"/>
      <w:gridCol w:w="4617"/>
      <w:gridCol w:w="4097"/>
    </w:tblGrid>
    <w:tr w14:paraId="1CFCD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1D4C1057">
          <w:pPr>
            <w:pStyle w:val="28"/>
            <w:jc w:val="left"/>
            <w:rPr>
              <w:rFonts w:ascii="Times New Roman" w:hAnsi="Times New Roman" w:cs="Times New Roman" w:eastAsiaTheme="minorEastAsia"/>
              <w:sz w:val="20"/>
              <w:szCs w:val="20"/>
            </w:rPr>
          </w:pPr>
          <w:r>
            <w:rPr>
              <w:rFonts w:ascii="Times New Roman" w:hAnsi="Times New Roman"/>
              <w:sz w:val="20"/>
              <w:szCs w:val="20"/>
            </w:rPr>
            <w:t>Protocol No.: RAY1225-23-03</w:t>
          </w:r>
        </w:p>
      </w:tc>
      <w:tc>
        <w:tcPr>
          <w:tcW w:w="4962" w:type="dxa"/>
        </w:tcPr>
        <w:p w14:paraId="0A1B8C30">
          <w:pPr>
            <w:pStyle w:val="28"/>
            <w:rPr>
              <w:rFonts w:ascii="Times New Roman" w:hAnsi="Times New Roman" w:cs="Times New Roman" w:eastAsiaTheme="minorEastAsia"/>
              <w:sz w:val="20"/>
              <w:szCs w:val="20"/>
            </w:rPr>
          </w:pPr>
          <w:r>
            <w:rPr>
              <w:rFonts w:ascii="Times New Roman" w:hAnsi="Times New Roman"/>
              <w:sz w:val="20"/>
              <w:szCs w:val="20"/>
            </w:rPr>
            <w:t>Version No.: 1.1</w:t>
          </w:r>
        </w:p>
      </w:tc>
      <w:tc>
        <w:tcPr>
          <w:tcW w:w="4394" w:type="dxa"/>
        </w:tcPr>
        <w:p w14:paraId="5DDDB1DA">
          <w:pPr>
            <w:pStyle w:val="28"/>
            <w:jc w:val="right"/>
            <w:rPr>
              <w:rFonts w:ascii="Times New Roman" w:hAnsi="Times New Roman" w:cs="Times New Roman" w:eastAsiaTheme="minorEastAsia"/>
              <w:sz w:val="20"/>
              <w:szCs w:val="20"/>
            </w:rPr>
          </w:pPr>
          <w:r>
            <w:rPr>
              <w:rFonts w:ascii="Times New Roman" w:hAnsi="Times New Roman"/>
              <w:sz w:val="20"/>
              <w:szCs w:val="20"/>
            </w:rPr>
            <w:t>Version Date: Jan. 26, 2024</w:t>
          </w:r>
        </w:p>
      </w:tc>
    </w:tr>
  </w:tbl>
  <w:p w14:paraId="4EF0A4EF">
    <w:pPr>
      <w:pStyle w:val="28"/>
      <w:jc w:val="left"/>
      <w:rPr>
        <w:rFonts w:eastAsiaTheme="minor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43"/>
      <w:tblW w:w="1296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48"/>
      <w:gridCol w:w="4617"/>
      <w:gridCol w:w="4097"/>
    </w:tblGrid>
    <w:tr w14:paraId="14927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5DA20F73">
          <w:pPr>
            <w:pStyle w:val="28"/>
            <w:jc w:val="left"/>
            <w:rPr>
              <w:rFonts w:ascii="Times New Roman" w:hAnsi="Times New Roman" w:cs="Times New Roman" w:eastAsiaTheme="minorEastAsia"/>
              <w:sz w:val="20"/>
              <w:szCs w:val="20"/>
            </w:rPr>
          </w:pPr>
          <w:r>
            <w:rPr>
              <w:rFonts w:ascii="Times New Roman" w:hAnsi="Times New Roman"/>
              <w:sz w:val="20"/>
              <w:szCs w:val="20"/>
            </w:rPr>
            <w:t>Protocol No.: RAY1225-23-03</w:t>
          </w:r>
        </w:p>
      </w:tc>
      <w:tc>
        <w:tcPr>
          <w:tcW w:w="4962" w:type="dxa"/>
        </w:tcPr>
        <w:p w14:paraId="2D37A3F7">
          <w:pPr>
            <w:pStyle w:val="28"/>
            <w:rPr>
              <w:rFonts w:ascii="Times New Roman" w:hAnsi="Times New Roman" w:cs="Times New Roman" w:eastAsiaTheme="minorEastAsia"/>
              <w:sz w:val="20"/>
              <w:szCs w:val="20"/>
            </w:rPr>
          </w:pPr>
          <w:r>
            <w:rPr>
              <w:rFonts w:ascii="Times New Roman" w:hAnsi="Times New Roman"/>
              <w:sz w:val="20"/>
              <w:szCs w:val="20"/>
            </w:rPr>
            <w:t>Version No.: 1.1</w:t>
          </w:r>
        </w:p>
      </w:tc>
      <w:tc>
        <w:tcPr>
          <w:tcW w:w="4394" w:type="dxa"/>
        </w:tcPr>
        <w:p w14:paraId="4A9A17DE">
          <w:pPr>
            <w:pStyle w:val="28"/>
            <w:jc w:val="right"/>
            <w:rPr>
              <w:rFonts w:ascii="Times New Roman" w:hAnsi="Times New Roman" w:cs="Times New Roman" w:eastAsiaTheme="minorEastAsia"/>
              <w:sz w:val="20"/>
              <w:szCs w:val="20"/>
            </w:rPr>
          </w:pPr>
          <w:r>
            <w:rPr>
              <w:rFonts w:ascii="Times New Roman" w:hAnsi="Times New Roman"/>
              <w:sz w:val="20"/>
              <w:szCs w:val="20"/>
            </w:rPr>
            <w:t>Version Date: Jan. 26, 2024</w:t>
          </w:r>
        </w:p>
      </w:tc>
    </w:tr>
  </w:tbl>
  <w:p w14:paraId="5106B0B2">
    <w:pPr>
      <w:pStyle w:val="28"/>
      <w:rPr>
        <w:sz w:val="20"/>
        <w:szCs w:val="2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4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88"/>
      <w:gridCol w:w="3188"/>
      <w:gridCol w:w="3189"/>
    </w:tblGrid>
    <w:tr w14:paraId="3D8E1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188" w:type="dxa"/>
        </w:tcPr>
        <w:p w14:paraId="3CCB5A50">
          <w:pPr>
            <w:pStyle w:val="28"/>
            <w:jc w:val="left"/>
            <w:rPr>
              <w:rFonts w:ascii="Times New Roman" w:hAnsi="Times New Roman" w:cs="Times New Roman" w:eastAsiaTheme="minorEastAsia"/>
              <w:sz w:val="20"/>
              <w:szCs w:val="20"/>
            </w:rPr>
          </w:pPr>
          <w:r>
            <w:rPr>
              <w:rFonts w:ascii="Times New Roman" w:hAnsi="Times New Roman"/>
              <w:sz w:val="20"/>
              <w:szCs w:val="20"/>
            </w:rPr>
            <w:t>Protocol No.: RAY1225-23-03</w:t>
          </w:r>
        </w:p>
      </w:tc>
      <w:tc>
        <w:tcPr>
          <w:tcW w:w="3188" w:type="dxa"/>
        </w:tcPr>
        <w:p w14:paraId="6054926A">
          <w:pPr>
            <w:pStyle w:val="28"/>
            <w:rPr>
              <w:rFonts w:ascii="Times New Roman" w:hAnsi="Times New Roman" w:cs="Times New Roman" w:eastAsiaTheme="minorEastAsia"/>
              <w:sz w:val="20"/>
              <w:szCs w:val="20"/>
            </w:rPr>
          </w:pPr>
          <w:r>
            <w:rPr>
              <w:rFonts w:ascii="Times New Roman" w:hAnsi="Times New Roman"/>
              <w:sz w:val="20"/>
              <w:szCs w:val="20"/>
            </w:rPr>
            <w:t>Version No.: 1.1</w:t>
          </w:r>
        </w:p>
      </w:tc>
      <w:tc>
        <w:tcPr>
          <w:tcW w:w="3189" w:type="dxa"/>
        </w:tcPr>
        <w:p w14:paraId="2781E72B">
          <w:pPr>
            <w:pStyle w:val="28"/>
            <w:jc w:val="right"/>
            <w:rPr>
              <w:rFonts w:ascii="Times New Roman" w:hAnsi="Times New Roman" w:cs="Times New Roman" w:eastAsiaTheme="minorEastAsia"/>
              <w:sz w:val="20"/>
              <w:szCs w:val="20"/>
            </w:rPr>
          </w:pPr>
          <w:r>
            <w:rPr>
              <w:rFonts w:ascii="Times New Roman" w:hAnsi="Times New Roman"/>
              <w:sz w:val="20"/>
              <w:szCs w:val="20"/>
            </w:rPr>
            <w:t>Version Date: Jan. 26, 2024</w:t>
          </w:r>
        </w:p>
      </w:tc>
    </w:tr>
  </w:tbl>
  <w:p w14:paraId="64E1E263">
    <w:pPr>
      <w:pStyle w:val="28"/>
      <w:jc w:val="left"/>
      <w:rPr>
        <w:rFonts w:eastAsiaTheme="minorEastAsia"/>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4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88"/>
      <w:gridCol w:w="3188"/>
      <w:gridCol w:w="3189"/>
    </w:tblGrid>
    <w:tr w14:paraId="7B142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188" w:type="dxa"/>
        </w:tcPr>
        <w:p w14:paraId="57B01A39">
          <w:pPr>
            <w:pStyle w:val="28"/>
            <w:jc w:val="left"/>
            <w:rPr>
              <w:rFonts w:ascii="Times New Roman" w:hAnsi="Times New Roman" w:cs="Times New Roman" w:eastAsiaTheme="minorEastAsia"/>
              <w:sz w:val="20"/>
              <w:szCs w:val="20"/>
            </w:rPr>
          </w:pPr>
          <w:r>
            <w:rPr>
              <w:rFonts w:ascii="Times New Roman" w:hAnsi="Times New Roman"/>
              <w:sz w:val="20"/>
              <w:szCs w:val="20"/>
            </w:rPr>
            <w:t>Protocol No.: RAY1225-23-03</w:t>
          </w:r>
        </w:p>
      </w:tc>
      <w:tc>
        <w:tcPr>
          <w:tcW w:w="3188" w:type="dxa"/>
        </w:tcPr>
        <w:p w14:paraId="19EAEB87">
          <w:pPr>
            <w:pStyle w:val="28"/>
            <w:rPr>
              <w:rFonts w:ascii="Times New Roman" w:hAnsi="Times New Roman" w:cs="Times New Roman" w:eastAsiaTheme="minorEastAsia"/>
              <w:sz w:val="20"/>
              <w:szCs w:val="20"/>
            </w:rPr>
          </w:pPr>
          <w:r>
            <w:rPr>
              <w:rFonts w:ascii="Times New Roman" w:hAnsi="Times New Roman"/>
              <w:sz w:val="20"/>
              <w:szCs w:val="20"/>
            </w:rPr>
            <w:t>Version No.: 1.1</w:t>
          </w:r>
        </w:p>
      </w:tc>
      <w:tc>
        <w:tcPr>
          <w:tcW w:w="3189" w:type="dxa"/>
        </w:tcPr>
        <w:p w14:paraId="645A6651">
          <w:pPr>
            <w:pStyle w:val="28"/>
            <w:jc w:val="right"/>
            <w:rPr>
              <w:rFonts w:ascii="Times New Roman" w:hAnsi="Times New Roman" w:cs="Times New Roman" w:eastAsiaTheme="minorEastAsia"/>
              <w:sz w:val="20"/>
              <w:szCs w:val="20"/>
            </w:rPr>
          </w:pPr>
          <w:r>
            <w:rPr>
              <w:rFonts w:ascii="Times New Roman" w:hAnsi="Times New Roman"/>
              <w:sz w:val="20"/>
              <w:szCs w:val="20"/>
            </w:rPr>
            <w:t>Version Date: Jan. 26, 2024</w:t>
          </w:r>
        </w:p>
      </w:tc>
    </w:tr>
  </w:tbl>
  <w:p w14:paraId="1F7063FF">
    <w:pPr>
      <w:pStyle w:val="28"/>
      <w:jc w:val="left"/>
      <w:rPr>
        <w:rFonts w:eastAsiaTheme="minor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A01ACF"/>
    <w:multiLevelType w:val="singleLevel"/>
    <w:tmpl w:val="8BA01ACF"/>
    <w:lvl w:ilvl="0" w:tentative="0">
      <w:start w:val="1"/>
      <w:numFmt w:val="decimal"/>
      <w:lvlText w:val="%1)"/>
      <w:lvlJc w:val="left"/>
      <w:pPr>
        <w:ind w:left="425" w:hanging="425"/>
      </w:pPr>
      <w:rPr>
        <w:rFonts w:hint="default"/>
      </w:rPr>
    </w:lvl>
  </w:abstractNum>
  <w:abstractNum w:abstractNumId="1">
    <w:nsid w:val="91BF2A5A"/>
    <w:multiLevelType w:val="singleLevel"/>
    <w:tmpl w:val="91BF2A5A"/>
    <w:lvl w:ilvl="0" w:tentative="0">
      <w:start w:val="1"/>
      <w:numFmt w:val="lowerLetter"/>
      <w:lvlText w:val="%1."/>
      <w:lvlJc w:val="left"/>
      <w:pPr>
        <w:ind w:left="425" w:hanging="425"/>
      </w:pPr>
      <w:rPr>
        <w:rFonts w:hint="default"/>
      </w:rPr>
    </w:lvl>
  </w:abstractNum>
  <w:abstractNum w:abstractNumId="2">
    <w:nsid w:val="DDAE7528"/>
    <w:multiLevelType w:val="singleLevel"/>
    <w:tmpl w:val="DDAE7528"/>
    <w:lvl w:ilvl="0" w:tentative="0">
      <w:start w:val="1"/>
      <w:numFmt w:val="lowerLetter"/>
      <w:lvlText w:val="%1."/>
      <w:lvlJc w:val="left"/>
      <w:pPr>
        <w:ind w:left="425" w:hanging="425"/>
      </w:pPr>
      <w:rPr>
        <w:rFonts w:hint="default"/>
      </w:rPr>
    </w:lvl>
  </w:abstractNum>
  <w:abstractNum w:abstractNumId="3">
    <w:nsid w:val="00B56080"/>
    <w:multiLevelType w:val="multilevel"/>
    <w:tmpl w:val="00B56080"/>
    <w:lvl w:ilvl="0" w:tentative="0">
      <w:start w:val="1"/>
      <w:numFmt w:val="bullet"/>
      <w:lvlText w:val="•"/>
      <w:lvlJc w:val="left"/>
      <w:pPr>
        <w:ind w:left="420" w:hanging="420"/>
      </w:pPr>
      <w:rPr>
        <w:rFonts w:hint="default" w:ascii="Courier New" w:hAnsi="Courier New"/>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059C6C9E"/>
    <w:multiLevelType w:val="multilevel"/>
    <w:tmpl w:val="059C6C9E"/>
    <w:lvl w:ilvl="0" w:tentative="0">
      <w:start w:val="1"/>
      <w:numFmt w:val="decimal"/>
      <w:lvlText w:val="%1."/>
      <w:lvlJc w:val="left"/>
      <w:pPr>
        <w:ind w:left="420" w:hanging="420"/>
      </w:pPr>
    </w:lvl>
    <w:lvl w:ilvl="1" w:tentative="0">
      <w:start w:val="1"/>
      <w:numFmt w:val="lowerLetter"/>
      <w:lvlText w:val="%2)"/>
      <w:lvlJc w:val="left"/>
      <w:pPr>
        <w:ind w:left="780" w:hanging="360"/>
      </w:pPr>
      <w:rPr>
        <w:rFonts w:hint="default"/>
      </w:rPr>
    </w:lvl>
    <w:lvl w:ilvl="2" w:tentative="0">
      <w:start w:val="1"/>
      <w:numFmt w:val="decimal"/>
      <w:lvlText w:val="%3)"/>
      <w:lvlJc w:val="left"/>
      <w:pPr>
        <w:ind w:left="1200" w:hanging="36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90C34F5"/>
    <w:multiLevelType w:val="multilevel"/>
    <w:tmpl w:val="090C34F5"/>
    <w:lvl w:ilvl="0" w:tentative="0">
      <w:start w:val="1"/>
      <w:numFmt w:val="bullet"/>
      <w:lvlText w:val=""/>
      <w:lvlJc w:val="left"/>
      <w:pPr>
        <w:ind w:left="845" w:hanging="420"/>
      </w:pPr>
      <w:rPr>
        <w:rFonts w:hint="default" w:ascii="Wingdings" w:hAnsi="Wingdings"/>
      </w:rPr>
    </w:lvl>
    <w:lvl w:ilvl="1" w:tentative="0">
      <w:start w:val="1"/>
      <w:numFmt w:val="bullet"/>
      <w:lvlText w:val=""/>
      <w:lvlJc w:val="left"/>
      <w:pPr>
        <w:ind w:left="1265" w:hanging="420"/>
      </w:pPr>
      <w:rPr>
        <w:rFonts w:hint="default" w:ascii="Wingdings" w:hAnsi="Wingdings"/>
      </w:rPr>
    </w:lvl>
    <w:lvl w:ilvl="2" w:tentative="0">
      <w:start w:val="1"/>
      <w:numFmt w:val="bullet"/>
      <w:lvlText w:val=""/>
      <w:lvlJc w:val="left"/>
      <w:pPr>
        <w:ind w:left="1685" w:hanging="420"/>
      </w:pPr>
      <w:rPr>
        <w:rFonts w:hint="default" w:ascii="Wingdings" w:hAnsi="Wingdings"/>
      </w:rPr>
    </w:lvl>
    <w:lvl w:ilvl="3" w:tentative="0">
      <w:start w:val="1"/>
      <w:numFmt w:val="bullet"/>
      <w:lvlText w:val=""/>
      <w:lvlJc w:val="left"/>
      <w:pPr>
        <w:ind w:left="2105" w:hanging="420"/>
      </w:pPr>
      <w:rPr>
        <w:rFonts w:hint="default" w:ascii="Wingdings" w:hAnsi="Wingdings"/>
      </w:rPr>
    </w:lvl>
    <w:lvl w:ilvl="4" w:tentative="0">
      <w:start w:val="1"/>
      <w:numFmt w:val="bullet"/>
      <w:lvlText w:val=""/>
      <w:lvlJc w:val="left"/>
      <w:pPr>
        <w:ind w:left="2525" w:hanging="420"/>
      </w:pPr>
      <w:rPr>
        <w:rFonts w:hint="default" w:ascii="Wingdings" w:hAnsi="Wingdings"/>
      </w:rPr>
    </w:lvl>
    <w:lvl w:ilvl="5" w:tentative="0">
      <w:start w:val="1"/>
      <w:numFmt w:val="bullet"/>
      <w:lvlText w:val=""/>
      <w:lvlJc w:val="left"/>
      <w:pPr>
        <w:ind w:left="2945" w:hanging="420"/>
      </w:pPr>
      <w:rPr>
        <w:rFonts w:hint="default" w:ascii="Wingdings" w:hAnsi="Wingdings"/>
      </w:rPr>
    </w:lvl>
    <w:lvl w:ilvl="6" w:tentative="0">
      <w:start w:val="1"/>
      <w:numFmt w:val="bullet"/>
      <w:lvlText w:val=""/>
      <w:lvlJc w:val="left"/>
      <w:pPr>
        <w:ind w:left="3365" w:hanging="420"/>
      </w:pPr>
      <w:rPr>
        <w:rFonts w:hint="default" w:ascii="Wingdings" w:hAnsi="Wingdings"/>
      </w:rPr>
    </w:lvl>
    <w:lvl w:ilvl="7" w:tentative="0">
      <w:start w:val="1"/>
      <w:numFmt w:val="bullet"/>
      <w:lvlText w:val=""/>
      <w:lvlJc w:val="left"/>
      <w:pPr>
        <w:ind w:left="3785" w:hanging="420"/>
      </w:pPr>
      <w:rPr>
        <w:rFonts w:hint="default" w:ascii="Wingdings" w:hAnsi="Wingdings"/>
      </w:rPr>
    </w:lvl>
    <w:lvl w:ilvl="8" w:tentative="0">
      <w:start w:val="1"/>
      <w:numFmt w:val="bullet"/>
      <w:lvlText w:val=""/>
      <w:lvlJc w:val="left"/>
      <w:pPr>
        <w:ind w:left="4205" w:hanging="420"/>
      </w:pPr>
      <w:rPr>
        <w:rFonts w:hint="default" w:ascii="Wingdings" w:hAnsi="Wingdings"/>
      </w:rPr>
    </w:lvl>
  </w:abstractNum>
  <w:abstractNum w:abstractNumId="6">
    <w:nsid w:val="093F5AD4"/>
    <w:multiLevelType w:val="multilevel"/>
    <w:tmpl w:val="093F5AD4"/>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C6364F1"/>
    <w:multiLevelType w:val="multilevel"/>
    <w:tmpl w:val="0C6364F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6A1DB2"/>
    <w:multiLevelType w:val="multilevel"/>
    <w:tmpl w:val="0E6A1DB2"/>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decimal"/>
      <w:lvlText w:val="%3)"/>
      <w:lvlJc w:val="left"/>
      <w:pPr>
        <w:ind w:left="42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
    <w:nsid w:val="0FD63852"/>
    <w:multiLevelType w:val="multilevel"/>
    <w:tmpl w:val="0FD63852"/>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0">
    <w:nsid w:val="10194E53"/>
    <w:multiLevelType w:val="multilevel"/>
    <w:tmpl w:val="10194E53"/>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1">
    <w:nsid w:val="122C5C04"/>
    <w:multiLevelType w:val="multilevel"/>
    <w:tmpl w:val="122C5C04"/>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3"/>
      <w:numFmt w:val="bullet"/>
      <w:lvlText w:val="□"/>
      <w:lvlJc w:val="left"/>
      <w:pPr>
        <w:ind w:left="1200" w:hanging="360"/>
      </w:pPr>
      <w:rPr>
        <w:rFonts w:hint="eastAsia" w:ascii="宋体" w:hAnsi="宋体" w:eastAsia="宋体" w:cs="Times New Roman"/>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2">
    <w:nsid w:val="126969C8"/>
    <w:multiLevelType w:val="multilevel"/>
    <w:tmpl w:val="126969C8"/>
    <w:lvl w:ilvl="0" w:tentative="0">
      <w:start w:val="1"/>
      <w:numFmt w:val="bullet"/>
      <w:lvlText w:val=""/>
      <w:lvlJc w:val="left"/>
      <w:pPr>
        <w:ind w:left="780" w:hanging="420"/>
      </w:pPr>
      <w:rPr>
        <w:rFonts w:hint="default" w:ascii="Wingdings" w:hAnsi="Wingdings"/>
      </w:rPr>
    </w:lvl>
    <w:lvl w:ilvl="1" w:tentative="0">
      <w:start w:val="1"/>
      <w:numFmt w:val="bullet"/>
      <w:lvlText w:val=""/>
      <w:lvlJc w:val="left"/>
      <w:pPr>
        <w:ind w:left="1200" w:hanging="420"/>
      </w:pPr>
      <w:rPr>
        <w:rFonts w:hint="default" w:ascii="Wingdings" w:hAnsi="Wingdings"/>
      </w:rPr>
    </w:lvl>
    <w:lvl w:ilvl="2" w:tentative="0">
      <w:start w:val="1"/>
      <w:numFmt w:val="bullet"/>
      <w:lvlText w:val=""/>
      <w:lvlJc w:val="left"/>
      <w:pPr>
        <w:ind w:left="1620" w:hanging="420"/>
      </w:pPr>
      <w:rPr>
        <w:rFonts w:hint="default" w:ascii="Wingdings" w:hAnsi="Wingdings"/>
      </w:rPr>
    </w:lvl>
    <w:lvl w:ilvl="3" w:tentative="0">
      <w:start w:val="1"/>
      <w:numFmt w:val="bullet"/>
      <w:lvlText w:val=""/>
      <w:lvlJc w:val="left"/>
      <w:pPr>
        <w:ind w:left="2040" w:hanging="420"/>
      </w:pPr>
      <w:rPr>
        <w:rFonts w:hint="default" w:ascii="Wingdings" w:hAnsi="Wingdings"/>
      </w:rPr>
    </w:lvl>
    <w:lvl w:ilvl="4" w:tentative="0">
      <w:start w:val="1"/>
      <w:numFmt w:val="bullet"/>
      <w:lvlText w:val=""/>
      <w:lvlJc w:val="left"/>
      <w:pPr>
        <w:ind w:left="2460" w:hanging="420"/>
      </w:pPr>
      <w:rPr>
        <w:rFonts w:hint="default" w:ascii="Wingdings" w:hAnsi="Wingdings"/>
      </w:rPr>
    </w:lvl>
    <w:lvl w:ilvl="5" w:tentative="0">
      <w:start w:val="1"/>
      <w:numFmt w:val="bullet"/>
      <w:lvlText w:val=""/>
      <w:lvlJc w:val="left"/>
      <w:pPr>
        <w:ind w:left="2880" w:hanging="420"/>
      </w:pPr>
      <w:rPr>
        <w:rFonts w:hint="default" w:ascii="Wingdings" w:hAnsi="Wingdings"/>
      </w:rPr>
    </w:lvl>
    <w:lvl w:ilvl="6" w:tentative="0">
      <w:start w:val="1"/>
      <w:numFmt w:val="bullet"/>
      <w:lvlText w:val=""/>
      <w:lvlJc w:val="left"/>
      <w:pPr>
        <w:ind w:left="3300" w:hanging="420"/>
      </w:pPr>
      <w:rPr>
        <w:rFonts w:hint="default" w:ascii="Wingdings" w:hAnsi="Wingdings"/>
      </w:rPr>
    </w:lvl>
    <w:lvl w:ilvl="7" w:tentative="0">
      <w:start w:val="1"/>
      <w:numFmt w:val="bullet"/>
      <w:lvlText w:val=""/>
      <w:lvlJc w:val="left"/>
      <w:pPr>
        <w:ind w:left="3720" w:hanging="420"/>
      </w:pPr>
      <w:rPr>
        <w:rFonts w:hint="default" w:ascii="Wingdings" w:hAnsi="Wingdings"/>
      </w:rPr>
    </w:lvl>
    <w:lvl w:ilvl="8" w:tentative="0">
      <w:start w:val="1"/>
      <w:numFmt w:val="bullet"/>
      <w:lvlText w:val=""/>
      <w:lvlJc w:val="left"/>
      <w:pPr>
        <w:ind w:left="4140" w:hanging="420"/>
      </w:pPr>
      <w:rPr>
        <w:rFonts w:hint="default" w:ascii="Wingdings" w:hAnsi="Wingdings"/>
      </w:rPr>
    </w:lvl>
  </w:abstractNum>
  <w:abstractNum w:abstractNumId="13">
    <w:nsid w:val="1338035C"/>
    <w:multiLevelType w:val="multilevel"/>
    <w:tmpl w:val="1338035C"/>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4">
    <w:nsid w:val="15F8775E"/>
    <w:multiLevelType w:val="multilevel"/>
    <w:tmpl w:val="15F8775E"/>
    <w:lvl w:ilvl="0" w:tentative="0">
      <w:start w:val="1"/>
      <w:numFmt w:val="lowerLetter"/>
      <w:lvlText w:val="%1)"/>
      <w:lvlJc w:val="left"/>
      <w:pPr>
        <w:ind w:left="420" w:hanging="420"/>
      </w:pPr>
    </w:lvl>
    <w:lvl w:ilvl="1" w:tentative="0">
      <w:start w:val="1"/>
      <w:numFmt w:val="lowerLetter"/>
      <w:lvlText w:val="%2)"/>
      <w:lvlJc w:val="left"/>
      <w:pPr>
        <w:ind w:left="780" w:hanging="360"/>
      </w:pPr>
      <w:rPr>
        <w:rFonts w:hint="default"/>
      </w:rPr>
    </w:lvl>
    <w:lvl w:ilvl="2" w:tentative="0">
      <w:start w:val="1"/>
      <w:numFmt w:val="decimal"/>
      <w:lvlText w:val="%3)"/>
      <w:lvlJc w:val="left"/>
      <w:pPr>
        <w:ind w:left="1200" w:hanging="36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199C2319"/>
    <w:multiLevelType w:val="multilevel"/>
    <w:tmpl w:val="199C2319"/>
    <w:lvl w:ilvl="0" w:tentative="0">
      <w:start w:val="1"/>
      <w:numFmt w:val="bullet"/>
      <w:lvlText w:val=""/>
      <w:lvlJc w:val="left"/>
      <w:pPr>
        <w:ind w:left="896" w:hanging="420"/>
      </w:pPr>
      <w:rPr>
        <w:rFonts w:hint="default" w:ascii="Wingdings" w:hAnsi="Wingdings"/>
      </w:rPr>
    </w:lvl>
    <w:lvl w:ilvl="1" w:tentative="0">
      <w:start w:val="1"/>
      <w:numFmt w:val="bullet"/>
      <w:lvlText w:val=""/>
      <w:lvlJc w:val="left"/>
      <w:pPr>
        <w:ind w:left="1316" w:hanging="420"/>
      </w:pPr>
      <w:rPr>
        <w:rFonts w:hint="default" w:ascii="Wingdings" w:hAnsi="Wingdings"/>
      </w:rPr>
    </w:lvl>
    <w:lvl w:ilvl="2" w:tentative="0">
      <w:start w:val="1"/>
      <w:numFmt w:val="bullet"/>
      <w:lvlText w:val=""/>
      <w:lvlJc w:val="left"/>
      <w:pPr>
        <w:ind w:left="1736" w:hanging="420"/>
      </w:pPr>
      <w:rPr>
        <w:rFonts w:hint="default" w:ascii="Wingdings" w:hAnsi="Wingdings"/>
      </w:rPr>
    </w:lvl>
    <w:lvl w:ilvl="3" w:tentative="0">
      <w:start w:val="1"/>
      <w:numFmt w:val="bullet"/>
      <w:lvlText w:val=""/>
      <w:lvlJc w:val="left"/>
      <w:pPr>
        <w:ind w:left="2156" w:hanging="420"/>
      </w:pPr>
      <w:rPr>
        <w:rFonts w:hint="default" w:ascii="Wingdings" w:hAnsi="Wingdings"/>
      </w:rPr>
    </w:lvl>
    <w:lvl w:ilvl="4" w:tentative="0">
      <w:start w:val="1"/>
      <w:numFmt w:val="bullet"/>
      <w:lvlText w:val=""/>
      <w:lvlJc w:val="left"/>
      <w:pPr>
        <w:ind w:left="2576" w:hanging="420"/>
      </w:pPr>
      <w:rPr>
        <w:rFonts w:hint="default" w:ascii="Wingdings" w:hAnsi="Wingdings"/>
      </w:rPr>
    </w:lvl>
    <w:lvl w:ilvl="5" w:tentative="0">
      <w:start w:val="1"/>
      <w:numFmt w:val="bullet"/>
      <w:lvlText w:val=""/>
      <w:lvlJc w:val="left"/>
      <w:pPr>
        <w:ind w:left="2996" w:hanging="420"/>
      </w:pPr>
      <w:rPr>
        <w:rFonts w:hint="default" w:ascii="Wingdings" w:hAnsi="Wingdings"/>
      </w:rPr>
    </w:lvl>
    <w:lvl w:ilvl="6" w:tentative="0">
      <w:start w:val="1"/>
      <w:numFmt w:val="bullet"/>
      <w:lvlText w:val=""/>
      <w:lvlJc w:val="left"/>
      <w:pPr>
        <w:ind w:left="3416" w:hanging="420"/>
      </w:pPr>
      <w:rPr>
        <w:rFonts w:hint="default" w:ascii="Wingdings" w:hAnsi="Wingdings"/>
      </w:rPr>
    </w:lvl>
    <w:lvl w:ilvl="7" w:tentative="0">
      <w:start w:val="1"/>
      <w:numFmt w:val="bullet"/>
      <w:lvlText w:val=""/>
      <w:lvlJc w:val="left"/>
      <w:pPr>
        <w:ind w:left="3836" w:hanging="420"/>
      </w:pPr>
      <w:rPr>
        <w:rFonts w:hint="default" w:ascii="Wingdings" w:hAnsi="Wingdings"/>
      </w:rPr>
    </w:lvl>
    <w:lvl w:ilvl="8" w:tentative="0">
      <w:start w:val="1"/>
      <w:numFmt w:val="bullet"/>
      <w:lvlText w:val=""/>
      <w:lvlJc w:val="left"/>
      <w:pPr>
        <w:ind w:left="4256" w:hanging="420"/>
      </w:pPr>
      <w:rPr>
        <w:rFonts w:hint="default" w:ascii="Wingdings" w:hAnsi="Wingdings"/>
      </w:rPr>
    </w:lvl>
  </w:abstractNum>
  <w:abstractNum w:abstractNumId="16">
    <w:nsid w:val="1A4C1E16"/>
    <w:multiLevelType w:val="multilevel"/>
    <w:tmpl w:val="1A4C1E16"/>
    <w:lvl w:ilvl="0" w:tentative="0">
      <w:start w:val="1"/>
      <w:numFmt w:val="decimal"/>
      <w:lvlText w:val="(%1)"/>
      <w:lvlJc w:val="left"/>
      <w:pPr>
        <w:ind w:left="1139" w:hanging="360"/>
      </w:pPr>
      <w:rPr>
        <w:rFonts w:hint="default"/>
      </w:rPr>
    </w:lvl>
    <w:lvl w:ilvl="1" w:tentative="0">
      <w:start w:val="1"/>
      <w:numFmt w:val="lowerLetter"/>
      <w:lvlText w:val="%2."/>
      <w:lvlJc w:val="left"/>
      <w:pPr>
        <w:ind w:left="1859" w:hanging="360"/>
      </w:pPr>
    </w:lvl>
    <w:lvl w:ilvl="2" w:tentative="0">
      <w:start w:val="1"/>
      <w:numFmt w:val="lowerRoman"/>
      <w:lvlText w:val="%3."/>
      <w:lvlJc w:val="right"/>
      <w:pPr>
        <w:ind w:left="2579" w:hanging="180"/>
      </w:pPr>
    </w:lvl>
    <w:lvl w:ilvl="3" w:tentative="0">
      <w:start w:val="1"/>
      <w:numFmt w:val="decimal"/>
      <w:lvlText w:val="%4."/>
      <w:lvlJc w:val="left"/>
      <w:pPr>
        <w:ind w:left="3299" w:hanging="360"/>
      </w:pPr>
    </w:lvl>
    <w:lvl w:ilvl="4" w:tentative="0">
      <w:start w:val="1"/>
      <w:numFmt w:val="lowerLetter"/>
      <w:lvlText w:val="%5."/>
      <w:lvlJc w:val="left"/>
      <w:pPr>
        <w:ind w:left="4019" w:hanging="360"/>
      </w:pPr>
    </w:lvl>
    <w:lvl w:ilvl="5" w:tentative="0">
      <w:start w:val="1"/>
      <w:numFmt w:val="lowerRoman"/>
      <w:lvlText w:val="%6."/>
      <w:lvlJc w:val="right"/>
      <w:pPr>
        <w:ind w:left="4739" w:hanging="180"/>
      </w:pPr>
    </w:lvl>
    <w:lvl w:ilvl="6" w:tentative="0">
      <w:start w:val="1"/>
      <w:numFmt w:val="decimal"/>
      <w:lvlText w:val="%7."/>
      <w:lvlJc w:val="left"/>
      <w:pPr>
        <w:ind w:left="5459" w:hanging="360"/>
      </w:pPr>
    </w:lvl>
    <w:lvl w:ilvl="7" w:tentative="0">
      <w:start w:val="1"/>
      <w:numFmt w:val="lowerLetter"/>
      <w:lvlText w:val="%8."/>
      <w:lvlJc w:val="left"/>
      <w:pPr>
        <w:ind w:left="6179" w:hanging="360"/>
      </w:pPr>
    </w:lvl>
    <w:lvl w:ilvl="8" w:tentative="0">
      <w:start w:val="1"/>
      <w:numFmt w:val="lowerRoman"/>
      <w:lvlText w:val="%9."/>
      <w:lvlJc w:val="right"/>
      <w:pPr>
        <w:ind w:left="6899" w:hanging="180"/>
      </w:pPr>
    </w:lvl>
  </w:abstractNum>
  <w:abstractNum w:abstractNumId="17">
    <w:nsid w:val="1C7F11E0"/>
    <w:multiLevelType w:val="singleLevel"/>
    <w:tmpl w:val="1C7F11E0"/>
    <w:lvl w:ilvl="0" w:tentative="0">
      <w:start w:val="1"/>
      <w:numFmt w:val="lowerLetter"/>
      <w:lvlText w:val="%1."/>
      <w:lvlJc w:val="left"/>
      <w:pPr>
        <w:ind w:left="425" w:hanging="425"/>
      </w:pPr>
      <w:rPr>
        <w:rFonts w:hint="default"/>
      </w:rPr>
    </w:lvl>
  </w:abstractNum>
  <w:abstractNum w:abstractNumId="18">
    <w:nsid w:val="1E4039B7"/>
    <w:multiLevelType w:val="multilevel"/>
    <w:tmpl w:val="1E4039B7"/>
    <w:lvl w:ilvl="0" w:tentative="0">
      <w:start w:val="1"/>
      <w:numFmt w:val="decimal"/>
      <w:lvlText w:val="(%1)"/>
      <w:lvlJc w:val="left"/>
      <w:pPr>
        <w:ind w:left="661" w:hanging="420"/>
      </w:pPr>
      <w:rPr>
        <w:rFonts w:hint="default"/>
      </w:rPr>
    </w:lvl>
    <w:lvl w:ilvl="1" w:tentative="0">
      <w:start w:val="1"/>
      <w:numFmt w:val="lowerLetter"/>
      <w:lvlText w:val="%2)"/>
      <w:lvlJc w:val="left"/>
      <w:pPr>
        <w:ind w:left="1081" w:hanging="420"/>
      </w:pPr>
    </w:lvl>
    <w:lvl w:ilvl="2" w:tentative="0">
      <w:start w:val="1"/>
      <w:numFmt w:val="lowerRoman"/>
      <w:lvlText w:val="%3."/>
      <w:lvlJc w:val="right"/>
      <w:pPr>
        <w:ind w:left="1501" w:hanging="420"/>
      </w:pPr>
    </w:lvl>
    <w:lvl w:ilvl="3" w:tentative="0">
      <w:start w:val="1"/>
      <w:numFmt w:val="decimal"/>
      <w:lvlText w:val="%4."/>
      <w:lvlJc w:val="left"/>
      <w:pPr>
        <w:ind w:left="1921" w:hanging="420"/>
      </w:pPr>
    </w:lvl>
    <w:lvl w:ilvl="4" w:tentative="0">
      <w:start w:val="1"/>
      <w:numFmt w:val="lowerLetter"/>
      <w:lvlText w:val="%5)"/>
      <w:lvlJc w:val="left"/>
      <w:pPr>
        <w:ind w:left="2341" w:hanging="420"/>
      </w:pPr>
    </w:lvl>
    <w:lvl w:ilvl="5" w:tentative="0">
      <w:start w:val="1"/>
      <w:numFmt w:val="lowerRoman"/>
      <w:lvlText w:val="%6."/>
      <w:lvlJc w:val="right"/>
      <w:pPr>
        <w:ind w:left="2761" w:hanging="420"/>
      </w:pPr>
    </w:lvl>
    <w:lvl w:ilvl="6" w:tentative="0">
      <w:start w:val="1"/>
      <w:numFmt w:val="decimal"/>
      <w:lvlText w:val="%7."/>
      <w:lvlJc w:val="left"/>
      <w:pPr>
        <w:ind w:left="3181" w:hanging="420"/>
      </w:pPr>
    </w:lvl>
    <w:lvl w:ilvl="7" w:tentative="0">
      <w:start w:val="1"/>
      <w:numFmt w:val="lowerLetter"/>
      <w:lvlText w:val="%8)"/>
      <w:lvlJc w:val="left"/>
      <w:pPr>
        <w:ind w:left="3601" w:hanging="420"/>
      </w:pPr>
    </w:lvl>
    <w:lvl w:ilvl="8" w:tentative="0">
      <w:start w:val="1"/>
      <w:numFmt w:val="lowerRoman"/>
      <w:lvlText w:val="%9."/>
      <w:lvlJc w:val="right"/>
      <w:pPr>
        <w:ind w:left="4021" w:hanging="420"/>
      </w:pPr>
    </w:lvl>
  </w:abstractNum>
  <w:abstractNum w:abstractNumId="19">
    <w:nsid w:val="21101A70"/>
    <w:multiLevelType w:val="multilevel"/>
    <w:tmpl w:val="21101A70"/>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0">
    <w:nsid w:val="25A267D8"/>
    <w:multiLevelType w:val="multilevel"/>
    <w:tmpl w:val="25A267D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29DE55C9"/>
    <w:multiLevelType w:val="multilevel"/>
    <w:tmpl w:val="29DE55C9"/>
    <w:lvl w:ilvl="0" w:tentative="0">
      <w:start w:val="1"/>
      <w:numFmt w:val="decimal"/>
      <w:lvlText w:val="%1)"/>
      <w:lvlJc w:val="left"/>
      <w:pPr>
        <w:ind w:left="420" w:hanging="420"/>
      </w:pPr>
    </w:lvl>
    <w:lvl w:ilvl="1" w:tentative="0">
      <w:start w:val="1"/>
      <w:numFmt w:val="decimal"/>
      <w:lvlText w:val="(%2)"/>
      <w:lvlJc w:val="left"/>
      <w:pPr>
        <w:ind w:left="765" w:hanging="345"/>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2A855900"/>
    <w:multiLevelType w:val="multilevel"/>
    <w:tmpl w:val="2A85590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2BBE0451"/>
    <w:multiLevelType w:val="singleLevel"/>
    <w:tmpl w:val="2BBE0451"/>
    <w:lvl w:ilvl="0" w:tentative="0">
      <w:start w:val="1"/>
      <w:numFmt w:val="lowerLetter"/>
      <w:lvlText w:val="%1."/>
      <w:lvlJc w:val="left"/>
      <w:pPr>
        <w:ind w:left="425" w:hanging="425"/>
      </w:pPr>
      <w:rPr>
        <w:rFonts w:hint="default"/>
      </w:rPr>
    </w:lvl>
  </w:abstractNum>
  <w:abstractNum w:abstractNumId="24">
    <w:nsid w:val="2CFE436D"/>
    <w:multiLevelType w:val="multilevel"/>
    <w:tmpl w:val="2CFE436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2D2342B3"/>
    <w:multiLevelType w:val="multilevel"/>
    <w:tmpl w:val="2D2342B3"/>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32337FE6"/>
    <w:multiLevelType w:val="multilevel"/>
    <w:tmpl w:val="32337FE6"/>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3311607D"/>
    <w:multiLevelType w:val="multilevel"/>
    <w:tmpl w:val="3311607D"/>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8">
    <w:nsid w:val="3436436C"/>
    <w:multiLevelType w:val="multilevel"/>
    <w:tmpl w:val="3436436C"/>
    <w:lvl w:ilvl="0" w:tentative="0">
      <w:start w:val="1"/>
      <w:numFmt w:val="decimal"/>
      <w:lvlText w:val="%1)"/>
      <w:lvlJc w:val="left"/>
      <w:pPr>
        <w:tabs>
          <w:tab w:val="left" w:pos="840"/>
        </w:tabs>
        <w:ind w:left="840" w:hanging="420"/>
      </w:pPr>
      <w:rPr>
        <w:rFonts w:hint="default" w:ascii="Times New Roman" w:hAnsi="Times New Roman" w:eastAsia="宋体" w:cs="Times New Roman"/>
        <w:b w:val="0"/>
        <w:caps w:val="0"/>
        <w:smallCaps w:val="0"/>
        <w:strike w:val="0"/>
        <w:dstrike w:val="0"/>
        <w:color w:val="000000"/>
        <w:spacing w:val="0"/>
        <w:kern w:val="2"/>
        <w:position w:val="0"/>
        <w:sz w:val="24"/>
        <w:szCs w:val="24"/>
        <w:u w:val="none" w:color="000000"/>
        <w:vertAlign w:val="baseline"/>
        <w:lang w:val="en-US" w:eastAsia="zh-TW"/>
      </w:rPr>
    </w:lvl>
    <w:lvl w:ilvl="1" w:tentative="0">
      <w:start w:val="1"/>
      <w:numFmt w:val="decimal"/>
      <w:lvlText w:val="[%2]"/>
      <w:lvlJc w:val="left"/>
      <w:pPr>
        <w:ind w:left="1200" w:hanging="360"/>
      </w:pPr>
      <w:rPr>
        <w:rFonts w:hint="default"/>
      </w:rPr>
    </w:lvl>
    <w:lvl w:ilvl="2" w:tentative="0">
      <w:start w:val="1"/>
      <w:numFmt w:val="lowerRoman"/>
      <w:lvlText w:val="%3."/>
      <w:lvlJc w:val="left"/>
      <w:pPr>
        <w:tabs>
          <w:tab w:val="left" w:pos="1613"/>
        </w:tabs>
        <w:ind w:left="1613" w:hanging="469"/>
      </w:pPr>
      <w:rPr>
        <w:rFonts w:ascii="宋体" w:hAnsi="宋体" w:eastAsia="宋体" w:cs="宋体"/>
        <w:caps w:val="0"/>
        <w:smallCaps w:val="0"/>
        <w:strike w:val="0"/>
        <w:dstrike w:val="0"/>
        <w:color w:val="000000"/>
        <w:spacing w:val="0"/>
        <w:kern w:val="2"/>
        <w:position w:val="0"/>
        <w:sz w:val="21"/>
        <w:szCs w:val="21"/>
        <w:u w:val="none" w:color="000000"/>
        <w:vertAlign w:val="baseline"/>
        <w:lang w:val="zh-TW" w:eastAsia="zh-TW"/>
      </w:rPr>
    </w:lvl>
    <w:lvl w:ilvl="3" w:tentative="0">
      <w:start w:val="1"/>
      <w:numFmt w:val="decimal"/>
      <w:lvlText w:val="%4."/>
      <w:lvlJc w:val="left"/>
      <w:pPr>
        <w:tabs>
          <w:tab w:val="left" w:pos="2048"/>
        </w:tabs>
        <w:ind w:left="2048" w:hanging="368"/>
      </w:pPr>
      <w:rPr>
        <w:rFonts w:ascii="宋体" w:hAnsi="宋体" w:eastAsia="宋体" w:cs="宋体"/>
        <w:caps w:val="0"/>
        <w:smallCaps w:val="0"/>
        <w:strike w:val="0"/>
        <w:dstrike w:val="0"/>
        <w:color w:val="000000"/>
        <w:spacing w:val="0"/>
        <w:kern w:val="2"/>
        <w:position w:val="0"/>
        <w:sz w:val="21"/>
        <w:szCs w:val="21"/>
        <w:u w:val="none" w:color="000000"/>
        <w:vertAlign w:val="baseline"/>
        <w:lang w:val="zh-TW" w:eastAsia="zh-TW"/>
      </w:rPr>
    </w:lvl>
    <w:lvl w:ilvl="4" w:tentative="0">
      <w:start w:val="1"/>
      <w:numFmt w:val="lowerLetter"/>
      <w:lvlText w:val="%5)"/>
      <w:lvlJc w:val="left"/>
      <w:pPr>
        <w:tabs>
          <w:tab w:val="left" w:pos="2468"/>
        </w:tabs>
        <w:ind w:left="2468" w:hanging="368"/>
      </w:pPr>
      <w:rPr>
        <w:rFonts w:ascii="宋体" w:hAnsi="宋体" w:eastAsia="宋体" w:cs="宋体"/>
        <w:caps w:val="0"/>
        <w:smallCaps w:val="0"/>
        <w:strike w:val="0"/>
        <w:dstrike w:val="0"/>
        <w:color w:val="000000"/>
        <w:spacing w:val="0"/>
        <w:kern w:val="2"/>
        <w:position w:val="0"/>
        <w:sz w:val="21"/>
        <w:szCs w:val="21"/>
        <w:u w:val="none" w:color="000000"/>
        <w:vertAlign w:val="baseline"/>
        <w:lang w:val="zh-TW" w:eastAsia="zh-TW"/>
      </w:rPr>
    </w:lvl>
    <w:lvl w:ilvl="5" w:tentative="0">
      <w:start w:val="1"/>
      <w:numFmt w:val="lowerRoman"/>
      <w:lvlText w:val="%6."/>
      <w:lvlJc w:val="left"/>
      <w:pPr>
        <w:tabs>
          <w:tab w:val="left" w:pos="2873"/>
        </w:tabs>
        <w:ind w:left="2873" w:hanging="469"/>
      </w:pPr>
      <w:rPr>
        <w:rFonts w:ascii="宋体" w:hAnsi="宋体" w:eastAsia="宋体" w:cs="宋体"/>
        <w:caps w:val="0"/>
        <w:smallCaps w:val="0"/>
        <w:strike w:val="0"/>
        <w:dstrike w:val="0"/>
        <w:color w:val="000000"/>
        <w:spacing w:val="0"/>
        <w:kern w:val="2"/>
        <w:position w:val="0"/>
        <w:sz w:val="21"/>
        <w:szCs w:val="21"/>
        <w:u w:val="none" w:color="000000"/>
        <w:vertAlign w:val="baseline"/>
        <w:lang w:val="zh-TW" w:eastAsia="zh-TW"/>
      </w:rPr>
    </w:lvl>
    <w:lvl w:ilvl="6" w:tentative="0">
      <w:start w:val="1"/>
      <w:numFmt w:val="decimal"/>
      <w:lvlText w:val="%7."/>
      <w:lvlJc w:val="left"/>
      <w:pPr>
        <w:tabs>
          <w:tab w:val="left" w:pos="3308"/>
        </w:tabs>
        <w:ind w:left="3308" w:hanging="368"/>
      </w:pPr>
      <w:rPr>
        <w:rFonts w:ascii="宋体" w:hAnsi="宋体" w:eastAsia="宋体" w:cs="宋体"/>
        <w:caps w:val="0"/>
        <w:smallCaps w:val="0"/>
        <w:strike w:val="0"/>
        <w:dstrike w:val="0"/>
        <w:color w:val="000000"/>
        <w:spacing w:val="0"/>
        <w:kern w:val="2"/>
        <w:position w:val="0"/>
        <w:sz w:val="21"/>
        <w:szCs w:val="21"/>
        <w:u w:val="none" w:color="000000"/>
        <w:vertAlign w:val="baseline"/>
        <w:lang w:val="zh-TW" w:eastAsia="zh-TW"/>
      </w:rPr>
    </w:lvl>
    <w:lvl w:ilvl="7" w:tentative="0">
      <w:start w:val="1"/>
      <w:numFmt w:val="lowerLetter"/>
      <w:lvlText w:val="%8)"/>
      <w:lvlJc w:val="left"/>
      <w:pPr>
        <w:tabs>
          <w:tab w:val="left" w:pos="3728"/>
        </w:tabs>
        <w:ind w:left="3728" w:hanging="368"/>
      </w:pPr>
      <w:rPr>
        <w:rFonts w:ascii="宋体" w:hAnsi="宋体" w:eastAsia="宋体" w:cs="宋体"/>
        <w:caps w:val="0"/>
        <w:smallCaps w:val="0"/>
        <w:strike w:val="0"/>
        <w:dstrike w:val="0"/>
        <w:color w:val="000000"/>
        <w:spacing w:val="0"/>
        <w:kern w:val="2"/>
        <w:position w:val="0"/>
        <w:sz w:val="21"/>
        <w:szCs w:val="21"/>
        <w:u w:val="none" w:color="000000"/>
        <w:vertAlign w:val="baseline"/>
        <w:lang w:val="zh-TW" w:eastAsia="zh-TW"/>
      </w:rPr>
    </w:lvl>
    <w:lvl w:ilvl="8" w:tentative="0">
      <w:start w:val="1"/>
      <w:numFmt w:val="lowerRoman"/>
      <w:lvlText w:val="%9."/>
      <w:lvlJc w:val="left"/>
      <w:pPr>
        <w:tabs>
          <w:tab w:val="left" w:pos="4133"/>
        </w:tabs>
        <w:ind w:left="4133" w:hanging="469"/>
      </w:pPr>
      <w:rPr>
        <w:rFonts w:ascii="宋体" w:hAnsi="宋体" w:eastAsia="宋体" w:cs="宋体"/>
        <w:caps w:val="0"/>
        <w:smallCaps w:val="0"/>
        <w:strike w:val="0"/>
        <w:dstrike w:val="0"/>
        <w:color w:val="000000"/>
        <w:spacing w:val="0"/>
        <w:kern w:val="2"/>
        <w:position w:val="0"/>
        <w:sz w:val="21"/>
        <w:szCs w:val="21"/>
        <w:u w:val="none" w:color="000000"/>
        <w:vertAlign w:val="baseline"/>
        <w:lang w:val="zh-TW" w:eastAsia="zh-TW"/>
      </w:rPr>
    </w:lvl>
  </w:abstractNum>
  <w:abstractNum w:abstractNumId="29">
    <w:nsid w:val="362744F8"/>
    <w:multiLevelType w:val="multilevel"/>
    <w:tmpl w:val="362744F8"/>
    <w:lvl w:ilvl="0" w:tentative="0">
      <w:start w:val="1"/>
      <w:numFmt w:val="bullet"/>
      <w:lvlText w:val=""/>
      <w:lvlJc w:val="left"/>
      <w:pPr>
        <w:ind w:left="852" w:hanging="420"/>
      </w:pPr>
      <w:rPr>
        <w:rFonts w:hint="default" w:ascii="Wingdings" w:hAnsi="Wingdings"/>
      </w:rPr>
    </w:lvl>
    <w:lvl w:ilvl="1" w:tentative="0">
      <w:start w:val="1"/>
      <w:numFmt w:val="bullet"/>
      <w:lvlText w:val=""/>
      <w:lvlJc w:val="left"/>
      <w:pPr>
        <w:ind w:left="1272" w:hanging="420"/>
      </w:pPr>
      <w:rPr>
        <w:rFonts w:hint="default" w:ascii="Wingdings" w:hAnsi="Wingdings"/>
      </w:rPr>
    </w:lvl>
    <w:lvl w:ilvl="2" w:tentative="0">
      <w:start w:val="1"/>
      <w:numFmt w:val="bullet"/>
      <w:lvlText w:val=""/>
      <w:lvlJc w:val="left"/>
      <w:pPr>
        <w:ind w:left="1692" w:hanging="420"/>
      </w:pPr>
      <w:rPr>
        <w:rFonts w:hint="default" w:ascii="Wingdings" w:hAnsi="Wingdings"/>
      </w:rPr>
    </w:lvl>
    <w:lvl w:ilvl="3" w:tentative="0">
      <w:start w:val="1"/>
      <w:numFmt w:val="bullet"/>
      <w:lvlText w:val=""/>
      <w:lvlJc w:val="left"/>
      <w:pPr>
        <w:ind w:left="2112" w:hanging="420"/>
      </w:pPr>
      <w:rPr>
        <w:rFonts w:hint="default" w:ascii="Wingdings" w:hAnsi="Wingdings"/>
      </w:rPr>
    </w:lvl>
    <w:lvl w:ilvl="4" w:tentative="0">
      <w:start w:val="1"/>
      <w:numFmt w:val="bullet"/>
      <w:lvlText w:val=""/>
      <w:lvlJc w:val="left"/>
      <w:pPr>
        <w:ind w:left="2532" w:hanging="420"/>
      </w:pPr>
      <w:rPr>
        <w:rFonts w:hint="default" w:ascii="Wingdings" w:hAnsi="Wingdings"/>
      </w:rPr>
    </w:lvl>
    <w:lvl w:ilvl="5" w:tentative="0">
      <w:start w:val="1"/>
      <w:numFmt w:val="bullet"/>
      <w:lvlText w:val=""/>
      <w:lvlJc w:val="left"/>
      <w:pPr>
        <w:ind w:left="2952" w:hanging="420"/>
      </w:pPr>
      <w:rPr>
        <w:rFonts w:hint="default" w:ascii="Wingdings" w:hAnsi="Wingdings"/>
      </w:rPr>
    </w:lvl>
    <w:lvl w:ilvl="6" w:tentative="0">
      <w:start w:val="1"/>
      <w:numFmt w:val="bullet"/>
      <w:lvlText w:val=""/>
      <w:lvlJc w:val="left"/>
      <w:pPr>
        <w:ind w:left="3372" w:hanging="420"/>
      </w:pPr>
      <w:rPr>
        <w:rFonts w:hint="default" w:ascii="Wingdings" w:hAnsi="Wingdings"/>
      </w:rPr>
    </w:lvl>
    <w:lvl w:ilvl="7" w:tentative="0">
      <w:start w:val="1"/>
      <w:numFmt w:val="bullet"/>
      <w:lvlText w:val=""/>
      <w:lvlJc w:val="left"/>
      <w:pPr>
        <w:ind w:left="3792" w:hanging="420"/>
      </w:pPr>
      <w:rPr>
        <w:rFonts w:hint="default" w:ascii="Wingdings" w:hAnsi="Wingdings"/>
      </w:rPr>
    </w:lvl>
    <w:lvl w:ilvl="8" w:tentative="0">
      <w:start w:val="1"/>
      <w:numFmt w:val="bullet"/>
      <w:lvlText w:val=""/>
      <w:lvlJc w:val="left"/>
      <w:pPr>
        <w:ind w:left="4212" w:hanging="420"/>
      </w:pPr>
      <w:rPr>
        <w:rFonts w:hint="default" w:ascii="Wingdings" w:hAnsi="Wingdings"/>
      </w:rPr>
    </w:lvl>
  </w:abstractNum>
  <w:abstractNum w:abstractNumId="30">
    <w:nsid w:val="39622FCF"/>
    <w:multiLevelType w:val="multilevel"/>
    <w:tmpl w:val="39622FCF"/>
    <w:lvl w:ilvl="0" w:tentative="0">
      <w:start w:val="3"/>
      <w:numFmt w:val="decimal"/>
      <w:lvlText w:val="%1"/>
      <w:lvlJc w:val="left"/>
      <w:pPr>
        <w:ind w:left="432" w:hanging="432"/>
      </w:pPr>
      <w:rPr>
        <w:rFonts w:hint="eastAsia"/>
      </w:rPr>
    </w:lvl>
    <w:lvl w:ilvl="1" w:tentative="0">
      <w:start w:val="1"/>
      <w:numFmt w:val="decimal"/>
      <w:lvlText w:val="%1.%2"/>
      <w:lvlJc w:val="left"/>
      <w:pPr>
        <w:ind w:left="576" w:hanging="576"/>
      </w:pPr>
      <w:rPr>
        <w:rFonts w:hint="eastAsia"/>
      </w:rPr>
    </w:lvl>
    <w:lvl w:ilvl="2" w:tentative="0">
      <w:start w:val="2"/>
      <w:numFmt w:val="decimal"/>
      <w:lvlText w:val="%1.%2.%3"/>
      <w:lvlJc w:val="left"/>
      <w:pPr>
        <w:ind w:left="720" w:hanging="720"/>
      </w:pPr>
      <w:rPr>
        <w:rFonts w:hint="eastAsia"/>
      </w:rPr>
    </w:lvl>
    <w:lvl w:ilvl="3" w:tentative="0">
      <w:start w:val="1"/>
      <w:numFmt w:val="decimal"/>
      <w:lvlText w:val="%1.%2.%3.%4"/>
      <w:lvlJc w:val="left"/>
      <w:pPr>
        <w:ind w:left="397" w:hanging="397"/>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31">
    <w:nsid w:val="3C0C61C0"/>
    <w:multiLevelType w:val="multilevel"/>
    <w:tmpl w:val="3C0C61C0"/>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32">
    <w:nsid w:val="40041DD8"/>
    <w:multiLevelType w:val="multilevel"/>
    <w:tmpl w:val="40041DD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decimal"/>
      <w:lvlText w:val="%3)"/>
      <w:lvlJc w:val="left"/>
      <w:pPr>
        <w:ind w:left="42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3">
    <w:nsid w:val="40A52B08"/>
    <w:multiLevelType w:val="multilevel"/>
    <w:tmpl w:val="40A52B08"/>
    <w:lvl w:ilvl="0" w:tentative="0">
      <w:start w:val="1"/>
      <w:numFmt w:val="decimal"/>
      <w:lvlText w:val="%1)"/>
      <w:lvlJc w:val="left"/>
      <w:pPr>
        <w:ind w:left="420" w:hanging="420"/>
      </w:pPr>
    </w:lvl>
    <w:lvl w:ilvl="1" w:tentative="0">
      <w:start w:val="1"/>
      <w:numFmt w:val="decimal"/>
      <w:lvlText w:val="%2)"/>
      <w:lvlJc w:val="left"/>
      <w:pPr>
        <w:ind w:left="780" w:hanging="360"/>
      </w:pPr>
      <w:rPr>
        <w:rFonts w:hint="default" w:hAnsi="宋体"/>
      </w:rPr>
    </w:lvl>
    <w:lvl w:ilvl="2" w:tentative="0">
      <w:start w:val="1"/>
      <w:numFmt w:val="decimal"/>
      <w:lvlText w:val="%3)"/>
      <w:lvlJc w:val="left"/>
      <w:pPr>
        <w:ind w:left="1260" w:hanging="420"/>
      </w:pPr>
      <w:rPr>
        <w:b w:val="0"/>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4">
    <w:nsid w:val="453B1902"/>
    <w:multiLevelType w:val="multilevel"/>
    <w:tmpl w:val="453B1902"/>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35">
    <w:nsid w:val="462EACDF"/>
    <w:multiLevelType w:val="singleLevel"/>
    <w:tmpl w:val="462EACDF"/>
    <w:lvl w:ilvl="0" w:tentative="0">
      <w:start w:val="1"/>
      <w:numFmt w:val="lowerLetter"/>
      <w:lvlText w:val="%1."/>
      <w:lvlJc w:val="left"/>
      <w:pPr>
        <w:ind w:left="425" w:hanging="425"/>
      </w:pPr>
      <w:rPr>
        <w:rFonts w:hint="default"/>
      </w:rPr>
    </w:lvl>
  </w:abstractNum>
  <w:abstractNum w:abstractNumId="36">
    <w:nsid w:val="47A536D8"/>
    <w:multiLevelType w:val="multilevel"/>
    <w:tmpl w:val="47A536D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7">
    <w:nsid w:val="4F2C174F"/>
    <w:multiLevelType w:val="multilevel"/>
    <w:tmpl w:val="4F2C174F"/>
    <w:lvl w:ilvl="0" w:tentative="0">
      <w:start w:val="1"/>
      <w:numFmt w:val="lowerLetter"/>
      <w:lvlText w:val="%1)"/>
      <w:lvlJc w:val="left"/>
      <w:pPr>
        <w:ind w:left="420" w:hanging="420"/>
      </w:pPr>
    </w:lvl>
    <w:lvl w:ilvl="1" w:tentative="0">
      <w:start w:val="1"/>
      <w:numFmt w:val="decimal"/>
      <w:lvlText w:val="(%2)"/>
      <w:lvlJc w:val="left"/>
      <w:pPr>
        <w:ind w:left="765" w:hanging="345"/>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8">
    <w:nsid w:val="534E0BF1"/>
    <w:multiLevelType w:val="multilevel"/>
    <w:tmpl w:val="534E0BF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decimal"/>
      <w:lvlText w:val="%3)"/>
      <w:lvlJc w:val="left"/>
      <w:pPr>
        <w:ind w:left="1260" w:hanging="42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9">
    <w:nsid w:val="59D177C9"/>
    <w:multiLevelType w:val="multilevel"/>
    <w:tmpl w:val="59D177C9"/>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0">
    <w:nsid w:val="5A135A01"/>
    <w:multiLevelType w:val="multilevel"/>
    <w:tmpl w:val="5A135A01"/>
    <w:lvl w:ilvl="0" w:tentative="0">
      <w:start w:val="1"/>
      <w:numFmt w:val="decimal"/>
      <w:lvlText w:val="%1)"/>
      <w:lvlJc w:val="left"/>
      <w:pPr>
        <w:ind w:left="900" w:hanging="420"/>
      </w:pPr>
      <w:rPr>
        <w:rFonts w:hint="default"/>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1">
    <w:nsid w:val="5B6C7A19"/>
    <w:multiLevelType w:val="multilevel"/>
    <w:tmpl w:val="5B6C7A19"/>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2">
    <w:nsid w:val="5C295890"/>
    <w:multiLevelType w:val="multilevel"/>
    <w:tmpl w:val="5C29589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3">
    <w:nsid w:val="5C39449B"/>
    <w:multiLevelType w:val="multilevel"/>
    <w:tmpl w:val="5C39449B"/>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4">
    <w:nsid w:val="5F1A2756"/>
    <w:multiLevelType w:val="multilevel"/>
    <w:tmpl w:val="5F1A275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5">
    <w:nsid w:val="62FA4D34"/>
    <w:multiLevelType w:val="multilevel"/>
    <w:tmpl w:val="62FA4D34"/>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6">
    <w:nsid w:val="637660B5"/>
    <w:multiLevelType w:val="multilevel"/>
    <w:tmpl w:val="637660B5"/>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7">
    <w:nsid w:val="63C257F8"/>
    <w:multiLevelType w:val="multilevel"/>
    <w:tmpl w:val="63C257F8"/>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8">
    <w:nsid w:val="67FB5D98"/>
    <w:multiLevelType w:val="multilevel"/>
    <w:tmpl w:val="67FB5D98"/>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9">
    <w:nsid w:val="67FE572A"/>
    <w:multiLevelType w:val="multilevel"/>
    <w:tmpl w:val="67FE572A"/>
    <w:lvl w:ilvl="0" w:tentative="0">
      <w:start w:val="1"/>
      <w:numFmt w:val="decimal"/>
      <w:lvlText w:val="[%1]"/>
      <w:lvlJc w:val="left"/>
      <w:pPr>
        <w:ind w:left="420" w:hanging="420"/>
      </w:pPr>
      <w:rPr>
        <w:rFonts w:hint="eastAsia"/>
        <w:vertAlign w:val="baseline"/>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0">
    <w:nsid w:val="6813743E"/>
    <w:multiLevelType w:val="multilevel"/>
    <w:tmpl w:val="6813743E"/>
    <w:lvl w:ilvl="0" w:tentative="0">
      <w:start w:val="1"/>
      <w:numFmt w:val="decimal"/>
      <w:pStyle w:val="3"/>
      <w:lvlText w:val="%1"/>
      <w:lvlJc w:val="left"/>
      <w:pPr>
        <w:ind w:left="432" w:hanging="432"/>
      </w:pPr>
    </w:lvl>
    <w:lvl w:ilvl="1" w:tentative="0">
      <w:start w:val="1"/>
      <w:numFmt w:val="decimal"/>
      <w:pStyle w:val="5"/>
      <w:lvlText w:val="%1.%2"/>
      <w:lvlJc w:val="left"/>
      <w:pPr>
        <w:ind w:left="576" w:hanging="576"/>
      </w:pPr>
      <w:rPr>
        <w:b/>
        <w:sz w:val="24"/>
        <w:szCs w:val="22"/>
      </w:rPr>
    </w:lvl>
    <w:lvl w:ilvl="2" w:tentative="0">
      <w:start w:val="1"/>
      <w:numFmt w:val="decimal"/>
      <w:pStyle w:val="6"/>
      <w:lvlText w:val="%1.%2.%3"/>
      <w:lvlJc w:val="left"/>
      <w:pPr>
        <w:ind w:left="720" w:hanging="720"/>
      </w:pPr>
      <w:rPr>
        <w:b/>
        <w:bCs/>
      </w:rPr>
    </w:lvl>
    <w:lvl w:ilvl="3" w:tentative="0">
      <w:start w:val="1"/>
      <w:numFmt w:val="decimal"/>
      <w:pStyle w:val="7"/>
      <w:lvlText w:val="%1.%2.%3.%4"/>
      <w:lvlJc w:val="left"/>
      <w:pPr>
        <w:ind w:left="864" w:hanging="864"/>
      </w:pPr>
    </w:lvl>
    <w:lvl w:ilvl="4" w:tentative="0">
      <w:start w:val="1"/>
      <w:numFmt w:val="decimal"/>
      <w:pStyle w:val="8"/>
      <w:lvlText w:val="%1.%2.%3.%4.%5"/>
      <w:lvlJc w:val="left"/>
      <w:pPr>
        <w:ind w:left="1008" w:hanging="1008"/>
      </w:pPr>
    </w:lvl>
    <w:lvl w:ilvl="5" w:tentative="0">
      <w:start w:val="1"/>
      <w:numFmt w:val="decimal"/>
      <w:pStyle w:val="9"/>
      <w:lvlText w:val="%1.%2.%3.%4.%5.%6"/>
      <w:lvlJc w:val="left"/>
      <w:pPr>
        <w:ind w:left="1152" w:hanging="1152"/>
      </w:pPr>
    </w:lvl>
    <w:lvl w:ilvl="6" w:tentative="0">
      <w:start w:val="1"/>
      <w:numFmt w:val="decimal"/>
      <w:pStyle w:val="10"/>
      <w:lvlText w:val="%1.%2.%3.%4.%5.%6.%7"/>
      <w:lvlJc w:val="left"/>
      <w:pPr>
        <w:ind w:left="1296" w:hanging="1296"/>
      </w:pPr>
    </w:lvl>
    <w:lvl w:ilvl="7" w:tentative="0">
      <w:start w:val="1"/>
      <w:numFmt w:val="decimal"/>
      <w:pStyle w:val="11"/>
      <w:lvlText w:val="%1.%2.%3.%4.%5.%6.%7.%8"/>
      <w:lvlJc w:val="left"/>
      <w:pPr>
        <w:ind w:left="1440" w:hanging="1440"/>
      </w:pPr>
    </w:lvl>
    <w:lvl w:ilvl="8" w:tentative="0">
      <w:start w:val="1"/>
      <w:numFmt w:val="decimal"/>
      <w:pStyle w:val="12"/>
      <w:lvlText w:val="%1.%2.%3.%4.%5.%6.%7.%8.%9"/>
      <w:lvlJc w:val="left"/>
      <w:pPr>
        <w:ind w:left="1584" w:hanging="1584"/>
      </w:pPr>
    </w:lvl>
  </w:abstractNum>
  <w:abstractNum w:abstractNumId="51">
    <w:nsid w:val="6924F8D6"/>
    <w:multiLevelType w:val="singleLevel"/>
    <w:tmpl w:val="6924F8D6"/>
    <w:lvl w:ilvl="0" w:tentative="0">
      <w:start w:val="1"/>
      <w:numFmt w:val="bullet"/>
      <w:lvlText w:val=""/>
      <w:lvlJc w:val="left"/>
      <w:pPr>
        <w:ind w:left="420" w:hanging="420"/>
      </w:pPr>
      <w:rPr>
        <w:rFonts w:hint="default" w:ascii="Wingdings" w:hAnsi="Wingdings"/>
        <w:sz w:val="10"/>
      </w:rPr>
    </w:lvl>
  </w:abstractNum>
  <w:abstractNum w:abstractNumId="52">
    <w:nsid w:val="6D71DD28"/>
    <w:multiLevelType w:val="singleLevel"/>
    <w:tmpl w:val="6D71DD28"/>
    <w:lvl w:ilvl="0" w:tentative="0">
      <w:start w:val="1"/>
      <w:numFmt w:val="lowerLetter"/>
      <w:lvlText w:val="%1."/>
      <w:lvlJc w:val="left"/>
      <w:pPr>
        <w:ind w:left="425" w:hanging="425"/>
      </w:pPr>
      <w:rPr>
        <w:rFonts w:hint="default"/>
      </w:rPr>
    </w:lvl>
  </w:abstractNum>
  <w:abstractNum w:abstractNumId="53">
    <w:nsid w:val="6D8F4CA7"/>
    <w:multiLevelType w:val="multilevel"/>
    <w:tmpl w:val="6D8F4CA7"/>
    <w:lvl w:ilvl="0" w:tentative="0">
      <w:start w:val="1"/>
      <w:numFmt w:val="bullet"/>
      <w:lvlText w:val=""/>
      <w:lvlJc w:val="left"/>
      <w:pPr>
        <w:ind w:left="842" w:hanging="420"/>
      </w:pPr>
      <w:rPr>
        <w:rFonts w:hint="default" w:ascii="Wingdings" w:hAnsi="Wingdings"/>
      </w:rPr>
    </w:lvl>
    <w:lvl w:ilvl="1" w:tentative="0">
      <w:start w:val="1"/>
      <w:numFmt w:val="bullet"/>
      <w:lvlText w:val=""/>
      <w:lvlJc w:val="left"/>
      <w:pPr>
        <w:ind w:left="1262" w:hanging="420"/>
      </w:pPr>
      <w:rPr>
        <w:rFonts w:hint="default" w:ascii="Wingdings" w:hAnsi="Wingdings"/>
      </w:rPr>
    </w:lvl>
    <w:lvl w:ilvl="2" w:tentative="0">
      <w:start w:val="1"/>
      <w:numFmt w:val="bullet"/>
      <w:lvlText w:val=""/>
      <w:lvlJc w:val="left"/>
      <w:pPr>
        <w:ind w:left="1682" w:hanging="420"/>
      </w:pPr>
      <w:rPr>
        <w:rFonts w:hint="default" w:ascii="Wingdings" w:hAnsi="Wingdings"/>
      </w:rPr>
    </w:lvl>
    <w:lvl w:ilvl="3" w:tentative="0">
      <w:start w:val="1"/>
      <w:numFmt w:val="bullet"/>
      <w:lvlText w:val=""/>
      <w:lvlJc w:val="left"/>
      <w:pPr>
        <w:ind w:left="2102" w:hanging="420"/>
      </w:pPr>
      <w:rPr>
        <w:rFonts w:hint="default" w:ascii="Wingdings" w:hAnsi="Wingdings"/>
      </w:rPr>
    </w:lvl>
    <w:lvl w:ilvl="4" w:tentative="0">
      <w:start w:val="1"/>
      <w:numFmt w:val="bullet"/>
      <w:lvlText w:val=""/>
      <w:lvlJc w:val="left"/>
      <w:pPr>
        <w:ind w:left="2522" w:hanging="420"/>
      </w:pPr>
      <w:rPr>
        <w:rFonts w:hint="default" w:ascii="Wingdings" w:hAnsi="Wingdings"/>
      </w:rPr>
    </w:lvl>
    <w:lvl w:ilvl="5" w:tentative="0">
      <w:start w:val="1"/>
      <w:numFmt w:val="bullet"/>
      <w:lvlText w:val=""/>
      <w:lvlJc w:val="left"/>
      <w:pPr>
        <w:ind w:left="2942" w:hanging="420"/>
      </w:pPr>
      <w:rPr>
        <w:rFonts w:hint="default" w:ascii="Wingdings" w:hAnsi="Wingdings"/>
      </w:rPr>
    </w:lvl>
    <w:lvl w:ilvl="6" w:tentative="0">
      <w:start w:val="1"/>
      <w:numFmt w:val="bullet"/>
      <w:lvlText w:val=""/>
      <w:lvlJc w:val="left"/>
      <w:pPr>
        <w:ind w:left="3362" w:hanging="420"/>
      </w:pPr>
      <w:rPr>
        <w:rFonts w:hint="default" w:ascii="Wingdings" w:hAnsi="Wingdings"/>
      </w:rPr>
    </w:lvl>
    <w:lvl w:ilvl="7" w:tentative="0">
      <w:start w:val="1"/>
      <w:numFmt w:val="bullet"/>
      <w:lvlText w:val=""/>
      <w:lvlJc w:val="left"/>
      <w:pPr>
        <w:ind w:left="3782" w:hanging="420"/>
      </w:pPr>
      <w:rPr>
        <w:rFonts w:hint="default" w:ascii="Wingdings" w:hAnsi="Wingdings"/>
      </w:rPr>
    </w:lvl>
    <w:lvl w:ilvl="8" w:tentative="0">
      <w:start w:val="1"/>
      <w:numFmt w:val="bullet"/>
      <w:lvlText w:val=""/>
      <w:lvlJc w:val="left"/>
      <w:pPr>
        <w:ind w:left="4202" w:hanging="420"/>
      </w:pPr>
      <w:rPr>
        <w:rFonts w:hint="default" w:ascii="Wingdings" w:hAnsi="Wingdings"/>
      </w:rPr>
    </w:lvl>
  </w:abstractNum>
  <w:abstractNum w:abstractNumId="54">
    <w:nsid w:val="6FAEAFD1"/>
    <w:multiLevelType w:val="singleLevel"/>
    <w:tmpl w:val="6FAEAFD1"/>
    <w:lvl w:ilvl="0" w:tentative="0">
      <w:start w:val="1"/>
      <w:numFmt w:val="decimal"/>
      <w:lvlText w:val="%1)"/>
      <w:lvlJc w:val="left"/>
      <w:pPr>
        <w:ind w:left="425" w:hanging="425"/>
      </w:pPr>
      <w:rPr>
        <w:rFonts w:hint="default"/>
      </w:rPr>
    </w:lvl>
  </w:abstractNum>
  <w:abstractNum w:abstractNumId="55">
    <w:nsid w:val="7D2121CF"/>
    <w:multiLevelType w:val="multilevel"/>
    <w:tmpl w:val="7D2121CF"/>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56">
    <w:nsid w:val="7FD847A9"/>
    <w:multiLevelType w:val="multilevel"/>
    <w:tmpl w:val="7FD847A9"/>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7">
    <w:nsid w:val="7FDD102D"/>
    <w:multiLevelType w:val="multilevel"/>
    <w:tmpl w:val="7FDD102D"/>
    <w:lvl w:ilvl="0" w:tentative="0">
      <w:start w:val="1"/>
      <w:numFmt w:val="decimal"/>
      <w:lvlText w:val="%1."/>
      <w:lvlJc w:val="left"/>
      <w:pPr>
        <w:ind w:left="420" w:hanging="420"/>
      </w:pPr>
      <w:rPr>
        <w:rFonts w:hint="default" w:ascii="Times New Roman" w:hAnsi="Times New Roman"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0"/>
  </w:num>
  <w:num w:numId="2">
    <w:abstractNumId w:val="20"/>
  </w:num>
  <w:num w:numId="3">
    <w:abstractNumId w:val="39"/>
  </w:num>
  <w:num w:numId="4">
    <w:abstractNumId w:val="36"/>
  </w:num>
  <w:num w:numId="5">
    <w:abstractNumId w:val="22"/>
  </w:num>
  <w:num w:numId="6">
    <w:abstractNumId w:val="24"/>
  </w:num>
  <w:num w:numId="7">
    <w:abstractNumId w:val="45"/>
  </w:num>
  <w:num w:numId="8">
    <w:abstractNumId w:val="4"/>
  </w:num>
  <w:num w:numId="9">
    <w:abstractNumId w:val="47"/>
  </w:num>
  <w:num w:numId="10">
    <w:abstractNumId w:val="26"/>
  </w:num>
  <w:num w:numId="11">
    <w:abstractNumId w:val="14"/>
  </w:num>
  <w:num w:numId="12">
    <w:abstractNumId w:val="53"/>
  </w:num>
  <w:num w:numId="13">
    <w:abstractNumId w:val="41"/>
  </w:num>
  <w:num w:numId="14">
    <w:abstractNumId w:val="10"/>
  </w:num>
  <w:num w:numId="15">
    <w:abstractNumId w:val="57"/>
  </w:num>
  <w:num w:numId="16">
    <w:abstractNumId w:val="25"/>
  </w:num>
  <w:num w:numId="1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34"/>
  </w:num>
  <w:num w:numId="20">
    <w:abstractNumId w:val="30"/>
  </w:num>
  <w:num w:numId="21">
    <w:abstractNumId w:val="13"/>
  </w:num>
  <w:num w:numId="22">
    <w:abstractNumId w:val="44"/>
  </w:num>
  <w:num w:numId="23">
    <w:abstractNumId w:val="6"/>
  </w:num>
  <w:num w:numId="24">
    <w:abstractNumId w:val="21"/>
  </w:num>
  <w:num w:numId="25">
    <w:abstractNumId w:val="46"/>
  </w:num>
  <w:num w:numId="26">
    <w:abstractNumId w:val="56"/>
  </w:num>
  <w:num w:numId="27">
    <w:abstractNumId w:val="37"/>
  </w:num>
  <w:num w:numId="28">
    <w:abstractNumId w:val="8"/>
  </w:num>
  <w:num w:numId="29">
    <w:abstractNumId w:val="9"/>
  </w:num>
  <w:num w:numId="30">
    <w:abstractNumId w:val="7"/>
  </w:num>
  <w:num w:numId="31">
    <w:abstractNumId w:val="28"/>
  </w:num>
  <w:num w:numId="32">
    <w:abstractNumId w:val="11"/>
  </w:num>
  <w:num w:numId="33">
    <w:abstractNumId w:val="32"/>
  </w:num>
  <w:num w:numId="34">
    <w:abstractNumId w:val="29"/>
  </w:num>
  <w:num w:numId="35">
    <w:abstractNumId w:val="43"/>
  </w:num>
  <w:num w:numId="36">
    <w:abstractNumId w:val="48"/>
  </w:num>
  <w:num w:numId="37">
    <w:abstractNumId w:val="38"/>
  </w:num>
  <w:num w:numId="38">
    <w:abstractNumId w:val="31"/>
  </w:num>
  <w:num w:numId="39">
    <w:abstractNumId w:val="15"/>
  </w:num>
  <w:num w:numId="40">
    <w:abstractNumId w:val="18"/>
  </w:num>
  <w:num w:numId="41">
    <w:abstractNumId w:val="19"/>
  </w:num>
  <w:num w:numId="42">
    <w:abstractNumId w:val="55"/>
  </w:num>
  <w:num w:numId="43">
    <w:abstractNumId w:val="51"/>
  </w:num>
  <w:num w:numId="44">
    <w:abstractNumId w:val="27"/>
  </w:num>
  <w:num w:numId="45">
    <w:abstractNumId w:val="49"/>
  </w:num>
  <w:num w:numId="46">
    <w:abstractNumId w:val="12"/>
  </w:num>
  <w:num w:numId="47">
    <w:abstractNumId w:val="33"/>
  </w:num>
  <w:num w:numId="48">
    <w:abstractNumId w:val="42"/>
  </w:num>
  <w:num w:numId="49">
    <w:abstractNumId w:val="16"/>
  </w:num>
  <w:num w:numId="50">
    <w:abstractNumId w:val="0"/>
  </w:num>
  <w:num w:numId="51">
    <w:abstractNumId w:val="23"/>
  </w:num>
  <w:num w:numId="52">
    <w:abstractNumId w:val="52"/>
  </w:num>
  <w:num w:numId="53">
    <w:abstractNumId w:val="1"/>
  </w:num>
  <w:num w:numId="54">
    <w:abstractNumId w:val="2"/>
  </w:num>
  <w:num w:numId="55">
    <w:abstractNumId w:val="35"/>
  </w:num>
  <w:num w:numId="56">
    <w:abstractNumId w:val="17"/>
  </w:num>
  <w:num w:numId="57">
    <w:abstractNumId w:val="54"/>
  </w:num>
  <w:num w:numId="58">
    <w:abstractNumId w:val="5"/>
  </w:num>
  <w:num w:numId="5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hideSpellingErrors/>
  <w:documentProtection w:edit="readOnly" w:enforcement="0"/>
  <w:defaultTabStop w:val="420"/>
  <w:displayHorizontalDrawingGridEvery w:val="1"/>
  <w:displayVerticalDrawingGridEvery w:val="1"/>
  <w:noPunctuationKerning w:val="1"/>
  <w:characterSpacingControl w:val="doNotCompress"/>
  <w:footnotePr>
    <w:footnote w:id="0"/>
    <w:footnote w:id="1"/>
  </w:footnotePr>
  <w:endnotePr>
    <w:pos w:val="sectEnd"/>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Q2ZmRkYzEwNmY1MDVkZjFlNDQyMDY4NTRiZDMyZDEifQ=="/>
  </w:docVars>
  <w:rsids>
    <w:rsidRoot w:val="00172A27"/>
    <w:rsid w:val="0000056F"/>
    <w:rsid w:val="000005DD"/>
    <w:rsid w:val="00000E97"/>
    <w:rsid w:val="00001463"/>
    <w:rsid w:val="0000167D"/>
    <w:rsid w:val="000017D7"/>
    <w:rsid w:val="00001D51"/>
    <w:rsid w:val="0000207B"/>
    <w:rsid w:val="00002A1F"/>
    <w:rsid w:val="00002A41"/>
    <w:rsid w:val="00002E33"/>
    <w:rsid w:val="00002EA0"/>
    <w:rsid w:val="000034F2"/>
    <w:rsid w:val="00004594"/>
    <w:rsid w:val="00004C5E"/>
    <w:rsid w:val="00004F27"/>
    <w:rsid w:val="0000586F"/>
    <w:rsid w:val="000062FC"/>
    <w:rsid w:val="00006593"/>
    <w:rsid w:val="00006C1A"/>
    <w:rsid w:val="00006F20"/>
    <w:rsid w:val="0000745A"/>
    <w:rsid w:val="000074CD"/>
    <w:rsid w:val="000076A4"/>
    <w:rsid w:val="00007ED7"/>
    <w:rsid w:val="000102D8"/>
    <w:rsid w:val="00010A0D"/>
    <w:rsid w:val="00010C73"/>
    <w:rsid w:val="000113F9"/>
    <w:rsid w:val="0001181F"/>
    <w:rsid w:val="00011920"/>
    <w:rsid w:val="00011A19"/>
    <w:rsid w:val="00011B64"/>
    <w:rsid w:val="00012071"/>
    <w:rsid w:val="00012411"/>
    <w:rsid w:val="000125C7"/>
    <w:rsid w:val="0001303B"/>
    <w:rsid w:val="00013418"/>
    <w:rsid w:val="000135CD"/>
    <w:rsid w:val="00013F4A"/>
    <w:rsid w:val="00013FF4"/>
    <w:rsid w:val="00014161"/>
    <w:rsid w:val="00014D02"/>
    <w:rsid w:val="00014F39"/>
    <w:rsid w:val="00014FD6"/>
    <w:rsid w:val="00015A1B"/>
    <w:rsid w:val="0001677B"/>
    <w:rsid w:val="000172DB"/>
    <w:rsid w:val="000178EA"/>
    <w:rsid w:val="00017C0F"/>
    <w:rsid w:val="00017CE9"/>
    <w:rsid w:val="0002008C"/>
    <w:rsid w:val="00020178"/>
    <w:rsid w:val="000206C7"/>
    <w:rsid w:val="00020E91"/>
    <w:rsid w:val="000212F1"/>
    <w:rsid w:val="0002181D"/>
    <w:rsid w:val="000218B7"/>
    <w:rsid w:val="0002198F"/>
    <w:rsid w:val="000220BA"/>
    <w:rsid w:val="00022714"/>
    <w:rsid w:val="00022AFA"/>
    <w:rsid w:val="00022D3D"/>
    <w:rsid w:val="00023639"/>
    <w:rsid w:val="00023F63"/>
    <w:rsid w:val="00023FBA"/>
    <w:rsid w:val="00024281"/>
    <w:rsid w:val="0002495E"/>
    <w:rsid w:val="000250D2"/>
    <w:rsid w:val="00025514"/>
    <w:rsid w:val="00025732"/>
    <w:rsid w:val="00025BC6"/>
    <w:rsid w:val="00025C56"/>
    <w:rsid w:val="00025EB1"/>
    <w:rsid w:val="000260A6"/>
    <w:rsid w:val="0002648A"/>
    <w:rsid w:val="0002651D"/>
    <w:rsid w:val="00026988"/>
    <w:rsid w:val="00026A37"/>
    <w:rsid w:val="00026BDA"/>
    <w:rsid w:val="00026C15"/>
    <w:rsid w:val="0002769E"/>
    <w:rsid w:val="0002776F"/>
    <w:rsid w:val="00027873"/>
    <w:rsid w:val="00027949"/>
    <w:rsid w:val="00027F01"/>
    <w:rsid w:val="000303FA"/>
    <w:rsid w:val="000304F5"/>
    <w:rsid w:val="00030584"/>
    <w:rsid w:val="00030BEB"/>
    <w:rsid w:val="00031236"/>
    <w:rsid w:val="0003194F"/>
    <w:rsid w:val="00031C6B"/>
    <w:rsid w:val="00031E17"/>
    <w:rsid w:val="00032273"/>
    <w:rsid w:val="00032429"/>
    <w:rsid w:val="00032AF7"/>
    <w:rsid w:val="00032DEF"/>
    <w:rsid w:val="00032FBF"/>
    <w:rsid w:val="000332F4"/>
    <w:rsid w:val="000332F8"/>
    <w:rsid w:val="000334B1"/>
    <w:rsid w:val="000337C8"/>
    <w:rsid w:val="00033D8D"/>
    <w:rsid w:val="00034514"/>
    <w:rsid w:val="000345EF"/>
    <w:rsid w:val="00034FCF"/>
    <w:rsid w:val="00035326"/>
    <w:rsid w:val="00035751"/>
    <w:rsid w:val="00035A46"/>
    <w:rsid w:val="00035F6D"/>
    <w:rsid w:val="000361E5"/>
    <w:rsid w:val="00036243"/>
    <w:rsid w:val="0003630A"/>
    <w:rsid w:val="00036B5F"/>
    <w:rsid w:val="00037443"/>
    <w:rsid w:val="000374F9"/>
    <w:rsid w:val="00037543"/>
    <w:rsid w:val="00037D28"/>
    <w:rsid w:val="00040D3B"/>
    <w:rsid w:val="00040D81"/>
    <w:rsid w:val="000413E4"/>
    <w:rsid w:val="00041755"/>
    <w:rsid w:val="000419DD"/>
    <w:rsid w:val="00041ED5"/>
    <w:rsid w:val="00041FF5"/>
    <w:rsid w:val="000422DA"/>
    <w:rsid w:val="000425A4"/>
    <w:rsid w:val="00042D90"/>
    <w:rsid w:val="0004304A"/>
    <w:rsid w:val="00043253"/>
    <w:rsid w:val="000434E4"/>
    <w:rsid w:val="00043D6B"/>
    <w:rsid w:val="0004436E"/>
    <w:rsid w:val="00044549"/>
    <w:rsid w:val="0004467F"/>
    <w:rsid w:val="00044B25"/>
    <w:rsid w:val="00044D34"/>
    <w:rsid w:val="00045513"/>
    <w:rsid w:val="00045A88"/>
    <w:rsid w:val="00045F34"/>
    <w:rsid w:val="0004660C"/>
    <w:rsid w:val="00046B91"/>
    <w:rsid w:val="00047206"/>
    <w:rsid w:val="0004751A"/>
    <w:rsid w:val="000479DD"/>
    <w:rsid w:val="000503E4"/>
    <w:rsid w:val="0005051D"/>
    <w:rsid w:val="000515AD"/>
    <w:rsid w:val="0005170D"/>
    <w:rsid w:val="00051A3A"/>
    <w:rsid w:val="00051A55"/>
    <w:rsid w:val="00051B31"/>
    <w:rsid w:val="000524CC"/>
    <w:rsid w:val="00052913"/>
    <w:rsid w:val="00052DE2"/>
    <w:rsid w:val="00053504"/>
    <w:rsid w:val="00053B76"/>
    <w:rsid w:val="000545DD"/>
    <w:rsid w:val="00054C00"/>
    <w:rsid w:val="00054D75"/>
    <w:rsid w:val="00054DE1"/>
    <w:rsid w:val="000557CA"/>
    <w:rsid w:val="00055E48"/>
    <w:rsid w:val="00055EBC"/>
    <w:rsid w:val="00055F47"/>
    <w:rsid w:val="00056A9B"/>
    <w:rsid w:val="00056B67"/>
    <w:rsid w:val="0005712A"/>
    <w:rsid w:val="0005748C"/>
    <w:rsid w:val="000575FD"/>
    <w:rsid w:val="000578ED"/>
    <w:rsid w:val="00057E49"/>
    <w:rsid w:val="000603BE"/>
    <w:rsid w:val="00060508"/>
    <w:rsid w:val="00060625"/>
    <w:rsid w:val="000608C7"/>
    <w:rsid w:val="000610E6"/>
    <w:rsid w:val="0006171E"/>
    <w:rsid w:val="000619DD"/>
    <w:rsid w:val="000622D7"/>
    <w:rsid w:val="000630CB"/>
    <w:rsid w:val="000631D6"/>
    <w:rsid w:val="00063268"/>
    <w:rsid w:val="00063306"/>
    <w:rsid w:val="000634EB"/>
    <w:rsid w:val="000637F7"/>
    <w:rsid w:val="00063C2F"/>
    <w:rsid w:val="00063C53"/>
    <w:rsid w:val="0006411D"/>
    <w:rsid w:val="00064286"/>
    <w:rsid w:val="00064987"/>
    <w:rsid w:val="00064F05"/>
    <w:rsid w:val="00064F28"/>
    <w:rsid w:val="0006543B"/>
    <w:rsid w:val="000658A6"/>
    <w:rsid w:val="00065CC2"/>
    <w:rsid w:val="00066773"/>
    <w:rsid w:val="0006699F"/>
    <w:rsid w:val="00066DC4"/>
    <w:rsid w:val="00066EBF"/>
    <w:rsid w:val="000675F0"/>
    <w:rsid w:val="00070FE3"/>
    <w:rsid w:val="00071155"/>
    <w:rsid w:val="0007119D"/>
    <w:rsid w:val="00071996"/>
    <w:rsid w:val="00071D7C"/>
    <w:rsid w:val="00071F88"/>
    <w:rsid w:val="00071FC2"/>
    <w:rsid w:val="000721BF"/>
    <w:rsid w:val="0007225A"/>
    <w:rsid w:val="00072423"/>
    <w:rsid w:val="000724C8"/>
    <w:rsid w:val="00072730"/>
    <w:rsid w:val="000727F6"/>
    <w:rsid w:val="000730B1"/>
    <w:rsid w:val="0007320D"/>
    <w:rsid w:val="00073F56"/>
    <w:rsid w:val="000741FD"/>
    <w:rsid w:val="00074B15"/>
    <w:rsid w:val="000752E9"/>
    <w:rsid w:val="000756AE"/>
    <w:rsid w:val="00075B3C"/>
    <w:rsid w:val="000762BC"/>
    <w:rsid w:val="00076838"/>
    <w:rsid w:val="0007698B"/>
    <w:rsid w:val="00076C95"/>
    <w:rsid w:val="00076EEA"/>
    <w:rsid w:val="000773A5"/>
    <w:rsid w:val="0007748D"/>
    <w:rsid w:val="00077938"/>
    <w:rsid w:val="00077CA0"/>
    <w:rsid w:val="00080095"/>
    <w:rsid w:val="0008037F"/>
    <w:rsid w:val="00081360"/>
    <w:rsid w:val="000813B5"/>
    <w:rsid w:val="000816DB"/>
    <w:rsid w:val="00081B0F"/>
    <w:rsid w:val="00082832"/>
    <w:rsid w:val="00082A3C"/>
    <w:rsid w:val="00082B1F"/>
    <w:rsid w:val="00082CF2"/>
    <w:rsid w:val="00082F59"/>
    <w:rsid w:val="00083079"/>
    <w:rsid w:val="000832FE"/>
    <w:rsid w:val="000835DC"/>
    <w:rsid w:val="000836EA"/>
    <w:rsid w:val="0008370E"/>
    <w:rsid w:val="00083BC9"/>
    <w:rsid w:val="00083BDC"/>
    <w:rsid w:val="0008405A"/>
    <w:rsid w:val="000841C7"/>
    <w:rsid w:val="000843F2"/>
    <w:rsid w:val="000844BE"/>
    <w:rsid w:val="000848A2"/>
    <w:rsid w:val="000848FA"/>
    <w:rsid w:val="0008536B"/>
    <w:rsid w:val="000854E7"/>
    <w:rsid w:val="00085758"/>
    <w:rsid w:val="000867F2"/>
    <w:rsid w:val="00086D27"/>
    <w:rsid w:val="00086DB3"/>
    <w:rsid w:val="0008736A"/>
    <w:rsid w:val="0009000F"/>
    <w:rsid w:val="0009023C"/>
    <w:rsid w:val="000903DF"/>
    <w:rsid w:val="00090665"/>
    <w:rsid w:val="00090762"/>
    <w:rsid w:val="00090797"/>
    <w:rsid w:val="0009098E"/>
    <w:rsid w:val="00090D24"/>
    <w:rsid w:val="000916A7"/>
    <w:rsid w:val="00091C96"/>
    <w:rsid w:val="00091DEF"/>
    <w:rsid w:val="00091F45"/>
    <w:rsid w:val="000920E2"/>
    <w:rsid w:val="000922C5"/>
    <w:rsid w:val="000925F4"/>
    <w:rsid w:val="00092676"/>
    <w:rsid w:val="000930BA"/>
    <w:rsid w:val="0009314D"/>
    <w:rsid w:val="00093D43"/>
    <w:rsid w:val="00093DF8"/>
    <w:rsid w:val="00093E41"/>
    <w:rsid w:val="00094028"/>
    <w:rsid w:val="0009464B"/>
    <w:rsid w:val="00094947"/>
    <w:rsid w:val="00094B8B"/>
    <w:rsid w:val="00094C32"/>
    <w:rsid w:val="00094CE5"/>
    <w:rsid w:val="00094F03"/>
    <w:rsid w:val="00095266"/>
    <w:rsid w:val="000955CF"/>
    <w:rsid w:val="00095A74"/>
    <w:rsid w:val="00095BBC"/>
    <w:rsid w:val="00095EB7"/>
    <w:rsid w:val="000961A7"/>
    <w:rsid w:val="0009692E"/>
    <w:rsid w:val="00096CBB"/>
    <w:rsid w:val="00097EBB"/>
    <w:rsid w:val="00097FB6"/>
    <w:rsid w:val="000A02BF"/>
    <w:rsid w:val="000A06C4"/>
    <w:rsid w:val="000A0990"/>
    <w:rsid w:val="000A09A2"/>
    <w:rsid w:val="000A0A2D"/>
    <w:rsid w:val="000A14B3"/>
    <w:rsid w:val="000A1AD5"/>
    <w:rsid w:val="000A1FDB"/>
    <w:rsid w:val="000A2443"/>
    <w:rsid w:val="000A2570"/>
    <w:rsid w:val="000A2759"/>
    <w:rsid w:val="000A2A78"/>
    <w:rsid w:val="000A2AEE"/>
    <w:rsid w:val="000A2D82"/>
    <w:rsid w:val="000A30B7"/>
    <w:rsid w:val="000A3331"/>
    <w:rsid w:val="000A3F36"/>
    <w:rsid w:val="000A4021"/>
    <w:rsid w:val="000A4130"/>
    <w:rsid w:val="000A423B"/>
    <w:rsid w:val="000A4339"/>
    <w:rsid w:val="000A4946"/>
    <w:rsid w:val="000A4EFC"/>
    <w:rsid w:val="000A5492"/>
    <w:rsid w:val="000A57D8"/>
    <w:rsid w:val="000A57F1"/>
    <w:rsid w:val="000A5E10"/>
    <w:rsid w:val="000A5E21"/>
    <w:rsid w:val="000A5FF3"/>
    <w:rsid w:val="000A6052"/>
    <w:rsid w:val="000A6A98"/>
    <w:rsid w:val="000A6C23"/>
    <w:rsid w:val="000A7758"/>
    <w:rsid w:val="000A7769"/>
    <w:rsid w:val="000A7C95"/>
    <w:rsid w:val="000B0229"/>
    <w:rsid w:val="000B03BC"/>
    <w:rsid w:val="000B0914"/>
    <w:rsid w:val="000B0E27"/>
    <w:rsid w:val="000B11A7"/>
    <w:rsid w:val="000B1A31"/>
    <w:rsid w:val="000B1AB3"/>
    <w:rsid w:val="000B1CC2"/>
    <w:rsid w:val="000B20D8"/>
    <w:rsid w:val="000B28BE"/>
    <w:rsid w:val="000B2C4A"/>
    <w:rsid w:val="000B34B9"/>
    <w:rsid w:val="000B35A6"/>
    <w:rsid w:val="000B35C1"/>
    <w:rsid w:val="000B39C9"/>
    <w:rsid w:val="000B3F52"/>
    <w:rsid w:val="000B4C81"/>
    <w:rsid w:val="000B4CC6"/>
    <w:rsid w:val="000B50AD"/>
    <w:rsid w:val="000B51F5"/>
    <w:rsid w:val="000B5731"/>
    <w:rsid w:val="000B5C8D"/>
    <w:rsid w:val="000B5E14"/>
    <w:rsid w:val="000B62B8"/>
    <w:rsid w:val="000B670E"/>
    <w:rsid w:val="000B7238"/>
    <w:rsid w:val="000B764D"/>
    <w:rsid w:val="000B7665"/>
    <w:rsid w:val="000C012E"/>
    <w:rsid w:val="000C021C"/>
    <w:rsid w:val="000C0294"/>
    <w:rsid w:val="000C0331"/>
    <w:rsid w:val="000C0484"/>
    <w:rsid w:val="000C051C"/>
    <w:rsid w:val="000C0522"/>
    <w:rsid w:val="000C0980"/>
    <w:rsid w:val="000C1259"/>
    <w:rsid w:val="000C13C1"/>
    <w:rsid w:val="000C1713"/>
    <w:rsid w:val="000C1C46"/>
    <w:rsid w:val="000C216F"/>
    <w:rsid w:val="000C2E91"/>
    <w:rsid w:val="000C31E4"/>
    <w:rsid w:val="000C3880"/>
    <w:rsid w:val="000C3B25"/>
    <w:rsid w:val="000C4015"/>
    <w:rsid w:val="000C4B20"/>
    <w:rsid w:val="000C4B76"/>
    <w:rsid w:val="000C508B"/>
    <w:rsid w:val="000C50D7"/>
    <w:rsid w:val="000C58F0"/>
    <w:rsid w:val="000C5E63"/>
    <w:rsid w:val="000C6063"/>
    <w:rsid w:val="000C6281"/>
    <w:rsid w:val="000C6ED9"/>
    <w:rsid w:val="000C7019"/>
    <w:rsid w:val="000C7735"/>
    <w:rsid w:val="000C79AF"/>
    <w:rsid w:val="000C7D08"/>
    <w:rsid w:val="000C7E60"/>
    <w:rsid w:val="000C7FBE"/>
    <w:rsid w:val="000D0208"/>
    <w:rsid w:val="000D03D7"/>
    <w:rsid w:val="000D19AB"/>
    <w:rsid w:val="000D1E46"/>
    <w:rsid w:val="000D2160"/>
    <w:rsid w:val="000D2AB9"/>
    <w:rsid w:val="000D2CA5"/>
    <w:rsid w:val="000D2D5D"/>
    <w:rsid w:val="000D3585"/>
    <w:rsid w:val="000D3600"/>
    <w:rsid w:val="000D3ACB"/>
    <w:rsid w:val="000D3D84"/>
    <w:rsid w:val="000D59B8"/>
    <w:rsid w:val="000D5A28"/>
    <w:rsid w:val="000D5E12"/>
    <w:rsid w:val="000D64A8"/>
    <w:rsid w:val="000D64AB"/>
    <w:rsid w:val="000D6FC7"/>
    <w:rsid w:val="000D750A"/>
    <w:rsid w:val="000D76CA"/>
    <w:rsid w:val="000D7885"/>
    <w:rsid w:val="000D7B17"/>
    <w:rsid w:val="000E0007"/>
    <w:rsid w:val="000E005A"/>
    <w:rsid w:val="000E067A"/>
    <w:rsid w:val="000E078C"/>
    <w:rsid w:val="000E09EC"/>
    <w:rsid w:val="000E168F"/>
    <w:rsid w:val="000E191A"/>
    <w:rsid w:val="000E1936"/>
    <w:rsid w:val="000E1E5F"/>
    <w:rsid w:val="000E279C"/>
    <w:rsid w:val="000E29DA"/>
    <w:rsid w:val="000E2CB2"/>
    <w:rsid w:val="000E2DF3"/>
    <w:rsid w:val="000E2F49"/>
    <w:rsid w:val="000E30A5"/>
    <w:rsid w:val="000E33BD"/>
    <w:rsid w:val="000E3839"/>
    <w:rsid w:val="000E3B57"/>
    <w:rsid w:val="000E3D88"/>
    <w:rsid w:val="000E3DD3"/>
    <w:rsid w:val="000E4297"/>
    <w:rsid w:val="000E4F97"/>
    <w:rsid w:val="000E503B"/>
    <w:rsid w:val="000E5357"/>
    <w:rsid w:val="000E53F9"/>
    <w:rsid w:val="000E5514"/>
    <w:rsid w:val="000E5562"/>
    <w:rsid w:val="000E55B6"/>
    <w:rsid w:val="000E5A5D"/>
    <w:rsid w:val="000E5E49"/>
    <w:rsid w:val="000E629D"/>
    <w:rsid w:val="000E6613"/>
    <w:rsid w:val="000E6E3C"/>
    <w:rsid w:val="000E70F2"/>
    <w:rsid w:val="000E7249"/>
    <w:rsid w:val="000E73AE"/>
    <w:rsid w:val="000E7594"/>
    <w:rsid w:val="000E75EE"/>
    <w:rsid w:val="000E782F"/>
    <w:rsid w:val="000E7ACA"/>
    <w:rsid w:val="000E7D8C"/>
    <w:rsid w:val="000E7EFA"/>
    <w:rsid w:val="000F0131"/>
    <w:rsid w:val="000F0302"/>
    <w:rsid w:val="000F03FB"/>
    <w:rsid w:val="000F05C4"/>
    <w:rsid w:val="000F0AF4"/>
    <w:rsid w:val="000F0C37"/>
    <w:rsid w:val="000F1552"/>
    <w:rsid w:val="000F173C"/>
    <w:rsid w:val="000F1F24"/>
    <w:rsid w:val="000F2015"/>
    <w:rsid w:val="000F235C"/>
    <w:rsid w:val="000F2CDB"/>
    <w:rsid w:val="000F2DD7"/>
    <w:rsid w:val="000F2EB1"/>
    <w:rsid w:val="000F2FB1"/>
    <w:rsid w:val="000F338D"/>
    <w:rsid w:val="000F3454"/>
    <w:rsid w:val="000F35F2"/>
    <w:rsid w:val="000F3A58"/>
    <w:rsid w:val="000F3B74"/>
    <w:rsid w:val="000F3C07"/>
    <w:rsid w:val="000F3C52"/>
    <w:rsid w:val="000F3D94"/>
    <w:rsid w:val="000F3EB1"/>
    <w:rsid w:val="000F4072"/>
    <w:rsid w:val="000F4275"/>
    <w:rsid w:val="000F467F"/>
    <w:rsid w:val="000F4CF9"/>
    <w:rsid w:val="000F517A"/>
    <w:rsid w:val="000F522C"/>
    <w:rsid w:val="000F55F0"/>
    <w:rsid w:val="000F58D5"/>
    <w:rsid w:val="000F5C8A"/>
    <w:rsid w:val="000F5E00"/>
    <w:rsid w:val="000F6135"/>
    <w:rsid w:val="000F61D1"/>
    <w:rsid w:val="000F6755"/>
    <w:rsid w:val="000F6A9C"/>
    <w:rsid w:val="000F7E02"/>
    <w:rsid w:val="000F7E13"/>
    <w:rsid w:val="000F7ED5"/>
    <w:rsid w:val="0010029A"/>
    <w:rsid w:val="00100620"/>
    <w:rsid w:val="00100749"/>
    <w:rsid w:val="00100AA0"/>
    <w:rsid w:val="00101F00"/>
    <w:rsid w:val="001026B7"/>
    <w:rsid w:val="00102A3B"/>
    <w:rsid w:val="00102AE1"/>
    <w:rsid w:val="00102F9D"/>
    <w:rsid w:val="001031B1"/>
    <w:rsid w:val="00103596"/>
    <w:rsid w:val="00103638"/>
    <w:rsid w:val="00103900"/>
    <w:rsid w:val="001042AC"/>
    <w:rsid w:val="001049E5"/>
    <w:rsid w:val="001051A4"/>
    <w:rsid w:val="0010532B"/>
    <w:rsid w:val="00105577"/>
    <w:rsid w:val="00105846"/>
    <w:rsid w:val="001059B6"/>
    <w:rsid w:val="00105AB9"/>
    <w:rsid w:val="00105C92"/>
    <w:rsid w:val="001061B2"/>
    <w:rsid w:val="001064EB"/>
    <w:rsid w:val="00106C1E"/>
    <w:rsid w:val="00106C96"/>
    <w:rsid w:val="00106F14"/>
    <w:rsid w:val="00107247"/>
    <w:rsid w:val="001076D0"/>
    <w:rsid w:val="00107B29"/>
    <w:rsid w:val="00107C44"/>
    <w:rsid w:val="00110169"/>
    <w:rsid w:val="001101A1"/>
    <w:rsid w:val="001106FA"/>
    <w:rsid w:val="00110831"/>
    <w:rsid w:val="00110C62"/>
    <w:rsid w:val="00110DFC"/>
    <w:rsid w:val="00110EFE"/>
    <w:rsid w:val="0011110A"/>
    <w:rsid w:val="00111677"/>
    <w:rsid w:val="001117AB"/>
    <w:rsid w:val="00111843"/>
    <w:rsid w:val="00111DCA"/>
    <w:rsid w:val="00111E52"/>
    <w:rsid w:val="001120ED"/>
    <w:rsid w:val="001123DA"/>
    <w:rsid w:val="00112839"/>
    <w:rsid w:val="00112954"/>
    <w:rsid w:val="00112B88"/>
    <w:rsid w:val="00113BDD"/>
    <w:rsid w:val="00114408"/>
    <w:rsid w:val="00114948"/>
    <w:rsid w:val="00114E40"/>
    <w:rsid w:val="0011528E"/>
    <w:rsid w:val="00115983"/>
    <w:rsid w:val="00115993"/>
    <w:rsid w:val="001163DD"/>
    <w:rsid w:val="00117051"/>
    <w:rsid w:val="001170A6"/>
    <w:rsid w:val="001172C5"/>
    <w:rsid w:val="00117351"/>
    <w:rsid w:val="00117450"/>
    <w:rsid w:val="00117554"/>
    <w:rsid w:val="00117732"/>
    <w:rsid w:val="0011793D"/>
    <w:rsid w:val="00117C65"/>
    <w:rsid w:val="00117D4E"/>
    <w:rsid w:val="00117EF1"/>
    <w:rsid w:val="00120049"/>
    <w:rsid w:val="0012007D"/>
    <w:rsid w:val="0012016A"/>
    <w:rsid w:val="0012033F"/>
    <w:rsid w:val="0012052F"/>
    <w:rsid w:val="001208B5"/>
    <w:rsid w:val="001208F7"/>
    <w:rsid w:val="00120A4E"/>
    <w:rsid w:val="00121646"/>
    <w:rsid w:val="00121A29"/>
    <w:rsid w:val="00121E93"/>
    <w:rsid w:val="001222B1"/>
    <w:rsid w:val="00122475"/>
    <w:rsid w:val="0012257B"/>
    <w:rsid w:val="00122616"/>
    <w:rsid w:val="00122629"/>
    <w:rsid w:val="001226BA"/>
    <w:rsid w:val="00122B11"/>
    <w:rsid w:val="00122EF4"/>
    <w:rsid w:val="0012359E"/>
    <w:rsid w:val="00123F21"/>
    <w:rsid w:val="001243EE"/>
    <w:rsid w:val="00124444"/>
    <w:rsid w:val="00124501"/>
    <w:rsid w:val="00124782"/>
    <w:rsid w:val="00124950"/>
    <w:rsid w:val="001249EE"/>
    <w:rsid w:val="001249F9"/>
    <w:rsid w:val="00124AEC"/>
    <w:rsid w:val="00124C10"/>
    <w:rsid w:val="00125267"/>
    <w:rsid w:val="001253C7"/>
    <w:rsid w:val="00126465"/>
    <w:rsid w:val="0012659E"/>
    <w:rsid w:val="001267BB"/>
    <w:rsid w:val="00126B1D"/>
    <w:rsid w:val="00126FCC"/>
    <w:rsid w:val="001271C8"/>
    <w:rsid w:val="00127DCE"/>
    <w:rsid w:val="001300B1"/>
    <w:rsid w:val="001300BA"/>
    <w:rsid w:val="001303CE"/>
    <w:rsid w:val="001304ED"/>
    <w:rsid w:val="001306BD"/>
    <w:rsid w:val="0013091E"/>
    <w:rsid w:val="00130A7B"/>
    <w:rsid w:val="00130BB2"/>
    <w:rsid w:val="00131111"/>
    <w:rsid w:val="00131282"/>
    <w:rsid w:val="00131415"/>
    <w:rsid w:val="001318B3"/>
    <w:rsid w:val="00131908"/>
    <w:rsid w:val="0013195B"/>
    <w:rsid w:val="00131A01"/>
    <w:rsid w:val="00131E55"/>
    <w:rsid w:val="00131EAA"/>
    <w:rsid w:val="00131F98"/>
    <w:rsid w:val="0013205F"/>
    <w:rsid w:val="0013238B"/>
    <w:rsid w:val="00132607"/>
    <w:rsid w:val="00132675"/>
    <w:rsid w:val="00132B4B"/>
    <w:rsid w:val="001330C1"/>
    <w:rsid w:val="0013330C"/>
    <w:rsid w:val="001336A4"/>
    <w:rsid w:val="00133D62"/>
    <w:rsid w:val="00134B35"/>
    <w:rsid w:val="0013579C"/>
    <w:rsid w:val="00135B89"/>
    <w:rsid w:val="00135E24"/>
    <w:rsid w:val="00136574"/>
    <w:rsid w:val="00136773"/>
    <w:rsid w:val="0013695F"/>
    <w:rsid w:val="00136A07"/>
    <w:rsid w:val="00136BD4"/>
    <w:rsid w:val="00137484"/>
    <w:rsid w:val="00137F56"/>
    <w:rsid w:val="0014070B"/>
    <w:rsid w:val="00140A32"/>
    <w:rsid w:val="00140B8A"/>
    <w:rsid w:val="00140CCD"/>
    <w:rsid w:val="001415D6"/>
    <w:rsid w:val="001418B6"/>
    <w:rsid w:val="001419C9"/>
    <w:rsid w:val="00141A29"/>
    <w:rsid w:val="00141C9C"/>
    <w:rsid w:val="00141F00"/>
    <w:rsid w:val="00141F62"/>
    <w:rsid w:val="001421D3"/>
    <w:rsid w:val="00142271"/>
    <w:rsid w:val="001422EB"/>
    <w:rsid w:val="00142F65"/>
    <w:rsid w:val="0014324F"/>
    <w:rsid w:val="00143300"/>
    <w:rsid w:val="0014372D"/>
    <w:rsid w:val="00143824"/>
    <w:rsid w:val="00143F55"/>
    <w:rsid w:val="0014436F"/>
    <w:rsid w:val="001443E7"/>
    <w:rsid w:val="00144572"/>
    <w:rsid w:val="00144825"/>
    <w:rsid w:val="00144A73"/>
    <w:rsid w:val="00144BD8"/>
    <w:rsid w:val="00144F94"/>
    <w:rsid w:val="001453FD"/>
    <w:rsid w:val="001456F1"/>
    <w:rsid w:val="0014571C"/>
    <w:rsid w:val="00145869"/>
    <w:rsid w:val="00145EE5"/>
    <w:rsid w:val="00146B93"/>
    <w:rsid w:val="00146C90"/>
    <w:rsid w:val="00147167"/>
    <w:rsid w:val="00147618"/>
    <w:rsid w:val="00147648"/>
    <w:rsid w:val="00147B37"/>
    <w:rsid w:val="00150666"/>
    <w:rsid w:val="00150720"/>
    <w:rsid w:val="00150E34"/>
    <w:rsid w:val="00151CBF"/>
    <w:rsid w:val="00151EC9"/>
    <w:rsid w:val="0015253E"/>
    <w:rsid w:val="001525E5"/>
    <w:rsid w:val="00152C6E"/>
    <w:rsid w:val="00152FB3"/>
    <w:rsid w:val="001531BB"/>
    <w:rsid w:val="001540F9"/>
    <w:rsid w:val="0015457C"/>
    <w:rsid w:val="00154D09"/>
    <w:rsid w:val="00154ED1"/>
    <w:rsid w:val="00155080"/>
    <w:rsid w:val="001556AF"/>
    <w:rsid w:val="00155842"/>
    <w:rsid w:val="00155C9D"/>
    <w:rsid w:val="00155E3D"/>
    <w:rsid w:val="00155FC8"/>
    <w:rsid w:val="001571DE"/>
    <w:rsid w:val="00157791"/>
    <w:rsid w:val="001578C1"/>
    <w:rsid w:val="00157AD8"/>
    <w:rsid w:val="0016033F"/>
    <w:rsid w:val="00160A0A"/>
    <w:rsid w:val="00160B85"/>
    <w:rsid w:val="00160D6B"/>
    <w:rsid w:val="001611AF"/>
    <w:rsid w:val="001616A8"/>
    <w:rsid w:val="001618A4"/>
    <w:rsid w:val="00162B0C"/>
    <w:rsid w:val="00163493"/>
    <w:rsid w:val="001637DE"/>
    <w:rsid w:val="00163F17"/>
    <w:rsid w:val="0016454B"/>
    <w:rsid w:val="00164B3C"/>
    <w:rsid w:val="00164D28"/>
    <w:rsid w:val="001654C9"/>
    <w:rsid w:val="00165579"/>
    <w:rsid w:val="00165D60"/>
    <w:rsid w:val="00165DA7"/>
    <w:rsid w:val="0016698D"/>
    <w:rsid w:val="00166E16"/>
    <w:rsid w:val="00167617"/>
    <w:rsid w:val="00167866"/>
    <w:rsid w:val="00167CD2"/>
    <w:rsid w:val="00167E7A"/>
    <w:rsid w:val="00170AE7"/>
    <w:rsid w:val="00170E80"/>
    <w:rsid w:val="00171025"/>
    <w:rsid w:val="00171262"/>
    <w:rsid w:val="0017184C"/>
    <w:rsid w:val="00171B58"/>
    <w:rsid w:val="00171E1B"/>
    <w:rsid w:val="00171E8D"/>
    <w:rsid w:val="001721EB"/>
    <w:rsid w:val="001724B7"/>
    <w:rsid w:val="001728A4"/>
    <w:rsid w:val="00172A27"/>
    <w:rsid w:val="00172A56"/>
    <w:rsid w:val="00172CBB"/>
    <w:rsid w:val="00172E41"/>
    <w:rsid w:val="00172F25"/>
    <w:rsid w:val="00172FA1"/>
    <w:rsid w:val="00172FFE"/>
    <w:rsid w:val="00173152"/>
    <w:rsid w:val="00173AB8"/>
    <w:rsid w:val="00174489"/>
    <w:rsid w:val="00174E50"/>
    <w:rsid w:val="00175056"/>
    <w:rsid w:val="0017514A"/>
    <w:rsid w:val="001756E4"/>
    <w:rsid w:val="0017583C"/>
    <w:rsid w:val="001762A3"/>
    <w:rsid w:val="0017645E"/>
    <w:rsid w:val="00176ACC"/>
    <w:rsid w:val="00176C86"/>
    <w:rsid w:val="00176DE8"/>
    <w:rsid w:val="001772C0"/>
    <w:rsid w:val="0017747E"/>
    <w:rsid w:val="00177812"/>
    <w:rsid w:val="00177F51"/>
    <w:rsid w:val="00177FD1"/>
    <w:rsid w:val="0018044C"/>
    <w:rsid w:val="00180BAD"/>
    <w:rsid w:val="00180C4E"/>
    <w:rsid w:val="00180C83"/>
    <w:rsid w:val="00180E44"/>
    <w:rsid w:val="0018186B"/>
    <w:rsid w:val="00181BBE"/>
    <w:rsid w:val="0018200E"/>
    <w:rsid w:val="0018296F"/>
    <w:rsid w:val="00182CA7"/>
    <w:rsid w:val="00182DC4"/>
    <w:rsid w:val="00183184"/>
    <w:rsid w:val="001838E6"/>
    <w:rsid w:val="00183B9B"/>
    <w:rsid w:val="00183DF6"/>
    <w:rsid w:val="0018500D"/>
    <w:rsid w:val="0018527A"/>
    <w:rsid w:val="00185CCF"/>
    <w:rsid w:val="00185D30"/>
    <w:rsid w:val="0018671C"/>
    <w:rsid w:val="00186DA9"/>
    <w:rsid w:val="00186E7C"/>
    <w:rsid w:val="0018772F"/>
    <w:rsid w:val="0018783D"/>
    <w:rsid w:val="00187BE8"/>
    <w:rsid w:val="00187E37"/>
    <w:rsid w:val="00187F6F"/>
    <w:rsid w:val="00190137"/>
    <w:rsid w:val="0019047E"/>
    <w:rsid w:val="00190484"/>
    <w:rsid w:val="00190CE6"/>
    <w:rsid w:val="00191141"/>
    <w:rsid w:val="0019114A"/>
    <w:rsid w:val="00191190"/>
    <w:rsid w:val="001919B0"/>
    <w:rsid w:val="00191FE0"/>
    <w:rsid w:val="001923D0"/>
    <w:rsid w:val="00192A6B"/>
    <w:rsid w:val="00192B80"/>
    <w:rsid w:val="00192EF2"/>
    <w:rsid w:val="001930FA"/>
    <w:rsid w:val="001932C1"/>
    <w:rsid w:val="00193593"/>
    <w:rsid w:val="00193DD4"/>
    <w:rsid w:val="00193EAD"/>
    <w:rsid w:val="001940A7"/>
    <w:rsid w:val="00194764"/>
    <w:rsid w:val="00194C35"/>
    <w:rsid w:val="00194EE9"/>
    <w:rsid w:val="001954ED"/>
    <w:rsid w:val="0019554E"/>
    <w:rsid w:val="00195804"/>
    <w:rsid w:val="001959BD"/>
    <w:rsid w:val="00195DF4"/>
    <w:rsid w:val="00196146"/>
    <w:rsid w:val="0019617A"/>
    <w:rsid w:val="001962C6"/>
    <w:rsid w:val="001962C9"/>
    <w:rsid w:val="00196502"/>
    <w:rsid w:val="00196A17"/>
    <w:rsid w:val="00196C5E"/>
    <w:rsid w:val="00196F8C"/>
    <w:rsid w:val="001A0A72"/>
    <w:rsid w:val="001A0E9C"/>
    <w:rsid w:val="001A11F7"/>
    <w:rsid w:val="001A14C6"/>
    <w:rsid w:val="001A1968"/>
    <w:rsid w:val="001A1DDB"/>
    <w:rsid w:val="001A214E"/>
    <w:rsid w:val="001A24A5"/>
    <w:rsid w:val="001A2BEB"/>
    <w:rsid w:val="001A2F0F"/>
    <w:rsid w:val="001A2FE8"/>
    <w:rsid w:val="001A2FEA"/>
    <w:rsid w:val="001A3041"/>
    <w:rsid w:val="001A3560"/>
    <w:rsid w:val="001A35FD"/>
    <w:rsid w:val="001A3982"/>
    <w:rsid w:val="001A4317"/>
    <w:rsid w:val="001A4574"/>
    <w:rsid w:val="001A4738"/>
    <w:rsid w:val="001A48DD"/>
    <w:rsid w:val="001A5A71"/>
    <w:rsid w:val="001A5BC7"/>
    <w:rsid w:val="001A5D67"/>
    <w:rsid w:val="001A603B"/>
    <w:rsid w:val="001A6062"/>
    <w:rsid w:val="001A6617"/>
    <w:rsid w:val="001A6DD8"/>
    <w:rsid w:val="001A7CBB"/>
    <w:rsid w:val="001A7F7E"/>
    <w:rsid w:val="001A7F95"/>
    <w:rsid w:val="001B0103"/>
    <w:rsid w:val="001B0267"/>
    <w:rsid w:val="001B0FC5"/>
    <w:rsid w:val="001B1009"/>
    <w:rsid w:val="001B123E"/>
    <w:rsid w:val="001B13F8"/>
    <w:rsid w:val="001B1556"/>
    <w:rsid w:val="001B1650"/>
    <w:rsid w:val="001B177D"/>
    <w:rsid w:val="001B1B21"/>
    <w:rsid w:val="001B2120"/>
    <w:rsid w:val="001B25B2"/>
    <w:rsid w:val="001B2D3A"/>
    <w:rsid w:val="001B2E43"/>
    <w:rsid w:val="001B2F29"/>
    <w:rsid w:val="001B31DA"/>
    <w:rsid w:val="001B3232"/>
    <w:rsid w:val="001B3445"/>
    <w:rsid w:val="001B347F"/>
    <w:rsid w:val="001B3493"/>
    <w:rsid w:val="001B3AC3"/>
    <w:rsid w:val="001B3D9E"/>
    <w:rsid w:val="001B3F13"/>
    <w:rsid w:val="001B3F44"/>
    <w:rsid w:val="001B40CE"/>
    <w:rsid w:val="001B4C06"/>
    <w:rsid w:val="001B533B"/>
    <w:rsid w:val="001B56FA"/>
    <w:rsid w:val="001B5888"/>
    <w:rsid w:val="001B5999"/>
    <w:rsid w:val="001B5A62"/>
    <w:rsid w:val="001B5B5F"/>
    <w:rsid w:val="001B5CD1"/>
    <w:rsid w:val="001B5FC3"/>
    <w:rsid w:val="001B633F"/>
    <w:rsid w:val="001B6D74"/>
    <w:rsid w:val="001B78C9"/>
    <w:rsid w:val="001B78EE"/>
    <w:rsid w:val="001B7A7D"/>
    <w:rsid w:val="001B7CCE"/>
    <w:rsid w:val="001C011D"/>
    <w:rsid w:val="001C0300"/>
    <w:rsid w:val="001C034F"/>
    <w:rsid w:val="001C067E"/>
    <w:rsid w:val="001C07DC"/>
    <w:rsid w:val="001C088E"/>
    <w:rsid w:val="001C0DC4"/>
    <w:rsid w:val="001C0E18"/>
    <w:rsid w:val="001C122D"/>
    <w:rsid w:val="001C168D"/>
    <w:rsid w:val="001C1A88"/>
    <w:rsid w:val="001C20A0"/>
    <w:rsid w:val="001C25E4"/>
    <w:rsid w:val="001C274D"/>
    <w:rsid w:val="001C28E7"/>
    <w:rsid w:val="001C2A0B"/>
    <w:rsid w:val="001C2AEA"/>
    <w:rsid w:val="001C2E19"/>
    <w:rsid w:val="001C2E27"/>
    <w:rsid w:val="001C2EAC"/>
    <w:rsid w:val="001C2FB7"/>
    <w:rsid w:val="001C3132"/>
    <w:rsid w:val="001C3309"/>
    <w:rsid w:val="001C33FB"/>
    <w:rsid w:val="001C344D"/>
    <w:rsid w:val="001C3536"/>
    <w:rsid w:val="001C38CF"/>
    <w:rsid w:val="001C38F0"/>
    <w:rsid w:val="001C3D1D"/>
    <w:rsid w:val="001C3DDB"/>
    <w:rsid w:val="001C3F8E"/>
    <w:rsid w:val="001C54EC"/>
    <w:rsid w:val="001C5A88"/>
    <w:rsid w:val="001C5B27"/>
    <w:rsid w:val="001C626D"/>
    <w:rsid w:val="001C6598"/>
    <w:rsid w:val="001C681C"/>
    <w:rsid w:val="001C68D8"/>
    <w:rsid w:val="001C732B"/>
    <w:rsid w:val="001C7D08"/>
    <w:rsid w:val="001C7DA5"/>
    <w:rsid w:val="001D0319"/>
    <w:rsid w:val="001D03FE"/>
    <w:rsid w:val="001D05C3"/>
    <w:rsid w:val="001D0DAE"/>
    <w:rsid w:val="001D0F24"/>
    <w:rsid w:val="001D16D8"/>
    <w:rsid w:val="001D1B94"/>
    <w:rsid w:val="001D1E7D"/>
    <w:rsid w:val="001D2DDA"/>
    <w:rsid w:val="001D2E48"/>
    <w:rsid w:val="001D2F96"/>
    <w:rsid w:val="001D30D0"/>
    <w:rsid w:val="001D4046"/>
    <w:rsid w:val="001D4275"/>
    <w:rsid w:val="001D438F"/>
    <w:rsid w:val="001D45E1"/>
    <w:rsid w:val="001D481E"/>
    <w:rsid w:val="001D49BA"/>
    <w:rsid w:val="001D4B1A"/>
    <w:rsid w:val="001D4CEB"/>
    <w:rsid w:val="001D4D00"/>
    <w:rsid w:val="001D5414"/>
    <w:rsid w:val="001D60A2"/>
    <w:rsid w:val="001D6470"/>
    <w:rsid w:val="001D6805"/>
    <w:rsid w:val="001D7C0D"/>
    <w:rsid w:val="001E0156"/>
    <w:rsid w:val="001E04D5"/>
    <w:rsid w:val="001E0837"/>
    <w:rsid w:val="001E0ABF"/>
    <w:rsid w:val="001E0F36"/>
    <w:rsid w:val="001E1699"/>
    <w:rsid w:val="001E20BF"/>
    <w:rsid w:val="001E324D"/>
    <w:rsid w:val="001E32C0"/>
    <w:rsid w:val="001E3B61"/>
    <w:rsid w:val="001E3DEB"/>
    <w:rsid w:val="001E40F5"/>
    <w:rsid w:val="001E43C8"/>
    <w:rsid w:val="001E475E"/>
    <w:rsid w:val="001E4977"/>
    <w:rsid w:val="001E51C8"/>
    <w:rsid w:val="001E538A"/>
    <w:rsid w:val="001E5518"/>
    <w:rsid w:val="001E55B8"/>
    <w:rsid w:val="001E55E1"/>
    <w:rsid w:val="001E56D2"/>
    <w:rsid w:val="001E5F6D"/>
    <w:rsid w:val="001E6036"/>
    <w:rsid w:val="001E6144"/>
    <w:rsid w:val="001E65DD"/>
    <w:rsid w:val="001E6868"/>
    <w:rsid w:val="001E6EB1"/>
    <w:rsid w:val="001E7450"/>
    <w:rsid w:val="001E7582"/>
    <w:rsid w:val="001E7A7B"/>
    <w:rsid w:val="001F011B"/>
    <w:rsid w:val="001F0502"/>
    <w:rsid w:val="001F05F5"/>
    <w:rsid w:val="001F15B6"/>
    <w:rsid w:val="001F1666"/>
    <w:rsid w:val="001F1F86"/>
    <w:rsid w:val="001F2426"/>
    <w:rsid w:val="001F28D8"/>
    <w:rsid w:val="001F2B9C"/>
    <w:rsid w:val="001F3045"/>
    <w:rsid w:val="001F314D"/>
    <w:rsid w:val="001F3236"/>
    <w:rsid w:val="001F3D6C"/>
    <w:rsid w:val="001F4257"/>
    <w:rsid w:val="001F4608"/>
    <w:rsid w:val="001F464F"/>
    <w:rsid w:val="001F4C35"/>
    <w:rsid w:val="001F517A"/>
    <w:rsid w:val="001F5516"/>
    <w:rsid w:val="001F55D4"/>
    <w:rsid w:val="001F5678"/>
    <w:rsid w:val="001F5684"/>
    <w:rsid w:val="001F6291"/>
    <w:rsid w:val="001F65F9"/>
    <w:rsid w:val="001F66A3"/>
    <w:rsid w:val="001F685B"/>
    <w:rsid w:val="001F7267"/>
    <w:rsid w:val="001F7F2C"/>
    <w:rsid w:val="002003FA"/>
    <w:rsid w:val="00200A0F"/>
    <w:rsid w:val="00201616"/>
    <w:rsid w:val="00201E7F"/>
    <w:rsid w:val="0020248F"/>
    <w:rsid w:val="00202B0B"/>
    <w:rsid w:val="00202EFB"/>
    <w:rsid w:val="002032BB"/>
    <w:rsid w:val="002033A5"/>
    <w:rsid w:val="00203918"/>
    <w:rsid w:val="00203C42"/>
    <w:rsid w:val="00203D7C"/>
    <w:rsid w:val="00203F35"/>
    <w:rsid w:val="00204418"/>
    <w:rsid w:val="0020441A"/>
    <w:rsid w:val="002047F2"/>
    <w:rsid w:val="00205937"/>
    <w:rsid w:val="0020607A"/>
    <w:rsid w:val="0020620A"/>
    <w:rsid w:val="00206250"/>
    <w:rsid w:val="002065BE"/>
    <w:rsid w:val="00206610"/>
    <w:rsid w:val="00206654"/>
    <w:rsid w:val="00206696"/>
    <w:rsid w:val="00206985"/>
    <w:rsid w:val="00206D08"/>
    <w:rsid w:val="00206E34"/>
    <w:rsid w:val="002073F9"/>
    <w:rsid w:val="002074F0"/>
    <w:rsid w:val="00207545"/>
    <w:rsid w:val="0020755C"/>
    <w:rsid w:val="002075F9"/>
    <w:rsid w:val="00207804"/>
    <w:rsid w:val="0020785F"/>
    <w:rsid w:val="00207CC6"/>
    <w:rsid w:val="0021014E"/>
    <w:rsid w:val="00210196"/>
    <w:rsid w:val="00210935"/>
    <w:rsid w:val="00210F73"/>
    <w:rsid w:val="0021140E"/>
    <w:rsid w:val="0021146B"/>
    <w:rsid w:val="002114F6"/>
    <w:rsid w:val="0021150F"/>
    <w:rsid w:val="00211553"/>
    <w:rsid w:val="0021176A"/>
    <w:rsid w:val="0021210C"/>
    <w:rsid w:val="002121C6"/>
    <w:rsid w:val="0021223E"/>
    <w:rsid w:val="00212328"/>
    <w:rsid w:val="0021233C"/>
    <w:rsid w:val="002132C8"/>
    <w:rsid w:val="00214189"/>
    <w:rsid w:val="002141BD"/>
    <w:rsid w:val="00214C71"/>
    <w:rsid w:val="00215038"/>
    <w:rsid w:val="002156AA"/>
    <w:rsid w:val="00215918"/>
    <w:rsid w:val="002159AF"/>
    <w:rsid w:val="00215D9C"/>
    <w:rsid w:val="00215F28"/>
    <w:rsid w:val="0021618F"/>
    <w:rsid w:val="002161EA"/>
    <w:rsid w:val="00216546"/>
    <w:rsid w:val="00216CA6"/>
    <w:rsid w:val="00217963"/>
    <w:rsid w:val="002179DF"/>
    <w:rsid w:val="002179E2"/>
    <w:rsid w:val="0022050B"/>
    <w:rsid w:val="00220BEE"/>
    <w:rsid w:val="00220C54"/>
    <w:rsid w:val="00221254"/>
    <w:rsid w:val="00221682"/>
    <w:rsid w:val="00221850"/>
    <w:rsid w:val="00222193"/>
    <w:rsid w:val="00222353"/>
    <w:rsid w:val="00222473"/>
    <w:rsid w:val="002230E2"/>
    <w:rsid w:val="00223104"/>
    <w:rsid w:val="0022331F"/>
    <w:rsid w:val="00223AA8"/>
    <w:rsid w:val="00223E2F"/>
    <w:rsid w:val="002242A7"/>
    <w:rsid w:val="002243BE"/>
    <w:rsid w:val="002243CE"/>
    <w:rsid w:val="00225351"/>
    <w:rsid w:val="002253D5"/>
    <w:rsid w:val="0022546E"/>
    <w:rsid w:val="0022593A"/>
    <w:rsid w:val="00226419"/>
    <w:rsid w:val="0022676B"/>
    <w:rsid w:val="00226CD5"/>
    <w:rsid w:val="00226CE9"/>
    <w:rsid w:val="00226FF7"/>
    <w:rsid w:val="002304C8"/>
    <w:rsid w:val="00230A75"/>
    <w:rsid w:val="00230E0B"/>
    <w:rsid w:val="002319EC"/>
    <w:rsid w:val="002320A9"/>
    <w:rsid w:val="0023243E"/>
    <w:rsid w:val="00232C68"/>
    <w:rsid w:val="00232F5E"/>
    <w:rsid w:val="00233095"/>
    <w:rsid w:val="0023343B"/>
    <w:rsid w:val="0023394F"/>
    <w:rsid w:val="00233F15"/>
    <w:rsid w:val="002342CE"/>
    <w:rsid w:val="00234387"/>
    <w:rsid w:val="002343A1"/>
    <w:rsid w:val="002344CD"/>
    <w:rsid w:val="00235155"/>
    <w:rsid w:val="0023550F"/>
    <w:rsid w:val="002364F2"/>
    <w:rsid w:val="00236CEC"/>
    <w:rsid w:val="00237489"/>
    <w:rsid w:val="002374F4"/>
    <w:rsid w:val="0023770F"/>
    <w:rsid w:val="00237984"/>
    <w:rsid w:val="00240637"/>
    <w:rsid w:val="00240A0B"/>
    <w:rsid w:val="00240F89"/>
    <w:rsid w:val="002411E7"/>
    <w:rsid w:val="00241BF2"/>
    <w:rsid w:val="00241D7E"/>
    <w:rsid w:val="002426B9"/>
    <w:rsid w:val="0024273C"/>
    <w:rsid w:val="00242939"/>
    <w:rsid w:val="00242F3B"/>
    <w:rsid w:val="00243C2D"/>
    <w:rsid w:val="00243CBE"/>
    <w:rsid w:val="00244484"/>
    <w:rsid w:val="0024476A"/>
    <w:rsid w:val="0024488A"/>
    <w:rsid w:val="00244B67"/>
    <w:rsid w:val="00244CD1"/>
    <w:rsid w:val="00244E41"/>
    <w:rsid w:val="00244E8B"/>
    <w:rsid w:val="00244ED0"/>
    <w:rsid w:val="00244F2C"/>
    <w:rsid w:val="00245586"/>
    <w:rsid w:val="002457F0"/>
    <w:rsid w:val="00246399"/>
    <w:rsid w:val="0024658B"/>
    <w:rsid w:val="00246CB7"/>
    <w:rsid w:val="00247DBF"/>
    <w:rsid w:val="00247F18"/>
    <w:rsid w:val="00250262"/>
    <w:rsid w:val="00250296"/>
    <w:rsid w:val="0025040A"/>
    <w:rsid w:val="00250AC9"/>
    <w:rsid w:val="00250E34"/>
    <w:rsid w:val="002516C6"/>
    <w:rsid w:val="00251B7F"/>
    <w:rsid w:val="00251C47"/>
    <w:rsid w:val="00252B3B"/>
    <w:rsid w:val="00252B82"/>
    <w:rsid w:val="00252D99"/>
    <w:rsid w:val="002530C7"/>
    <w:rsid w:val="00253136"/>
    <w:rsid w:val="002531F9"/>
    <w:rsid w:val="002534D0"/>
    <w:rsid w:val="00253701"/>
    <w:rsid w:val="00253FBF"/>
    <w:rsid w:val="002541E9"/>
    <w:rsid w:val="0025426A"/>
    <w:rsid w:val="00254279"/>
    <w:rsid w:val="00254370"/>
    <w:rsid w:val="00254E86"/>
    <w:rsid w:val="00255156"/>
    <w:rsid w:val="00255804"/>
    <w:rsid w:val="00255994"/>
    <w:rsid w:val="002563BB"/>
    <w:rsid w:val="002568BB"/>
    <w:rsid w:val="002568FD"/>
    <w:rsid w:val="00256AE0"/>
    <w:rsid w:val="00256BC4"/>
    <w:rsid w:val="00257140"/>
    <w:rsid w:val="0025741D"/>
    <w:rsid w:val="00257519"/>
    <w:rsid w:val="0025759F"/>
    <w:rsid w:val="00257914"/>
    <w:rsid w:val="00257D07"/>
    <w:rsid w:val="00257ED5"/>
    <w:rsid w:val="00260380"/>
    <w:rsid w:val="002607A4"/>
    <w:rsid w:val="002607D4"/>
    <w:rsid w:val="0026092D"/>
    <w:rsid w:val="00261416"/>
    <w:rsid w:val="0026146B"/>
    <w:rsid w:val="0026162D"/>
    <w:rsid w:val="00261AA7"/>
    <w:rsid w:val="00261E36"/>
    <w:rsid w:val="00262088"/>
    <w:rsid w:val="00262802"/>
    <w:rsid w:val="00262DF1"/>
    <w:rsid w:val="00263436"/>
    <w:rsid w:val="00263506"/>
    <w:rsid w:val="002637C2"/>
    <w:rsid w:val="00263959"/>
    <w:rsid w:val="00263B94"/>
    <w:rsid w:val="00263DD7"/>
    <w:rsid w:val="00264287"/>
    <w:rsid w:val="0026429D"/>
    <w:rsid w:val="00264D82"/>
    <w:rsid w:val="0026571B"/>
    <w:rsid w:val="00265AE3"/>
    <w:rsid w:val="00266331"/>
    <w:rsid w:val="0026643A"/>
    <w:rsid w:val="00266C5D"/>
    <w:rsid w:val="00266EE8"/>
    <w:rsid w:val="00267884"/>
    <w:rsid w:val="00267A16"/>
    <w:rsid w:val="002700AA"/>
    <w:rsid w:val="002701B5"/>
    <w:rsid w:val="002701CE"/>
    <w:rsid w:val="00270B64"/>
    <w:rsid w:val="002710F1"/>
    <w:rsid w:val="0027120D"/>
    <w:rsid w:val="002717C9"/>
    <w:rsid w:val="002727E6"/>
    <w:rsid w:val="00272C84"/>
    <w:rsid w:val="00272F7F"/>
    <w:rsid w:val="00273F8C"/>
    <w:rsid w:val="00274540"/>
    <w:rsid w:val="0027459A"/>
    <w:rsid w:val="002749DF"/>
    <w:rsid w:val="00274A96"/>
    <w:rsid w:val="00274B27"/>
    <w:rsid w:val="00274FD4"/>
    <w:rsid w:val="00275058"/>
    <w:rsid w:val="002752DE"/>
    <w:rsid w:val="0027588C"/>
    <w:rsid w:val="002759BD"/>
    <w:rsid w:val="00275C70"/>
    <w:rsid w:val="00275E64"/>
    <w:rsid w:val="00275F67"/>
    <w:rsid w:val="00275FB4"/>
    <w:rsid w:val="00276083"/>
    <w:rsid w:val="00276571"/>
    <w:rsid w:val="002768C6"/>
    <w:rsid w:val="002769E6"/>
    <w:rsid w:val="0027753E"/>
    <w:rsid w:val="00277622"/>
    <w:rsid w:val="00277854"/>
    <w:rsid w:val="00280171"/>
    <w:rsid w:val="0028047F"/>
    <w:rsid w:val="002809E1"/>
    <w:rsid w:val="0028109C"/>
    <w:rsid w:val="00281636"/>
    <w:rsid w:val="00281D21"/>
    <w:rsid w:val="00281EDC"/>
    <w:rsid w:val="0028206F"/>
    <w:rsid w:val="002821A5"/>
    <w:rsid w:val="002825FE"/>
    <w:rsid w:val="002827B5"/>
    <w:rsid w:val="00282E36"/>
    <w:rsid w:val="002833D8"/>
    <w:rsid w:val="00283FE8"/>
    <w:rsid w:val="0028402A"/>
    <w:rsid w:val="002842CF"/>
    <w:rsid w:val="00284546"/>
    <w:rsid w:val="002846DE"/>
    <w:rsid w:val="002846F8"/>
    <w:rsid w:val="0028471E"/>
    <w:rsid w:val="00284909"/>
    <w:rsid w:val="00284AEF"/>
    <w:rsid w:val="00285A5E"/>
    <w:rsid w:val="00285DDA"/>
    <w:rsid w:val="002860C7"/>
    <w:rsid w:val="0028667D"/>
    <w:rsid w:val="002871FE"/>
    <w:rsid w:val="00287D3C"/>
    <w:rsid w:val="00290287"/>
    <w:rsid w:val="00290BCE"/>
    <w:rsid w:val="00290E80"/>
    <w:rsid w:val="00291124"/>
    <w:rsid w:val="002912E0"/>
    <w:rsid w:val="002919E4"/>
    <w:rsid w:val="00291D2B"/>
    <w:rsid w:val="00291EE7"/>
    <w:rsid w:val="00292126"/>
    <w:rsid w:val="002927D5"/>
    <w:rsid w:val="00292F2B"/>
    <w:rsid w:val="002932CF"/>
    <w:rsid w:val="002932E0"/>
    <w:rsid w:val="00293673"/>
    <w:rsid w:val="002938B1"/>
    <w:rsid w:val="002940D5"/>
    <w:rsid w:val="002947F1"/>
    <w:rsid w:val="002948F5"/>
    <w:rsid w:val="00294C9A"/>
    <w:rsid w:val="00294E90"/>
    <w:rsid w:val="00295300"/>
    <w:rsid w:val="002954DC"/>
    <w:rsid w:val="002955B4"/>
    <w:rsid w:val="00295ADC"/>
    <w:rsid w:val="00295BD2"/>
    <w:rsid w:val="00295F7E"/>
    <w:rsid w:val="002964EB"/>
    <w:rsid w:val="00296AD3"/>
    <w:rsid w:val="00296B24"/>
    <w:rsid w:val="00296BE2"/>
    <w:rsid w:val="00296D16"/>
    <w:rsid w:val="00297120"/>
    <w:rsid w:val="002974D3"/>
    <w:rsid w:val="002975AA"/>
    <w:rsid w:val="00297809"/>
    <w:rsid w:val="00297A0D"/>
    <w:rsid w:val="002A0339"/>
    <w:rsid w:val="002A06D3"/>
    <w:rsid w:val="002A0AC3"/>
    <w:rsid w:val="002A122B"/>
    <w:rsid w:val="002A146B"/>
    <w:rsid w:val="002A14CF"/>
    <w:rsid w:val="002A191D"/>
    <w:rsid w:val="002A1CB0"/>
    <w:rsid w:val="002A22EE"/>
    <w:rsid w:val="002A2488"/>
    <w:rsid w:val="002A25F3"/>
    <w:rsid w:val="002A372E"/>
    <w:rsid w:val="002A381B"/>
    <w:rsid w:val="002A392E"/>
    <w:rsid w:val="002A3A4B"/>
    <w:rsid w:val="002A3B95"/>
    <w:rsid w:val="002A3D62"/>
    <w:rsid w:val="002A3E1C"/>
    <w:rsid w:val="002A3EAC"/>
    <w:rsid w:val="002A4394"/>
    <w:rsid w:val="002A478C"/>
    <w:rsid w:val="002A50D4"/>
    <w:rsid w:val="002A54B5"/>
    <w:rsid w:val="002A565E"/>
    <w:rsid w:val="002A5B0C"/>
    <w:rsid w:val="002A5DFA"/>
    <w:rsid w:val="002A6E6D"/>
    <w:rsid w:val="002A7E4C"/>
    <w:rsid w:val="002B0086"/>
    <w:rsid w:val="002B0874"/>
    <w:rsid w:val="002B09BD"/>
    <w:rsid w:val="002B0C38"/>
    <w:rsid w:val="002B0E8C"/>
    <w:rsid w:val="002B11A7"/>
    <w:rsid w:val="002B166C"/>
    <w:rsid w:val="002B1E1D"/>
    <w:rsid w:val="002B20B8"/>
    <w:rsid w:val="002B2391"/>
    <w:rsid w:val="002B264B"/>
    <w:rsid w:val="002B2F1B"/>
    <w:rsid w:val="002B3244"/>
    <w:rsid w:val="002B38E9"/>
    <w:rsid w:val="002B3FAA"/>
    <w:rsid w:val="002B41E5"/>
    <w:rsid w:val="002B4266"/>
    <w:rsid w:val="002B42B3"/>
    <w:rsid w:val="002B55FA"/>
    <w:rsid w:val="002B5AA5"/>
    <w:rsid w:val="002B5DEB"/>
    <w:rsid w:val="002B5F24"/>
    <w:rsid w:val="002B6028"/>
    <w:rsid w:val="002B6C0E"/>
    <w:rsid w:val="002B7609"/>
    <w:rsid w:val="002B79F8"/>
    <w:rsid w:val="002B7B10"/>
    <w:rsid w:val="002C01B6"/>
    <w:rsid w:val="002C09D5"/>
    <w:rsid w:val="002C0C53"/>
    <w:rsid w:val="002C1A41"/>
    <w:rsid w:val="002C2281"/>
    <w:rsid w:val="002C2352"/>
    <w:rsid w:val="002C281D"/>
    <w:rsid w:val="002C2F00"/>
    <w:rsid w:val="002C3058"/>
    <w:rsid w:val="002C40E5"/>
    <w:rsid w:val="002C47A4"/>
    <w:rsid w:val="002C4A08"/>
    <w:rsid w:val="002C4A18"/>
    <w:rsid w:val="002C4E07"/>
    <w:rsid w:val="002C5828"/>
    <w:rsid w:val="002C585D"/>
    <w:rsid w:val="002C5F2D"/>
    <w:rsid w:val="002C5FC6"/>
    <w:rsid w:val="002C600E"/>
    <w:rsid w:val="002C6160"/>
    <w:rsid w:val="002C6B55"/>
    <w:rsid w:val="002D0243"/>
    <w:rsid w:val="002D0575"/>
    <w:rsid w:val="002D0576"/>
    <w:rsid w:val="002D0B44"/>
    <w:rsid w:val="002D0BA8"/>
    <w:rsid w:val="002D0CDB"/>
    <w:rsid w:val="002D1937"/>
    <w:rsid w:val="002D1CCE"/>
    <w:rsid w:val="002D2237"/>
    <w:rsid w:val="002D26C1"/>
    <w:rsid w:val="002D2729"/>
    <w:rsid w:val="002D2C41"/>
    <w:rsid w:val="002D2CD1"/>
    <w:rsid w:val="002D329F"/>
    <w:rsid w:val="002D3626"/>
    <w:rsid w:val="002D4479"/>
    <w:rsid w:val="002D44E8"/>
    <w:rsid w:val="002D487D"/>
    <w:rsid w:val="002D4E1A"/>
    <w:rsid w:val="002D512E"/>
    <w:rsid w:val="002D5A0B"/>
    <w:rsid w:val="002D5A56"/>
    <w:rsid w:val="002D5AB8"/>
    <w:rsid w:val="002D5D00"/>
    <w:rsid w:val="002D5DA2"/>
    <w:rsid w:val="002D5E20"/>
    <w:rsid w:val="002D6645"/>
    <w:rsid w:val="002D6B74"/>
    <w:rsid w:val="002D7072"/>
    <w:rsid w:val="002D7182"/>
    <w:rsid w:val="002D7D99"/>
    <w:rsid w:val="002E03BF"/>
    <w:rsid w:val="002E07CD"/>
    <w:rsid w:val="002E0EFC"/>
    <w:rsid w:val="002E14CA"/>
    <w:rsid w:val="002E16F4"/>
    <w:rsid w:val="002E186C"/>
    <w:rsid w:val="002E2170"/>
    <w:rsid w:val="002E242F"/>
    <w:rsid w:val="002E2640"/>
    <w:rsid w:val="002E27EF"/>
    <w:rsid w:val="002E2812"/>
    <w:rsid w:val="002E28F9"/>
    <w:rsid w:val="002E2A7D"/>
    <w:rsid w:val="002E2A8E"/>
    <w:rsid w:val="002E2D6E"/>
    <w:rsid w:val="002E2DEB"/>
    <w:rsid w:val="002E4222"/>
    <w:rsid w:val="002E4271"/>
    <w:rsid w:val="002E4522"/>
    <w:rsid w:val="002E46D9"/>
    <w:rsid w:val="002E4714"/>
    <w:rsid w:val="002E4747"/>
    <w:rsid w:val="002E4846"/>
    <w:rsid w:val="002E48F8"/>
    <w:rsid w:val="002E4A46"/>
    <w:rsid w:val="002E4A89"/>
    <w:rsid w:val="002E4B91"/>
    <w:rsid w:val="002E5C7A"/>
    <w:rsid w:val="002E5FBF"/>
    <w:rsid w:val="002E6166"/>
    <w:rsid w:val="002E6180"/>
    <w:rsid w:val="002E6403"/>
    <w:rsid w:val="002E680C"/>
    <w:rsid w:val="002E706B"/>
    <w:rsid w:val="002E70C0"/>
    <w:rsid w:val="002E719F"/>
    <w:rsid w:val="002E7357"/>
    <w:rsid w:val="002E7676"/>
    <w:rsid w:val="002E7ABC"/>
    <w:rsid w:val="002E7B3D"/>
    <w:rsid w:val="002F001B"/>
    <w:rsid w:val="002F0213"/>
    <w:rsid w:val="002F0250"/>
    <w:rsid w:val="002F0432"/>
    <w:rsid w:val="002F0696"/>
    <w:rsid w:val="002F0A0B"/>
    <w:rsid w:val="002F0D15"/>
    <w:rsid w:val="002F1033"/>
    <w:rsid w:val="002F1071"/>
    <w:rsid w:val="002F14CD"/>
    <w:rsid w:val="002F15CD"/>
    <w:rsid w:val="002F1F6D"/>
    <w:rsid w:val="002F25D0"/>
    <w:rsid w:val="002F29A5"/>
    <w:rsid w:val="002F2AE1"/>
    <w:rsid w:val="002F3D07"/>
    <w:rsid w:val="002F3F2E"/>
    <w:rsid w:val="002F4077"/>
    <w:rsid w:val="002F40E8"/>
    <w:rsid w:val="002F41C4"/>
    <w:rsid w:val="002F41EC"/>
    <w:rsid w:val="002F4703"/>
    <w:rsid w:val="002F53DB"/>
    <w:rsid w:val="002F5D59"/>
    <w:rsid w:val="002F5F2E"/>
    <w:rsid w:val="002F6064"/>
    <w:rsid w:val="002F66E4"/>
    <w:rsid w:val="002F6814"/>
    <w:rsid w:val="002F72D7"/>
    <w:rsid w:val="002F786F"/>
    <w:rsid w:val="00300058"/>
    <w:rsid w:val="0030078F"/>
    <w:rsid w:val="003009B0"/>
    <w:rsid w:val="00300C1B"/>
    <w:rsid w:val="00300F5B"/>
    <w:rsid w:val="003013E2"/>
    <w:rsid w:val="003015C3"/>
    <w:rsid w:val="00301D65"/>
    <w:rsid w:val="00301DD1"/>
    <w:rsid w:val="00302B5A"/>
    <w:rsid w:val="00303457"/>
    <w:rsid w:val="00303BA4"/>
    <w:rsid w:val="003044D8"/>
    <w:rsid w:val="00304850"/>
    <w:rsid w:val="00304E11"/>
    <w:rsid w:val="0030549D"/>
    <w:rsid w:val="003056EE"/>
    <w:rsid w:val="00305D94"/>
    <w:rsid w:val="00306220"/>
    <w:rsid w:val="00306271"/>
    <w:rsid w:val="003064A6"/>
    <w:rsid w:val="003073D3"/>
    <w:rsid w:val="003076FE"/>
    <w:rsid w:val="00307DF1"/>
    <w:rsid w:val="003105B2"/>
    <w:rsid w:val="003109D4"/>
    <w:rsid w:val="0031141D"/>
    <w:rsid w:val="003114E2"/>
    <w:rsid w:val="00311696"/>
    <w:rsid w:val="003118CD"/>
    <w:rsid w:val="00311D03"/>
    <w:rsid w:val="00311E45"/>
    <w:rsid w:val="00312061"/>
    <w:rsid w:val="003122C5"/>
    <w:rsid w:val="00312963"/>
    <w:rsid w:val="00312CD0"/>
    <w:rsid w:val="00312CD3"/>
    <w:rsid w:val="003130E6"/>
    <w:rsid w:val="003133DC"/>
    <w:rsid w:val="0031344A"/>
    <w:rsid w:val="00313761"/>
    <w:rsid w:val="00313938"/>
    <w:rsid w:val="00313A59"/>
    <w:rsid w:val="003146C3"/>
    <w:rsid w:val="00314927"/>
    <w:rsid w:val="00314F5C"/>
    <w:rsid w:val="00315040"/>
    <w:rsid w:val="003153C5"/>
    <w:rsid w:val="00315541"/>
    <w:rsid w:val="003157D8"/>
    <w:rsid w:val="00315A8C"/>
    <w:rsid w:val="00315C7F"/>
    <w:rsid w:val="00315C98"/>
    <w:rsid w:val="003160DB"/>
    <w:rsid w:val="0031649C"/>
    <w:rsid w:val="00316B90"/>
    <w:rsid w:val="00316DAA"/>
    <w:rsid w:val="00317396"/>
    <w:rsid w:val="00317459"/>
    <w:rsid w:val="00317806"/>
    <w:rsid w:val="00317883"/>
    <w:rsid w:val="00317BA1"/>
    <w:rsid w:val="00317BEC"/>
    <w:rsid w:val="00317F59"/>
    <w:rsid w:val="00320000"/>
    <w:rsid w:val="00320063"/>
    <w:rsid w:val="0032038D"/>
    <w:rsid w:val="003203BA"/>
    <w:rsid w:val="003204AF"/>
    <w:rsid w:val="00320620"/>
    <w:rsid w:val="00320685"/>
    <w:rsid w:val="00320978"/>
    <w:rsid w:val="003219D4"/>
    <w:rsid w:val="00321B51"/>
    <w:rsid w:val="00321C57"/>
    <w:rsid w:val="00321D24"/>
    <w:rsid w:val="00321DC4"/>
    <w:rsid w:val="0032200A"/>
    <w:rsid w:val="0032214E"/>
    <w:rsid w:val="003223D5"/>
    <w:rsid w:val="00322991"/>
    <w:rsid w:val="00322D3B"/>
    <w:rsid w:val="003238A7"/>
    <w:rsid w:val="003246A3"/>
    <w:rsid w:val="0032490D"/>
    <w:rsid w:val="00324C20"/>
    <w:rsid w:val="00324EA5"/>
    <w:rsid w:val="00324EBC"/>
    <w:rsid w:val="00324F69"/>
    <w:rsid w:val="003250CD"/>
    <w:rsid w:val="003277BE"/>
    <w:rsid w:val="00327E69"/>
    <w:rsid w:val="0033033A"/>
    <w:rsid w:val="00330A47"/>
    <w:rsid w:val="00330B34"/>
    <w:rsid w:val="00330DAE"/>
    <w:rsid w:val="00331621"/>
    <w:rsid w:val="003317DB"/>
    <w:rsid w:val="00331BB7"/>
    <w:rsid w:val="00331ECE"/>
    <w:rsid w:val="00332912"/>
    <w:rsid w:val="00332FC4"/>
    <w:rsid w:val="00333278"/>
    <w:rsid w:val="0033384A"/>
    <w:rsid w:val="003343F8"/>
    <w:rsid w:val="003344C1"/>
    <w:rsid w:val="0033492F"/>
    <w:rsid w:val="00334CB7"/>
    <w:rsid w:val="00334EB0"/>
    <w:rsid w:val="00334F4C"/>
    <w:rsid w:val="003353C0"/>
    <w:rsid w:val="003357D8"/>
    <w:rsid w:val="00335E70"/>
    <w:rsid w:val="00335FAE"/>
    <w:rsid w:val="00336364"/>
    <w:rsid w:val="0033646E"/>
    <w:rsid w:val="003375FA"/>
    <w:rsid w:val="00337679"/>
    <w:rsid w:val="00337C2A"/>
    <w:rsid w:val="003400D5"/>
    <w:rsid w:val="00340364"/>
    <w:rsid w:val="0034071C"/>
    <w:rsid w:val="00340B3A"/>
    <w:rsid w:val="00341693"/>
    <w:rsid w:val="003416EC"/>
    <w:rsid w:val="00342924"/>
    <w:rsid w:val="003430A7"/>
    <w:rsid w:val="003438FD"/>
    <w:rsid w:val="00343D48"/>
    <w:rsid w:val="003447A3"/>
    <w:rsid w:val="00344AEC"/>
    <w:rsid w:val="00344EA3"/>
    <w:rsid w:val="0034521C"/>
    <w:rsid w:val="003454BA"/>
    <w:rsid w:val="00345612"/>
    <w:rsid w:val="00345B2A"/>
    <w:rsid w:val="00346123"/>
    <w:rsid w:val="003463E0"/>
    <w:rsid w:val="003469E7"/>
    <w:rsid w:val="0034713D"/>
    <w:rsid w:val="00347167"/>
    <w:rsid w:val="003471A8"/>
    <w:rsid w:val="003471E2"/>
    <w:rsid w:val="00347368"/>
    <w:rsid w:val="00347DB1"/>
    <w:rsid w:val="00347EAB"/>
    <w:rsid w:val="00350288"/>
    <w:rsid w:val="00350518"/>
    <w:rsid w:val="00350A4B"/>
    <w:rsid w:val="003513EB"/>
    <w:rsid w:val="00351E46"/>
    <w:rsid w:val="00352839"/>
    <w:rsid w:val="00353167"/>
    <w:rsid w:val="00353214"/>
    <w:rsid w:val="00353264"/>
    <w:rsid w:val="00353296"/>
    <w:rsid w:val="00353675"/>
    <w:rsid w:val="00353771"/>
    <w:rsid w:val="00353F4E"/>
    <w:rsid w:val="00354603"/>
    <w:rsid w:val="003548FC"/>
    <w:rsid w:val="00354B5D"/>
    <w:rsid w:val="00354D52"/>
    <w:rsid w:val="00354D89"/>
    <w:rsid w:val="00355553"/>
    <w:rsid w:val="00355619"/>
    <w:rsid w:val="00355843"/>
    <w:rsid w:val="00355BBC"/>
    <w:rsid w:val="00356BD0"/>
    <w:rsid w:val="00356BDA"/>
    <w:rsid w:val="00357345"/>
    <w:rsid w:val="003600EB"/>
    <w:rsid w:val="003601AE"/>
    <w:rsid w:val="0036050D"/>
    <w:rsid w:val="00360524"/>
    <w:rsid w:val="00360978"/>
    <w:rsid w:val="00360A8F"/>
    <w:rsid w:val="00360B97"/>
    <w:rsid w:val="00360EE4"/>
    <w:rsid w:val="00361201"/>
    <w:rsid w:val="0036125C"/>
    <w:rsid w:val="003625F2"/>
    <w:rsid w:val="00362835"/>
    <w:rsid w:val="003629E5"/>
    <w:rsid w:val="00362CA4"/>
    <w:rsid w:val="00363232"/>
    <w:rsid w:val="00363443"/>
    <w:rsid w:val="0036346D"/>
    <w:rsid w:val="00363501"/>
    <w:rsid w:val="00363939"/>
    <w:rsid w:val="00364AC2"/>
    <w:rsid w:val="0036576D"/>
    <w:rsid w:val="00365CA5"/>
    <w:rsid w:val="00365CBD"/>
    <w:rsid w:val="00365E3A"/>
    <w:rsid w:val="00365FA3"/>
    <w:rsid w:val="003661A6"/>
    <w:rsid w:val="003661CC"/>
    <w:rsid w:val="00366323"/>
    <w:rsid w:val="003663A8"/>
    <w:rsid w:val="00366978"/>
    <w:rsid w:val="003671AA"/>
    <w:rsid w:val="0036727D"/>
    <w:rsid w:val="00367362"/>
    <w:rsid w:val="0036763E"/>
    <w:rsid w:val="00367C5F"/>
    <w:rsid w:val="0037004C"/>
    <w:rsid w:val="003701EC"/>
    <w:rsid w:val="00370231"/>
    <w:rsid w:val="00370282"/>
    <w:rsid w:val="003703AE"/>
    <w:rsid w:val="00370594"/>
    <w:rsid w:val="003705F3"/>
    <w:rsid w:val="003707A3"/>
    <w:rsid w:val="00370A94"/>
    <w:rsid w:val="0037155A"/>
    <w:rsid w:val="00371B83"/>
    <w:rsid w:val="00371D69"/>
    <w:rsid w:val="00371F54"/>
    <w:rsid w:val="00372221"/>
    <w:rsid w:val="003727B7"/>
    <w:rsid w:val="00372C0D"/>
    <w:rsid w:val="00372F39"/>
    <w:rsid w:val="003734E0"/>
    <w:rsid w:val="003735EC"/>
    <w:rsid w:val="00373A35"/>
    <w:rsid w:val="00373FA1"/>
    <w:rsid w:val="00373FD4"/>
    <w:rsid w:val="00374201"/>
    <w:rsid w:val="00374AA9"/>
    <w:rsid w:val="00374AFE"/>
    <w:rsid w:val="00374E2E"/>
    <w:rsid w:val="00375425"/>
    <w:rsid w:val="003761C9"/>
    <w:rsid w:val="0037633F"/>
    <w:rsid w:val="00376598"/>
    <w:rsid w:val="003766EC"/>
    <w:rsid w:val="00376976"/>
    <w:rsid w:val="003770C1"/>
    <w:rsid w:val="0037740A"/>
    <w:rsid w:val="00377672"/>
    <w:rsid w:val="00377B93"/>
    <w:rsid w:val="00377BCC"/>
    <w:rsid w:val="00377E77"/>
    <w:rsid w:val="00380218"/>
    <w:rsid w:val="00380248"/>
    <w:rsid w:val="00380303"/>
    <w:rsid w:val="0038061D"/>
    <w:rsid w:val="0038185D"/>
    <w:rsid w:val="00381AE3"/>
    <w:rsid w:val="00381B96"/>
    <w:rsid w:val="00381EC7"/>
    <w:rsid w:val="0038252D"/>
    <w:rsid w:val="003825E3"/>
    <w:rsid w:val="00382925"/>
    <w:rsid w:val="003840A7"/>
    <w:rsid w:val="0038457F"/>
    <w:rsid w:val="00384D21"/>
    <w:rsid w:val="0038501C"/>
    <w:rsid w:val="0038505D"/>
    <w:rsid w:val="00385168"/>
    <w:rsid w:val="0038516C"/>
    <w:rsid w:val="003852B9"/>
    <w:rsid w:val="00386020"/>
    <w:rsid w:val="003862A7"/>
    <w:rsid w:val="003867F6"/>
    <w:rsid w:val="00386E05"/>
    <w:rsid w:val="00387637"/>
    <w:rsid w:val="00387805"/>
    <w:rsid w:val="00387B5D"/>
    <w:rsid w:val="00390038"/>
    <w:rsid w:val="00390072"/>
    <w:rsid w:val="0039050A"/>
    <w:rsid w:val="00390C5E"/>
    <w:rsid w:val="00390E7D"/>
    <w:rsid w:val="00390FCB"/>
    <w:rsid w:val="00391692"/>
    <w:rsid w:val="00391BF3"/>
    <w:rsid w:val="00391FAC"/>
    <w:rsid w:val="00392BAE"/>
    <w:rsid w:val="003931D5"/>
    <w:rsid w:val="00393445"/>
    <w:rsid w:val="003938FB"/>
    <w:rsid w:val="00393DF9"/>
    <w:rsid w:val="00393F39"/>
    <w:rsid w:val="003943D4"/>
    <w:rsid w:val="0039504D"/>
    <w:rsid w:val="0039559C"/>
    <w:rsid w:val="0039570C"/>
    <w:rsid w:val="00395887"/>
    <w:rsid w:val="003958CB"/>
    <w:rsid w:val="00395DB7"/>
    <w:rsid w:val="00395E26"/>
    <w:rsid w:val="00396ACC"/>
    <w:rsid w:val="0039725F"/>
    <w:rsid w:val="003978CE"/>
    <w:rsid w:val="00397A3A"/>
    <w:rsid w:val="00397F92"/>
    <w:rsid w:val="003A03B0"/>
    <w:rsid w:val="003A0E7D"/>
    <w:rsid w:val="003A0E82"/>
    <w:rsid w:val="003A0F93"/>
    <w:rsid w:val="003A1048"/>
    <w:rsid w:val="003A1204"/>
    <w:rsid w:val="003A12BC"/>
    <w:rsid w:val="003A1764"/>
    <w:rsid w:val="003A17F2"/>
    <w:rsid w:val="003A1AD6"/>
    <w:rsid w:val="003A1E3D"/>
    <w:rsid w:val="003A22E4"/>
    <w:rsid w:val="003A2330"/>
    <w:rsid w:val="003A2378"/>
    <w:rsid w:val="003A33D1"/>
    <w:rsid w:val="003A3564"/>
    <w:rsid w:val="003A3835"/>
    <w:rsid w:val="003A3BC7"/>
    <w:rsid w:val="003A3CE7"/>
    <w:rsid w:val="003A41A4"/>
    <w:rsid w:val="003A44CA"/>
    <w:rsid w:val="003A4EC0"/>
    <w:rsid w:val="003A5176"/>
    <w:rsid w:val="003A53B3"/>
    <w:rsid w:val="003A6C41"/>
    <w:rsid w:val="003A6D99"/>
    <w:rsid w:val="003A7393"/>
    <w:rsid w:val="003A7B0A"/>
    <w:rsid w:val="003A7E50"/>
    <w:rsid w:val="003A7F03"/>
    <w:rsid w:val="003B02F7"/>
    <w:rsid w:val="003B02FE"/>
    <w:rsid w:val="003B076A"/>
    <w:rsid w:val="003B07F2"/>
    <w:rsid w:val="003B0B45"/>
    <w:rsid w:val="003B0C24"/>
    <w:rsid w:val="003B0C52"/>
    <w:rsid w:val="003B119F"/>
    <w:rsid w:val="003B15BE"/>
    <w:rsid w:val="003B15FB"/>
    <w:rsid w:val="003B1AD1"/>
    <w:rsid w:val="003B1E55"/>
    <w:rsid w:val="003B1F2A"/>
    <w:rsid w:val="003B1FF0"/>
    <w:rsid w:val="003B2065"/>
    <w:rsid w:val="003B2B17"/>
    <w:rsid w:val="003B3444"/>
    <w:rsid w:val="003B35E4"/>
    <w:rsid w:val="003B37B8"/>
    <w:rsid w:val="003B406B"/>
    <w:rsid w:val="003B42DB"/>
    <w:rsid w:val="003B4C22"/>
    <w:rsid w:val="003B4F31"/>
    <w:rsid w:val="003B500F"/>
    <w:rsid w:val="003B50EB"/>
    <w:rsid w:val="003B5373"/>
    <w:rsid w:val="003B5F0F"/>
    <w:rsid w:val="003B60E7"/>
    <w:rsid w:val="003B6248"/>
    <w:rsid w:val="003B683A"/>
    <w:rsid w:val="003B6C09"/>
    <w:rsid w:val="003B6C1A"/>
    <w:rsid w:val="003B6DAB"/>
    <w:rsid w:val="003B78DD"/>
    <w:rsid w:val="003B7A81"/>
    <w:rsid w:val="003B7B7B"/>
    <w:rsid w:val="003C00D8"/>
    <w:rsid w:val="003C05FD"/>
    <w:rsid w:val="003C0B55"/>
    <w:rsid w:val="003C0B62"/>
    <w:rsid w:val="003C0DD0"/>
    <w:rsid w:val="003C10D5"/>
    <w:rsid w:val="003C11E0"/>
    <w:rsid w:val="003C1832"/>
    <w:rsid w:val="003C1FDB"/>
    <w:rsid w:val="003C22DF"/>
    <w:rsid w:val="003C285F"/>
    <w:rsid w:val="003C3053"/>
    <w:rsid w:val="003C30C2"/>
    <w:rsid w:val="003C31DD"/>
    <w:rsid w:val="003C372D"/>
    <w:rsid w:val="003C3CAE"/>
    <w:rsid w:val="003C4B1D"/>
    <w:rsid w:val="003C4B25"/>
    <w:rsid w:val="003C4CAE"/>
    <w:rsid w:val="003C4F34"/>
    <w:rsid w:val="003C52A3"/>
    <w:rsid w:val="003C5581"/>
    <w:rsid w:val="003C5E5A"/>
    <w:rsid w:val="003C604F"/>
    <w:rsid w:val="003C6074"/>
    <w:rsid w:val="003C6193"/>
    <w:rsid w:val="003C64F9"/>
    <w:rsid w:val="003C67FE"/>
    <w:rsid w:val="003C7147"/>
    <w:rsid w:val="003C7F5F"/>
    <w:rsid w:val="003D0FBA"/>
    <w:rsid w:val="003D14B4"/>
    <w:rsid w:val="003D1C7D"/>
    <w:rsid w:val="003D26F4"/>
    <w:rsid w:val="003D299A"/>
    <w:rsid w:val="003D29E6"/>
    <w:rsid w:val="003D2DA2"/>
    <w:rsid w:val="003D2F7C"/>
    <w:rsid w:val="003D3F81"/>
    <w:rsid w:val="003D40C7"/>
    <w:rsid w:val="003D42C2"/>
    <w:rsid w:val="003D485F"/>
    <w:rsid w:val="003D48B2"/>
    <w:rsid w:val="003D49A1"/>
    <w:rsid w:val="003D4AF5"/>
    <w:rsid w:val="003D52F0"/>
    <w:rsid w:val="003D5807"/>
    <w:rsid w:val="003D5949"/>
    <w:rsid w:val="003D5F2B"/>
    <w:rsid w:val="003D67B7"/>
    <w:rsid w:val="003D7857"/>
    <w:rsid w:val="003D7FC9"/>
    <w:rsid w:val="003E00C6"/>
    <w:rsid w:val="003E0302"/>
    <w:rsid w:val="003E0543"/>
    <w:rsid w:val="003E1067"/>
    <w:rsid w:val="003E10C2"/>
    <w:rsid w:val="003E14DF"/>
    <w:rsid w:val="003E1606"/>
    <w:rsid w:val="003E1639"/>
    <w:rsid w:val="003E223F"/>
    <w:rsid w:val="003E27D8"/>
    <w:rsid w:val="003E2B84"/>
    <w:rsid w:val="003E3040"/>
    <w:rsid w:val="003E3339"/>
    <w:rsid w:val="003E3DAD"/>
    <w:rsid w:val="003E4714"/>
    <w:rsid w:val="003E491C"/>
    <w:rsid w:val="003E4A5B"/>
    <w:rsid w:val="003E4B4A"/>
    <w:rsid w:val="003E5F8D"/>
    <w:rsid w:val="003E6239"/>
    <w:rsid w:val="003E632E"/>
    <w:rsid w:val="003E673A"/>
    <w:rsid w:val="003E69DA"/>
    <w:rsid w:val="003E6F5E"/>
    <w:rsid w:val="003E6FA1"/>
    <w:rsid w:val="003E728D"/>
    <w:rsid w:val="003F03A5"/>
    <w:rsid w:val="003F0D13"/>
    <w:rsid w:val="003F0D98"/>
    <w:rsid w:val="003F0E5B"/>
    <w:rsid w:val="003F0F04"/>
    <w:rsid w:val="003F1AE8"/>
    <w:rsid w:val="003F245C"/>
    <w:rsid w:val="003F365B"/>
    <w:rsid w:val="003F36C4"/>
    <w:rsid w:val="003F3AD5"/>
    <w:rsid w:val="003F43B4"/>
    <w:rsid w:val="003F4729"/>
    <w:rsid w:val="003F495C"/>
    <w:rsid w:val="003F52BC"/>
    <w:rsid w:val="003F561F"/>
    <w:rsid w:val="003F57AF"/>
    <w:rsid w:val="003F5980"/>
    <w:rsid w:val="003F65DE"/>
    <w:rsid w:val="003F6683"/>
    <w:rsid w:val="003F69A7"/>
    <w:rsid w:val="003F7174"/>
    <w:rsid w:val="003F7EBD"/>
    <w:rsid w:val="00400127"/>
    <w:rsid w:val="004005D1"/>
    <w:rsid w:val="00400CDF"/>
    <w:rsid w:val="00400D3A"/>
    <w:rsid w:val="0040145C"/>
    <w:rsid w:val="00401628"/>
    <w:rsid w:val="0040178A"/>
    <w:rsid w:val="0040180A"/>
    <w:rsid w:val="0040188B"/>
    <w:rsid w:val="00401B90"/>
    <w:rsid w:val="00401DC4"/>
    <w:rsid w:val="00401DEF"/>
    <w:rsid w:val="00402503"/>
    <w:rsid w:val="00402D6A"/>
    <w:rsid w:val="004031FC"/>
    <w:rsid w:val="00403391"/>
    <w:rsid w:val="004035AB"/>
    <w:rsid w:val="004036FC"/>
    <w:rsid w:val="004041C0"/>
    <w:rsid w:val="00404305"/>
    <w:rsid w:val="00404800"/>
    <w:rsid w:val="00405BC9"/>
    <w:rsid w:val="00405E58"/>
    <w:rsid w:val="004062C1"/>
    <w:rsid w:val="00406354"/>
    <w:rsid w:val="0040639D"/>
    <w:rsid w:val="00406B06"/>
    <w:rsid w:val="00406E78"/>
    <w:rsid w:val="00407825"/>
    <w:rsid w:val="00407ADB"/>
    <w:rsid w:val="00407DC7"/>
    <w:rsid w:val="0041057F"/>
    <w:rsid w:val="004107E0"/>
    <w:rsid w:val="00410DA7"/>
    <w:rsid w:val="0041130B"/>
    <w:rsid w:val="00411855"/>
    <w:rsid w:val="00411EE8"/>
    <w:rsid w:val="00412FB2"/>
    <w:rsid w:val="004131F8"/>
    <w:rsid w:val="00413536"/>
    <w:rsid w:val="00413943"/>
    <w:rsid w:val="00414509"/>
    <w:rsid w:val="00414DFD"/>
    <w:rsid w:val="0041548B"/>
    <w:rsid w:val="004154D5"/>
    <w:rsid w:val="004159BB"/>
    <w:rsid w:val="00416375"/>
    <w:rsid w:val="00416434"/>
    <w:rsid w:val="004167FF"/>
    <w:rsid w:val="00416E55"/>
    <w:rsid w:val="00417762"/>
    <w:rsid w:val="00417ADA"/>
    <w:rsid w:val="00417CD1"/>
    <w:rsid w:val="00417EB5"/>
    <w:rsid w:val="00417F00"/>
    <w:rsid w:val="00420088"/>
    <w:rsid w:val="004201F7"/>
    <w:rsid w:val="0042024F"/>
    <w:rsid w:val="0042072A"/>
    <w:rsid w:val="00420981"/>
    <w:rsid w:val="00420DDE"/>
    <w:rsid w:val="0042185E"/>
    <w:rsid w:val="00421D4C"/>
    <w:rsid w:val="004221A9"/>
    <w:rsid w:val="004222D2"/>
    <w:rsid w:val="00422464"/>
    <w:rsid w:val="00422834"/>
    <w:rsid w:val="00422B80"/>
    <w:rsid w:val="00422D27"/>
    <w:rsid w:val="00422FCB"/>
    <w:rsid w:val="00423AEB"/>
    <w:rsid w:val="00423BFE"/>
    <w:rsid w:val="00423C17"/>
    <w:rsid w:val="00423DA9"/>
    <w:rsid w:val="004244F7"/>
    <w:rsid w:val="0042454D"/>
    <w:rsid w:val="004245B0"/>
    <w:rsid w:val="004248BA"/>
    <w:rsid w:val="00424906"/>
    <w:rsid w:val="004249A1"/>
    <w:rsid w:val="004249BA"/>
    <w:rsid w:val="004257F3"/>
    <w:rsid w:val="00425E6B"/>
    <w:rsid w:val="0042689D"/>
    <w:rsid w:val="00426EF9"/>
    <w:rsid w:val="0042788A"/>
    <w:rsid w:val="00427998"/>
    <w:rsid w:val="00427A77"/>
    <w:rsid w:val="00427BED"/>
    <w:rsid w:val="00427FF6"/>
    <w:rsid w:val="0043076D"/>
    <w:rsid w:val="004307BB"/>
    <w:rsid w:val="00430BDF"/>
    <w:rsid w:val="00430FD7"/>
    <w:rsid w:val="00431115"/>
    <w:rsid w:val="004315CC"/>
    <w:rsid w:val="00432604"/>
    <w:rsid w:val="00432F41"/>
    <w:rsid w:val="004330B4"/>
    <w:rsid w:val="00433485"/>
    <w:rsid w:val="0043354A"/>
    <w:rsid w:val="00434039"/>
    <w:rsid w:val="004341C9"/>
    <w:rsid w:val="004342C6"/>
    <w:rsid w:val="004345C2"/>
    <w:rsid w:val="00434AC7"/>
    <w:rsid w:val="00434B01"/>
    <w:rsid w:val="00434B1B"/>
    <w:rsid w:val="00435076"/>
    <w:rsid w:val="004355D0"/>
    <w:rsid w:val="0043593C"/>
    <w:rsid w:val="00435CE4"/>
    <w:rsid w:val="00435EDF"/>
    <w:rsid w:val="00436035"/>
    <w:rsid w:val="004360A8"/>
    <w:rsid w:val="00436234"/>
    <w:rsid w:val="004367B9"/>
    <w:rsid w:val="00436A76"/>
    <w:rsid w:val="0043736B"/>
    <w:rsid w:val="004373DA"/>
    <w:rsid w:val="00437D35"/>
    <w:rsid w:val="00440167"/>
    <w:rsid w:val="004401C5"/>
    <w:rsid w:val="004406A2"/>
    <w:rsid w:val="00440D19"/>
    <w:rsid w:val="00441803"/>
    <w:rsid w:val="00442364"/>
    <w:rsid w:val="00442632"/>
    <w:rsid w:val="004433A4"/>
    <w:rsid w:val="004433E6"/>
    <w:rsid w:val="004436A0"/>
    <w:rsid w:val="0044376D"/>
    <w:rsid w:val="0044495D"/>
    <w:rsid w:val="00444A70"/>
    <w:rsid w:val="0044526E"/>
    <w:rsid w:val="00445A56"/>
    <w:rsid w:val="00446242"/>
    <w:rsid w:val="00446E58"/>
    <w:rsid w:val="004470A6"/>
    <w:rsid w:val="0044721C"/>
    <w:rsid w:val="0044778D"/>
    <w:rsid w:val="00447C51"/>
    <w:rsid w:val="004501E8"/>
    <w:rsid w:val="0045077A"/>
    <w:rsid w:val="004508D6"/>
    <w:rsid w:val="004508E2"/>
    <w:rsid w:val="00450AE6"/>
    <w:rsid w:val="00450EEC"/>
    <w:rsid w:val="00451201"/>
    <w:rsid w:val="00451D92"/>
    <w:rsid w:val="00451F0F"/>
    <w:rsid w:val="00451FC5"/>
    <w:rsid w:val="00452B4E"/>
    <w:rsid w:val="00452D9B"/>
    <w:rsid w:val="00453849"/>
    <w:rsid w:val="004543D6"/>
    <w:rsid w:val="00454A87"/>
    <w:rsid w:val="00455144"/>
    <w:rsid w:val="0045514E"/>
    <w:rsid w:val="00455896"/>
    <w:rsid w:val="00455A1E"/>
    <w:rsid w:val="004561BA"/>
    <w:rsid w:val="00456384"/>
    <w:rsid w:val="004564B3"/>
    <w:rsid w:val="004564C0"/>
    <w:rsid w:val="004566E0"/>
    <w:rsid w:val="004572A1"/>
    <w:rsid w:val="004605F8"/>
    <w:rsid w:val="00460B6E"/>
    <w:rsid w:val="00460E51"/>
    <w:rsid w:val="00460EAF"/>
    <w:rsid w:val="004619C8"/>
    <w:rsid w:val="00461B1E"/>
    <w:rsid w:val="00461B9A"/>
    <w:rsid w:val="00462141"/>
    <w:rsid w:val="0046277E"/>
    <w:rsid w:val="00462F7A"/>
    <w:rsid w:val="00463442"/>
    <w:rsid w:val="004640AF"/>
    <w:rsid w:val="004643BA"/>
    <w:rsid w:val="004647CC"/>
    <w:rsid w:val="00464DFA"/>
    <w:rsid w:val="00464FFA"/>
    <w:rsid w:val="00465291"/>
    <w:rsid w:val="00465B1D"/>
    <w:rsid w:val="00465BBF"/>
    <w:rsid w:val="00465E4B"/>
    <w:rsid w:val="00465E9C"/>
    <w:rsid w:val="00466181"/>
    <w:rsid w:val="004669FA"/>
    <w:rsid w:val="00466C48"/>
    <w:rsid w:val="00466C83"/>
    <w:rsid w:val="00466D0D"/>
    <w:rsid w:val="004674A6"/>
    <w:rsid w:val="00467688"/>
    <w:rsid w:val="00467DBB"/>
    <w:rsid w:val="004703E9"/>
    <w:rsid w:val="00470C07"/>
    <w:rsid w:val="0047249C"/>
    <w:rsid w:val="004725E7"/>
    <w:rsid w:val="00472D64"/>
    <w:rsid w:val="00473422"/>
    <w:rsid w:val="00473D4E"/>
    <w:rsid w:val="00474293"/>
    <w:rsid w:val="004749FA"/>
    <w:rsid w:val="00474C3B"/>
    <w:rsid w:val="0047506A"/>
    <w:rsid w:val="00475386"/>
    <w:rsid w:val="00475AD1"/>
    <w:rsid w:val="0047621D"/>
    <w:rsid w:val="004763D5"/>
    <w:rsid w:val="00476E2B"/>
    <w:rsid w:val="004772D8"/>
    <w:rsid w:val="00477BF9"/>
    <w:rsid w:val="00477E25"/>
    <w:rsid w:val="00480234"/>
    <w:rsid w:val="00480452"/>
    <w:rsid w:val="004806C2"/>
    <w:rsid w:val="00481668"/>
    <w:rsid w:val="004816C6"/>
    <w:rsid w:val="00481705"/>
    <w:rsid w:val="00481EA8"/>
    <w:rsid w:val="004821C1"/>
    <w:rsid w:val="004823B0"/>
    <w:rsid w:val="00482452"/>
    <w:rsid w:val="004826AA"/>
    <w:rsid w:val="00482744"/>
    <w:rsid w:val="004827F6"/>
    <w:rsid w:val="00482FB5"/>
    <w:rsid w:val="00483217"/>
    <w:rsid w:val="0048357B"/>
    <w:rsid w:val="00483852"/>
    <w:rsid w:val="0048389B"/>
    <w:rsid w:val="00484186"/>
    <w:rsid w:val="004841FB"/>
    <w:rsid w:val="00484403"/>
    <w:rsid w:val="00484C1F"/>
    <w:rsid w:val="00484E79"/>
    <w:rsid w:val="00485A2B"/>
    <w:rsid w:val="00485BAF"/>
    <w:rsid w:val="004868C6"/>
    <w:rsid w:val="0048696F"/>
    <w:rsid w:val="00486AA9"/>
    <w:rsid w:val="00486C14"/>
    <w:rsid w:val="0048727F"/>
    <w:rsid w:val="00487367"/>
    <w:rsid w:val="00487371"/>
    <w:rsid w:val="00490591"/>
    <w:rsid w:val="0049139D"/>
    <w:rsid w:val="004914E2"/>
    <w:rsid w:val="004914E3"/>
    <w:rsid w:val="0049169F"/>
    <w:rsid w:val="0049237D"/>
    <w:rsid w:val="0049268E"/>
    <w:rsid w:val="004933BF"/>
    <w:rsid w:val="00493450"/>
    <w:rsid w:val="00493555"/>
    <w:rsid w:val="004935F4"/>
    <w:rsid w:val="00493F3F"/>
    <w:rsid w:val="00493FE4"/>
    <w:rsid w:val="00494929"/>
    <w:rsid w:val="004949CA"/>
    <w:rsid w:val="004949FD"/>
    <w:rsid w:val="00494EEC"/>
    <w:rsid w:val="00494FBD"/>
    <w:rsid w:val="00495024"/>
    <w:rsid w:val="00495871"/>
    <w:rsid w:val="00496536"/>
    <w:rsid w:val="00496BBE"/>
    <w:rsid w:val="00496DB7"/>
    <w:rsid w:val="00496EA0"/>
    <w:rsid w:val="00497C2A"/>
    <w:rsid w:val="004A0892"/>
    <w:rsid w:val="004A0DAA"/>
    <w:rsid w:val="004A1109"/>
    <w:rsid w:val="004A1582"/>
    <w:rsid w:val="004A166E"/>
    <w:rsid w:val="004A1D0F"/>
    <w:rsid w:val="004A22C6"/>
    <w:rsid w:val="004A2992"/>
    <w:rsid w:val="004A360A"/>
    <w:rsid w:val="004A3808"/>
    <w:rsid w:val="004A4451"/>
    <w:rsid w:val="004A45E0"/>
    <w:rsid w:val="004A4945"/>
    <w:rsid w:val="004A4BDB"/>
    <w:rsid w:val="004A4E04"/>
    <w:rsid w:val="004A4E1B"/>
    <w:rsid w:val="004A57F6"/>
    <w:rsid w:val="004A5F6D"/>
    <w:rsid w:val="004A6928"/>
    <w:rsid w:val="004A6A13"/>
    <w:rsid w:val="004A6C6C"/>
    <w:rsid w:val="004A6E99"/>
    <w:rsid w:val="004A6FCC"/>
    <w:rsid w:val="004A7395"/>
    <w:rsid w:val="004A74FE"/>
    <w:rsid w:val="004A7D87"/>
    <w:rsid w:val="004B0342"/>
    <w:rsid w:val="004B04D7"/>
    <w:rsid w:val="004B08A2"/>
    <w:rsid w:val="004B0C3F"/>
    <w:rsid w:val="004B0D2B"/>
    <w:rsid w:val="004B0EA3"/>
    <w:rsid w:val="004B1452"/>
    <w:rsid w:val="004B1487"/>
    <w:rsid w:val="004B1ADF"/>
    <w:rsid w:val="004B1DB5"/>
    <w:rsid w:val="004B1E83"/>
    <w:rsid w:val="004B2B88"/>
    <w:rsid w:val="004B2C8B"/>
    <w:rsid w:val="004B3155"/>
    <w:rsid w:val="004B31C7"/>
    <w:rsid w:val="004B3318"/>
    <w:rsid w:val="004B3561"/>
    <w:rsid w:val="004B3972"/>
    <w:rsid w:val="004B3D6D"/>
    <w:rsid w:val="004B417C"/>
    <w:rsid w:val="004B42A1"/>
    <w:rsid w:val="004B4408"/>
    <w:rsid w:val="004B47E0"/>
    <w:rsid w:val="004B48F7"/>
    <w:rsid w:val="004B4D0E"/>
    <w:rsid w:val="004B51A3"/>
    <w:rsid w:val="004B56D3"/>
    <w:rsid w:val="004B593C"/>
    <w:rsid w:val="004B6546"/>
    <w:rsid w:val="004B68E1"/>
    <w:rsid w:val="004B6BED"/>
    <w:rsid w:val="004B6BF5"/>
    <w:rsid w:val="004B6F9B"/>
    <w:rsid w:val="004C05A7"/>
    <w:rsid w:val="004C0897"/>
    <w:rsid w:val="004C08FF"/>
    <w:rsid w:val="004C0A85"/>
    <w:rsid w:val="004C0AA8"/>
    <w:rsid w:val="004C0F64"/>
    <w:rsid w:val="004C18D2"/>
    <w:rsid w:val="004C20A8"/>
    <w:rsid w:val="004C2306"/>
    <w:rsid w:val="004C253C"/>
    <w:rsid w:val="004C25FB"/>
    <w:rsid w:val="004C3715"/>
    <w:rsid w:val="004C37DC"/>
    <w:rsid w:val="004C3813"/>
    <w:rsid w:val="004C3B1D"/>
    <w:rsid w:val="004C3E84"/>
    <w:rsid w:val="004C3FB4"/>
    <w:rsid w:val="004C41FD"/>
    <w:rsid w:val="004C441D"/>
    <w:rsid w:val="004C4422"/>
    <w:rsid w:val="004C47FC"/>
    <w:rsid w:val="004C4D0B"/>
    <w:rsid w:val="004C5F9C"/>
    <w:rsid w:val="004C60B7"/>
    <w:rsid w:val="004C6137"/>
    <w:rsid w:val="004C7796"/>
    <w:rsid w:val="004C7957"/>
    <w:rsid w:val="004C7D72"/>
    <w:rsid w:val="004C7D97"/>
    <w:rsid w:val="004D0A1C"/>
    <w:rsid w:val="004D0D2A"/>
    <w:rsid w:val="004D0EAC"/>
    <w:rsid w:val="004D0F93"/>
    <w:rsid w:val="004D0FA7"/>
    <w:rsid w:val="004D15CA"/>
    <w:rsid w:val="004D1C8C"/>
    <w:rsid w:val="004D1F11"/>
    <w:rsid w:val="004D2539"/>
    <w:rsid w:val="004D27C7"/>
    <w:rsid w:val="004D294F"/>
    <w:rsid w:val="004D2F8E"/>
    <w:rsid w:val="004D3219"/>
    <w:rsid w:val="004D3766"/>
    <w:rsid w:val="004D3D63"/>
    <w:rsid w:val="004D4D35"/>
    <w:rsid w:val="004D53C2"/>
    <w:rsid w:val="004D5689"/>
    <w:rsid w:val="004D5795"/>
    <w:rsid w:val="004D57F2"/>
    <w:rsid w:val="004D61DC"/>
    <w:rsid w:val="004D67CF"/>
    <w:rsid w:val="004D71FC"/>
    <w:rsid w:val="004D77DF"/>
    <w:rsid w:val="004E0137"/>
    <w:rsid w:val="004E0759"/>
    <w:rsid w:val="004E0D72"/>
    <w:rsid w:val="004E103D"/>
    <w:rsid w:val="004E1216"/>
    <w:rsid w:val="004E184F"/>
    <w:rsid w:val="004E2126"/>
    <w:rsid w:val="004E2766"/>
    <w:rsid w:val="004E2AFA"/>
    <w:rsid w:val="004E2B83"/>
    <w:rsid w:val="004E2C8D"/>
    <w:rsid w:val="004E2D64"/>
    <w:rsid w:val="004E3007"/>
    <w:rsid w:val="004E34EB"/>
    <w:rsid w:val="004E3807"/>
    <w:rsid w:val="004E3D58"/>
    <w:rsid w:val="004E4114"/>
    <w:rsid w:val="004E4700"/>
    <w:rsid w:val="004E4F37"/>
    <w:rsid w:val="004E5272"/>
    <w:rsid w:val="004E537F"/>
    <w:rsid w:val="004E53FD"/>
    <w:rsid w:val="004E5D03"/>
    <w:rsid w:val="004E680C"/>
    <w:rsid w:val="004E6929"/>
    <w:rsid w:val="004E708F"/>
    <w:rsid w:val="004E74CE"/>
    <w:rsid w:val="004E7ABB"/>
    <w:rsid w:val="004E7BAA"/>
    <w:rsid w:val="004E7EF8"/>
    <w:rsid w:val="004E7F4E"/>
    <w:rsid w:val="004F0089"/>
    <w:rsid w:val="004F00BC"/>
    <w:rsid w:val="004F0175"/>
    <w:rsid w:val="004F0CFB"/>
    <w:rsid w:val="004F1565"/>
    <w:rsid w:val="004F19ED"/>
    <w:rsid w:val="004F1B0B"/>
    <w:rsid w:val="004F20D6"/>
    <w:rsid w:val="004F268B"/>
    <w:rsid w:val="004F28D1"/>
    <w:rsid w:val="004F2D88"/>
    <w:rsid w:val="004F2F2B"/>
    <w:rsid w:val="004F3576"/>
    <w:rsid w:val="004F36C4"/>
    <w:rsid w:val="004F38EB"/>
    <w:rsid w:val="004F3EA1"/>
    <w:rsid w:val="004F3F8A"/>
    <w:rsid w:val="004F49DF"/>
    <w:rsid w:val="004F4FA2"/>
    <w:rsid w:val="004F5040"/>
    <w:rsid w:val="004F51AD"/>
    <w:rsid w:val="004F569F"/>
    <w:rsid w:val="004F5985"/>
    <w:rsid w:val="004F5E55"/>
    <w:rsid w:val="004F5EAC"/>
    <w:rsid w:val="004F6546"/>
    <w:rsid w:val="004F66C2"/>
    <w:rsid w:val="004F6B99"/>
    <w:rsid w:val="004F71F3"/>
    <w:rsid w:val="004F7415"/>
    <w:rsid w:val="004F79D6"/>
    <w:rsid w:val="004F7E17"/>
    <w:rsid w:val="004F7EDC"/>
    <w:rsid w:val="005005BD"/>
    <w:rsid w:val="00501247"/>
    <w:rsid w:val="0050172D"/>
    <w:rsid w:val="00501CAF"/>
    <w:rsid w:val="00501DA0"/>
    <w:rsid w:val="00502072"/>
    <w:rsid w:val="00502102"/>
    <w:rsid w:val="005028CA"/>
    <w:rsid w:val="005029D8"/>
    <w:rsid w:val="00502D7C"/>
    <w:rsid w:val="00502F2D"/>
    <w:rsid w:val="0050338F"/>
    <w:rsid w:val="0050361A"/>
    <w:rsid w:val="0050377E"/>
    <w:rsid w:val="005038AD"/>
    <w:rsid w:val="00503B86"/>
    <w:rsid w:val="00504360"/>
    <w:rsid w:val="00504646"/>
    <w:rsid w:val="00505DE4"/>
    <w:rsid w:val="00506547"/>
    <w:rsid w:val="00506A95"/>
    <w:rsid w:val="00506ED2"/>
    <w:rsid w:val="00506FD8"/>
    <w:rsid w:val="005070F3"/>
    <w:rsid w:val="00507A42"/>
    <w:rsid w:val="00510775"/>
    <w:rsid w:val="0051093D"/>
    <w:rsid w:val="00510B25"/>
    <w:rsid w:val="00510C07"/>
    <w:rsid w:val="005115CC"/>
    <w:rsid w:val="00511948"/>
    <w:rsid w:val="00511F8D"/>
    <w:rsid w:val="0051219D"/>
    <w:rsid w:val="005125F9"/>
    <w:rsid w:val="0051263E"/>
    <w:rsid w:val="0051265A"/>
    <w:rsid w:val="00512CA1"/>
    <w:rsid w:val="00512D8E"/>
    <w:rsid w:val="00513279"/>
    <w:rsid w:val="005132D2"/>
    <w:rsid w:val="005132E4"/>
    <w:rsid w:val="00513889"/>
    <w:rsid w:val="00513BE4"/>
    <w:rsid w:val="00514040"/>
    <w:rsid w:val="00514272"/>
    <w:rsid w:val="005142D1"/>
    <w:rsid w:val="00514813"/>
    <w:rsid w:val="00514986"/>
    <w:rsid w:val="00514BAD"/>
    <w:rsid w:val="0051566C"/>
    <w:rsid w:val="0051579D"/>
    <w:rsid w:val="00515F7E"/>
    <w:rsid w:val="005166AF"/>
    <w:rsid w:val="005167C1"/>
    <w:rsid w:val="00516A90"/>
    <w:rsid w:val="00516C15"/>
    <w:rsid w:val="005171CC"/>
    <w:rsid w:val="0051760F"/>
    <w:rsid w:val="00517626"/>
    <w:rsid w:val="005178A8"/>
    <w:rsid w:val="00517C5F"/>
    <w:rsid w:val="00517FCD"/>
    <w:rsid w:val="00517FE1"/>
    <w:rsid w:val="00520AFF"/>
    <w:rsid w:val="00520E2A"/>
    <w:rsid w:val="00520EDD"/>
    <w:rsid w:val="005210F8"/>
    <w:rsid w:val="00521718"/>
    <w:rsid w:val="00521A5D"/>
    <w:rsid w:val="00521B75"/>
    <w:rsid w:val="00522651"/>
    <w:rsid w:val="00523227"/>
    <w:rsid w:val="0052339A"/>
    <w:rsid w:val="00523859"/>
    <w:rsid w:val="00523B27"/>
    <w:rsid w:val="005240D7"/>
    <w:rsid w:val="00525769"/>
    <w:rsid w:val="00525857"/>
    <w:rsid w:val="00525870"/>
    <w:rsid w:val="0052597F"/>
    <w:rsid w:val="005259BF"/>
    <w:rsid w:val="0052634E"/>
    <w:rsid w:val="00526514"/>
    <w:rsid w:val="005265D2"/>
    <w:rsid w:val="00527A1C"/>
    <w:rsid w:val="00530012"/>
    <w:rsid w:val="0053061D"/>
    <w:rsid w:val="00530B9F"/>
    <w:rsid w:val="00530C2A"/>
    <w:rsid w:val="00530CB3"/>
    <w:rsid w:val="00530FEE"/>
    <w:rsid w:val="0053129B"/>
    <w:rsid w:val="005313A2"/>
    <w:rsid w:val="00531A72"/>
    <w:rsid w:val="00531AAB"/>
    <w:rsid w:val="0053204A"/>
    <w:rsid w:val="00532825"/>
    <w:rsid w:val="00532E0A"/>
    <w:rsid w:val="005335C3"/>
    <w:rsid w:val="00533738"/>
    <w:rsid w:val="00533F98"/>
    <w:rsid w:val="005341F5"/>
    <w:rsid w:val="00534673"/>
    <w:rsid w:val="00534688"/>
    <w:rsid w:val="005346BE"/>
    <w:rsid w:val="005347CA"/>
    <w:rsid w:val="0053488A"/>
    <w:rsid w:val="00534E53"/>
    <w:rsid w:val="0053500C"/>
    <w:rsid w:val="00535429"/>
    <w:rsid w:val="0053556F"/>
    <w:rsid w:val="00535F69"/>
    <w:rsid w:val="005360A5"/>
    <w:rsid w:val="0053653C"/>
    <w:rsid w:val="00536C07"/>
    <w:rsid w:val="00536D78"/>
    <w:rsid w:val="00536F12"/>
    <w:rsid w:val="005370D8"/>
    <w:rsid w:val="005372F3"/>
    <w:rsid w:val="00537520"/>
    <w:rsid w:val="00537562"/>
    <w:rsid w:val="005375CF"/>
    <w:rsid w:val="00537E83"/>
    <w:rsid w:val="00537EB1"/>
    <w:rsid w:val="00540F66"/>
    <w:rsid w:val="00541449"/>
    <w:rsid w:val="0054180F"/>
    <w:rsid w:val="0054216E"/>
    <w:rsid w:val="0054259A"/>
    <w:rsid w:val="00542AE9"/>
    <w:rsid w:val="0054389D"/>
    <w:rsid w:val="005438D4"/>
    <w:rsid w:val="00543A61"/>
    <w:rsid w:val="00543C79"/>
    <w:rsid w:val="00544080"/>
    <w:rsid w:val="005448D9"/>
    <w:rsid w:val="00544A8C"/>
    <w:rsid w:val="00545033"/>
    <w:rsid w:val="00545043"/>
    <w:rsid w:val="0054516C"/>
    <w:rsid w:val="00545182"/>
    <w:rsid w:val="005452A5"/>
    <w:rsid w:val="00545366"/>
    <w:rsid w:val="00545B64"/>
    <w:rsid w:val="005460AB"/>
    <w:rsid w:val="00546125"/>
    <w:rsid w:val="005462BD"/>
    <w:rsid w:val="00546753"/>
    <w:rsid w:val="00546A92"/>
    <w:rsid w:val="00547CD8"/>
    <w:rsid w:val="00550BA2"/>
    <w:rsid w:val="00550C41"/>
    <w:rsid w:val="005515E9"/>
    <w:rsid w:val="00551A15"/>
    <w:rsid w:val="00551F2D"/>
    <w:rsid w:val="00552979"/>
    <w:rsid w:val="00552B52"/>
    <w:rsid w:val="00552B68"/>
    <w:rsid w:val="00552F57"/>
    <w:rsid w:val="005532C5"/>
    <w:rsid w:val="005532CF"/>
    <w:rsid w:val="00553B3F"/>
    <w:rsid w:val="00553DD9"/>
    <w:rsid w:val="00554209"/>
    <w:rsid w:val="005543F9"/>
    <w:rsid w:val="0055459A"/>
    <w:rsid w:val="00554F8C"/>
    <w:rsid w:val="005553DC"/>
    <w:rsid w:val="005557C7"/>
    <w:rsid w:val="005557E7"/>
    <w:rsid w:val="00555969"/>
    <w:rsid w:val="00555D8B"/>
    <w:rsid w:val="00555FF7"/>
    <w:rsid w:val="005564A7"/>
    <w:rsid w:val="00556710"/>
    <w:rsid w:val="00556B9C"/>
    <w:rsid w:val="005570D2"/>
    <w:rsid w:val="00557DE8"/>
    <w:rsid w:val="00560000"/>
    <w:rsid w:val="00560355"/>
    <w:rsid w:val="00560476"/>
    <w:rsid w:val="005607CF"/>
    <w:rsid w:val="0056086E"/>
    <w:rsid w:val="00561D9C"/>
    <w:rsid w:val="00561E0A"/>
    <w:rsid w:val="00561FF8"/>
    <w:rsid w:val="00562286"/>
    <w:rsid w:val="005625CC"/>
    <w:rsid w:val="00562638"/>
    <w:rsid w:val="005629C3"/>
    <w:rsid w:val="00562FBA"/>
    <w:rsid w:val="0056383D"/>
    <w:rsid w:val="00563BAB"/>
    <w:rsid w:val="00564205"/>
    <w:rsid w:val="00564438"/>
    <w:rsid w:val="005644CE"/>
    <w:rsid w:val="005649E6"/>
    <w:rsid w:val="00564AC9"/>
    <w:rsid w:val="005655C2"/>
    <w:rsid w:val="00565A8F"/>
    <w:rsid w:val="0056677E"/>
    <w:rsid w:val="00566A3E"/>
    <w:rsid w:val="00566D6D"/>
    <w:rsid w:val="0056720A"/>
    <w:rsid w:val="0056753C"/>
    <w:rsid w:val="00567AEA"/>
    <w:rsid w:val="00567E08"/>
    <w:rsid w:val="0057002A"/>
    <w:rsid w:val="0057031A"/>
    <w:rsid w:val="0057060A"/>
    <w:rsid w:val="00570A8E"/>
    <w:rsid w:val="00571043"/>
    <w:rsid w:val="00571304"/>
    <w:rsid w:val="00571E5C"/>
    <w:rsid w:val="00571E95"/>
    <w:rsid w:val="00571FD9"/>
    <w:rsid w:val="00572013"/>
    <w:rsid w:val="005720AB"/>
    <w:rsid w:val="00572185"/>
    <w:rsid w:val="005721FF"/>
    <w:rsid w:val="005723F1"/>
    <w:rsid w:val="00572A37"/>
    <w:rsid w:val="00572D62"/>
    <w:rsid w:val="0057337E"/>
    <w:rsid w:val="00573E82"/>
    <w:rsid w:val="0057482C"/>
    <w:rsid w:val="005749C7"/>
    <w:rsid w:val="005750A1"/>
    <w:rsid w:val="0057612F"/>
    <w:rsid w:val="0057637E"/>
    <w:rsid w:val="0057665D"/>
    <w:rsid w:val="00576752"/>
    <w:rsid w:val="00576F7D"/>
    <w:rsid w:val="00576FD1"/>
    <w:rsid w:val="005777D1"/>
    <w:rsid w:val="0057789B"/>
    <w:rsid w:val="00577F9D"/>
    <w:rsid w:val="00580095"/>
    <w:rsid w:val="00580096"/>
    <w:rsid w:val="00580850"/>
    <w:rsid w:val="00580900"/>
    <w:rsid w:val="00580CA7"/>
    <w:rsid w:val="00580CF7"/>
    <w:rsid w:val="00581134"/>
    <w:rsid w:val="00581520"/>
    <w:rsid w:val="00581BE5"/>
    <w:rsid w:val="00582017"/>
    <w:rsid w:val="0058213A"/>
    <w:rsid w:val="0058219D"/>
    <w:rsid w:val="00582542"/>
    <w:rsid w:val="005825BE"/>
    <w:rsid w:val="0058299C"/>
    <w:rsid w:val="00582CDC"/>
    <w:rsid w:val="005830A6"/>
    <w:rsid w:val="00583863"/>
    <w:rsid w:val="00584D01"/>
    <w:rsid w:val="00584F4E"/>
    <w:rsid w:val="00585C78"/>
    <w:rsid w:val="00586409"/>
    <w:rsid w:val="00586554"/>
    <w:rsid w:val="00586C33"/>
    <w:rsid w:val="00587171"/>
    <w:rsid w:val="005871BB"/>
    <w:rsid w:val="00587675"/>
    <w:rsid w:val="00587988"/>
    <w:rsid w:val="00587AAF"/>
    <w:rsid w:val="00587C0B"/>
    <w:rsid w:val="00587C3F"/>
    <w:rsid w:val="00587ECF"/>
    <w:rsid w:val="0059190C"/>
    <w:rsid w:val="0059236F"/>
    <w:rsid w:val="00592500"/>
    <w:rsid w:val="00592E72"/>
    <w:rsid w:val="005935C4"/>
    <w:rsid w:val="00593A00"/>
    <w:rsid w:val="00593F23"/>
    <w:rsid w:val="00594DAA"/>
    <w:rsid w:val="005953EB"/>
    <w:rsid w:val="005955BA"/>
    <w:rsid w:val="0059580B"/>
    <w:rsid w:val="0059584A"/>
    <w:rsid w:val="005958C9"/>
    <w:rsid w:val="005959C3"/>
    <w:rsid w:val="00595AF0"/>
    <w:rsid w:val="00596614"/>
    <w:rsid w:val="005968DD"/>
    <w:rsid w:val="00597246"/>
    <w:rsid w:val="00597AA1"/>
    <w:rsid w:val="00597FD9"/>
    <w:rsid w:val="005A0114"/>
    <w:rsid w:val="005A0392"/>
    <w:rsid w:val="005A07C5"/>
    <w:rsid w:val="005A0AA9"/>
    <w:rsid w:val="005A0D89"/>
    <w:rsid w:val="005A1217"/>
    <w:rsid w:val="005A1328"/>
    <w:rsid w:val="005A228B"/>
    <w:rsid w:val="005A286E"/>
    <w:rsid w:val="005A2926"/>
    <w:rsid w:val="005A2B3B"/>
    <w:rsid w:val="005A2D1F"/>
    <w:rsid w:val="005A2F4C"/>
    <w:rsid w:val="005A3291"/>
    <w:rsid w:val="005A331A"/>
    <w:rsid w:val="005A3E71"/>
    <w:rsid w:val="005A42CB"/>
    <w:rsid w:val="005A468C"/>
    <w:rsid w:val="005A4C69"/>
    <w:rsid w:val="005A4D4A"/>
    <w:rsid w:val="005A55F5"/>
    <w:rsid w:val="005A568F"/>
    <w:rsid w:val="005A5B70"/>
    <w:rsid w:val="005A67D2"/>
    <w:rsid w:val="005A7724"/>
    <w:rsid w:val="005B019B"/>
    <w:rsid w:val="005B09A1"/>
    <w:rsid w:val="005B0BFE"/>
    <w:rsid w:val="005B0C60"/>
    <w:rsid w:val="005B0EAD"/>
    <w:rsid w:val="005B1619"/>
    <w:rsid w:val="005B1BC4"/>
    <w:rsid w:val="005B1F0A"/>
    <w:rsid w:val="005B20D5"/>
    <w:rsid w:val="005B211A"/>
    <w:rsid w:val="005B2E21"/>
    <w:rsid w:val="005B3105"/>
    <w:rsid w:val="005B32F7"/>
    <w:rsid w:val="005B371C"/>
    <w:rsid w:val="005B4625"/>
    <w:rsid w:val="005B5739"/>
    <w:rsid w:val="005B57AB"/>
    <w:rsid w:val="005B5DC9"/>
    <w:rsid w:val="005B5EDB"/>
    <w:rsid w:val="005B605C"/>
    <w:rsid w:val="005B6518"/>
    <w:rsid w:val="005B659D"/>
    <w:rsid w:val="005B6C39"/>
    <w:rsid w:val="005B6CA8"/>
    <w:rsid w:val="005B72A6"/>
    <w:rsid w:val="005B7492"/>
    <w:rsid w:val="005B7AC7"/>
    <w:rsid w:val="005B7F2C"/>
    <w:rsid w:val="005C022E"/>
    <w:rsid w:val="005C0562"/>
    <w:rsid w:val="005C0940"/>
    <w:rsid w:val="005C0A51"/>
    <w:rsid w:val="005C0AD8"/>
    <w:rsid w:val="005C0D82"/>
    <w:rsid w:val="005C118F"/>
    <w:rsid w:val="005C178B"/>
    <w:rsid w:val="005C1B61"/>
    <w:rsid w:val="005C2099"/>
    <w:rsid w:val="005C242C"/>
    <w:rsid w:val="005C36DC"/>
    <w:rsid w:val="005C3803"/>
    <w:rsid w:val="005C3AEC"/>
    <w:rsid w:val="005C4240"/>
    <w:rsid w:val="005C447B"/>
    <w:rsid w:val="005C48FF"/>
    <w:rsid w:val="005C4B3E"/>
    <w:rsid w:val="005C4BEF"/>
    <w:rsid w:val="005C4D92"/>
    <w:rsid w:val="005C563E"/>
    <w:rsid w:val="005C5AF8"/>
    <w:rsid w:val="005C5F4F"/>
    <w:rsid w:val="005C5FFE"/>
    <w:rsid w:val="005C617D"/>
    <w:rsid w:val="005C636A"/>
    <w:rsid w:val="005C69D3"/>
    <w:rsid w:val="005C6F0B"/>
    <w:rsid w:val="005C713A"/>
    <w:rsid w:val="005C7947"/>
    <w:rsid w:val="005C7DB5"/>
    <w:rsid w:val="005D001F"/>
    <w:rsid w:val="005D0023"/>
    <w:rsid w:val="005D0372"/>
    <w:rsid w:val="005D0823"/>
    <w:rsid w:val="005D0A8E"/>
    <w:rsid w:val="005D12D2"/>
    <w:rsid w:val="005D17C0"/>
    <w:rsid w:val="005D19E7"/>
    <w:rsid w:val="005D1C4B"/>
    <w:rsid w:val="005D2675"/>
    <w:rsid w:val="005D2A80"/>
    <w:rsid w:val="005D2ABE"/>
    <w:rsid w:val="005D2CF6"/>
    <w:rsid w:val="005D2DD1"/>
    <w:rsid w:val="005D2EDA"/>
    <w:rsid w:val="005D3010"/>
    <w:rsid w:val="005D328E"/>
    <w:rsid w:val="005D3548"/>
    <w:rsid w:val="005D37B1"/>
    <w:rsid w:val="005D3911"/>
    <w:rsid w:val="005D3E44"/>
    <w:rsid w:val="005D3F1E"/>
    <w:rsid w:val="005D417D"/>
    <w:rsid w:val="005D439E"/>
    <w:rsid w:val="005D4C04"/>
    <w:rsid w:val="005D5114"/>
    <w:rsid w:val="005D5260"/>
    <w:rsid w:val="005D534A"/>
    <w:rsid w:val="005D538B"/>
    <w:rsid w:val="005D58C2"/>
    <w:rsid w:val="005D5EC4"/>
    <w:rsid w:val="005D6866"/>
    <w:rsid w:val="005D7591"/>
    <w:rsid w:val="005D77E9"/>
    <w:rsid w:val="005D7EEC"/>
    <w:rsid w:val="005D7FC1"/>
    <w:rsid w:val="005E0250"/>
    <w:rsid w:val="005E0C9A"/>
    <w:rsid w:val="005E0F82"/>
    <w:rsid w:val="005E1B0D"/>
    <w:rsid w:val="005E20B7"/>
    <w:rsid w:val="005E232D"/>
    <w:rsid w:val="005E2481"/>
    <w:rsid w:val="005E24CC"/>
    <w:rsid w:val="005E280E"/>
    <w:rsid w:val="005E304C"/>
    <w:rsid w:val="005E34AC"/>
    <w:rsid w:val="005E3A3E"/>
    <w:rsid w:val="005E3B5B"/>
    <w:rsid w:val="005E4728"/>
    <w:rsid w:val="005E47C9"/>
    <w:rsid w:val="005E4AFC"/>
    <w:rsid w:val="005E4D7A"/>
    <w:rsid w:val="005E4DB1"/>
    <w:rsid w:val="005E52AF"/>
    <w:rsid w:val="005E565F"/>
    <w:rsid w:val="005E6802"/>
    <w:rsid w:val="005E6A49"/>
    <w:rsid w:val="005E6B74"/>
    <w:rsid w:val="005E6B85"/>
    <w:rsid w:val="005E6EC0"/>
    <w:rsid w:val="005E7090"/>
    <w:rsid w:val="005E7283"/>
    <w:rsid w:val="005E744C"/>
    <w:rsid w:val="005E7891"/>
    <w:rsid w:val="005F0755"/>
    <w:rsid w:val="005F0AE4"/>
    <w:rsid w:val="005F1522"/>
    <w:rsid w:val="005F1733"/>
    <w:rsid w:val="005F2206"/>
    <w:rsid w:val="005F2AC2"/>
    <w:rsid w:val="005F36CB"/>
    <w:rsid w:val="005F374C"/>
    <w:rsid w:val="005F3991"/>
    <w:rsid w:val="005F40B9"/>
    <w:rsid w:val="005F4311"/>
    <w:rsid w:val="005F44AE"/>
    <w:rsid w:val="005F494D"/>
    <w:rsid w:val="005F4F18"/>
    <w:rsid w:val="005F5457"/>
    <w:rsid w:val="005F54AE"/>
    <w:rsid w:val="005F5962"/>
    <w:rsid w:val="005F5F84"/>
    <w:rsid w:val="005F6067"/>
    <w:rsid w:val="005F60A4"/>
    <w:rsid w:val="005F64AF"/>
    <w:rsid w:val="005F64C0"/>
    <w:rsid w:val="005F7AFC"/>
    <w:rsid w:val="00600336"/>
    <w:rsid w:val="0060085B"/>
    <w:rsid w:val="00600897"/>
    <w:rsid w:val="00600DE8"/>
    <w:rsid w:val="00601C31"/>
    <w:rsid w:val="00602452"/>
    <w:rsid w:val="0060288A"/>
    <w:rsid w:val="00602A64"/>
    <w:rsid w:val="00602D15"/>
    <w:rsid w:val="00602EF6"/>
    <w:rsid w:val="00602F6A"/>
    <w:rsid w:val="00603075"/>
    <w:rsid w:val="006033B5"/>
    <w:rsid w:val="00603904"/>
    <w:rsid w:val="00604029"/>
    <w:rsid w:val="0060422C"/>
    <w:rsid w:val="00604817"/>
    <w:rsid w:val="00604BFF"/>
    <w:rsid w:val="00604F54"/>
    <w:rsid w:val="006054D9"/>
    <w:rsid w:val="00605DA7"/>
    <w:rsid w:val="00606328"/>
    <w:rsid w:val="00606BE7"/>
    <w:rsid w:val="00606F4C"/>
    <w:rsid w:val="00607092"/>
    <w:rsid w:val="00607315"/>
    <w:rsid w:val="006075EC"/>
    <w:rsid w:val="006078BE"/>
    <w:rsid w:val="006078E7"/>
    <w:rsid w:val="00607ADD"/>
    <w:rsid w:val="00607DDB"/>
    <w:rsid w:val="00607DE8"/>
    <w:rsid w:val="00607E46"/>
    <w:rsid w:val="006101E9"/>
    <w:rsid w:val="00610AE4"/>
    <w:rsid w:val="00611067"/>
    <w:rsid w:val="006110BC"/>
    <w:rsid w:val="00611B5B"/>
    <w:rsid w:val="00611F27"/>
    <w:rsid w:val="006121C2"/>
    <w:rsid w:val="0061261A"/>
    <w:rsid w:val="00612992"/>
    <w:rsid w:val="00612D5F"/>
    <w:rsid w:val="00613204"/>
    <w:rsid w:val="0061321A"/>
    <w:rsid w:val="00613879"/>
    <w:rsid w:val="00614406"/>
    <w:rsid w:val="00614569"/>
    <w:rsid w:val="00614C37"/>
    <w:rsid w:val="00614CED"/>
    <w:rsid w:val="006157C1"/>
    <w:rsid w:val="00615A3D"/>
    <w:rsid w:val="00615A5F"/>
    <w:rsid w:val="00615EEA"/>
    <w:rsid w:val="00616150"/>
    <w:rsid w:val="006163F9"/>
    <w:rsid w:val="0061661C"/>
    <w:rsid w:val="00616AA9"/>
    <w:rsid w:val="00616E98"/>
    <w:rsid w:val="00616EB9"/>
    <w:rsid w:val="00617A32"/>
    <w:rsid w:val="0062032D"/>
    <w:rsid w:val="00620536"/>
    <w:rsid w:val="00620AC4"/>
    <w:rsid w:val="00620CCE"/>
    <w:rsid w:val="0062100A"/>
    <w:rsid w:val="006210A1"/>
    <w:rsid w:val="006211D0"/>
    <w:rsid w:val="00621781"/>
    <w:rsid w:val="00621BF0"/>
    <w:rsid w:val="00621C23"/>
    <w:rsid w:val="006222C4"/>
    <w:rsid w:val="006229C3"/>
    <w:rsid w:val="00622F43"/>
    <w:rsid w:val="00623F2E"/>
    <w:rsid w:val="00624B17"/>
    <w:rsid w:val="00624B8E"/>
    <w:rsid w:val="00624F6D"/>
    <w:rsid w:val="00624F82"/>
    <w:rsid w:val="006250B2"/>
    <w:rsid w:val="006253F0"/>
    <w:rsid w:val="00625BC9"/>
    <w:rsid w:val="00625E1E"/>
    <w:rsid w:val="0062643B"/>
    <w:rsid w:val="00626C24"/>
    <w:rsid w:val="006271DF"/>
    <w:rsid w:val="00627D59"/>
    <w:rsid w:val="00630423"/>
    <w:rsid w:val="006305C5"/>
    <w:rsid w:val="006305D5"/>
    <w:rsid w:val="00630841"/>
    <w:rsid w:val="00630FF3"/>
    <w:rsid w:val="0063108F"/>
    <w:rsid w:val="006317F1"/>
    <w:rsid w:val="0063192D"/>
    <w:rsid w:val="00631B98"/>
    <w:rsid w:val="00631DEE"/>
    <w:rsid w:val="00632358"/>
    <w:rsid w:val="0063259E"/>
    <w:rsid w:val="00632A52"/>
    <w:rsid w:val="00632A6C"/>
    <w:rsid w:val="00632F6B"/>
    <w:rsid w:val="00633762"/>
    <w:rsid w:val="0063393A"/>
    <w:rsid w:val="00633B3C"/>
    <w:rsid w:val="00633C06"/>
    <w:rsid w:val="00634EBB"/>
    <w:rsid w:val="00634F42"/>
    <w:rsid w:val="006353B0"/>
    <w:rsid w:val="00635417"/>
    <w:rsid w:val="00635490"/>
    <w:rsid w:val="00635745"/>
    <w:rsid w:val="00635E85"/>
    <w:rsid w:val="00635F2B"/>
    <w:rsid w:val="0063620F"/>
    <w:rsid w:val="006366EC"/>
    <w:rsid w:val="00636CA8"/>
    <w:rsid w:val="0063791D"/>
    <w:rsid w:val="00637AE3"/>
    <w:rsid w:val="00637FF5"/>
    <w:rsid w:val="00640187"/>
    <w:rsid w:val="00640717"/>
    <w:rsid w:val="00640841"/>
    <w:rsid w:val="00640BAB"/>
    <w:rsid w:val="00641712"/>
    <w:rsid w:val="00641CCE"/>
    <w:rsid w:val="00641EE1"/>
    <w:rsid w:val="00642658"/>
    <w:rsid w:val="006429F6"/>
    <w:rsid w:val="006433A4"/>
    <w:rsid w:val="00643A5E"/>
    <w:rsid w:val="00643AF8"/>
    <w:rsid w:val="00643C49"/>
    <w:rsid w:val="0064403D"/>
    <w:rsid w:val="00644237"/>
    <w:rsid w:val="0064466E"/>
    <w:rsid w:val="00644BDA"/>
    <w:rsid w:val="00644D97"/>
    <w:rsid w:val="00645B0C"/>
    <w:rsid w:val="00646406"/>
    <w:rsid w:val="006468C4"/>
    <w:rsid w:val="00647151"/>
    <w:rsid w:val="00647C39"/>
    <w:rsid w:val="0065039E"/>
    <w:rsid w:val="006505A2"/>
    <w:rsid w:val="006507E5"/>
    <w:rsid w:val="006510FD"/>
    <w:rsid w:val="0065116F"/>
    <w:rsid w:val="0065154C"/>
    <w:rsid w:val="006515DE"/>
    <w:rsid w:val="00651602"/>
    <w:rsid w:val="006519F6"/>
    <w:rsid w:val="00651EB5"/>
    <w:rsid w:val="00651F11"/>
    <w:rsid w:val="00651F3D"/>
    <w:rsid w:val="00652323"/>
    <w:rsid w:val="00652C1B"/>
    <w:rsid w:val="00652C8C"/>
    <w:rsid w:val="006530AC"/>
    <w:rsid w:val="006535BA"/>
    <w:rsid w:val="00653BED"/>
    <w:rsid w:val="00653E86"/>
    <w:rsid w:val="006546BC"/>
    <w:rsid w:val="00654946"/>
    <w:rsid w:val="00654A0B"/>
    <w:rsid w:val="00655977"/>
    <w:rsid w:val="00655A31"/>
    <w:rsid w:val="00655ECE"/>
    <w:rsid w:val="00655F07"/>
    <w:rsid w:val="00655FB6"/>
    <w:rsid w:val="006561AD"/>
    <w:rsid w:val="006561B9"/>
    <w:rsid w:val="0065635E"/>
    <w:rsid w:val="00656419"/>
    <w:rsid w:val="00656772"/>
    <w:rsid w:val="00656E38"/>
    <w:rsid w:val="0065709F"/>
    <w:rsid w:val="006573FF"/>
    <w:rsid w:val="0065743C"/>
    <w:rsid w:val="00657529"/>
    <w:rsid w:val="00657813"/>
    <w:rsid w:val="00657B4A"/>
    <w:rsid w:val="00660371"/>
    <w:rsid w:val="006604BE"/>
    <w:rsid w:val="006604E5"/>
    <w:rsid w:val="0066090E"/>
    <w:rsid w:val="00661399"/>
    <w:rsid w:val="0066139D"/>
    <w:rsid w:val="0066142C"/>
    <w:rsid w:val="00661574"/>
    <w:rsid w:val="006617EC"/>
    <w:rsid w:val="00661D59"/>
    <w:rsid w:val="00661DB1"/>
    <w:rsid w:val="00661FD6"/>
    <w:rsid w:val="006626DB"/>
    <w:rsid w:val="00662CC3"/>
    <w:rsid w:val="00662E83"/>
    <w:rsid w:val="006632FB"/>
    <w:rsid w:val="006633AF"/>
    <w:rsid w:val="00663B2F"/>
    <w:rsid w:val="00663F49"/>
    <w:rsid w:val="00664475"/>
    <w:rsid w:val="006644D5"/>
    <w:rsid w:val="00665452"/>
    <w:rsid w:val="0066548A"/>
    <w:rsid w:val="0066554F"/>
    <w:rsid w:val="00665F56"/>
    <w:rsid w:val="0066697B"/>
    <w:rsid w:val="00666DFF"/>
    <w:rsid w:val="00667D07"/>
    <w:rsid w:val="00667D90"/>
    <w:rsid w:val="00667E13"/>
    <w:rsid w:val="006707A7"/>
    <w:rsid w:val="0067098E"/>
    <w:rsid w:val="00670A5B"/>
    <w:rsid w:val="00670B8D"/>
    <w:rsid w:val="00670BC5"/>
    <w:rsid w:val="00670D47"/>
    <w:rsid w:val="006711D1"/>
    <w:rsid w:val="006712BB"/>
    <w:rsid w:val="006715D2"/>
    <w:rsid w:val="00672ABA"/>
    <w:rsid w:val="00673127"/>
    <w:rsid w:val="006738FD"/>
    <w:rsid w:val="00673A25"/>
    <w:rsid w:val="00673C8E"/>
    <w:rsid w:val="00674432"/>
    <w:rsid w:val="00674531"/>
    <w:rsid w:val="00674738"/>
    <w:rsid w:val="006747E2"/>
    <w:rsid w:val="00674B0A"/>
    <w:rsid w:val="00674E0E"/>
    <w:rsid w:val="00675CA7"/>
    <w:rsid w:val="00675F3E"/>
    <w:rsid w:val="00676147"/>
    <w:rsid w:val="00676A59"/>
    <w:rsid w:val="00676B3E"/>
    <w:rsid w:val="00676C30"/>
    <w:rsid w:val="00676EF5"/>
    <w:rsid w:val="0067711E"/>
    <w:rsid w:val="006771B7"/>
    <w:rsid w:val="00677726"/>
    <w:rsid w:val="006779EF"/>
    <w:rsid w:val="00677F6E"/>
    <w:rsid w:val="0068012F"/>
    <w:rsid w:val="00680412"/>
    <w:rsid w:val="00680CDD"/>
    <w:rsid w:val="00680D60"/>
    <w:rsid w:val="00681DAE"/>
    <w:rsid w:val="00681DC8"/>
    <w:rsid w:val="00681EC0"/>
    <w:rsid w:val="0068243D"/>
    <w:rsid w:val="00682A0B"/>
    <w:rsid w:val="00682C48"/>
    <w:rsid w:val="00683A8D"/>
    <w:rsid w:val="00683B91"/>
    <w:rsid w:val="00684058"/>
    <w:rsid w:val="006841F7"/>
    <w:rsid w:val="0068463F"/>
    <w:rsid w:val="00684E59"/>
    <w:rsid w:val="00684FCB"/>
    <w:rsid w:val="00685346"/>
    <w:rsid w:val="0068550A"/>
    <w:rsid w:val="00685A2E"/>
    <w:rsid w:val="00685B45"/>
    <w:rsid w:val="00685ED7"/>
    <w:rsid w:val="006861D9"/>
    <w:rsid w:val="006868BC"/>
    <w:rsid w:val="00687517"/>
    <w:rsid w:val="006902D8"/>
    <w:rsid w:val="006902FD"/>
    <w:rsid w:val="00690376"/>
    <w:rsid w:val="006904D3"/>
    <w:rsid w:val="00690CA3"/>
    <w:rsid w:val="00690FDD"/>
    <w:rsid w:val="00691851"/>
    <w:rsid w:val="00691F51"/>
    <w:rsid w:val="006923E7"/>
    <w:rsid w:val="00692BD7"/>
    <w:rsid w:val="00693186"/>
    <w:rsid w:val="00693385"/>
    <w:rsid w:val="00693995"/>
    <w:rsid w:val="00693C92"/>
    <w:rsid w:val="006944BD"/>
    <w:rsid w:val="00694B08"/>
    <w:rsid w:val="00694F95"/>
    <w:rsid w:val="00695097"/>
    <w:rsid w:val="00695E8D"/>
    <w:rsid w:val="00696D3C"/>
    <w:rsid w:val="00697363"/>
    <w:rsid w:val="0069737B"/>
    <w:rsid w:val="006973FC"/>
    <w:rsid w:val="00697457"/>
    <w:rsid w:val="006977F7"/>
    <w:rsid w:val="00697C5F"/>
    <w:rsid w:val="006A0887"/>
    <w:rsid w:val="006A099E"/>
    <w:rsid w:val="006A0B2F"/>
    <w:rsid w:val="006A0E5D"/>
    <w:rsid w:val="006A0E60"/>
    <w:rsid w:val="006A1693"/>
    <w:rsid w:val="006A1873"/>
    <w:rsid w:val="006A1D23"/>
    <w:rsid w:val="006A2072"/>
    <w:rsid w:val="006A22CF"/>
    <w:rsid w:val="006A23DA"/>
    <w:rsid w:val="006A34A7"/>
    <w:rsid w:val="006A3832"/>
    <w:rsid w:val="006A3857"/>
    <w:rsid w:val="006A38F0"/>
    <w:rsid w:val="006A3A1E"/>
    <w:rsid w:val="006A3C3F"/>
    <w:rsid w:val="006A4503"/>
    <w:rsid w:val="006A488A"/>
    <w:rsid w:val="006A4E03"/>
    <w:rsid w:val="006A4ED2"/>
    <w:rsid w:val="006A5422"/>
    <w:rsid w:val="006A56BB"/>
    <w:rsid w:val="006A5894"/>
    <w:rsid w:val="006A5B77"/>
    <w:rsid w:val="006A5C20"/>
    <w:rsid w:val="006A6256"/>
    <w:rsid w:val="006A62CB"/>
    <w:rsid w:val="006A65E7"/>
    <w:rsid w:val="006A6609"/>
    <w:rsid w:val="006A6672"/>
    <w:rsid w:val="006A699A"/>
    <w:rsid w:val="006A6C08"/>
    <w:rsid w:val="006A7837"/>
    <w:rsid w:val="006A7DD3"/>
    <w:rsid w:val="006B0050"/>
    <w:rsid w:val="006B01C0"/>
    <w:rsid w:val="006B03D8"/>
    <w:rsid w:val="006B04A8"/>
    <w:rsid w:val="006B05A5"/>
    <w:rsid w:val="006B075C"/>
    <w:rsid w:val="006B1B53"/>
    <w:rsid w:val="006B2061"/>
    <w:rsid w:val="006B25CC"/>
    <w:rsid w:val="006B2F8B"/>
    <w:rsid w:val="006B33B1"/>
    <w:rsid w:val="006B36E1"/>
    <w:rsid w:val="006B3B29"/>
    <w:rsid w:val="006B42B6"/>
    <w:rsid w:val="006B4551"/>
    <w:rsid w:val="006B4F31"/>
    <w:rsid w:val="006B5246"/>
    <w:rsid w:val="006B5825"/>
    <w:rsid w:val="006B5BFB"/>
    <w:rsid w:val="006B67D3"/>
    <w:rsid w:val="006B68A5"/>
    <w:rsid w:val="006B70B6"/>
    <w:rsid w:val="006B715B"/>
    <w:rsid w:val="006B7405"/>
    <w:rsid w:val="006B7BC6"/>
    <w:rsid w:val="006B7C38"/>
    <w:rsid w:val="006B7FFE"/>
    <w:rsid w:val="006C01AE"/>
    <w:rsid w:val="006C0653"/>
    <w:rsid w:val="006C1843"/>
    <w:rsid w:val="006C25AD"/>
    <w:rsid w:val="006C269A"/>
    <w:rsid w:val="006C2C72"/>
    <w:rsid w:val="006C316A"/>
    <w:rsid w:val="006C3318"/>
    <w:rsid w:val="006C34BD"/>
    <w:rsid w:val="006C372F"/>
    <w:rsid w:val="006C3C92"/>
    <w:rsid w:val="006C41CC"/>
    <w:rsid w:val="006C4216"/>
    <w:rsid w:val="006C4943"/>
    <w:rsid w:val="006C4A00"/>
    <w:rsid w:val="006C4D73"/>
    <w:rsid w:val="006C53DF"/>
    <w:rsid w:val="006C5B1C"/>
    <w:rsid w:val="006C64FF"/>
    <w:rsid w:val="006C67D7"/>
    <w:rsid w:val="006C6822"/>
    <w:rsid w:val="006C6994"/>
    <w:rsid w:val="006C7499"/>
    <w:rsid w:val="006C74E4"/>
    <w:rsid w:val="006D001F"/>
    <w:rsid w:val="006D01C9"/>
    <w:rsid w:val="006D120A"/>
    <w:rsid w:val="006D1DC8"/>
    <w:rsid w:val="006D1FBE"/>
    <w:rsid w:val="006D2030"/>
    <w:rsid w:val="006D2051"/>
    <w:rsid w:val="006D274C"/>
    <w:rsid w:val="006D287A"/>
    <w:rsid w:val="006D28C7"/>
    <w:rsid w:val="006D29B4"/>
    <w:rsid w:val="006D4228"/>
    <w:rsid w:val="006D4FF6"/>
    <w:rsid w:val="006D5271"/>
    <w:rsid w:val="006D5625"/>
    <w:rsid w:val="006D5846"/>
    <w:rsid w:val="006D5BDF"/>
    <w:rsid w:val="006D630A"/>
    <w:rsid w:val="006D635A"/>
    <w:rsid w:val="006D6381"/>
    <w:rsid w:val="006D7C6F"/>
    <w:rsid w:val="006D7CE3"/>
    <w:rsid w:val="006E070C"/>
    <w:rsid w:val="006E08B5"/>
    <w:rsid w:val="006E0BE4"/>
    <w:rsid w:val="006E0F11"/>
    <w:rsid w:val="006E1A1A"/>
    <w:rsid w:val="006E2385"/>
    <w:rsid w:val="006E2DEA"/>
    <w:rsid w:val="006E2E10"/>
    <w:rsid w:val="006E3857"/>
    <w:rsid w:val="006E4108"/>
    <w:rsid w:val="006E46C0"/>
    <w:rsid w:val="006E4AEF"/>
    <w:rsid w:val="006E5490"/>
    <w:rsid w:val="006E5B3C"/>
    <w:rsid w:val="006E61A4"/>
    <w:rsid w:val="006E61F7"/>
    <w:rsid w:val="006E678E"/>
    <w:rsid w:val="006E690A"/>
    <w:rsid w:val="006E6A11"/>
    <w:rsid w:val="006E6D42"/>
    <w:rsid w:val="006E75FD"/>
    <w:rsid w:val="006E7F64"/>
    <w:rsid w:val="006E7F82"/>
    <w:rsid w:val="006F0A60"/>
    <w:rsid w:val="006F0DFA"/>
    <w:rsid w:val="006F1371"/>
    <w:rsid w:val="006F16A5"/>
    <w:rsid w:val="006F1C7D"/>
    <w:rsid w:val="006F1DFF"/>
    <w:rsid w:val="006F1E45"/>
    <w:rsid w:val="006F216C"/>
    <w:rsid w:val="006F2528"/>
    <w:rsid w:val="006F2898"/>
    <w:rsid w:val="006F3C30"/>
    <w:rsid w:val="006F3CFA"/>
    <w:rsid w:val="006F3DDB"/>
    <w:rsid w:val="006F4774"/>
    <w:rsid w:val="006F4E08"/>
    <w:rsid w:val="006F5573"/>
    <w:rsid w:val="006F5BD7"/>
    <w:rsid w:val="006F6805"/>
    <w:rsid w:val="006F6BCF"/>
    <w:rsid w:val="006F6FA3"/>
    <w:rsid w:val="006F75F5"/>
    <w:rsid w:val="006F7728"/>
    <w:rsid w:val="006F777F"/>
    <w:rsid w:val="006F7831"/>
    <w:rsid w:val="006F7B5C"/>
    <w:rsid w:val="0070043E"/>
    <w:rsid w:val="00700939"/>
    <w:rsid w:val="00700B64"/>
    <w:rsid w:val="00701279"/>
    <w:rsid w:val="00701498"/>
    <w:rsid w:val="00701A73"/>
    <w:rsid w:val="0070218D"/>
    <w:rsid w:val="00703130"/>
    <w:rsid w:val="00703730"/>
    <w:rsid w:val="0070424F"/>
    <w:rsid w:val="00704266"/>
    <w:rsid w:val="00704A39"/>
    <w:rsid w:val="00705432"/>
    <w:rsid w:val="007056BD"/>
    <w:rsid w:val="00705A15"/>
    <w:rsid w:val="00705BA4"/>
    <w:rsid w:val="00705CA8"/>
    <w:rsid w:val="00705F99"/>
    <w:rsid w:val="007062B8"/>
    <w:rsid w:val="007065B0"/>
    <w:rsid w:val="007065C3"/>
    <w:rsid w:val="0070690F"/>
    <w:rsid w:val="007069B5"/>
    <w:rsid w:val="00707070"/>
    <w:rsid w:val="00707204"/>
    <w:rsid w:val="00707E9B"/>
    <w:rsid w:val="007107A3"/>
    <w:rsid w:val="00710A2C"/>
    <w:rsid w:val="00710F8A"/>
    <w:rsid w:val="00711162"/>
    <w:rsid w:val="00711306"/>
    <w:rsid w:val="00711683"/>
    <w:rsid w:val="0071168D"/>
    <w:rsid w:val="007118C9"/>
    <w:rsid w:val="00711D62"/>
    <w:rsid w:val="00712257"/>
    <w:rsid w:val="007129F1"/>
    <w:rsid w:val="00712BF5"/>
    <w:rsid w:val="007131EE"/>
    <w:rsid w:val="00713259"/>
    <w:rsid w:val="00713593"/>
    <w:rsid w:val="0071387D"/>
    <w:rsid w:val="0071392C"/>
    <w:rsid w:val="007139F2"/>
    <w:rsid w:val="00713AF8"/>
    <w:rsid w:val="007140A3"/>
    <w:rsid w:val="0071440F"/>
    <w:rsid w:val="00714762"/>
    <w:rsid w:val="00714CC2"/>
    <w:rsid w:val="00714D0F"/>
    <w:rsid w:val="00714E57"/>
    <w:rsid w:val="0071547A"/>
    <w:rsid w:val="007155C8"/>
    <w:rsid w:val="0071580B"/>
    <w:rsid w:val="00716096"/>
    <w:rsid w:val="00716B31"/>
    <w:rsid w:val="007170B2"/>
    <w:rsid w:val="007173E3"/>
    <w:rsid w:val="007175B5"/>
    <w:rsid w:val="00717FFC"/>
    <w:rsid w:val="0072059D"/>
    <w:rsid w:val="00720A8F"/>
    <w:rsid w:val="007213AA"/>
    <w:rsid w:val="007213C7"/>
    <w:rsid w:val="00721409"/>
    <w:rsid w:val="00721536"/>
    <w:rsid w:val="00721619"/>
    <w:rsid w:val="00721DE2"/>
    <w:rsid w:val="00721E78"/>
    <w:rsid w:val="00722419"/>
    <w:rsid w:val="00722735"/>
    <w:rsid w:val="00722D55"/>
    <w:rsid w:val="00723477"/>
    <w:rsid w:val="007234AD"/>
    <w:rsid w:val="00723C6B"/>
    <w:rsid w:val="00723DF2"/>
    <w:rsid w:val="00724890"/>
    <w:rsid w:val="00724900"/>
    <w:rsid w:val="00724A27"/>
    <w:rsid w:val="00725175"/>
    <w:rsid w:val="007255F6"/>
    <w:rsid w:val="007257D5"/>
    <w:rsid w:val="007258C6"/>
    <w:rsid w:val="00725937"/>
    <w:rsid w:val="00725D43"/>
    <w:rsid w:val="007262DE"/>
    <w:rsid w:val="00726B92"/>
    <w:rsid w:val="00727677"/>
    <w:rsid w:val="007279FE"/>
    <w:rsid w:val="00727C50"/>
    <w:rsid w:val="00727EFE"/>
    <w:rsid w:val="00727F2D"/>
    <w:rsid w:val="00730288"/>
    <w:rsid w:val="00730812"/>
    <w:rsid w:val="007312C2"/>
    <w:rsid w:val="00731536"/>
    <w:rsid w:val="007319F2"/>
    <w:rsid w:val="00731C7B"/>
    <w:rsid w:val="00732160"/>
    <w:rsid w:val="00732929"/>
    <w:rsid w:val="00732BE3"/>
    <w:rsid w:val="00732E27"/>
    <w:rsid w:val="00733340"/>
    <w:rsid w:val="00733F05"/>
    <w:rsid w:val="0073466E"/>
    <w:rsid w:val="00734729"/>
    <w:rsid w:val="00734859"/>
    <w:rsid w:val="007348AC"/>
    <w:rsid w:val="00735731"/>
    <w:rsid w:val="007358E0"/>
    <w:rsid w:val="0073598B"/>
    <w:rsid w:val="00735DDA"/>
    <w:rsid w:val="00735F1C"/>
    <w:rsid w:val="007364CB"/>
    <w:rsid w:val="00736B55"/>
    <w:rsid w:val="00736DB7"/>
    <w:rsid w:val="00737249"/>
    <w:rsid w:val="0073724B"/>
    <w:rsid w:val="0073757E"/>
    <w:rsid w:val="0073769B"/>
    <w:rsid w:val="00737816"/>
    <w:rsid w:val="00737A6C"/>
    <w:rsid w:val="00737B15"/>
    <w:rsid w:val="00737B64"/>
    <w:rsid w:val="007401A1"/>
    <w:rsid w:val="00740259"/>
    <w:rsid w:val="00740AFF"/>
    <w:rsid w:val="00740D5B"/>
    <w:rsid w:val="00740E4B"/>
    <w:rsid w:val="0074134F"/>
    <w:rsid w:val="007413A7"/>
    <w:rsid w:val="007417C7"/>
    <w:rsid w:val="007425EB"/>
    <w:rsid w:val="00742B88"/>
    <w:rsid w:val="00742DB0"/>
    <w:rsid w:val="00743A94"/>
    <w:rsid w:val="00743C43"/>
    <w:rsid w:val="00744707"/>
    <w:rsid w:val="0074473C"/>
    <w:rsid w:val="00744E1C"/>
    <w:rsid w:val="007451C7"/>
    <w:rsid w:val="007458E3"/>
    <w:rsid w:val="00745A6C"/>
    <w:rsid w:val="00745B57"/>
    <w:rsid w:val="00746A65"/>
    <w:rsid w:val="00746FBD"/>
    <w:rsid w:val="0074705C"/>
    <w:rsid w:val="0074711A"/>
    <w:rsid w:val="007478E0"/>
    <w:rsid w:val="0075006D"/>
    <w:rsid w:val="00750523"/>
    <w:rsid w:val="00750F39"/>
    <w:rsid w:val="007518F3"/>
    <w:rsid w:val="007529FC"/>
    <w:rsid w:val="007534F9"/>
    <w:rsid w:val="007538BF"/>
    <w:rsid w:val="00753E09"/>
    <w:rsid w:val="00754153"/>
    <w:rsid w:val="007541BC"/>
    <w:rsid w:val="00754424"/>
    <w:rsid w:val="007545F3"/>
    <w:rsid w:val="0075465F"/>
    <w:rsid w:val="00754B52"/>
    <w:rsid w:val="00754BB7"/>
    <w:rsid w:val="0075546F"/>
    <w:rsid w:val="00756822"/>
    <w:rsid w:val="00756B7A"/>
    <w:rsid w:val="00757158"/>
    <w:rsid w:val="00757EC5"/>
    <w:rsid w:val="007603CC"/>
    <w:rsid w:val="00760712"/>
    <w:rsid w:val="00760814"/>
    <w:rsid w:val="00760999"/>
    <w:rsid w:val="00761598"/>
    <w:rsid w:val="00761E08"/>
    <w:rsid w:val="00762C9B"/>
    <w:rsid w:val="00762CAA"/>
    <w:rsid w:val="00762DC1"/>
    <w:rsid w:val="00763E27"/>
    <w:rsid w:val="00763EDD"/>
    <w:rsid w:val="00764584"/>
    <w:rsid w:val="00764CA8"/>
    <w:rsid w:val="00765019"/>
    <w:rsid w:val="0076649E"/>
    <w:rsid w:val="007664F4"/>
    <w:rsid w:val="00766848"/>
    <w:rsid w:val="007669D1"/>
    <w:rsid w:val="00767448"/>
    <w:rsid w:val="00767752"/>
    <w:rsid w:val="007679CC"/>
    <w:rsid w:val="007679F3"/>
    <w:rsid w:val="00767A13"/>
    <w:rsid w:val="00767AD5"/>
    <w:rsid w:val="00767E29"/>
    <w:rsid w:val="007700F1"/>
    <w:rsid w:val="00770117"/>
    <w:rsid w:val="0077011F"/>
    <w:rsid w:val="0077014A"/>
    <w:rsid w:val="00770189"/>
    <w:rsid w:val="00770991"/>
    <w:rsid w:val="007709C5"/>
    <w:rsid w:val="00770E0E"/>
    <w:rsid w:val="007718BB"/>
    <w:rsid w:val="00771A6D"/>
    <w:rsid w:val="0077205E"/>
    <w:rsid w:val="007727E8"/>
    <w:rsid w:val="007729D6"/>
    <w:rsid w:val="00772B2D"/>
    <w:rsid w:val="00772C87"/>
    <w:rsid w:val="00772F8D"/>
    <w:rsid w:val="00773669"/>
    <w:rsid w:val="007736D9"/>
    <w:rsid w:val="00773A37"/>
    <w:rsid w:val="00773AFC"/>
    <w:rsid w:val="00773D22"/>
    <w:rsid w:val="007741F6"/>
    <w:rsid w:val="007745F8"/>
    <w:rsid w:val="0077460E"/>
    <w:rsid w:val="00774CBF"/>
    <w:rsid w:val="00774F8B"/>
    <w:rsid w:val="007750D9"/>
    <w:rsid w:val="00775185"/>
    <w:rsid w:val="007751C5"/>
    <w:rsid w:val="00775E48"/>
    <w:rsid w:val="007762E3"/>
    <w:rsid w:val="0077685C"/>
    <w:rsid w:val="0077689E"/>
    <w:rsid w:val="0077699E"/>
    <w:rsid w:val="00776CBD"/>
    <w:rsid w:val="007772DE"/>
    <w:rsid w:val="007800DA"/>
    <w:rsid w:val="007800FC"/>
    <w:rsid w:val="007801EE"/>
    <w:rsid w:val="00781290"/>
    <w:rsid w:val="007813B4"/>
    <w:rsid w:val="00781892"/>
    <w:rsid w:val="0078210D"/>
    <w:rsid w:val="00782186"/>
    <w:rsid w:val="00782836"/>
    <w:rsid w:val="007828B0"/>
    <w:rsid w:val="00782902"/>
    <w:rsid w:val="00783400"/>
    <w:rsid w:val="0078375F"/>
    <w:rsid w:val="007843A6"/>
    <w:rsid w:val="00784520"/>
    <w:rsid w:val="00784533"/>
    <w:rsid w:val="007847EF"/>
    <w:rsid w:val="007850B2"/>
    <w:rsid w:val="007854C9"/>
    <w:rsid w:val="007856D0"/>
    <w:rsid w:val="007858D6"/>
    <w:rsid w:val="00785E30"/>
    <w:rsid w:val="00786AB2"/>
    <w:rsid w:val="00786B23"/>
    <w:rsid w:val="00786D26"/>
    <w:rsid w:val="00787C35"/>
    <w:rsid w:val="00790141"/>
    <w:rsid w:val="0079065D"/>
    <w:rsid w:val="00790752"/>
    <w:rsid w:val="00790B87"/>
    <w:rsid w:val="00790DE6"/>
    <w:rsid w:val="0079146E"/>
    <w:rsid w:val="0079158A"/>
    <w:rsid w:val="007917A3"/>
    <w:rsid w:val="007918C7"/>
    <w:rsid w:val="007919E0"/>
    <w:rsid w:val="00791D0D"/>
    <w:rsid w:val="00791E79"/>
    <w:rsid w:val="00792ADC"/>
    <w:rsid w:val="00792E0C"/>
    <w:rsid w:val="007932D4"/>
    <w:rsid w:val="00793C37"/>
    <w:rsid w:val="00793DA5"/>
    <w:rsid w:val="00794514"/>
    <w:rsid w:val="00794652"/>
    <w:rsid w:val="0079476B"/>
    <w:rsid w:val="00794B42"/>
    <w:rsid w:val="00794EAA"/>
    <w:rsid w:val="0079509E"/>
    <w:rsid w:val="007956D8"/>
    <w:rsid w:val="00795E40"/>
    <w:rsid w:val="00795E65"/>
    <w:rsid w:val="00796B4E"/>
    <w:rsid w:val="00796C78"/>
    <w:rsid w:val="00796DA8"/>
    <w:rsid w:val="007974D5"/>
    <w:rsid w:val="00797771"/>
    <w:rsid w:val="00797D34"/>
    <w:rsid w:val="007A005F"/>
    <w:rsid w:val="007A0285"/>
    <w:rsid w:val="007A0C50"/>
    <w:rsid w:val="007A1EE5"/>
    <w:rsid w:val="007A1F49"/>
    <w:rsid w:val="007A2790"/>
    <w:rsid w:val="007A2992"/>
    <w:rsid w:val="007A2ED8"/>
    <w:rsid w:val="007A30FD"/>
    <w:rsid w:val="007A3163"/>
    <w:rsid w:val="007A36BD"/>
    <w:rsid w:val="007A3999"/>
    <w:rsid w:val="007A3ADB"/>
    <w:rsid w:val="007A4218"/>
    <w:rsid w:val="007A475A"/>
    <w:rsid w:val="007A4810"/>
    <w:rsid w:val="007A4AF5"/>
    <w:rsid w:val="007A4F11"/>
    <w:rsid w:val="007A5096"/>
    <w:rsid w:val="007A55F1"/>
    <w:rsid w:val="007A61A4"/>
    <w:rsid w:val="007A6BB9"/>
    <w:rsid w:val="007A6BFF"/>
    <w:rsid w:val="007A7302"/>
    <w:rsid w:val="007A7380"/>
    <w:rsid w:val="007A7395"/>
    <w:rsid w:val="007A7789"/>
    <w:rsid w:val="007B01F3"/>
    <w:rsid w:val="007B02A5"/>
    <w:rsid w:val="007B02A7"/>
    <w:rsid w:val="007B042B"/>
    <w:rsid w:val="007B1301"/>
    <w:rsid w:val="007B1DD5"/>
    <w:rsid w:val="007B1E8F"/>
    <w:rsid w:val="007B1FA0"/>
    <w:rsid w:val="007B230D"/>
    <w:rsid w:val="007B2311"/>
    <w:rsid w:val="007B2728"/>
    <w:rsid w:val="007B28F7"/>
    <w:rsid w:val="007B30B7"/>
    <w:rsid w:val="007B447B"/>
    <w:rsid w:val="007B44E6"/>
    <w:rsid w:val="007B4D5E"/>
    <w:rsid w:val="007B584C"/>
    <w:rsid w:val="007B59E8"/>
    <w:rsid w:val="007B5CCD"/>
    <w:rsid w:val="007B5E66"/>
    <w:rsid w:val="007B6249"/>
    <w:rsid w:val="007B6455"/>
    <w:rsid w:val="007B6A62"/>
    <w:rsid w:val="007B6C6E"/>
    <w:rsid w:val="007B6DD3"/>
    <w:rsid w:val="007B73CD"/>
    <w:rsid w:val="007B746F"/>
    <w:rsid w:val="007B7532"/>
    <w:rsid w:val="007B7760"/>
    <w:rsid w:val="007B78EA"/>
    <w:rsid w:val="007B7A51"/>
    <w:rsid w:val="007B7AEB"/>
    <w:rsid w:val="007B7BE5"/>
    <w:rsid w:val="007B7E81"/>
    <w:rsid w:val="007C0809"/>
    <w:rsid w:val="007C0862"/>
    <w:rsid w:val="007C1486"/>
    <w:rsid w:val="007C1549"/>
    <w:rsid w:val="007C1706"/>
    <w:rsid w:val="007C1A5C"/>
    <w:rsid w:val="007C1A6F"/>
    <w:rsid w:val="007C1B73"/>
    <w:rsid w:val="007C1EF5"/>
    <w:rsid w:val="007C1F71"/>
    <w:rsid w:val="007C23E9"/>
    <w:rsid w:val="007C2518"/>
    <w:rsid w:val="007C32AC"/>
    <w:rsid w:val="007C37E5"/>
    <w:rsid w:val="007C3A78"/>
    <w:rsid w:val="007C3EBB"/>
    <w:rsid w:val="007C411C"/>
    <w:rsid w:val="007C41B4"/>
    <w:rsid w:val="007C4397"/>
    <w:rsid w:val="007C43BC"/>
    <w:rsid w:val="007C4AAC"/>
    <w:rsid w:val="007C4AC1"/>
    <w:rsid w:val="007C55D4"/>
    <w:rsid w:val="007C5BD1"/>
    <w:rsid w:val="007C5C62"/>
    <w:rsid w:val="007C5FEE"/>
    <w:rsid w:val="007C609B"/>
    <w:rsid w:val="007C6162"/>
    <w:rsid w:val="007C61FC"/>
    <w:rsid w:val="007C6484"/>
    <w:rsid w:val="007C67B9"/>
    <w:rsid w:val="007C67F9"/>
    <w:rsid w:val="007C7559"/>
    <w:rsid w:val="007C767A"/>
    <w:rsid w:val="007C78D1"/>
    <w:rsid w:val="007C7E77"/>
    <w:rsid w:val="007C7EA3"/>
    <w:rsid w:val="007D02E0"/>
    <w:rsid w:val="007D04C1"/>
    <w:rsid w:val="007D07F3"/>
    <w:rsid w:val="007D0BB5"/>
    <w:rsid w:val="007D0F4E"/>
    <w:rsid w:val="007D10BD"/>
    <w:rsid w:val="007D1382"/>
    <w:rsid w:val="007D14B5"/>
    <w:rsid w:val="007D23F1"/>
    <w:rsid w:val="007D24B7"/>
    <w:rsid w:val="007D2BA9"/>
    <w:rsid w:val="007D3253"/>
    <w:rsid w:val="007D3BDA"/>
    <w:rsid w:val="007D415D"/>
    <w:rsid w:val="007D4495"/>
    <w:rsid w:val="007D4B50"/>
    <w:rsid w:val="007D4F41"/>
    <w:rsid w:val="007D547C"/>
    <w:rsid w:val="007D59A1"/>
    <w:rsid w:val="007D5D02"/>
    <w:rsid w:val="007D61BA"/>
    <w:rsid w:val="007D64FB"/>
    <w:rsid w:val="007D72CC"/>
    <w:rsid w:val="007D7440"/>
    <w:rsid w:val="007D7704"/>
    <w:rsid w:val="007D78C3"/>
    <w:rsid w:val="007D7943"/>
    <w:rsid w:val="007D7D72"/>
    <w:rsid w:val="007D7FCB"/>
    <w:rsid w:val="007E0043"/>
    <w:rsid w:val="007E0B89"/>
    <w:rsid w:val="007E119B"/>
    <w:rsid w:val="007E152D"/>
    <w:rsid w:val="007E18BB"/>
    <w:rsid w:val="007E19A0"/>
    <w:rsid w:val="007E1C9C"/>
    <w:rsid w:val="007E207B"/>
    <w:rsid w:val="007E211B"/>
    <w:rsid w:val="007E21F5"/>
    <w:rsid w:val="007E238C"/>
    <w:rsid w:val="007E28D5"/>
    <w:rsid w:val="007E2E39"/>
    <w:rsid w:val="007E2EEC"/>
    <w:rsid w:val="007E2FE9"/>
    <w:rsid w:val="007E341C"/>
    <w:rsid w:val="007E34A7"/>
    <w:rsid w:val="007E37A1"/>
    <w:rsid w:val="007E3ED7"/>
    <w:rsid w:val="007E44ED"/>
    <w:rsid w:val="007E44F0"/>
    <w:rsid w:val="007E45D8"/>
    <w:rsid w:val="007E4885"/>
    <w:rsid w:val="007E4B8E"/>
    <w:rsid w:val="007E4D21"/>
    <w:rsid w:val="007E4ECE"/>
    <w:rsid w:val="007E4F60"/>
    <w:rsid w:val="007E5036"/>
    <w:rsid w:val="007E5377"/>
    <w:rsid w:val="007E563D"/>
    <w:rsid w:val="007E584B"/>
    <w:rsid w:val="007E59C1"/>
    <w:rsid w:val="007E5B3A"/>
    <w:rsid w:val="007E641F"/>
    <w:rsid w:val="007E653E"/>
    <w:rsid w:val="007E6932"/>
    <w:rsid w:val="007E6A3E"/>
    <w:rsid w:val="007E6B74"/>
    <w:rsid w:val="007E7488"/>
    <w:rsid w:val="007E7CD5"/>
    <w:rsid w:val="007F0773"/>
    <w:rsid w:val="007F0E87"/>
    <w:rsid w:val="007F159B"/>
    <w:rsid w:val="007F1987"/>
    <w:rsid w:val="007F1990"/>
    <w:rsid w:val="007F19BE"/>
    <w:rsid w:val="007F1FB5"/>
    <w:rsid w:val="007F24A4"/>
    <w:rsid w:val="007F24C3"/>
    <w:rsid w:val="007F2C53"/>
    <w:rsid w:val="007F2E72"/>
    <w:rsid w:val="007F2F64"/>
    <w:rsid w:val="007F2F85"/>
    <w:rsid w:val="007F3271"/>
    <w:rsid w:val="007F394A"/>
    <w:rsid w:val="007F3A5B"/>
    <w:rsid w:val="007F3B74"/>
    <w:rsid w:val="007F4162"/>
    <w:rsid w:val="007F44FE"/>
    <w:rsid w:val="007F4814"/>
    <w:rsid w:val="007F4A2B"/>
    <w:rsid w:val="007F518C"/>
    <w:rsid w:val="007F625B"/>
    <w:rsid w:val="007F652F"/>
    <w:rsid w:val="007F67C3"/>
    <w:rsid w:val="007F6CCC"/>
    <w:rsid w:val="007F6D57"/>
    <w:rsid w:val="007F6E71"/>
    <w:rsid w:val="007F6F01"/>
    <w:rsid w:val="007F7548"/>
    <w:rsid w:val="007F7AC1"/>
    <w:rsid w:val="007F7E8B"/>
    <w:rsid w:val="0080137E"/>
    <w:rsid w:val="00801DEC"/>
    <w:rsid w:val="008022AB"/>
    <w:rsid w:val="008023DC"/>
    <w:rsid w:val="00802791"/>
    <w:rsid w:val="00802938"/>
    <w:rsid w:val="00803287"/>
    <w:rsid w:val="0080348D"/>
    <w:rsid w:val="0080365F"/>
    <w:rsid w:val="00803AF5"/>
    <w:rsid w:val="00804153"/>
    <w:rsid w:val="0080422E"/>
    <w:rsid w:val="00804935"/>
    <w:rsid w:val="00804D2B"/>
    <w:rsid w:val="008057A0"/>
    <w:rsid w:val="00805CD2"/>
    <w:rsid w:val="00805CE4"/>
    <w:rsid w:val="00806323"/>
    <w:rsid w:val="008072E9"/>
    <w:rsid w:val="0080745A"/>
    <w:rsid w:val="008074EB"/>
    <w:rsid w:val="00807F35"/>
    <w:rsid w:val="00810076"/>
    <w:rsid w:val="00810AAB"/>
    <w:rsid w:val="008113A6"/>
    <w:rsid w:val="0081192A"/>
    <w:rsid w:val="00811D28"/>
    <w:rsid w:val="0081309A"/>
    <w:rsid w:val="00813413"/>
    <w:rsid w:val="00813B2A"/>
    <w:rsid w:val="00814008"/>
    <w:rsid w:val="00814136"/>
    <w:rsid w:val="00814208"/>
    <w:rsid w:val="00814341"/>
    <w:rsid w:val="008145C5"/>
    <w:rsid w:val="00814875"/>
    <w:rsid w:val="008148C0"/>
    <w:rsid w:val="00814C0B"/>
    <w:rsid w:val="0081516D"/>
    <w:rsid w:val="00815251"/>
    <w:rsid w:val="00815335"/>
    <w:rsid w:val="00815DBE"/>
    <w:rsid w:val="00816143"/>
    <w:rsid w:val="0081639C"/>
    <w:rsid w:val="0081643F"/>
    <w:rsid w:val="00816986"/>
    <w:rsid w:val="008169CE"/>
    <w:rsid w:val="00816E15"/>
    <w:rsid w:val="00817450"/>
    <w:rsid w:val="008178D5"/>
    <w:rsid w:val="008179D2"/>
    <w:rsid w:val="00817CF8"/>
    <w:rsid w:val="00820219"/>
    <w:rsid w:val="00820292"/>
    <w:rsid w:val="00820299"/>
    <w:rsid w:val="00821198"/>
    <w:rsid w:val="008211C5"/>
    <w:rsid w:val="00821352"/>
    <w:rsid w:val="008216C5"/>
    <w:rsid w:val="00823079"/>
    <w:rsid w:val="00823081"/>
    <w:rsid w:val="008231F8"/>
    <w:rsid w:val="008237C4"/>
    <w:rsid w:val="00823B4B"/>
    <w:rsid w:val="00824054"/>
    <w:rsid w:val="00824153"/>
    <w:rsid w:val="008242B3"/>
    <w:rsid w:val="0082452D"/>
    <w:rsid w:val="00824A4A"/>
    <w:rsid w:val="00825074"/>
    <w:rsid w:val="0082519D"/>
    <w:rsid w:val="00825298"/>
    <w:rsid w:val="00825CB9"/>
    <w:rsid w:val="00825CFA"/>
    <w:rsid w:val="00826272"/>
    <w:rsid w:val="00826557"/>
    <w:rsid w:val="00826707"/>
    <w:rsid w:val="00826756"/>
    <w:rsid w:val="00826CE1"/>
    <w:rsid w:val="008270C0"/>
    <w:rsid w:val="0082713B"/>
    <w:rsid w:val="0082736A"/>
    <w:rsid w:val="008276E3"/>
    <w:rsid w:val="008278E6"/>
    <w:rsid w:val="00827BE2"/>
    <w:rsid w:val="00830097"/>
    <w:rsid w:val="008300F2"/>
    <w:rsid w:val="00830AB3"/>
    <w:rsid w:val="00830D29"/>
    <w:rsid w:val="00830EA2"/>
    <w:rsid w:val="00831551"/>
    <w:rsid w:val="008318F4"/>
    <w:rsid w:val="00831A3C"/>
    <w:rsid w:val="00832319"/>
    <w:rsid w:val="00832497"/>
    <w:rsid w:val="008328D6"/>
    <w:rsid w:val="0083327A"/>
    <w:rsid w:val="008339CB"/>
    <w:rsid w:val="00834034"/>
    <w:rsid w:val="00834F7A"/>
    <w:rsid w:val="00835701"/>
    <w:rsid w:val="008369BF"/>
    <w:rsid w:val="008369EE"/>
    <w:rsid w:val="00836CD5"/>
    <w:rsid w:val="00836DDB"/>
    <w:rsid w:val="00837C5C"/>
    <w:rsid w:val="00840703"/>
    <w:rsid w:val="00840C03"/>
    <w:rsid w:val="00840FCA"/>
    <w:rsid w:val="00840FFA"/>
    <w:rsid w:val="00841559"/>
    <w:rsid w:val="008416FF"/>
    <w:rsid w:val="008417B7"/>
    <w:rsid w:val="00841BBA"/>
    <w:rsid w:val="00841DAE"/>
    <w:rsid w:val="008424C9"/>
    <w:rsid w:val="00842C52"/>
    <w:rsid w:val="00843091"/>
    <w:rsid w:val="00843401"/>
    <w:rsid w:val="008436F8"/>
    <w:rsid w:val="00843D57"/>
    <w:rsid w:val="00843E77"/>
    <w:rsid w:val="00843F43"/>
    <w:rsid w:val="008440B1"/>
    <w:rsid w:val="008441CE"/>
    <w:rsid w:val="0084496A"/>
    <w:rsid w:val="00844A57"/>
    <w:rsid w:val="00845243"/>
    <w:rsid w:val="008452AF"/>
    <w:rsid w:val="00845590"/>
    <w:rsid w:val="00845F09"/>
    <w:rsid w:val="00846491"/>
    <w:rsid w:val="008470A2"/>
    <w:rsid w:val="00847B7A"/>
    <w:rsid w:val="00850082"/>
    <w:rsid w:val="008502FF"/>
    <w:rsid w:val="00850582"/>
    <w:rsid w:val="00850A93"/>
    <w:rsid w:val="00850B21"/>
    <w:rsid w:val="00850CBF"/>
    <w:rsid w:val="00851D07"/>
    <w:rsid w:val="00851DCC"/>
    <w:rsid w:val="008520D0"/>
    <w:rsid w:val="00852A1E"/>
    <w:rsid w:val="00852B8A"/>
    <w:rsid w:val="00852C7F"/>
    <w:rsid w:val="00852E43"/>
    <w:rsid w:val="00853401"/>
    <w:rsid w:val="008538A1"/>
    <w:rsid w:val="00854244"/>
    <w:rsid w:val="00854A6E"/>
    <w:rsid w:val="00854D00"/>
    <w:rsid w:val="00854F3C"/>
    <w:rsid w:val="00855DEB"/>
    <w:rsid w:val="00855E98"/>
    <w:rsid w:val="00855FDE"/>
    <w:rsid w:val="0085611B"/>
    <w:rsid w:val="008563A1"/>
    <w:rsid w:val="00856858"/>
    <w:rsid w:val="00856941"/>
    <w:rsid w:val="00856A3A"/>
    <w:rsid w:val="00856E9F"/>
    <w:rsid w:val="008577BD"/>
    <w:rsid w:val="00857852"/>
    <w:rsid w:val="008578FD"/>
    <w:rsid w:val="00857994"/>
    <w:rsid w:val="00857BAB"/>
    <w:rsid w:val="00860128"/>
    <w:rsid w:val="008601EF"/>
    <w:rsid w:val="0086043C"/>
    <w:rsid w:val="00860958"/>
    <w:rsid w:val="00860A71"/>
    <w:rsid w:val="00860B15"/>
    <w:rsid w:val="00860E76"/>
    <w:rsid w:val="0086103A"/>
    <w:rsid w:val="00861065"/>
    <w:rsid w:val="008611BE"/>
    <w:rsid w:val="008616B5"/>
    <w:rsid w:val="00861EB6"/>
    <w:rsid w:val="00861EBD"/>
    <w:rsid w:val="00862237"/>
    <w:rsid w:val="00862DAA"/>
    <w:rsid w:val="00862E91"/>
    <w:rsid w:val="00863318"/>
    <w:rsid w:val="00863869"/>
    <w:rsid w:val="0086464A"/>
    <w:rsid w:val="0086481C"/>
    <w:rsid w:val="0086482C"/>
    <w:rsid w:val="00864B19"/>
    <w:rsid w:val="008653BB"/>
    <w:rsid w:val="0086548B"/>
    <w:rsid w:val="008656EB"/>
    <w:rsid w:val="00865700"/>
    <w:rsid w:val="00865A19"/>
    <w:rsid w:val="00866A8F"/>
    <w:rsid w:val="00866B3D"/>
    <w:rsid w:val="00866F75"/>
    <w:rsid w:val="00866FC5"/>
    <w:rsid w:val="00867928"/>
    <w:rsid w:val="00870065"/>
    <w:rsid w:val="00870EA0"/>
    <w:rsid w:val="00871C47"/>
    <w:rsid w:val="0087205F"/>
    <w:rsid w:val="00872760"/>
    <w:rsid w:val="00872881"/>
    <w:rsid w:val="008728ED"/>
    <w:rsid w:val="00872AD3"/>
    <w:rsid w:val="00872E47"/>
    <w:rsid w:val="0087309C"/>
    <w:rsid w:val="008730E5"/>
    <w:rsid w:val="00873907"/>
    <w:rsid w:val="008740B7"/>
    <w:rsid w:val="008744A8"/>
    <w:rsid w:val="00874EA5"/>
    <w:rsid w:val="00874F5A"/>
    <w:rsid w:val="008750B4"/>
    <w:rsid w:val="00875486"/>
    <w:rsid w:val="008756F9"/>
    <w:rsid w:val="00875C31"/>
    <w:rsid w:val="00875E17"/>
    <w:rsid w:val="00876328"/>
    <w:rsid w:val="008763B2"/>
    <w:rsid w:val="00876471"/>
    <w:rsid w:val="0087676F"/>
    <w:rsid w:val="00876C06"/>
    <w:rsid w:val="00877006"/>
    <w:rsid w:val="008770D2"/>
    <w:rsid w:val="00877E4D"/>
    <w:rsid w:val="0088029C"/>
    <w:rsid w:val="00880429"/>
    <w:rsid w:val="008818A8"/>
    <w:rsid w:val="00882091"/>
    <w:rsid w:val="008820B9"/>
    <w:rsid w:val="00883514"/>
    <w:rsid w:val="00883A9B"/>
    <w:rsid w:val="00883BC7"/>
    <w:rsid w:val="00884489"/>
    <w:rsid w:val="00884C0C"/>
    <w:rsid w:val="008850C9"/>
    <w:rsid w:val="00885286"/>
    <w:rsid w:val="00885381"/>
    <w:rsid w:val="00885850"/>
    <w:rsid w:val="0088595E"/>
    <w:rsid w:val="008859F8"/>
    <w:rsid w:val="00885A6F"/>
    <w:rsid w:val="00885C6E"/>
    <w:rsid w:val="00885D3A"/>
    <w:rsid w:val="00886536"/>
    <w:rsid w:val="00887ADC"/>
    <w:rsid w:val="00887E9C"/>
    <w:rsid w:val="00890012"/>
    <w:rsid w:val="0089004F"/>
    <w:rsid w:val="00890617"/>
    <w:rsid w:val="00890B44"/>
    <w:rsid w:val="00891019"/>
    <w:rsid w:val="0089169B"/>
    <w:rsid w:val="00891867"/>
    <w:rsid w:val="008918DE"/>
    <w:rsid w:val="00891984"/>
    <w:rsid w:val="00891D40"/>
    <w:rsid w:val="00891EE0"/>
    <w:rsid w:val="00892300"/>
    <w:rsid w:val="0089286B"/>
    <w:rsid w:val="008928EB"/>
    <w:rsid w:val="00893102"/>
    <w:rsid w:val="00893156"/>
    <w:rsid w:val="0089347A"/>
    <w:rsid w:val="008934DF"/>
    <w:rsid w:val="008934E0"/>
    <w:rsid w:val="00893990"/>
    <w:rsid w:val="00894796"/>
    <w:rsid w:val="00894C19"/>
    <w:rsid w:val="008950F7"/>
    <w:rsid w:val="00895239"/>
    <w:rsid w:val="0089534A"/>
    <w:rsid w:val="00895417"/>
    <w:rsid w:val="0089551E"/>
    <w:rsid w:val="0089568A"/>
    <w:rsid w:val="00895893"/>
    <w:rsid w:val="00896017"/>
    <w:rsid w:val="0089622B"/>
    <w:rsid w:val="00896740"/>
    <w:rsid w:val="008969E7"/>
    <w:rsid w:val="00896C6C"/>
    <w:rsid w:val="00896FD6"/>
    <w:rsid w:val="008973BC"/>
    <w:rsid w:val="0089759C"/>
    <w:rsid w:val="00897760"/>
    <w:rsid w:val="00897A20"/>
    <w:rsid w:val="00897C4D"/>
    <w:rsid w:val="00897D07"/>
    <w:rsid w:val="008A008D"/>
    <w:rsid w:val="008A0377"/>
    <w:rsid w:val="008A0545"/>
    <w:rsid w:val="008A09BB"/>
    <w:rsid w:val="008A1516"/>
    <w:rsid w:val="008A194C"/>
    <w:rsid w:val="008A1AAA"/>
    <w:rsid w:val="008A1B34"/>
    <w:rsid w:val="008A20F3"/>
    <w:rsid w:val="008A259C"/>
    <w:rsid w:val="008A2858"/>
    <w:rsid w:val="008A29CE"/>
    <w:rsid w:val="008A29E8"/>
    <w:rsid w:val="008A2F95"/>
    <w:rsid w:val="008A320F"/>
    <w:rsid w:val="008A38DE"/>
    <w:rsid w:val="008A3EAD"/>
    <w:rsid w:val="008A40CF"/>
    <w:rsid w:val="008A4D9B"/>
    <w:rsid w:val="008A5481"/>
    <w:rsid w:val="008A60BE"/>
    <w:rsid w:val="008A631C"/>
    <w:rsid w:val="008A682B"/>
    <w:rsid w:val="008A7038"/>
    <w:rsid w:val="008A7242"/>
    <w:rsid w:val="008A742F"/>
    <w:rsid w:val="008A743B"/>
    <w:rsid w:val="008A76BC"/>
    <w:rsid w:val="008A7A36"/>
    <w:rsid w:val="008A7AAD"/>
    <w:rsid w:val="008B054C"/>
    <w:rsid w:val="008B1AA4"/>
    <w:rsid w:val="008B1B65"/>
    <w:rsid w:val="008B1CB0"/>
    <w:rsid w:val="008B2609"/>
    <w:rsid w:val="008B268D"/>
    <w:rsid w:val="008B2A3D"/>
    <w:rsid w:val="008B32C8"/>
    <w:rsid w:val="008B37FB"/>
    <w:rsid w:val="008B38A4"/>
    <w:rsid w:val="008B39C0"/>
    <w:rsid w:val="008B3B09"/>
    <w:rsid w:val="008B40A7"/>
    <w:rsid w:val="008B40C9"/>
    <w:rsid w:val="008B43EF"/>
    <w:rsid w:val="008B4AE2"/>
    <w:rsid w:val="008B4D34"/>
    <w:rsid w:val="008B5098"/>
    <w:rsid w:val="008B51AF"/>
    <w:rsid w:val="008B54E1"/>
    <w:rsid w:val="008B5D5E"/>
    <w:rsid w:val="008B5F68"/>
    <w:rsid w:val="008B60B7"/>
    <w:rsid w:val="008B6650"/>
    <w:rsid w:val="008B6812"/>
    <w:rsid w:val="008B68AA"/>
    <w:rsid w:val="008B6CA0"/>
    <w:rsid w:val="008B6EC7"/>
    <w:rsid w:val="008B76EA"/>
    <w:rsid w:val="008B799B"/>
    <w:rsid w:val="008B7EDE"/>
    <w:rsid w:val="008C017B"/>
    <w:rsid w:val="008C02C0"/>
    <w:rsid w:val="008C08EB"/>
    <w:rsid w:val="008C0B82"/>
    <w:rsid w:val="008C11F1"/>
    <w:rsid w:val="008C2191"/>
    <w:rsid w:val="008C2302"/>
    <w:rsid w:val="008C24B0"/>
    <w:rsid w:val="008C2725"/>
    <w:rsid w:val="008C318C"/>
    <w:rsid w:val="008C31BC"/>
    <w:rsid w:val="008C3521"/>
    <w:rsid w:val="008C3CAF"/>
    <w:rsid w:val="008C3D84"/>
    <w:rsid w:val="008C3E73"/>
    <w:rsid w:val="008C421D"/>
    <w:rsid w:val="008C4485"/>
    <w:rsid w:val="008C457C"/>
    <w:rsid w:val="008C45CE"/>
    <w:rsid w:val="008C48F1"/>
    <w:rsid w:val="008C5183"/>
    <w:rsid w:val="008C5597"/>
    <w:rsid w:val="008C55AE"/>
    <w:rsid w:val="008C5643"/>
    <w:rsid w:val="008C5803"/>
    <w:rsid w:val="008C5A0E"/>
    <w:rsid w:val="008C689D"/>
    <w:rsid w:val="008C7510"/>
    <w:rsid w:val="008C7CB1"/>
    <w:rsid w:val="008D0440"/>
    <w:rsid w:val="008D05DB"/>
    <w:rsid w:val="008D072E"/>
    <w:rsid w:val="008D07A8"/>
    <w:rsid w:val="008D1490"/>
    <w:rsid w:val="008D16D8"/>
    <w:rsid w:val="008D1A81"/>
    <w:rsid w:val="008D1B19"/>
    <w:rsid w:val="008D1F5F"/>
    <w:rsid w:val="008D2088"/>
    <w:rsid w:val="008D26A7"/>
    <w:rsid w:val="008D2D32"/>
    <w:rsid w:val="008D30B4"/>
    <w:rsid w:val="008D3157"/>
    <w:rsid w:val="008D32EE"/>
    <w:rsid w:val="008D39D1"/>
    <w:rsid w:val="008D455E"/>
    <w:rsid w:val="008D4A6C"/>
    <w:rsid w:val="008D4E42"/>
    <w:rsid w:val="008D551F"/>
    <w:rsid w:val="008D6104"/>
    <w:rsid w:val="008D6947"/>
    <w:rsid w:val="008D6EB4"/>
    <w:rsid w:val="008D7E9F"/>
    <w:rsid w:val="008E048E"/>
    <w:rsid w:val="008E07F7"/>
    <w:rsid w:val="008E0D4C"/>
    <w:rsid w:val="008E0F12"/>
    <w:rsid w:val="008E13A4"/>
    <w:rsid w:val="008E17CF"/>
    <w:rsid w:val="008E1B1F"/>
    <w:rsid w:val="008E1C5F"/>
    <w:rsid w:val="008E215B"/>
    <w:rsid w:val="008E22D0"/>
    <w:rsid w:val="008E2544"/>
    <w:rsid w:val="008E260A"/>
    <w:rsid w:val="008E2AFE"/>
    <w:rsid w:val="008E2F4F"/>
    <w:rsid w:val="008E387A"/>
    <w:rsid w:val="008E3C30"/>
    <w:rsid w:val="008E424F"/>
    <w:rsid w:val="008E42D4"/>
    <w:rsid w:val="008E43BE"/>
    <w:rsid w:val="008E4466"/>
    <w:rsid w:val="008E4799"/>
    <w:rsid w:val="008E4ACD"/>
    <w:rsid w:val="008E4D26"/>
    <w:rsid w:val="008E4F9B"/>
    <w:rsid w:val="008E51CD"/>
    <w:rsid w:val="008E5362"/>
    <w:rsid w:val="008E5F58"/>
    <w:rsid w:val="008E5FB1"/>
    <w:rsid w:val="008E61D5"/>
    <w:rsid w:val="008E637B"/>
    <w:rsid w:val="008E6506"/>
    <w:rsid w:val="008E673A"/>
    <w:rsid w:val="008E6838"/>
    <w:rsid w:val="008E6B24"/>
    <w:rsid w:val="008E7BF5"/>
    <w:rsid w:val="008E7D72"/>
    <w:rsid w:val="008F01D0"/>
    <w:rsid w:val="008F115C"/>
    <w:rsid w:val="008F1FF2"/>
    <w:rsid w:val="008F2375"/>
    <w:rsid w:val="008F256C"/>
    <w:rsid w:val="008F25AD"/>
    <w:rsid w:val="008F25F7"/>
    <w:rsid w:val="008F32C2"/>
    <w:rsid w:val="008F3884"/>
    <w:rsid w:val="008F3A33"/>
    <w:rsid w:val="008F3D2D"/>
    <w:rsid w:val="008F3D78"/>
    <w:rsid w:val="008F4E23"/>
    <w:rsid w:val="008F513B"/>
    <w:rsid w:val="008F5C9E"/>
    <w:rsid w:val="008F60F1"/>
    <w:rsid w:val="008F62D9"/>
    <w:rsid w:val="008F695E"/>
    <w:rsid w:val="008F7339"/>
    <w:rsid w:val="008F7345"/>
    <w:rsid w:val="008F73D9"/>
    <w:rsid w:val="008F745E"/>
    <w:rsid w:val="008F7B1B"/>
    <w:rsid w:val="009000F5"/>
    <w:rsid w:val="00900B6A"/>
    <w:rsid w:val="00900ED5"/>
    <w:rsid w:val="0090172E"/>
    <w:rsid w:val="00901B57"/>
    <w:rsid w:val="009021BC"/>
    <w:rsid w:val="009024AC"/>
    <w:rsid w:val="009026A7"/>
    <w:rsid w:val="0090292C"/>
    <w:rsid w:val="00902C13"/>
    <w:rsid w:val="00902CA3"/>
    <w:rsid w:val="00903597"/>
    <w:rsid w:val="0090368B"/>
    <w:rsid w:val="00903924"/>
    <w:rsid w:val="00903B69"/>
    <w:rsid w:val="00903DEB"/>
    <w:rsid w:val="009042A9"/>
    <w:rsid w:val="009043A6"/>
    <w:rsid w:val="0090459C"/>
    <w:rsid w:val="00904FE3"/>
    <w:rsid w:val="00905152"/>
    <w:rsid w:val="0090528C"/>
    <w:rsid w:val="00907005"/>
    <w:rsid w:val="00907373"/>
    <w:rsid w:val="00907FDE"/>
    <w:rsid w:val="0091120B"/>
    <w:rsid w:val="0091164E"/>
    <w:rsid w:val="00912DDF"/>
    <w:rsid w:val="009131FA"/>
    <w:rsid w:val="00913374"/>
    <w:rsid w:val="00913D0D"/>
    <w:rsid w:val="00914133"/>
    <w:rsid w:val="0091443A"/>
    <w:rsid w:val="00914705"/>
    <w:rsid w:val="00915B3B"/>
    <w:rsid w:val="00915DBE"/>
    <w:rsid w:val="0091605B"/>
    <w:rsid w:val="009169AC"/>
    <w:rsid w:val="00916A3F"/>
    <w:rsid w:val="009179BE"/>
    <w:rsid w:val="00917B84"/>
    <w:rsid w:val="009205E8"/>
    <w:rsid w:val="00920663"/>
    <w:rsid w:val="00920957"/>
    <w:rsid w:val="00920EC7"/>
    <w:rsid w:val="00920FEC"/>
    <w:rsid w:val="0092146A"/>
    <w:rsid w:val="0092161C"/>
    <w:rsid w:val="00921E6A"/>
    <w:rsid w:val="00922067"/>
    <w:rsid w:val="00922108"/>
    <w:rsid w:val="00922353"/>
    <w:rsid w:val="009223D6"/>
    <w:rsid w:val="009224F5"/>
    <w:rsid w:val="009227F9"/>
    <w:rsid w:val="00922826"/>
    <w:rsid w:val="00922836"/>
    <w:rsid w:val="00922F4C"/>
    <w:rsid w:val="00923196"/>
    <w:rsid w:val="00923B18"/>
    <w:rsid w:val="00923D70"/>
    <w:rsid w:val="00923E60"/>
    <w:rsid w:val="00924480"/>
    <w:rsid w:val="009248FD"/>
    <w:rsid w:val="00925517"/>
    <w:rsid w:val="009259E3"/>
    <w:rsid w:val="00925EFC"/>
    <w:rsid w:val="009260EC"/>
    <w:rsid w:val="0092637F"/>
    <w:rsid w:val="0092654E"/>
    <w:rsid w:val="009265E3"/>
    <w:rsid w:val="00926B85"/>
    <w:rsid w:val="00926C67"/>
    <w:rsid w:val="00926EEB"/>
    <w:rsid w:val="00927251"/>
    <w:rsid w:val="009272D0"/>
    <w:rsid w:val="00927532"/>
    <w:rsid w:val="009275D0"/>
    <w:rsid w:val="00927F30"/>
    <w:rsid w:val="00930592"/>
    <w:rsid w:val="00930708"/>
    <w:rsid w:val="00930899"/>
    <w:rsid w:val="009309C0"/>
    <w:rsid w:val="00930F1E"/>
    <w:rsid w:val="0093100A"/>
    <w:rsid w:val="00931091"/>
    <w:rsid w:val="00931370"/>
    <w:rsid w:val="00931DFB"/>
    <w:rsid w:val="00933413"/>
    <w:rsid w:val="00933967"/>
    <w:rsid w:val="00933A0E"/>
    <w:rsid w:val="00933B0D"/>
    <w:rsid w:val="00933F20"/>
    <w:rsid w:val="00934101"/>
    <w:rsid w:val="0093410D"/>
    <w:rsid w:val="00934775"/>
    <w:rsid w:val="00934AD3"/>
    <w:rsid w:val="00934CF3"/>
    <w:rsid w:val="00935C0A"/>
    <w:rsid w:val="0093643C"/>
    <w:rsid w:val="00936D65"/>
    <w:rsid w:val="009378DB"/>
    <w:rsid w:val="00940DAE"/>
    <w:rsid w:val="00940DCA"/>
    <w:rsid w:val="00940E96"/>
    <w:rsid w:val="00940F6A"/>
    <w:rsid w:val="009414EB"/>
    <w:rsid w:val="0094162A"/>
    <w:rsid w:val="009416C1"/>
    <w:rsid w:val="009419AE"/>
    <w:rsid w:val="009424EE"/>
    <w:rsid w:val="009425B1"/>
    <w:rsid w:val="00942E5B"/>
    <w:rsid w:val="00942EBA"/>
    <w:rsid w:val="00942FC8"/>
    <w:rsid w:val="00943067"/>
    <w:rsid w:val="0094313B"/>
    <w:rsid w:val="009434A6"/>
    <w:rsid w:val="00943586"/>
    <w:rsid w:val="0094395F"/>
    <w:rsid w:val="009443D7"/>
    <w:rsid w:val="00944437"/>
    <w:rsid w:val="0094483B"/>
    <w:rsid w:val="00945001"/>
    <w:rsid w:val="0094514F"/>
    <w:rsid w:val="00945500"/>
    <w:rsid w:val="009458A0"/>
    <w:rsid w:val="00945F17"/>
    <w:rsid w:val="00946043"/>
    <w:rsid w:val="009464D0"/>
    <w:rsid w:val="009466FE"/>
    <w:rsid w:val="00946921"/>
    <w:rsid w:val="009473F7"/>
    <w:rsid w:val="00947D90"/>
    <w:rsid w:val="0095082E"/>
    <w:rsid w:val="00951932"/>
    <w:rsid w:val="00952156"/>
    <w:rsid w:val="0095242E"/>
    <w:rsid w:val="00952901"/>
    <w:rsid w:val="0095298D"/>
    <w:rsid w:val="00952AFE"/>
    <w:rsid w:val="00952B28"/>
    <w:rsid w:val="00952B68"/>
    <w:rsid w:val="00952CA7"/>
    <w:rsid w:val="009535A9"/>
    <w:rsid w:val="00953A59"/>
    <w:rsid w:val="00953E0C"/>
    <w:rsid w:val="009543A8"/>
    <w:rsid w:val="00954BD8"/>
    <w:rsid w:val="0095569D"/>
    <w:rsid w:val="00956552"/>
    <w:rsid w:val="00956C32"/>
    <w:rsid w:val="00956C65"/>
    <w:rsid w:val="00956D04"/>
    <w:rsid w:val="0095709F"/>
    <w:rsid w:val="00957BB4"/>
    <w:rsid w:val="009600A2"/>
    <w:rsid w:val="00960C82"/>
    <w:rsid w:val="00961521"/>
    <w:rsid w:val="009619A7"/>
    <w:rsid w:val="00961E64"/>
    <w:rsid w:val="00962392"/>
    <w:rsid w:val="00962590"/>
    <w:rsid w:val="0096275D"/>
    <w:rsid w:val="00962F3A"/>
    <w:rsid w:val="009632D4"/>
    <w:rsid w:val="00963820"/>
    <w:rsid w:val="00963A3A"/>
    <w:rsid w:val="00963B07"/>
    <w:rsid w:val="00963E14"/>
    <w:rsid w:val="00964052"/>
    <w:rsid w:val="00964405"/>
    <w:rsid w:val="00964535"/>
    <w:rsid w:val="009645E9"/>
    <w:rsid w:val="00965D3A"/>
    <w:rsid w:val="00966181"/>
    <w:rsid w:val="0096634A"/>
    <w:rsid w:val="00966D21"/>
    <w:rsid w:val="0097066D"/>
    <w:rsid w:val="009708AD"/>
    <w:rsid w:val="00970AA1"/>
    <w:rsid w:val="00970D5B"/>
    <w:rsid w:val="00970DC2"/>
    <w:rsid w:val="00970ED8"/>
    <w:rsid w:val="00970F76"/>
    <w:rsid w:val="009713D2"/>
    <w:rsid w:val="0097178D"/>
    <w:rsid w:val="00971AFB"/>
    <w:rsid w:val="00971CFD"/>
    <w:rsid w:val="00972FE5"/>
    <w:rsid w:val="00973464"/>
    <w:rsid w:val="00974968"/>
    <w:rsid w:val="00974DFD"/>
    <w:rsid w:val="00975181"/>
    <w:rsid w:val="00975BA9"/>
    <w:rsid w:val="00976A5D"/>
    <w:rsid w:val="009771DB"/>
    <w:rsid w:val="00977AA9"/>
    <w:rsid w:val="0098099E"/>
    <w:rsid w:val="00980C2F"/>
    <w:rsid w:val="009816F1"/>
    <w:rsid w:val="00981849"/>
    <w:rsid w:val="00981A3A"/>
    <w:rsid w:val="0098232D"/>
    <w:rsid w:val="00982880"/>
    <w:rsid w:val="00982C34"/>
    <w:rsid w:val="00982D5C"/>
    <w:rsid w:val="009831AC"/>
    <w:rsid w:val="0098328E"/>
    <w:rsid w:val="0098375D"/>
    <w:rsid w:val="00983880"/>
    <w:rsid w:val="00984269"/>
    <w:rsid w:val="009844AA"/>
    <w:rsid w:val="0098481B"/>
    <w:rsid w:val="00984996"/>
    <w:rsid w:val="00984F00"/>
    <w:rsid w:val="00984F40"/>
    <w:rsid w:val="009852A0"/>
    <w:rsid w:val="009853CF"/>
    <w:rsid w:val="00985646"/>
    <w:rsid w:val="00985AC8"/>
    <w:rsid w:val="00985B2F"/>
    <w:rsid w:val="009864B4"/>
    <w:rsid w:val="009866CD"/>
    <w:rsid w:val="00987598"/>
    <w:rsid w:val="00987B08"/>
    <w:rsid w:val="00987EDF"/>
    <w:rsid w:val="0099013B"/>
    <w:rsid w:val="009901E8"/>
    <w:rsid w:val="00990276"/>
    <w:rsid w:val="00990521"/>
    <w:rsid w:val="00990F74"/>
    <w:rsid w:val="009914C3"/>
    <w:rsid w:val="00991630"/>
    <w:rsid w:val="0099251E"/>
    <w:rsid w:val="009925A9"/>
    <w:rsid w:val="00992B08"/>
    <w:rsid w:val="00992ED4"/>
    <w:rsid w:val="00993439"/>
    <w:rsid w:val="00993B3E"/>
    <w:rsid w:val="009940BA"/>
    <w:rsid w:val="009947A4"/>
    <w:rsid w:val="00994931"/>
    <w:rsid w:val="00994FA7"/>
    <w:rsid w:val="0099518A"/>
    <w:rsid w:val="00995B54"/>
    <w:rsid w:val="00995C19"/>
    <w:rsid w:val="00995C23"/>
    <w:rsid w:val="00995CD9"/>
    <w:rsid w:val="009964EB"/>
    <w:rsid w:val="009965B0"/>
    <w:rsid w:val="00996623"/>
    <w:rsid w:val="00996892"/>
    <w:rsid w:val="00996DC1"/>
    <w:rsid w:val="00997036"/>
    <w:rsid w:val="00997434"/>
    <w:rsid w:val="00997D7D"/>
    <w:rsid w:val="009A0222"/>
    <w:rsid w:val="009A026A"/>
    <w:rsid w:val="009A0B9A"/>
    <w:rsid w:val="009A1041"/>
    <w:rsid w:val="009A1281"/>
    <w:rsid w:val="009A1C30"/>
    <w:rsid w:val="009A1CD4"/>
    <w:rsid w:val="009A207C"/>
    <w:rsid w:val="009A258D"/>
    <w:rsid w:val="009A2BE7"/>
    <w:rsid w:val="009A2C6A"/>
    <w:rsid w:val="009A32AC"/>
    <w:rsid w:val="009A330D"/>
    <w:rsid w:val="009A332B"/>
    <w:rsid w:val="009A33E3"/>
    <w:rsid w:val="009A3420"/>
    <w:rsid w:val="009A3963"/>
    <w:rsid w:val="009A3AB2"/>
    <w:rsid w:val="009A3EAD"/>
    <w:rsid w:val="009A44F9"/>
    <w:rsid w:val="009A4B0C"/>
    <w:rsid w:val="009A4E98"/>
    <w:rsid w:val="009A4F1B"/>
    <w:rsid w:val="009A5054"/>
    <w:rsid w:val="009A5795"/>
    <w:rsid w:val="009A5F1F"/>
    <w:rsid w:val="009A60B8"/>
    <w:rsid w:val="009A6507"/>
    <w:rsid w:val="009A6B0A"/>
    <w:rsid w:val="009A6B44"/>
    <w:rsid w:val="009A6D08"/>
    <w:rsid w:val="009A7051"/>
    <w:rsid w:val="009A7F01"/>
    <w:rsid w:val="009B0052"/>
    <w:rsid w:val="009B0478"/>
    <w:rsid w:val="009B0679"/>
    <w:rsid w:val="009B0B97"/>
    <w:rsid w:val="009B0CAD"/>
    <w:rsid w:val="009B14B9"/>
    <w:rsid w:val="009B160E"/>
    <w:rsid w:val="009B1696"/>
    <w:rsid w:val="009B19B6"/>
    <w:rsid w:val="009B1CBD"/>
    <w:rsid w:val="009B1DEF"/>
    <w:rsid w:val="009B1F68"/>
    <w:rsid w:val="009B2549"/>
    <w:rsid w:val="009B2D6D"/>
    <w:rsid w:val="009B305D"/>
    <w:rsid w:val="009B364D"/>
    <w:rsid w:val="009B3784"/>
    <w:rsid w:val="009B4018"/>
    <w:rsid w:val="009B4E85"/>
    <w:rsid w:val="009B628F"/>
    <w:rsid w:val="009B661A"/>
    <w:rsid w:val="009B6CFC"/>
    <w:rsid w:val="009B7155"/>
    <w:rsid w:val="009B71F6"/>
    <w:rsid w:val="009B79AA"/>
    <w:rsid w:val="009B7FD0"/>
    <w:rsid w:val="009C0747"/>
    <w:rsid w:val="009C087B"/>
    <w:rsid w:val="009C1185"/>
    <w:rsid w:val="009C1A5D"/>
    <w:rsid w:val="009C2436"/>
    <w:rsid w:val="009C2883"/>
    <w:rsid w:val="009C2A92"/>
    <w:rsid w:val="009C45B6"/>
    <w:rsid w:val="009C503A"/>
    <w:rsid w:val="009C5191"/>
    <w:rsid w:val="009C531E"/>
    <w:rsid w:val="009C5924"/>
    <w:rsid w:val="009C5E18"/>
    <w:rsid w:val="009C60C4"/>
    <w:rsid w:val="009C65F1"/>
    <w:rsid w:val="009C6DBB"/>
    <w:rsid w:val="009C6ED4"/>
    <w:rsid w:val="009C7766"/>
    <w:rsid w:val="009C7D09"/>
    <w:rsid w:val="009C7FE9"/>
    <w:rsid w:val="009D010F"/>
    <w:rsid w:val="009D087F"/>
    <w:rsid w:val="009D14D0"/>
    <w:rsid w:val="009D1762"/>
    <w:rsid w:val="009D1AF0"/>
    <w:rsid w:val="009D1E8C"/>
    <w:rsid w:val="009D2516"/>
    <w:rsid w:val="009D2773"/>
    <w:rsid w:val="009D2A54"/>
    <w:rsid w:val="009D3E61"/>
    <w:rsid w:val="009D413E"/>
    <w:rsid w:val="009D443F"/>
    <w:rsid w:val="009D46BD"/>
    <w:rsid w:val="009D4A81"/>
    <w:rsid w:val="009D4DD4"/>
    <w:rsid w:val="009D51ED"/>
    <w:rsid w:val="009D5408"/>
    <w:rsid w:val="009D54C4"/>
    <w:rsid w:val="009D56CE"/>
    <w:rsid w:val="009D5A8F"/>
    <w:rsid w:val="009D6502"/>
    <w:rsid w:val="009D66F0"/>
    <w:rsid w:val="009D6A1E"/>
    <w:rsid w:val="009D6F9F"/>
    <w:rsid w:val="009D712B"/>
    <w:rsid w:val="009D75AA"/>
    <w:rsid w:val="009D7C13"/>
    <w:rsid w:val="009D7D1B"/>
    <w:rsid w:val="009D7F07"/>
    <w:rsid w:val="009E00E5"/>
    <w:rsid w:val="009E0341"/>
    <w:rsid w:val="009E0AE1"/>
    <w:rsid w:val="009E0CEA"/>
    <w:rsid w:val="009E0DA1"/>
    <w:rsid w:val="009E1184"/>
    <w:rsid w:val="009E1BBB"/>
    <w:rsid w:val="009E2175"/>
    <w:rsid w:val="009E2BD4"/>
    <w:rsid w:val="009E2FFF"/>
    <w:rsid w:val="009E3A35"/>
    <w:rsid w:val="009E3A4E"/>
    <w:rsid w:val="009E43CC"/>
    <w:rsid w:val="009E4B03"/>
    <w:rsid w:val="009E4B6C"/>
    <w:rsid w:val="009E56F9"/>
    <w:rsid w:val="009E5ACA"/>
    <w:rsid w:val="009E5D09"/>
    <w:rsid w:val="009E6AF9"/>
    <w:rsid w:val="009E6D50"/>
    <w:rsid w:val="009E707F"/>
    <w:rsid w:val="009E7706"/>
    <w:rsid w:val="009E7B6A"/>
    <w:rsid w:val="009E7BB7"/>
    <w:rsid w:val="009F07E8"/>
    <w:rsid w:val="009F09CB"/>
    <w:rsid w:val="009F0F9D"/>
    <w:rsid w:val="009F0FAB"/>
    <w:rsid w:val="009F17AB"/>
    <w:rsid w:val="009F1E8D"/>
    <w:rsid w:val="009F2071"/>
    <w:rsid w:val="009F20CE"/>
    <w:rsid w:val="009F30A0"/>
    <w:rsid w:val="009F3280"/>
    <w:rsid w:val="009F34AB"/>
    <w:rsid w:val="009F37EF"/>
    <w:rsid w:val="009F38C0"/>
    <w:rsid w:val="009F47F4"/>
    <w:rsid w:val="009F483A"/>
    <w:rsid w:val="009F4C89"/>
    <w:rsid w:val="009F4EF6"/>
    <w:rsid w:val="009F4F21"/>
    <w:rsid w:val="009F4F9E"/>
    <w:rsid w:val="009F5130"/>
    <w:rsid w:val="009F53D3"/>
    <w:rsid w:val="009F5470"/>
    <w:rsid w:val="009F54F1"/>
    <w:rsid w:val="009F568C"/>
    <w:rsid w:val="009F5693"/>
    <w:rsid w:val="009F62EE"/>
    <w:rsid w:val="009F65CE"/>
    <w:rsid w:val="009F68AF"/>
    <w:rsid w:val="009F755F"/>
    <w:rsid w:val="009F767A"/>
    <w:rsid w:val="009F76C6"/>
    <w:rsid w:val="009F7793"/>
    <w:rsid w:val="009F792F"/>
    <w:rsid w:val="009F7B34"/>
    <w:rsid w:val="009F7C6B"/>
    <w:rsid w:val="00A002BF"/>
    <w:rsid w:val="00A00701"/>
    <w:rsid w:val="00A0071A"/>
    <w:rsid w:val="00A00801"/>
    <w:rsid w:val="00A00983"/>
    <w:rsid w:val="00A00A53"/>
    <w:rsid w:val="00A01200"/>
    <w:rsid w:val="00A01495"/>
    <w:rsid w:val="00A014BE"/>
    <w:rsid w:val="00A01792"/>
    <w:rsid w:val="00A017F4"/>
    <w:rsid w:val="00A01A6C"/>
    <w:rsid w:val="00A01AAB"/>
    <w:rsid w:val="00A01CDA"/>
    <w:rsid w:val="00A02450"/>
    <w:rsid w:val="00A02952"/>
    <w:rsid w:val="00A029DD"/>
    <w:rsid w:val="00A02FBB"/>
    <w:rsid w:val="00A02FEA"/>
    <w:rsid w:val="00A03982"/>
    <w:rsid w:val="00A04090"/>
    <w:rsid w:val="00A0435B"/>
    <w:rsid w:val="00A04609"/>
    <w:rsid w:val="00A04AEF"/>
    <w:rsid w:val="00A04B1E"/>
    <w:rsid w:val="00A04CDC"/>
    <w:rsid w:val="00A04D52"/>
    <w:rsid w:val="00A05DDE"/>
    <w:rsid w:val="00A05F61"/>
    <w:rsid w:val="00A060BB"/>
    <w:rsid w:val="00A0629E"/>
    <w:rsid w:val="00A062B2"/>
    <w:rsid w:val="00A06C68"/>
    <w:rsid w:val="00A077BF"/>
    <w:rsid w:val="00A07A01"/>
    <w:rsid w:val="00A07C14"/>
    <w:rsid w:val="00A07C94"/>
    <w:rsid w:val="00A10154"/>
    <w:rsid w:val="00A103ED"/>
    <w:rsid w:val="00A10492"/>
    <w:rsid w:val="00A109B2"/>
    <w:rsid w:val="00A10EC4"/>
    <w:rsid w:val="00A1117E"/>
    <w:rsid w:val="00A11562"/>
    <w:rsid w:val="00A11B73"/>
    <w:rsid w:val="00A123CC"/>
    <w:rsid w:val="00A124D8"/>
    <w:rsid w:val="00A129EE"/>
    <w:rsid w:val="00A12E68"/>
    <w:rsid w:val="00A13015"/>
    <w:rsid w:val="00A13324"/>
    <w:rsid w:val="00A133C4"/>
    <w:rsid w:val="00A147C8"/>
    <w:rsid w:val="00A14BC3"/>
    <w:rsid w:val="00A14E2C"/>
    <w:rsid w:val="00A151EB"/>
    <w:rsid w:val="00A163ED"/>
    <w:rsid w:val="00A17535"/>
    <w:rsid w:val="00A177C7"/>
    <w:rsid w:val="00A17C96"/>
    <w:rsid w:val="00A20AAE"/>
    <w:rsid w:val="00A20D8B"/>
    <w:rsid w:val="00A20F0C"/>
    <w:rsid w:val="00A212DB"/>
    <w:rsid w:val="00A2176F"/>
    <w:rsid w:val="00A219C9"/>
    <w:rsid w:val="00A220AD"/>
    <w:rsid w:val="00A22377"/>
    <w:rsid w:val="00A2272E"/>
    <w:rsid w:val="00A227C7"/>
    <w:rsid w:val="00A22BE9"/>
    <w:rsid w:val="00A23A0A"/>
    <w:rsid w:val="00A240B6"/>
    <w:rsid w:val="00A2423B"/>
    <w:rsid w:val="00A243BE"/>
    <w:rsid w:val="00A244EA"/>
    <w:rsid w:val="00A247A1"/>
    <w:rsid w:val="00A249BF"/>
    <w:rsid w:val="00A24D03"/>
    <w:rsid w:val="00A2554E"/>
    <w:rsid w:val="00A25A93"/>
    <w:rsid w:val="00A25E45"/>
    <w:rsid w:val="00A26302"/>
    <w:rsid w:val="00A268C5"/>
    <w:rsid w:val="00A26910"/>
    <w:rsid w:val="00A26D1A"/>
    <w:rsid w:val="00A2760E"/>
    <w:rsid w:val="00A27A63"/>
    <w:rsid w:val="00A27E1B"/>
    <w:rsid w:val="00A30404"/>
    <w:rsid w:val="00A30D3F"/>
    <w:rsid w:val="00A31487"/>
    <w:rsid w:val="00A3201D"/>
    <w:rsid w:val="00A32EFC"/>
    <w:rsid w:val="00A33163"/>
    <w:rsid w:val="00A3320E"/>
    <w:rsid w:val="00A33A02"/>
    <w:rsid w:val="00A33AD3"/>
    <w:rsid w:val="00A33BD2"/>
    <w:rsid w:val="00A33DFD"/>
    <w:rsid w:val="00A33E47"/>
    <w:rsid w:val="00A3448A"/>
    <w:rsid w:val="00A34A6E"/>
    <w:rsid w:val="00A3552B"/>
    <w:rsid w:val="00A35544"/>
    <w:rsid w:val="00A35895"/>
    <w:rsid w:val="00A35A06"/>
    <w:rsid w:val="00A35B44"/>
    <w:rsid w:val="00A35FC7"/>
    <w:rsid w:val="00A3638E"/>
    <w:rsid w:val="00A365C2"/>
    <w:rsid w:val="00A366A5"/>
    <w:rsid w:val="00A368EF"/>
    <w:rsid w:val="00A36B86"/>
    <w:rsid w:val="00A36D9F"/>
    <w:rsid w:val="00A36F2E"/>
    <w:rsid w:val="00A373E0"/>
    <w:rsid w:val="00A375D3"/>
    <w:rsid w:val="00A375E5"/>
    <w:rsid w:val="00A3789F"/>
    <w:rsid w:val="00A378C8"/>
    <w:rsid w:val="00A37B5C"/>
    <w:rsid w:val="00A40136"/>
    <w:rsid w:val="00A405A2"/>
    <w:rsid w:val="00A40A00"/>
    <w:rsid w:val="00A40AFF"/>
    <w:rsid w:val="00A40C4A"/>
    <w:rsid w:val="00A410B2"/>
    <w:rsid w:val="00A41121"/>
    <w:rsid w:val="00A419CC"/>
    <w:rsid w:val="00A41F56"/>
    <w:rsid w:val="00A421E9"/>
    <w:rsid w:val="00A4220D"/>
    <w:rsid w:val="00A42244"/>
    <w:rsid w:val="00A427D2"/>
    <w:rsid w:val="00A42A76"/>
    <w:rsid w:val="00A4309C"/>
    <w:rsid w:val="00A436D1"/>
    <w:rsid w:val="00A439C7"/>
    <w:rsid w:val="00A43B2E"/>
    <w:rsid w:val="00A43BF3"/>
    <w:rsid w:val="00A43DF3"/>
    <w:rsid w:val="00A44123"/>
    <w:rsid w:val="00A44488"/>
    <w:rsid w:val="00A44E84"/>
    <w:rsid w:val="00A4529C"/>
    <w:rsid w:val="00A4576B"/>
    <w:rsid w:val="00A45844"/>
    <w:rsid w:val="00A45B56"/>
    <w:rsid w:val="00A45D39"/>
    <w:rsid w:val="00A46654"/>
    <w:rsid w:val="00A46762"/>
    <w:rsid w:val="00A468F1"/>
    <w:rsid w:val="00A46B3C"/>
    <w:rsid w:val="00A46E4B"/>
    <w:rsid w:val="00A47186"/>
    <w:rsid w:val="00A47203"/>
    <w:rsid w:val="00A5032E"/>
    <w:rsid w:val="00A5075F"/>
    <w:rsid w:val="00A5076F"/>
    <w:rsid w:val="00A50A15"/>
    <w:rsid w:val="00A50E50"/>
    <w:rsid w:val="00A51336"/>
    <w:rsid w:val="00A5134A"/>
    <w:rsid w:val="00A51369"/>
    <w:rsid w:val="00A51539"/>
    <w:rsid w:val="00A51717"/>
    <w:rsid w:val="00A51C9E"/>
    <w:rsid w:val="00A52A5B"/>
    <w:rsid w:val="00A52AC6"/>
    <w:rsid w:val="00A53113"/>
    <w:rsid w:val="00A53173"/>
    <w:rsid w:val="00A534D5"/>
    <w:rsid w:val="00A5352A"/>
    <w:rsid w:val="00A53B96"/>
    <w:rsid w:val="00A53D51"/>
    <w:rsid w:val="00A544F1"/>
    <w:rsid w:val="00A54B2F"/>
    <w:rsid w:val="00A54F9E"/>
    <w:rsid w:val="00A55366"/>
    <w:rsid w:val="00A55510"/>
    <w:rsid w:val="00A55964"/>
    <w:rsid w:val="00A55AEA"/>
    <w:rsid w:val="00A56433"/>
    <w:rsid w:val="00A5682F"/>
    <w:rsid w:val="00A56A42"/>
    <w:rsid w:val="00A56D18"/>
    <w:rsid w:val="00A56E58"/>
    <w:rsid w:val="00A57182"/>
    <w:rsid w:val="00A573C3"/>
    <w:rsid w:val="00A5777D"/>
    <w:rsid w:val="00A57CBF"/>
    <w:rsid w:val="00A57E16"/>
    <w:rsid w:val="00A57EEB"/>
    <w:rsid w:val="00A57F6D"/>
    <w:rsid w:val="00A604E3"/>
    <w:rsid w:val="00A606FB"/>
    <w:rsid w:val="00A610AB"/>
    <w:rsid w:val="00A6139E"/>
    <w:rsid w:val="00A61B50"/>
    <w:rsid w:val="00A6329F"/>
    <w:rsid w:val="00A63522"/>
    <w:rsid w:val="00A63568"/>
    <w:rsid w:val="00A63817"/>
    <w:rsid w:val="00A64586"/>
    <w:rsid w:val="00A64A5A"/>
    <w:rsid w:val="00A65C4B"/>
    <w:rsid w:val="00A65D32"/>
    <w:rsid w:val="00A66A72"/>
    <w:rsid w:val="00A66B21"/>
    <w:rsid w:val="00A66E96"/>
    <w:rsid w:val="00A66EC0"/>
    <w:rsid w:val="00A66EC5"/>
    <w:rsid w:val="00A67147"/>
    <w:rsid w:val="00A67156"/>
    <w:rsid w:val="00A67CA4"/>
    <w:rsid w:val="00A67EAF"/>
    <w:rsid w:val="00A71020"/>
    <w:rsid w:val="00A71399"/>
    <w:rsid w:val="00A71979"/>
    <w:rsid w:val="00A71C00"/>
    <w:rsid w:val="00A71F14"/>
    <w:rsid w:val="00A72E17"/>
    <w:rsid w:val="00A7335B"/>
    <w:rsid w:val="00A7392D"/>
    <w:rsid w:val="00A73EE5"/>
    <w:rsid w:val="00A74228"/>
    <w:rsid w:val="00A7428D"/>
    <w:rsid w:val="00A74800"/>
    <w:rsid w:val="00A7480F"/>
    <w:rsid w:val="00A74868"/>
    <w:rsid w:val="00A74AD3"/>
    <w:rsid w:val="00A74B96"/>
    <w:rsid w:val="00A74D1E"/>
    <w:rsid w:val="00A751C6"/>
    <w:rsid w:val="00A7545E"/>
    <w:rsid w:val="00A75598"/>
    <w:rsid w:val="00A7562D"/>
    <w:rsid w:val="00A7566F"/>
    <w:rsid w:val="00A75E84"/>
    <w:rsid w:val="00A768C2"/>
    <w:rsid w:val="00A76992"/>
    <w:rsid w:val="00A76D3C"/>
    <w:rsid w:val="00A772BC"/>
    <w:rsid w:val="00A774CE"/>
    <w:rsid w:val="00A77903"/>
    <w:rsid w:val="00A77BA2"/>
    <w:rsid w:val="00A77CA7"/>
    <w:rsid w:val="00A77FCD"/>
    <w:rsid w:val="00A80221"/>
    <w:rsid w:val="00A802B2"/>
    <w:rsid w:val="00A8038A"/>
    <w:rsid w:val="00A80DE2"/>
    <w:rsid w:val="00A811E9"/>
    <w:rsid w:val="00A81322"/>
    <w:rsid w:val="00A816DC"/>
    <w:rsid w:val="00A81715"/>
    <w:rsid w:val="00A81B15"/>
    <w:rsid w:val="00A8228D"/>
    <w:rsid w:val="00A82A50"/>
    <w:rsid w:val="00A82B70"/>
    <w:rsid w:val="00A84DB1"/>
    <w:rsid w:val="00A85210"/>
    <w:rsid w:val="00A85438"/>
    <w:rsid w:val="00A854FA"/>
    <w:rsid w:val="00A857A8"/>
    <w:rsid w:val="00A858F2"/>
    <w:rsid w:val="00A86501"/>
    <w:rsid w:val="00A8698D"/>
    <w:rsid w:val="00A869F1"/>
    <w:rsid w:val="00A86F73"/>
    <w:rsid w:val="00A86F81"/>
    <w:rsid w:val="00A872E8"/>
    <w:rsid w:val="00A874C4"/>
    <w:rsid w:val="00A879D5"/>
    <w:rsid w:val="00A9096F"/>
    <w:rsid w:val="00A90A61"/>
    <w:rsid w:val="00A90FC8"/>
    <w:rsid w:val="00A90FEB"/>
    <w:rsid w:val="00A91202"/>
    <w:rsid w:val="00A91678"/>
    <w:rsid w:val="00A92545"/>
    <w:rsid w:val="00A92908"/>
    <w:rsid w:val="00A92C7A"/>
    <w:rsid w:val="00A931D8"/>
    <w:rsid w:val="00A93E87"/>
    <w:rsid w:val="00A94092"/>
    <w:rsid w:val="00A9464F"/>
    <w:rsid w:val="00A947E4"/>
    <w:rsid w:val="00A95001"/>
    <w:rsid w:val="00A950C3"/>
    <w:rsid w:val="00A950E0"/>
    <w:rsid w:val="00A95454"/>
    <w:rsid w:val="00A95828"/>
    <w:rsid w:val="00A95C59"/>
    <w:rsid w:val="00A96954"/>
    <w:rsid w:val="00A97856"/>
    <w:rsid w:val="00A97ED1"/>
    <w:rsid w:val="00AA0298"/>
    <w:rsid w:val="00AA09CA"/>
    <w:rsid w:val="00AA1599"/>
    <w:rsid w:val="00AA1613"/>
    <w:rsid w:val="00AA16B7"/>
    <w:rsid w:val="00AA18A0"/>
    <w:rsid w:val="00AA1925"/>
    <w:rsid w:val="00AA1F71"/>
    <w:rsid w:val="00AA225C"/>
    <w:rsid w:val="00AA2617"/>
    <w:rsid w:val="00AA3009"/>
    <w:rsid w:val="00AA3020"/>
    <w:rsid w:val="00AA37A6"/>
    <w:rsid w:val="00AA3B04"/>
    <w:rsid w:val="00AA4087"/>
    <w:rsid w:val="00AA4275"/>
    <w:rsid w:val="00AA42C1"/>
    <w:rsid w:val="00AA4E46"/>
    <w:rsid w:val="00AA5054"/>
    <w:rsid w:val="00AA524C"/>
    <w:rsid w:val="00AA540E"/>
    <w:rsid w:val="00AA561C"/>
    <w:rsid w:val="00AA56F5"/>
    <w:rsid w:val="00AA585E"/>
    <w:rsid w:val="00AA5C49"/>
    <w:rsid w:val="00AA69B2"/>
    <w:rsid w:val="00AA6A02"/>
    <w:rsid w:val="00AA7319"/>
    <w:rsid w:val="00AA7463"/>
    <w:rsid w:val="00AA7781"/>
    <w:rsid w:val="00AA7B87"/>
    <w:rsid w:val="00AA7BA2"/>
    <w:rsid w:val="00AB0A3C"/>
    <w:rsid w:val="00AB1E11"/>
    <w:rsid w:val="00AB1EA5"/>
    <w:rsid w:val="00AB2302"/>
    <w:rsid w:val="00AB2380"/>
    <w:rsid w:val="00AB268B"/>
    <w:rsid w:val="00AB2F2C"/>
    <w:rsid w:val="00AB308A"/>
    <w:rsid w:val="00AB3A3F"/>
    <w:rsid w:val="00AB3EDA"/>
    <w:rsid w:val="00AB477A"/>
    <w:rsid w:val="00AB4A90"/>
    <w:rsid w:val="00AB532B"/>
    <w:rsid w:val="00AB5A36"/>
    <w:rsid w:val="00AB683B"/>
    <w:rsid w:val="00AB6E3A"/>
    <w:rsid w:val="00AB6E6F"/>
    <w:rsid w:val="00AB6EA0"/>
    <w:rsid w:val="00AB72EF"/>
    <w:rsid w:val="00AB7FA9"/>
    <w:rsid w:val="00AC01A3"/>
    <w:rsid w:val="00AC042B"/>
    <w:rsid w:val="00AC09AF"/>
    <w:rsid w:val="00AC0C7D"/>
    <w:rsid w:val="00AC101D"/>
    <w:rsid w:val="00AC10D6"/>
    <w:rsid w:val="00AC116E"/>
    <w:rsid w:val="00AC1572"/>
    <w:rsid w:val="00AC1632"/>
    <w:rsid w:val="00AC1656"/>
    <w:rsid w:val="00AC1D30"/>
    <w:rsid w:val="00AC2009"/>
    <w:rsid w:val="00AC2102"/>
    <w:rsid w:val="00AC2787"/>
    <w:rsid w:val="00AC2816"/>
    <w:rsid w:val="00AC2A28"/>
    <w:rsid w:val="00AC2B1F"/>
    <w:rsid w:val="00AC2D6C"/>
    <w:rsid w:val="00AC2D8B"/>
    <w:rsid w:val="00AC3889"/>
    <w:rsid w:val="00AC404D"/>
    <w:rsid w:val="00AC40AE"/>
    <w:rsid w:val="00AC43DB"/>
    <w:rsid w:val="00AC51F6"/>
    <w:rsid w:val="00AC5252"/>
    <w:rsid w:val="00AC5267"/>
    <w:rsid w:val="00AC5632"/>
    <w:rsid w:val="00AC56C4"/>
    <w:rsid w:val="00AC5B58"/>
    <w:rsid w:val="00AC6074"/>
    <w:rsid w:val="00AC7106"/>
    <w:rsid w:val="00AC7479"/>
    <w:rsid w:val="00AC754F"/>
    <w:rsid w:val="00AC7885"/>
    <w:rsid w:val="00AC789A"/>
    <w:rsid w:val="00AC7CDB"/>
    <w:rsid w:val="00AC7E53"/>
    <w:rsid w:val="00AD0072"/>
    <w:rsid w:val="00AD03AB"/>
    <w:rsid w:val="00AD11FA"/>
    <w:rsid w:val="00AD184F"/>
    <w:rsid w:val="00AD1970"/>
    <w:rsid w:val="00AD22E1"/>
    <w:rsid w:val="00AD2696"/>
    <w:rsid w:val="00AD35A5"/>
    <w:rsid w:val="00AD366D"/>
    <w:rsid w:val="00AD3A71"/>
    <w:rsid w:val="00AD3B85"/>
    <w:rsid w:val="00AD46EF"/>
    <w:rsid w:val="00AD4795"/>
    <w:rsid w:val="00AD4BE5"/>
    <w:rsid w:val="00AD594F"/>
    <w:rsid w:val="00AD5F23"/>
    <w:rsid w:val="00AD6681"/>
    <w:rsid w:val="00AD712D"/>
    <w:rsid w:val="00AD718C"/>
    <w:rsid w:val="00AD72A1"/>
    <w:rsid w:val="00AD76C9"/>
    <w:rsid w:val="00AD7B42"/>
    <w:rsid w:val="00AD7D02"/>
    <w:rsid w:val="00AE07FA"/>
    <w:rsid w:val="00AE0CDD"/>
    <w:rsid w:val="00AE0FE7"/>
    <w:rsid w:val="00AE1361"/>
    <w:rsid w:val="00AE150C"/>
    <w:rsid w:val="00AE1EBF"/>
    <w:rsid w:val="00AE22F5"/>
    <w:rsid w:val="00AE23DB"/>
    <w:rsid w:val="00AE2EE2"/>
    <w:rsid w:val="00AE3E32"/>
    <w:rsid w:val="00AE41ED"/>
    <w:rsid w:val="00AE4236"/>
    <w:rsid w:val="00AE4321"/>
    <w:rsid w:val="00AE485E"/>
    <w:rsid w:val="00AE4C94"/>
    <w:rsid w:val="00AE50E5"/>
    <w:rsid w:val="00AE57DF"/>
    <w:rsid w:val="00AE5A98"/>
    <w:rsid w:val="00AE5CCB"/>
    <w:rsid w:val="00AE5F0D"/>
    <w:rsid w:val="00AE5FD6"/>
    <w:rsid w:val="00AE61A2"/>
    <w:rsid w:val="00AE61FF"/>
    <w:rsid w:val="00AE701B"/>
    <w:rsid w:val="00AE7129"/>
    <w:rsid w:val="00AE79CB"/>
    <w:rsid w:val="00AE7E45"/>
    <w:rsid w:val="00AF008D"/>
    <w:rsid w:val="00AF01E5"/>
    <w:rsid w:val="00AF02C4"/>
    <w:rsid w:val="00AF0420"/>
    <w:rsid w:val="00AF0947"/>
    <w:rsid w:val="00AF0C0B"/>
    <w:rsid w:val="00AF0DF7"/>
    <w:rsid w:val="00AF1688"/>
    <w:rsid w:val="00AF18BE"/>
    <w:rsid w:val="00AF1A71"/>
    <w:rsid w:val="00AF1B00"/>
    <w:rsid w:val="00AF224E"/>
    <w:rsid w:val="00AF261C"/>
    <w:rsid w:val="00AF2774"/>
    <w:rsid w:val="00AF2A4F"/>
    <w:rsid w:val="00AF37AF"/>
    <w:rsid w:val="00AF39F2"/>
    <w:rsid w:val="00AF3BE7"/>
    <w:rsid w:val="00AF44D6"/>
    <w:rsid w:val="00AF4CC5"/>
    <w:rsid w:val="00AF5EE8"/>
    <w:rsid w:val="00AF60C3"/>
    <w:rsid w:val="00AF65D3"/>
    <w:rsid w:val="00AF6ABD"/>
    <w:rsid w:val="00AF6D3E"/>
    <w:rsid w:val="00AF6E5B"/>
    <w:rsid w:val="00AF6E5E"/>
    <w:rsid w:val="00AF735C"/>
    <w:rsid w:val="00AF7599"/>
    <w:rsid w:val="00AF763E"/>
    <w:rsid w:val="00B00D7A"/>
    <w:rsid w:val="00B00FEE"/>
    <w:rsid w:val="00B01672"/>
    <w:rsid w:val="00B0194C"/>
    <w:rsid w:val="00B01BC1"/>
    <w:rsid w:val="00B02154"/>
    <w:rsid w:val="00B035E6"/>
    <w:rsid w:val="00B039C2"/>
    <w:rsid w:val="00B03AE7"/>
    <w:rsid w:val="00B03EE3"/>
    <w:rsid w:val="00B0406B"/>
    <w:rsid w:val="00B0416A"/>
    <w:rsid w:val="00B0543D"/>
    <w:rsid w:val="00B056AB"/>
    <w:rsid w:val="00B05AC3"/>
    <w:rsid w:val="00B0634C"/>
    <w:rsid w:val="00B07461"/>
    <w:rsid w:val="00B07567"/>
    <w:rsid w:val="00B07CB3"/>
    <w:rsid w:val="00B07F4A"/>
    <w:rsid w:val="00B101E1"/>
    <w:rsid w:val="00B10275"/>
    <w:rsid w:val="00B10FEA"/>
    <w:rsid w:val="00B11691"/>
    <w:rsid w:val="00B11B42"/>
    <w:rsid w:val="00B120FB"/>
    <w:rsid w:val="00B121D3"/>
    <w:rsid w:val="00B126F7"/>
    <w:rsid w:val="00B12B7E"/>
    <w:rsid w:val="00B12E56"/>
    <w:rsid w:val="00B13416"/>
    <w:rsid w:val="00B1492F"/>
    <w:rsid w:val="00B14D8F"/>
    <w:rsid w:val="00B15B65"/>
    <w:rsid w:val="00B1791A"/>
    <w:rsid w:val="00B200A6"/>
    <w:rsid w:val="00B207CF"/>
    <w:rsid w:val="00B20D07"/>
    <w:rsid w:val="00B20E40"/>
    <w:rsid w:val="00B20F7C"/>
    <w:rsid w:val="00B21545"/>
    <w:rsid w:val="00B21EA9"/>
    <w:rsid w:val="00B2235D"/>
    <w:rsid w:val="00B22B09"/>
    <w:rsid w:val="00B23221"/>
    <w:rsid w:val="00B2333D"/>
    <w:rsid w:val="00B23422"/>
    <w:rsid w:val="00B23CBD"/>
    <w:rsid w:val="00B23D88"/>
    <w:rsid w:val="00B23F47"/>
    <w:rsid w:val="00B242C5"/>
    <w:rsid w:val="00B2439A"/>
    <w:rsid w:val="00B243C2"/>
    <w:rsid w:val="00B24F74"/>
    <w:rsid w:val="00B25210"/>
    <w:rsid w:val="00B253FA"/>
    <w:rsid w:val="00B255A1"/>
    <w:rsid w:val="00B258D5"/>
    <w:rsid w:val="00B25F1F"/>
    <w:rsid w:val="00B270CF"/>
    <w:rsid w:val="00B30208"/>
    <w:rsid w:val="00B30D22"/>
    <w:rsid w:val="00B3126C"/>
    <w:rsid w:val="00B314DD"/>
    <w:rsid w:val="00B31710"/>
    <w:rsid w:val="00B31B33"/>
    <w:rsid w:val="00B31D56"/>
    <w:rsid w:val="00B31EBF"/>
    <w:rsid w:val="00B3292E"/>
    <w:rsid w:val="00B32C63"/>
    <w:rsid w:val="00B32FE4"/>
    <w:rsid w:val="00B3302A"/>
    <w:rsid w:val="00B33032"/>
    <w:rsid w:val="00B330B2"/>
    <w:rsid w:val="00B33B6E"/>
    <w:rsid w:val="00B33CCE"/>
    <w:rsid w:val="00B33E50"/>
    <w:rsid w:val="00B341C9"/>
    <w:rsid w:val="00B3421D"/>
    <w:rsid w:val="00B34475"/>
    <w:rsid w:val="00B348A1"/>
    <w:rsid w:val="00B34924"/>
    <w:rsid w:val="00B350DC"/>
    <w:rsid w:val="00B352B6"/>
    <w:rsid w:val="00B35321"/>
    <w:rsid w:val="00B35B3A"/>
    <w:rsid w:val="00B3602A"/>
    <w:rsid w:val="00B3625B"/>
    <w:rsid w:val="00B36861"/>
    <w:rsid w:val="00B369E1"/>
    <w:rsid w:val="00B36BD6"/>
    <w:rsid w:val="00B36D6B"/>
    <w:rsid w:val="00B374A0"/>
    <w:rsid w:val="00B37720"/>
    <w:rsid w:val="00B378A9"/>
    <w:rsid w:val="00B37DE6"/>
    <w:rsid w:val="00B4002C"/>
    <w:rsid w:val="00B40040"/>
    <w:rsid w:val="00B401E3"/>
    <w:rsid w:val="00B40389"/>
    <w:rsid w:val="00B403A4"/>
    <w:rsid w:val="00B40605"/>
    <w:rsid w:val="00B40A22"/>
    <w:rsid w:val="00B40EA0"/>
    <w:rsid w:val="00B41132"/>
    <w:rsid w:val="00B41465"/>
    <w:rsid w:val="00B416CC"/>
    <w:rsid w:val="00B417D6"/>
    <w:rsid w:val="00B4245D"/>
    <w:rsid w:val="00B42D30"/>
    <w:rsid w:val="00B43B60"/>
    <w:rsid w:val="00B43EDC"/>
    <w:rsid w:val="00B44190"/>
    <w:rsid w:val="00B44566"/>
    <w:rsid w:val="00B446B1"/>
    <w:rsid w:val="00B44DC2"/>
    <w:rsid w:val="00B4517D"/>
    <w:rsid w:val="00B45659"/>
    <w:rsid w:val="00B458FE"/>
    <w:rsid w:val="00B45A5E"/>
    <w:rsid w:val="00B45EC3"/>
    <w:rsid w:val="00B4602F"/>
    <w:rsid w:val="00B462B1"/>
    <w:rsid w:val="00B46944"/>
    <w:rsid w:val="00B46CA9"/>
    <w:rsid w:val="00B46EE1"/>
    <w:rsid w:val="00B4704D"/>
    <w:rsid w:val="00B470BC"/>
    <w:rsid w:val="00B47394"/>
    <w:rsid w:val="00B4792C"/>
    <w:rsid w:val="00B47E73"/>
    <w:rsid w:val="00B50107"/>
    <w:rsid w:val="00B5046B"/>
    <w:rsid w:val="00B508F6"/>
    <w:rsid w:val="00B50930"/>
    <w:rsid w:val="00B50E03"/>
    <w:rsid w:val="00B51244"/>
    <w:rsid w:val="00B51705"/>
    <w:rsid w:val="00B51764"/>
    <w:rsid w:val="00B51971"/>
    <w:rsid w:val="00B51B07"/>
    <w:rsid w:val="00B52CA4"/>
    <w:rsid w:val="00B531C3"/>
    <w:rsid w:val="00B53550"/>
    <w:rsid w:val="00B5359F"/>
    <w:rsid w:val="00B53A05"/>
    <w:rsid w:val="00B53B37"/>
    <w:rsid w:val="00B54A56"/>
    <w:rsid w:val="00B54D04"/>
    <w:rsid w:val="00B54F45"/>
    <w:rsid w:val="00B552CB"/>
    <w:rsid w:val="00B5568C"/>
    <w:rsid w:val="00B55A11"/>
    <w:rsid w:val="00B55E13"/>
    <w:rsid w:val="00B55F19"/>
    <w:rsid w:val="00B5632F"/>
    <w:rsid w:val="00B5678B"/>
    <w:rsid w:val="00B5681B"/>
    <w:rsid w:val="00B575E5"/>
    <w:rsid w:val="00B57893"/>
    <w:rsid w:val="00B57D08"/>
    <w:rsid w:val="00B57E26"/>
    <w:rsid w:val="00B60075"/>
    <w:rsid w:val="00B60B70"/>
    <w:rsid w:val="00B61AEC"/>
    <w:rsid w:val="00B62113"/>
    <w:rsid w:val="00B6227F"/>
    <w:rsid w:val="00B622EF"/>
    <w:rsid w:val="00B6247D"/>
    <w:rsid w:val="00B62880"/>
    <w:rsid w:val="00B62B32"/>
    <w:rsid w:val="00B62E55"/>
    <w:rsid w:val="00B63563"/>
    <w:rsid w:val="00B63911"/>
    <w:rsid w:val="00B63B6C"/>
    <w:rsid w:val="00B63EB9"/>
    <w:rsid w:val="00B649AE"/>
    <w:rsid w:val="00B65631"/>
    <w:rsid w:val="00B66276"/>
    <w:rsid w:val="00B66645"/>
    <w:rsid w:val="00B66825"/>
    <w:rsid w:val="00B669E3"/>
    <w:rsid w:val="00B67578"/>
    <w:rsid w:val="00B6767E"/>
    <w:rsid w:val="00B7083A"/>
    <w:rsid w:val="00B708CE"/>
    <w:rsid w:val="00B70A3B"/>
    <w:rsid w:val="00B70D6E"/>
    <w:rsid w:val="00B711AC"/>
    <w:rsid w:val="00B7154B"/>
    <w:rsid w:val="00B71F6C"/>
    <w:rsid w:val="00B71FF6"/>
    <w:rsid w:val="00B72736"/>
    <w:rsid w:val="00B72823"/>
    <w:rsid w:val="00B72C08"/>
    <w:rsid w:val="00B73AD2"/>
    <w:rsid w:val="00B73C93"/>
    <w:rsid w:val="00B73CCF"/>
    <w:rsid w:val="00B740A3"/>
    <w:rsid w:val="00B740C4"/>
    <w:rsid w:val="00B74AAF"/>
    <w:rsid w:val="00B74EE7"/>
    <w:rsid w:val="00B7508B"/>
    <w:rsid w:val="00B75586"/>
    <w:rsid w:val="00B75715"/>
    <w:rsid w:val="00B75CFA"/>
    <w:rsid w:val="00B7619C"/>
    <w:rsid w:val="00B7635F"/>
    <w:rsid w:val="00B763E1"/>
    <w:rsid w:val="00B7679C"/>
    <w:rsid w:val="00B76B35"/>
    <w:rsid w:val="00B76E41"/>
    <w:rsid w:val="00B76F1A"/>
    <w:rsid w:val="00B7739C"/>
    <w:rsid w:val="00B773E2"/>
    <w:rsid w:val="00B77DFB"/>
    <w:rsid w:val="00B77EB8"/>
    <w:rsid w:val="00B80B97"/>
    <w:rsid w:val="00B80E06"/>
    <w:rsid w:val="00B812C1"/>
    <w:rsid w:val="00B81435"/>
    <w:rsid w:val="00B81774"/>
    <w:rsid w:val="00B81D71"/>
    <w:rsid w:val="00B820E4"/>
    <w:rsid w:val="00B82292"/>
    <w:rsid w:val="00B82AB5"/>
    <w:rsid w:val="00B82EC6"/>
    <w:rsid w:val="00B833BB"/>
    <w:rsid w:val="00B835C7"/>
    <w:rsid w:val="00B83DD9"/>
    <w:rsid w:val="00B8411F"/>
    <w:rsid w:val="00B84498"/>
    <w:rsid w:val="00B848D2"/>
    <w:rsid w:val="00B8499A"/>
    <w:rsid w:val="00B84B45"/>
    <w:rsid w:val="00B84D50"/>
    <w:rsid w:val="00B85479"/>
    <w:rsid w:val="00B854C2"/>
    <w:rsid w:val="00B85D92"/>
    <w:rsid w:val="00B86B84"/>
    <w:rsid w:val="00B86BA9"/>
    <w:rsid w:val="00B86D79"/>
    <w:rsid w:val="00B86DDF"/>
    <w:rsid w:val="00B90283"/>
    <w:rsid w:val="00B9037B"/>
    <w:rsid w:val="00B9089E"/>
    <w:rsid w:val="00B90AD3"/>
    <w:rsid w:val="00B90CDC"/>
    <w:rsid w:val="00B91BC1"/>
    <w:rsid w:val="00B91DE4"/>
    <w:rsid w:val="00B92196"/>
    <w:rsid w:val="00B92D1D"/>
    <w:rsid w:val="00B93331"/>
    <w:rsid w:val="00B939EA"/>
    <w:rsid w:val="00B944A2"/>
    <w:rsid w:val="00B9451A"/>
    <w:rsid w:val="00B946C2"/>
    <w:rsid w:val="00B94E31"/>
    <w:rsid w:val="00B9547D"/>
    <w:rsid w:val="00B9575F"/>
    <w:rsid w:val="00B959C6"/>
    <w:rsid w:val="00B9646F"/>
    <w:rsid w:val="00B96787"/>
    <w:rsid w:val="00B96C71"/>
    <w:rsid w:val="00B971D5"/>
    <w:rsid w:val="00B977B1"/>
    <w:rsid w:val="00B97C7E"/>
    <w:rsid w:val="00BA023A"/>
    <w:rsid w:val="00BA0284"/>
    <w:rsid w:val="00BA046B"/>
    <w:rsid w:val="00BA079B"/>
    <w:rsid w:val="00BA12C7"/>
    <w:rsid w:val="00BA1E3B"/>
    <w:rsid w:val="00BA1E9A"/>
    <w:rsid w:val="00BA2039"/>
    <w:rsid w:val="00BA20FC"/>
    <w:rsid w:val="00BA29C3"/>
    <w:rsid w:val="00BA29F0"/>
    <w:rsid w:val="00BA2A3F"/>
    <w:rsid w:val="00BA2BCF"/>
    <w:rsid w:val="00BA2CDE"/>
    <w:rsid w:val="00BA35D5"/>
    <w:rsid w:val="00BA36F6"/>
    <w:rsid w:val="00BA373B"/>
    <w:rsid w:val="00BA4098"/>
    <w:rsid w:val="00BA51E2"/>
    <w:rsid w:val="00BA5774"/>
    <w:rsid w:val="00BA5BFC"/>
    <w:rsid w:val="00BA5E68"/>
    <w:rsid w:val="00BA626C"/>
    <w:rsid w:val="00BA654E"/>
    <w:rsid w:val="00BA67E1"/>
    <w:rsid w:val="00BA6B21"/>
    <w:rsid w:val="00BA6BAB"/>
    <w:rsid w:val="00BA72C6"/>
    <w:rsid w:val="00BA7538"/>
    <w:rsid w:val="00BA7560"/>
    <w:rsid w:val="00BA7C81"/>
    <w:rsid w:val="00BA7F1E"/>
    <w:rsid w:val="00BB0B78"/>
    <w:rsid w:val="00BB0CD7"/>
    <w:rsid w:val="00BB0D96"/>
    <w:rsid w:val="00BB1BBD"/>
    <w:rsid w:val="00BB1C0C"/>
    <w:rsid w:val="00BB1D41"/>
    <w:rsid w:val="00BB22AC"/>
    <w:rsid w:val="00BB22FC"/>
    <w:rsid w:val="00BB2390"/>
    <w:rsid w:val="00BB2760"/>
    <w:rsid w:val="00BB3113"/>
    <w:rsid w:val="00BB3320"/>
    <w:rsid w:val="00BB33DA"/>
    <w:rsid w:val="00BB3569"/>
    <w:rsid w:val="00BB3AC9"/>
    <w:rsid w:val="00BB4D14"/>
    <w:rsid w:val="00BB5136"/>
    <w:rsid w:val="00BB5539"/>
    <w:rsid w:val="00BB555F"/>
    <w:rsid w:val="00BB613C"/>
    <w:rsid w:val="00BB69F7"/>
    <w:rsid w:val="00BB6B27"/>
    <w:rsid w:val="00BB6C76"/>
    <w:rsid w:val="00BC0141"/>
    <w:rsid w:val="00BC01CD"/>
    <w:rsid w:val="00BC11AE"/>
    <w:rsid w:val="00BC11CB"/>
    <w:rsid w:val="00BC133E"/>
    <w:rsid w:val="00BC1449"/>
    <w:rsid w:val="00BC19F9"/>
    <w:rsid w:val="00BC1ACB"/>
    <w:rsid w:val="00BC1F59"/>
    <w:rsid w:val="00BC2229"/>
    <w:rsid w:val="00BC2360"/>
    <w:rsid w:val="00BC2764"/>
    <w:rsid w:val="00BC3153"/>
    <w:rsid w:val="00BC370E"/>
    <w:rsid w:val="00BC3943"/>
    <w:rsid w:val="00BC3B2D"/>
    <w:rsid w:val="00BC428C"/>
    <w:rsid w:val="00BC4331"/>
    <w:rsid w:val="00BC43A1"/>
    <w:rsid w:val="00BC494B"/>
    <w:rsid w:val="00BC4DE2"/>
    <w:rsid w:val="00BC4F80"/>
    <w:rsid w:val="00BC5191"/>
    <w:rsid w:val="00BC5588"/>
    <w:rsid w:val="00BC566C"/>
    <w:rsid w:val="00BC59E2"/>
    <w:rsid w:val="00BC5A75"/>
    <w:rsid w:val="00BC60B1"/>
    <w:rsid w:val="00BC71BF"/>
    <w:rsid w:val="00BC7846"/>
    <w:rsid w:val="00BC79AC"/>
    <w:rsid w:val="00BC7C4B"/>
    <w:rsid w:val="00BD01F5"/>
    <w:rsid w:val="00BD117F"/>
    <w:rsid w:val="00BD169E"/>
    <w:rsid w:val="00BD227F"/>
    <w:rsid w:val="00BD22A9"/>
    <w:rsid w:val="00BD2C65"/>
    <w:rsid w:val="00BD379A"/>
    <w:rsid w:val="00BD37D1"/>
    <w:rsid w:val="00BD3DC9"/>
    <w:rsid w:val="00BD4195"/>
    <w:rsid w:val="00BD4472"/>
    <w:rsid w:val="00BD48C5"/>
    <w:rsid w:val="00BD5487"/>
    <w:rsid w:val="00BD56B4"/>
    <w:rsid w:val="00BD57C4"/>
    <w:rsid w:val="00BD5B05"/>
    <w:rsid w:val="00BD5D5C"/>
    <w:rsid w:val="00BD6E18"/>
    <w:rsid w:val="00BD70F4"/>
    <w:rsid w:val="00BD7DDE"/>
    <w:rsid w:val="00BD7F2A"/>
    <w:rsid w:val="00BE07ED"/>
    <w:rsid w:val="00BE130C"/>
    <w:rsid w:val="00BE1511"/>
    <w:rsid w:val="00BE16BD"/>
    <w:rsid w:val="00BE1B59"/>
    <w:rsid w:val="00BE1BCA"/>
    <w:rsid w:val="00BE1F0E"/>
    <w:rsid w:val="00BE237E"/>
    <w:rsid w:val="00BE2691"/>
    <w:rsid w:val="00BE2893"/>
    <w:rsid w:val="00BE2958"/>
    <w:rsid w:val="00BE2E28"/>
    <w:rsid w:val="00BE2E83"/>
    <w:rsid w:val="00BE3335"/>
    <w:rsid w:val="00BE3580"/>
    <w:rsid w:val="00BE38C4"/>
    <w:rsid w:val="00BE417D"/>
    <w:rsid w:val="00BE42E1"/>
    <w:rsid w:val="00BE4550"/>
    <w:rsid w:val="00BE4589"/>
    <w:rsid w:val="00BE48B3"/>
    <w:rsid w:val="00BE4E26"/>
    <w:rsid w:val="00BE4F40"/>
    <w:rsid w:val="00BE4FE4"/>
    <w:rsid w:val="00BE50D3"/>
    <w:rsid w:val="00BE52A5"/>
    <w:rsid w:val="00BE5AF4"/>
    <w:rsid w:val="00BE6111"/>
    <w:rsid w:val="00BE630F"/>
    <w:rsid w:val="00BE6AAA"/>
    <w:rsid w:val="00BE6C6B"/>
    <w:rsid w:val="00BE6D3F"/>
    <w:rsid w:val="00BE6EDA"/>
    <w:rsid w:val="00BE7046"/>
    <w:rsid w:val="00BE71B9"/>
    <w:rsid w:val="00BE7ED5"/>
    <w:rsid w:val="00BF0520"/>
    <w:rsid w:val="00BF068C"/>
    <w:rsid w:val="00BF06EC"/>
    <w:rsid w:val="00BF0D63"/>
    <w:rsid w:val="00BF0DD6"/>
    <w:rsid w:val="00BF0E34"/>
    <w:rsid w:val="00BF17B3"/>
    <w:rsid w:val="00BF186F"/>
    <w:rsid w:val="00BF18F0"/>
    <w:rsid w:val="00BF19D4"/>
    <w:rsid w:val="00BF1EBF"/>
    <w:rsid w:val="00BF2106"/>
    <w:rsid w:val="00BF2317"/>
    <w:rsid w:val="00BF35B0"/>
    <w:rsid w:val="00BF3699"/>
    <w:rsid w:val="00BF36D5"/>
    <w:rsid w:val="00BF384F"/>
    <w:rsid w:val="00BF3931"/>
    <w:rsid w:val="00BF3B9F"/>
    <w:rsid w:val="00BF3FAA"/>
    <w:rsid w:val="00BF42F9"/>
    <w:rsid w:val="00BF53B5"/>
    <w:rsid w:val="00BF5CEF"/>
    <w:rsid w:val="00BF6941"/>
    <w:rsid w:val="00BF6D91"/>
    <w:rsid w:val="00BF7472"/>
    <w:rsid w:val="00BF7586"/>
    <w:rsid w:val="00BF7B1B"/>
    <w:rsid w:val="00BF7B7C"/>
    <w:rsid w:val="00BF7C61"/>
    <w:rsid w:val="00C0006C"/>
    <w:rsid w:val="00C002D6"/>
    <w:rsid w:val="00C0043E"/>
    <w:rsid w:val="00C00463"/>
    <w:rsid w:val="00C01138"/>
    <w:rsid w:val="00C01E3C"/>
    <w:rsid w:val="00C02F46"/>
    <w:rsid w:val="00C033B7"/>
    <w:rsid w:val="00C0345B"/>
    <w:rsid w:val="00C038D9"/>
    <w:rsid w:val="00C03AD5"/>
    <w:rsid w:val="00C03C2B"/>
    <w:rsid w:val="00C03D8E"/>
    <w:rsid w:val="00C03FCF"/>
    <w:rsid w:val="00C047CD"/>
    <w:rsid w:val="00C04807"/>
    <w:rsid w:val="00C051B2"/>
    <w:rsid w:val="00C057AF"/>
    <w:rsid w:val="00C05E53"/>
    <w:rsid w:val="00C060A1"/>
    <w:rsid w:val="00C060B3"/>
    <w:rsid w:val="00C0629C"/>
    <w:rsid w:val="00C0630E"/>
    <w:rsid w:val="00C0636E"/>
    <w:rsid w:val="00C064E5"/>
    <w:rsid w:val="00C07429"/>
    <w:rsid w:val="00C0757A"/>
    <w:rsid w:val="00C07B3F"/>
    <w:rsid w:val="00C07E29"/>
    <w:rsid w:val="00C10291"/>
    <w:rsid w:val="00C10953"/>
    <w:rsid w:val="00C10E61"/>
    <w:rsid w:val="00C1144C"/>
    <w:rsid w:val="00C11582"/>
    <w:rsid w:val="00C11611"/>
    <w:rsid w:val="00C118B2"/>
    <w:rsid w:val="00C11A56"/>
    <w:rsid w:val="00C11B7C"/>
    <w:rsid w:val="00C11E39"/>
    <w:rsid w:val="00C12294"/>
    <w:rsid w:val="00C124FE"/>
    <w:rsid w:val="00C12743"/>
    <w:rsid w:val="00C127ED"/>
    <w:rsid w:val="00C129BC"/>
    <w:rsid w:val="00C13A9D"/>
    <w:rsid w:val="00C14299"/>
    <w:rsid w:val="00C145CB"/>
    <w:rsid w:val="00C14712"/>
    <w:rsid w:val="00C14AA5"/>
    <w:rsid w:val="00C15016"/>
    <w:rsid w:val="00C1546E"/>
    <w:rsid w:val="00C15C5F"/>
    <w:rsid w:val="00C15EA3"/>
    <w:rsid w:val="00C16B99"/>
    <w:rsid w:val="00C16CCA"/>
    <w:rsid w:val="00C16D39"/>
    <w:rsid w:val="00C17468"/>
    <w:rsid w:val="00C1773C"/>
    <w:rsid w:val="00C17F74"/>
    <w:rsid w:val="00C202E7"/>
    <w:rsid w:val="00C202F2"/>
    <w:rsid w:val="00C20D90"/>
    <w:rsid w:val="00C20FEC"/>
    <w:rsid w:val="00C218C2"/>
    <w:rsid w:val="00C21B4C"/>
    <w:rsid w:val="00C21CDE"/>
    <w:rsid w:val="00C21D6F"/>
    <w:rsid w:val="00C220BD"/>
    <w:rsid w:val="00C2226A"/>
    <w:rsid w:val="00C223A6"/>
    <w:rsid w:val="00C228AD"/>
    <w:rsid w:val="00C22A76"/>
    <w:rsid w:val="00C22BBE"/>
    <w:rsid w:val="00C22C2C"/>
    <w:rsid w:val="00C22C3B"/>
    <w:rsid w:val="00C232A0"/>
    <w:rsid w:val="00C2335B"/>
    <w:rsid w:val="00C234B9"/>
    <w:rsid w:val="00C236D6"/>
    <w:rsid w:val="00C236DD"/>
    <w:rsid w:val="00C23B42"/>
    <w:rsid w:val="00C2418D"/>
    <w:rsid w:val="00C242C7"/>
    <w:rsid w:val="00C245C7"/>
    <w:rsid w:val="00C2505F"/>
    <w:rsid w:val="00C25154"/>
    <w:rsid w:val="00C25352"/>
    <w:rsid w:val="00C25708"/>
    <w:rsid w:val="00C25ABC"/>
    <w:rsid w:val="00C25F47"/>
    <w:rsid w:val="00C26226"/>
    <w:rsid w:val="00C26A38"/>
    <w:rsid w:val="00C26F1B"/>
    <w:rsid w:val="00C27112"/>
    <w:rsid w:val="00C27453"/>
    <w:rsid w:val="00C30054"/>
    <w:rsid w:val="00C3005C"/>
    <w:rsid w:val="00C302F7"/>
    <w:rsid w:val="00C30E87"/>
    <w:rsid w:val="00C3155A"/>
    <w:rsid w:val="00C31860"/>
    <w:rsid w:val="00C31890"/>
    <w:rsid w:val="00C31C6F"/>
    <w:rsid w:val="00C3269F"/>
    <w:rsid w:val="00C327D0"/>
    <w:rsid w:val="00C32B1A"/>
    <w:rsid w:val="00C32B23"/>
    <w:rsid w:val="00C32E90"/>
    <w:rsid w:val="00C33353"/>
    <w:rsid w:val="00C333EA"/>
    <w:rsid w:val="00C336B5"/>
    <w:rsid w:val="00C3391E"/>
    <w:rsid w:val="00C34322"/>
    <w:rsid w:val="00C3455A"/>
    <w:rsid w:val="00C34A22"/>
    <w:rsid w:val="00C34EFC"/>
    <w:rsid w:val="00C35469"/>
    <w:rsid w:val="00C35C13"/>
    <w:rsid w:val="00C36887"/>
    <w:rsid w:val="00C368D1"/>
    <w:rsid w:val="00C369FB"/>
    <w:rsid w:val="00C374AA"/>
    <w:rsid w:val="00C375C0"/>
    <w:rsid w:val="00C3760F"/>
    <w:rsid w:val="00C37995"/>
    <w:rsid w:val="00C37BB9"/>
    <w:rsid w:val="00C40346"/>
    <w:rsid w:val="00C40BB1"/>
    <w:rsid w:val="00C40CD0"/>
    <w:rsid w:val="00C4113C"/>
    <w:rsid w:val="00C415B4"/>
    <w:rsid w:val="00C41874"/>
    <w:rsid w:val="00C41CE0"/>
    <w:rsid w:val="00C41DDD"/>
    <w:rsid w:val="00C42156"/>
    <w:rsid w:val="00C425E3"/>
    <w:rsid w:val="00C425E7"/>
    <w:rsid w:val="00C429CA"/>
    <w:rsid w:val="00C43227"/>
    <w:rsid w:val="00C434D4"/>
    <w:rsid w:val="00C43A3A"/>
    <w:rsid w:val="00C444B2"/>
    <w:rsid w:val="00C44A15"/>
    <w:rsid w:val="00C45595"/>
    <w:rsid w:val="00C4561E"/>
    <w:rsid w:val="00C45837"/>
    <w:rsid w:val="00C45CB7"/>
    <w:rsid w:val="00C45DF1"/>
    <w:rsid w:val="00C45E2B"/>
    <w:rsid w:val="00C47006"/>
    <w:rsid w:val="00C47442"/>
    <w:rsid w:val="00C47901"/>
    <w:rsid w:val="00C502B0"/>
    <w:rsid w:val="00C50465"/>
    <w:rsid w:val="00C50B0B"/>
    <w:rsid w:val="00C516B2"/>
    <w:rsid w:val="00C516CE"/>
    <w:rsid w:val="00C51873"/>
    <w:rsid w:val="00C51BF5"/>
    <w:rsid w:val="00C51DA2"/>
    <w:rsid w:val="00C51F5B"/>
    <w:rsid w:val="00C522C4"/>
    <w:rsid w:val="00C5244D"/>
    <w:rsid w:val="00C52DE2"/>
    <w:rsid w:val="00C52E77"/>
    <w:rsid w:val="00C535DF"/>
    <w:rsid w:val="00C5391E"/>
    <w:rsid w:val="00C53ECC"/>
    <w:rsid w:val="00C5414F"/>
    <w:rsid w:val="00C542F4"/>
    <w:rsid w:val="00C5454F"/>
    <w:rsid w:val="00C54F43"/>
    <w:rsid w:val="00C552F0"/>
    <w:rsid w:val="00C55B6A"/>
    <w:rsid w:val="00C55D0A"/>
    <w:rsid w:val="00C55EE9"/>
    <w:rsid w:val="00C55F90"/>
    <w:rsid w:val="00C56014"/>
    <w:rsid w:val="00C56393"/>
    <w:rsid w:val="00C56BCD"/>
    <w:rsid w:val="00C56CD2"/>
    <w:rsid w:val="00C56F2B"/>
    <w:rsid w:val="00C57075"/>
    <w:rsid w:val="00C57322"/>
    <w:rsid w:val="00C61942"/>
    <w:rsid w:val="00C61A00"/>
    <w:rsid w:val="00C61D67"/>
    <w:rsid w:val="00C61E82"/>
    <w:rsid w:val="00C6202B"/>
    <w:rsid w:val="00C6212A"/>
    <w:rsid w:val="00C62272"/>
    <w:rsid w:val="00C6248F"/>
    <w:rsid w:val="00C62555"/>
    <w:rsid w:val="00C62DA6"/>
    <w:rsid w:val="00C62F38"/>
    <w:rsid w:val="00C6376F"/>
    <w:rsid w:val="00C637F3"/>
    <w:rsid w:val="00C63E65"/>
    <w:rsid w:val="00C641A0"/>
    <w:rsid w:val="00C64860"/>
    <w:rsid w:val="00C64973"/>
    <w:rsid w:val="00C64B2C"/>
    <w:rsid w:val="00C64CDA"/>
    <w:rsid w:val="00C65284"/>
    <w:rsid w:val="00C65A4E"/>
    <w:rsid w:val="00C66135"/>
    <w:rsid w:val="00C66382"/>
    <w:rsid w:val="00C6674F"/>
    <w:rsid w:val="00C66EC7"/>
    <w:rsid w:val="00C67184"/>
    <w:rsid w:val="00C675E7"/>
    <w:rsid w:val="00C67780"/>
    <w:rsid w:val="00C7062F"/>
    <w:rsid w:val="00C7069D"/>
    <w:rsid w:val="00C70702"/>
    <w:rsid w:val="00C707B9"/>
    <w:rsid w:val="00C714E8"/>
    <w:rsid w:val="00C716CA"/>
    <w:rsid w:val="00C71B37"/>
    <w:rsid w:val="00C71FD7"/>
    <w:rsid w:val="00C720D3"/>
    <w:rsid w:val="00C72298"/>
    <w:rsid w:val="00C72A11"/>
    <w:rsid w:val="00C72C5F"/>
    <w:rsid w:val="00C72C70"/>
    <w:rsid w:val="00C72EF8"/>
    <w:rsid w:val="00C7385B"/>
    <w:rsid w:val="00C739E3"/>
    <w:rsid w:val="00C73B85"/>
    <w:rsid w:val="00C74AD0"/>
    <w:rsid w:val="00C74C1C"/>
    <w:rsid w:val="00C74CCF"/>
    <w:rsid w:val="00C76089"/>
    <w:rsid w:val="00C761C7"/>
    <w:rsid w:val="00C76414"/>
    <w:rsid w:val="00C769F3"/>
    <w:rsid w:val="00C76C74"/>
    <w:rsid w:val="00C77A66"/>
    <w:rsid w:val="00C77D0E"/>
    <w:rsid w:val="00C80114"/>
    <w:rsid w:val="00C808EB"/>
    <w:rsid w:val="00C80A88"/>
    <w:rsid w:val="00C80D4E"/>
    <w:rsid w:val="00C8196F"/>
    <w:rsid w:val="00C81A12"/>
    <w:rsid w:val="00C81F81"/>
    <w:rsid w:val="00C8374B"/>
    <w:rsid w:val="00C83C64"/>
    <w:rsid w:val="00C83CCF"/>
    <w:rsid w:val="00C8487D"/>
    <w:rsid w:val="00C84E7C"/>
    <w:rsid w:val="00C85673"/>
    <w:rsid w:val="00C86258"/>
    <w:rsid w:val="00C862D9"/>
    <w:rsid w:val="00C8694B"/>
    <w:rsid w:val="00C86BEA"/>
    <w:rsid w:val="00C86D49"/>
    <w:rsid w:val="00C86F66"/>
    <w:rsid w:val="00C87047"/>
    <w:rsid w:val="00C870CC"/>
    <w:rsid w:val="00C8734B"/>
    <w:rsid w:val="00C87383"/>
    <w:rsid w:val="00C877D0"/>
    <w:rsid w:val="00C90469"/>
    <w:rsid w:val="00C90498"/>
    <w:rsid w:val="00C906F1"/>
    <w:rsid w:val="00C90A5E"/>
    <w:rsid w:val="00C90F7B"/>
    <w:rsid w:val="00C91441"/>
    <w:rsid w:val="00C9170F"/>
    <w:rsid w:val="00C917E5"/>
    <w:rsid w:val="00C918D8"/>
    <w:rsid w:val="00C91C37"/>
    <w:rsid w:val="00C91D71"/>
    <w:rsid w:val="00C92926"/>
    <w:rsid w:val="00C9330E"/>
    <w:rsid w:val="00C93545"/>
    <w:rsid w:val="00C935EE"/>
    <w:rsid w:val="00C940DD"/>
    <w:rsid w:val="00C94448"/>
    <w:rsid w:val="00C94C8D"/>
    <w:rsid w:val="00C94F0A"/>
    <w:rsid w:val="00C96E9F"/>
    <w:rsid w:val="00C97089"/>
    <w:rsid w:val="00C971A6"/>
    <w:rsid w:val="00C97388"/>
    <w:rsid w:val="00C974FF"/>
    <w:rsid w:val="00C97816"/>
    <w:rsid w:val="00CA0000"/>
    <w:rsid w:val="00CA097F"/>
    <w:rsid w:val="00CA1067"/>
    <w:rsid w:val="00CA12B5"/>
    <w:rsid w:val="00CA1805"/>
    <w:rsid w:val="00CA18E9"/>
    <w:rsid w:val="00CA1B25"/>
    <w:rsid w:val="00CA2285"/>
    <w:rsid w:val="00CA291F"/>
    <w:rsid w:val="00CA2D55"/>
    <w:rsid w:val="00CA375E"/>
    <w:rsid w:val="00CA3ED9"/>
    <w:rsid w:val="00CA47C8"/>
    <w:rsid w:val="00CA4ABB"/>
    <w:rsid w:val="00CA5550"/>
    <w:rsid w:val="00CA580A"/>
    <w:rsid w:val="00CA5E00"/>
    <w:rsid w:val="00CA613C"/>
    <w:rsid w:val="00CA627A"/>
    <w:rsid w:val="00CA633B"/>
    <w:rsid w:val="00CA634A"/>
    <w:rsid w:val="00CA63C4"/>
    <w:rsid w:val="00CA66B6"/>
    <w:rsid w:val="00CA6886"/>
    <w:rsid w:val="00CA69BB"/>
    <w:rsid w:val="00CA7005"/>
    <w:rsid w:val="00CA78E7"/>
    <w:rsid w:val="00CA7DA0"/>
    <w:rsid w:val="00CA7F64"/>
    <w:rsid w:val="00CB0640"/>
    <w:rsid w:val="00CB132B"/>
    <w:rsid w:val="00CB1383"/>
    <w:rsid w:val="00CB1775"/>
    <w:rsid w:val="00CB1DDB"/>
    <w:rsid w:val="00CB1DEA"/>
    <w:rsid w:val="00CB20ED"/>
    <w:rsid w:val="00CB21AF"/>
    <w:rsid w:val="00CB23B0"/>
    <w:rsid w:val="00CB2722"/>
    <w:rsid w:val="00CB2DDF"/>
    <w:rsid w:val="00CB3170"/>
    <w:rsid w:val="00CB3A90"/>
    <w:rsid w:val="00CB3CF3"/>
    <w:rsid w:val="00CB406A"/>
    <w:rsid w:val="00CB439D"/>
    <w:rsid w:val="00CB4A3E"/>
    <w:rsid w:val="00CB57FC"/>
    <w:rsid w:val="00CB595F"/>
    <w:rsid w:val="00CB5B54"/>
    <w:rsid w:val="00CB5BBD"/>
    <w:rsid w:val="00CB5D09"/>
    <w:rsid w:val="00CB610E"/>
    <w:rsid w:val="00CB6208"/>
    <w:rsid w:val="00CB6304"/>
    <w:rsid w:val="00CB7858"/>
    <w:rsid w:val="00CC068F"/>
    <w:rsid w:val="00CC06F0"/>
    <w:rsid w:val="00CC071A"/>
    <w:rsid w:val="00CC0CB6"/>
    <w:rsid w:val="00CC1033"/>
    <w:rsid w:val="00CC1440"/>
    <w:rsid w:val="00CC1A0E"/>
    <w:rsid w:val="00CC1D40"/>
    <w:rsid w:val="00CC2AFF"/>
    <w:rsid w:val="00CC30FA"/>
    <w:rsid w:val="00CC34F7"/>
    <w:rsid w:val="00CC357F"/>
    <w:rsid w:val="00CC36CA"/>
    <w:rsid w:val="00CC3873"/>
    <w:rsid w:val="00CC3EE5"/>
    <w:rsid w:val="00CC42C6"/>
    <w:rsid w:val="00CC4426"/>
    <w:rsid w:val="00CC460A"/>
    <w:rsid w:val="00CC49DB"/>
    <w:rsid w:val="00CC4B24"/>
    <w:rsid w:val="00CC50A6"/>
    <w:rsid w:val="00CC5219"/>
    <w:rsid w:val="00CC55C3"/>
    <w:rsid w:val="00CC561D"/>
    <w:rsid w:val="00CC5887"/>
    <w:rsid w:val="00CC59A1"/>
    <w:rsid w:val="00CC5A54"/>
    <w:rsid w:val="00CC60E5"/>
    <w:rsid w:val="00CC6365"/>
    <w:rsid w:val="00CC638F"/>
    <w:rsid w:val="00CC6400"/>
    <w:rsid w:val="00CC6B7E"/>
    <w:rsid w:val="00CC6B87"/>
    <w:rsid w:val="00CC6B92"/>
    <w:rsid w:val="00CC6D07"/>
    <w:rsid w:val="00CC6DF2"/>
    <w:rsid w:val="00CD01EB"/>
    <w:rsid w:val="00CD1023"/>
    <w:rsid w:val="00CD13B3"/>
    <w:rsid w:val="00CD182D"/>
    <w:rsid w:val="00CD22F3"/>
    <w:rsid w:val="00CD2A67"/>
    <w:rsid w:val="00CD2AD1"/>
    <w:rsid w:val="00CD2EF3"/>
    <w:rsid w:val="00CD35D2"/>
    <w:rsid w:val="00CD378D"/>
    <w:rsid w:val="00CD3B27"/>
    <w:rsid w:val="00CD3C59"/>
    <w:rsid w:val="00CD3E26"/>
    <w:rsid w:val="00CD3FCC"/>
    <w:rsid w:val="00CD4287"/>
    <w:rsid w:val="00CD43E0"/>
    <w:rsid w:val="00CD459E"/>
    <w:rsid w:val="00CD5305"/>
    <w:rsid w:val="00CD5622"/>
    <w:rsid w:val="00CD56FC"/>
    <w:rsid w:val="00CD585E"/>
    <w:rsid w:val="00CD58CF"/>
    <w:rsid w:val="00CD5FE3"/>
    <w:rsid w:val="00CD6C36"/>
    <w:rsid w:val="00CD6F11"/>
    <w:rsid w:val="00CD78A5"/>
    <w:rsid w:val="00CD79E5"/>
    <w:rsid w:val="00CD7CB7"/>
    <w:rsid w:val="00CD7FCA"/>
    <w:rsid w:val="00CE0118"/>
    <w:rsid w:val="00CE0541"/>
    <w:rsid w:val="00CE16E4"/>
    <w:rsid w:val="00CE1D27"/>
    <w:rsid w:val="00CE211A"/>
    <w:rsid w:val="00CE22E2"/>
    <w:rsid w:val="00CE272F"/>
    <w:rsid w:val="00CE2D5F"/>
    <w:rsid w:val="00CE2EBE"/>
    <w:rsid w:val="00CE317B"/>
    <w:rsid w:val="00CE36BF"/>
    <w:rsid w:val="00CE37D8"/>
    <w:rsid w:val="00CE3C88"/>
    <w:rsid w:val="00CE40C6"/>
    <w:rsid w:val="00CE40E8"/>
    <w:rsid w:val="00CE4765"/>
    <w:rsid w:val="00CE4DC3"/>
    <w:rsid w:val="00CE5501"/>
    <w:rsid w:val="00CE5A61"/>
    <w:rsid w:val="00CE5AAC"/>
    <w:rsid w:val="00CE669F"/>
    <w:rsid w:val="00CE68AE"/>
    <w:rsid w:val="00CE6AB8"/>
    <w:rsid w:val="00CE7197"/>
    <w:rsid w:val="00CE74B5"/>
    <w:rsid w:val="00CE787C"/>
    <w:rsid w:val="00CE7990"/>
    <w:rsid w:val="00CE7B77"/>
    <w:rsid w:val="00CE7BD5"/>
    <w:rsid w:val="00CF092E"/>
    <w:rsid w:val="00CF1A9F"/>
    <w:rsid w:val="00CF1BC4"/>
    <w:rsid w:val="00CF21DE"/>
    <w:rsid w:val="00CF2313"/>
    <w:rsid w:val="00CF2411"/>
    <w:rsid w:val="00CF26FA"/>
    <w:rsid w:val="00CF2B10"/>
    <w:rsid w:val="00CF2FF9"/>
    <w:rsid w:val="00CF31FB"/>
    <w:rsid w:val="00CF32F1"/>
    <w:rsid w:val="00CF3904"/>
    <w:rsid w:val="00CF3D5C"/>
    <w:rsid w:val="00CF4477"/>
    <w:rsid w:val="00CF47B4"/>
    <w:rsid w:val="00CF491E"/>
    <w:rsid w:val="00CF4DD6"/>
    <w:rsid w:val="00CF5905"/>
    <w:rsid w:val="00CF5F02"/>
    <w:rsid w:val="00CF6411"/>
    <w:rsid w:val="00CF653C"/>
    <w:rsid w:val="00CF685A"/>
    <w:rsid w:val="00CF6AE7"/>
    <w:rsid w:val="00CF6CB3"/>
    <w:rsid w:val="00CF70C8"/>
    <w:rsid w:val="00CF7194"/>
    <w:rsid w:val="00CF7314"/>
    <w:rsid w:val="00CF7487"/>
    <w:rsid w:val="00CF7525"/>
    <w:rsid w:val="00CF7A4F"/>
    <w:rsid w:val="00CF7C40"/>
    <w:rsid w:val="00CF7E9D"/>
    <w:rsid w:val="00CF7F44"/>
    <w:rsid w:val="00D001F5"/>
    <w:rsid w:val="00D00215"/>
    <w:rsid w:val="00D008BE"/>
    <w:rsid w:val="00D012FE"/>
    <w:rsid w:val="00D01475"/>
    <w:rsid w:val="00D01572"/>
    <w:rsid w:val="00D01A2F"/>
    <w:rsid w:val="00D01FA1"/>
    <w:rsid w:val="00D02C80"/>
    <w:rsid w:val="00D02EAB"/>
    <w:rsid w:val="00D03A12"/>
    <w:rsid w:val="00D0458D"/>
    <w:rsid w:val="00D0463C"/>
    <w:rsid w:val="00D0474F"/>
    <w:rsid w:val="00D048B2"/>
    <w:rsid w:val="00D04CB5"/>
    <w:rsid w:val="00D050AB"/>
    <w:rsid w:val="00D05788"/>
    <w:rsid w:val="00D05BA1"/>
    <w:rsid w:val="00D05EDC"/>
    <w:rsid w:val="00D05FE8"/>
    <w:rsid w:val="00D06359"/>
    <w:rsid w:val="00D0636D"/>
    <w:rsid w:val="00D065CA"/>
    <w:rsid w:val="00D07E8C"/>
    <w:rsid w:val="00D103BD"/>
    <w:rsid w:val="00D11396"/>
    <w:rsid w:val="00D12045"/>
    <w:rsid w:val="00D120B0"/>
    <w:rsid w:val="00D122AF"/>
    <w:rsid w:val="00D12474"/>
    <w:rsid w:val="00D1279C"/>
    <w:rsid w:val="00D132CF"/>
    <w:rsid w:val="00D1340E"/>
    <w:rsid w:val="00D1360D"/>
    <w:rsid w:val="00D136EB"/>
    <w:rsid w:val="00D13A2E"/>
    <w:rsid w:val="00D144E2"/>
    <w:rsid w:val="00D14608"/>
    <w:rsid w:val="00D14B5C"/>
    <w:rsid w:val="00D14CB4"/>
    <w:rsid w:val="00D151E9"/>
    <w:rsid w:val="00D156CC"/>
    <w:rsid w:val="00D15CD8"/>
    <w:rsid w:val="00D16977"/>
    <w:rsid w:val="00D16AF9"/>
    <w:rsid w:val="00D16B79"/>
    <w:rsid w:val="00D16CA6"/>
    <w:rsid w:val="00D16EFD"/>
    <w:rsid w:val="00D179A5"/>
    <w:rsid w:val="00D17D1F"/>
    <w:rsid w:val="00D17D6C"/>
    <w:rsid w:val="00D17D92"/>
    <w:rsid w:val="00D17E13"/>
    <w:rsid w:val="00D17FA0"/>
    <w:rsid w:val="00D20649"/>
    <w:rsid w:val="00D20C34"/>
    <w:rsid w:val="00D20DFA"/>
    <w:rsid w:val="00D21080"/>
    <w:rsid w:val="00D214A2"/>
    <w:rsid w:val="00D2150A"/>
    <w:rsid w:val="00D216F4"/>
    <w:rsid w:val="00D218A8"/>
    <w:rsid w:val="00D21A23"/>
    <w:rsid w:val="00D21F98"/>
    <w:rsid w:val="00D226A0"/>
    <w:rsid w:val="00D2275F"/>
    <w:rsid w:val="00D22954"/>
    <w:rsid w:val="00D22AEB"/>
    <w:rsid w:val="00D23012"/>
    <w:rsid w:val="00D23070"/>
    <w:rsid w:val="00D2369D"/>
    <w:rsid w:val="00D23706"/>
    <w:rsid w:val="00D23A12"/>
    <w:rsid w:val="00D23B31"/>
    <w:rsid w:val="00D23C4B"/>
    <w:rsid w:val="00D23DBF"/>
    <w:rsid w:val="00D23E9D"/>
    <w:rsid w:val="00D23FCD"/>
    <w:rsid w:val="00D24439"/>
    <w:rsid w:val="00D2494C"/>
    <w:rsid w:val="00D24DB4"/>
    <w:rsid w:val="00D24DD7"/>
    <w:rsid w:val="00D254AC"/>
    <w:rsid w:val="00D25927"/>
    <w:rsid w:val="00D25BBA"/>
    <w:rsid w:val="00D25C5F"/>
    <w:rsid w:val="00D25C9F"/>
    <w:rsid w:val="00D2608A"/>
    <w:rsid w:val="00D262E2"/>
    <w:rsid w:val="00D2651D"/>
    <w:rsid w:val="00D269E0"/>
    <w:rsid w:val="00D26E53"/>
    <w:rsid w:val="00D26E7B"/>
    <w:rsid w:val="00D26EC6"/>
    <w:rsid w:val="00D275B6"/>
    <w:rsid w:val="00D27644"/>
    <w:rsid w:val="00D276AF"/>
    <w:rsid w:val="00D2794D"/>
    <w:rsid w:val="00D27B2A"/>
    <w:rsid w:val="00D30015"/>
    <w:rsid w:val="00D30478"/>
    <w:rsid w:val="00D31EA5"/>
    <w:rsid w:val="00D31F04"/>
    <w:rsid w:val="00D323B3"/>
    <w:rsid w:val="00D32987"/>
    <w:rsid w:val="00D329DC"/>
    <w:rsid w:val="00D32B1A"/>
    <w:rsid w:val="00D32E31"/>
    <w:rsid w:val="00D33747"/>
    <w:rsid w:val="00D33A68"/>
    <w:rsid w:val="00D33B95"/>
    <w:rsid w:val="00D33D75"/>
    <w:rsid w:val="00D33ED3"/>
    <w:rsid w:val="00D33F40"/>
    <w:rsid w:val="00D34443"/>
    <w:rsid w:val="00D34F16"/>
    <w:rsid w:val="00D3571A"/>
    <w:rsid w:val="00D35B6E"/>
    <w:rsid w:val="00D36029"/>
    <w:rsid w:val="00D3602B"/>
    <w:rsid w:val="00D3659B"/>
    <w:rsid w:val="00D366DB"/>
    <w:rsid w:val="00D369E8"/>
    <w:rsid w:val="00D36B23"/>
    <w:rsid w:val="00D36DEA"/>
    <w:rsid w:val="00D36E01"/>
    <w:rsid w:val="00D36E5F"/>
    <w:rsid w:val="00D36E9A"/>
    <w:rsid w:val="00D37553"/>
    <w:rsid w:val="00D378D7"/>
    <w:rsid w:val="00D37D69"/>
    <w:rsid w:val="00D37DC2"/>
    <w:rsid w:val="00D402D1"/>
    <w:rsid w:val="00D40D53"/>
    <w:rsid w:val="00D412D5"/>
    <w:rsid w:val="00D41744"/>
    <w:rsid w:val="00D41DEA"/>
    <w:rsid w:val="00D41EB0"/>
    <w:rsid w:val="00D41F18"/>
    <w:rsid w:val="00D4289D"/>
    <w:rsid w:val="00D43346"/>
    <w:rsid w:val="00D43470"/>
    <w:rsid w:val="00D4350D"/>
    <w:rsid w:val="00D43625"/>
    <w:rsid w:val="00D444E3"/>
    <w:rsid w:val="00D450EF"/>
    <w:rsid w:val="00D452F1"/>
    <w:rsid w:val="00D458F5"/>
    <w:rsid w:val="00D45B9E"/>
    <w:rsid w:val="00D45C41"/>
    <w:rsid w:val="00D45EE1"/>
    <w:rsid w:val="00D46022"/>
    <w:rsid w:val="00D4618C"/>
    <w:rsid w:val="00D461BD"/>
    <w:rsid w:val="00D46638"/>
    <w:rsid w:val="00D46ACD"/>
    <w:rsid w:val="00D4703D"/>
    <w:rsid w:val="00D4708F"/>
    <w:rsid w:val="00D47241"/>
    <w:rsid w:val="00D47375"/>
    <w:rsid w:val="00D47642"/>
    <w:rsid w:val="00D47811"/>
    <w:rsid w:val="00D505F4"/>
    <w:rsid w:val="00D50832"/>
    <w:rsid w:val="00D50857"/>
    <w:rsid w:val="00D509A5"/>
    <w:rsid w:val="00D50B7A"/>
    <w:rsid w:val="00D50C1A"/>
    <w:rsid w:val="00D50FD5"/>
    <w:rsid w:val="00D513BC"/>
    <w:rsid w:val="00D5156B"/>
    <w:rsid w:val="00D51EA0"/>
    <w:rsid w:val="00D529C4"/>
    <w:rsid w:val="00D52D8F"/>
    <w:rsid w:val="00D5341F"/>
    <w:rsid w:val="00D53614"/>
    <w:rsid w:val="00D5364A"/>
    <w:rsid w:val="00D53BB8"/>
    <w:rsid w:val="00D53FA0"/>
    <w:rsid w:val="00D54595"/>
    <w:rsid w:val="00D547F0"/>
    <w:rsid w:val="00D54E52"/>
    <w:rsid w:val="00D5530A"/>
    <w:rsid w:val="00D553B6"/>
    <w:rsid w:val="00D55551"/>
    <w:rsid w:val="00D55DD6"/>
    <w:rsid w:val="00D55FCD"/>
    <w:rsid w:val="00D56064"/>
    <w:rsid w:val="00D56257"/>
    <w:rsid w:val="00D563EA"/>
    <w:rsid w:val="00D56413"/>
    <w:rsid w:val="00D565C1"/>
    <w:rsid w:val="00D5676C"/>
    <w:rsid w:val="00D5681C"/>
    <w:rsid w:val="00D56B13"/>
    <w:rsid w:val="00D56F59"/>
    <w:rsid w:val="00D57710"/>
    <w:rsid w:val="00D57978"/>
    <w:rsid w:val="00D57A90"/>
    <w:rsid w:val="00D60F62"/>
    <w:rsid w:val="00D61352"/>
    <w:rsid w:val="00D6155A"/>
    <w:rsid w:val="00D61CC9"/>
    <w:rsid w:val="00D621AE"/>
    <w:rsid w:val="00D622A4"/>
    <w:rsid w:val="00D627A5"/>
    <w:rsid w:val="00D627A7"/>
    <w:rsid w:val="00D6292C"/>
    <w:rsid w:val="00D62957"/>
    <w:rsid w:val="00D62F54"/>
    <w:rsid w:val="00D62F81"/>
    <w:rsid w:val="00D630A5"/>
    <w:rsid w:val="00D63242"/>
    <w:rsid w:val="00D636B6"/>
    <w:rsid w:val="00D6396E"/>
    <w:rsid w:val="00D643AE"/>
    <w:rsid w:val="00D6486A"/>
    <w:rsid w:val="00D653DD"/>
    <w:rsid w:val="00D65D7D"/>
    <w:rsid w:val="00D65E2B"/>
    <w:rsid w:val="00D65F32"/>
    <w:rsid w:val="00D660FF"/>
    <w:rsid w:val="00D6611A"/>
    <w:rsid w:val="00D66A82"/>
    <w:rsid w:val="00D66B55"/>
    <w:rsid w:val="00D671F3"/>
    <w:rsid w:val="00D67584"/>
    <w:rsid w:val="00D677D2"/>
    <w:rsid w:val="00D67916"/>
    <w:rsid w:val="00D70279"/>
    <w:rsid w:val="00D704BB"/>
    <w:rsid w:val="00D707F1"/>
    <w:rsid w:val="00D70A35"/>
    <w:rsid w:val="00D7103D"/>
    <w:rsid w:val="00D71210"/>
    <w:rsid w:val="00D71275"/>
    <w:rsid w:val="00D7135A"/>
    <w:rsid w:val="00D71448"/>
    <w:rsid w:val="00D71479"/>
    <w:rsid w:val="00D714CA"/>
    <w:rsid w:val="00D715C6"/>
    <w:rsid w:val="00D71B71"/>
    <w:rsid w:val="00D71CDE"/>
    <w:rsid w:val="00D72769"/>
    <w:rsid w:val="00D72C89"/>
    <w:rsid w:val="00D72D79"/>
    <w:rsid w:val="00D73095"/>
    <w:rsid w:val="00D73112"/>
    <w:rsid w:val="00D734B0"/>
    <w:rsid w:val="00D7382D"/>
    <w:rsid w:val="00D738F1"/>
    <w:rsid w:val="00D73CA5"/>
    <w:rsid w:val="00D73D23"/>
    <w:rsid w:val="00D74194"/>
    <w:rsid w:val="00D74505"/>
    <w:rsid w:val="00D74B4E"/>
    <w:rsid w:val="00D74D9D"/>
    <w:rsid w:val="00D74F81"/>
    <w:rsid w:val="00D7500B"/>
    <w:rsid w:val="00D752B7"/>
    <w:rsid w:val="00D75688"/>
    <w:rsid w:val="00D757D9"/>
    <w:rsid w:val="00D75CFC"/>
    <w:rsid w:val="00D767DF"/>
    <w:rsid w:val="00D76DED"/>
    <w:rsid w:val="00D76F9A"/>
    <w:rsid w:val="00D77236"/>
    <w:rsid w:val="00D772A3"/>
    <w:rsid w:val="00D774ED"/>
    <w:rsid w:val="00D775CB"/>
    <w:rsid w:val="00D7772F"/>
    <w:rsid w:val="00D77AA2"/>
    <w:rsid w:val="00D77B66"/>
    <w:rsid w:val="00D77FC6"/>
    <w:rsid w:val="00D812D9"/>
    <w:rsid w:val="00D81CF3"/>
    <w:rsid w:val="00D820AD"/>
    <w:rsid w:val="00D822A0"/>
    <w:rsid w:val="00D8271E"/>
    <w:rsid w:val="00D827D9"/>
    <w:rsid w:val="00D82810"/>
    <w:rsid w:val="00D82A3F"/>
    <w:rsid w:val="00D82F5D"/>
    <w:rsid w:val="00D833F9"/>
    <w:rsid w:val="00D835D3"/>
    <w:rsid w:val="00D836D3"/>
    <w:rsid w:val="00D84270"/>
    <w:rsid w:val="00D84BB6"/>
    <w:rsid w:val="00D84C49"/>
    <w:rsid w:val="00D84D80"/>
    <w:rsid w:val="00D84E47"/>
    <w:rsid w:val="00D85AF9"/>
    <w:rsid w:val="00D85C9F"/>
    <w:rsid w:val="00D8652A"/>
    <w:rsid w:val="00D86688"/>
    <w:rsid w:val="00D86DDC"/>
    <w:rsid w:val="00D86EC8"/>
    <w:rsid w:val="00D86F60"/>
    <w:rsid w:val="00D86FDA"/>
    <w:rsid w:val="00D87001"/>
    <w:rsid w:val="00D8722B"/>
    <w:rsid w:val="00D87639"/>
    <w:rsid w:val="00D87B51"/>
    <w:rsid w:val="00D87B6B"/>
    <w:rsid w:val="00D90072"/>
    <w:rsid w:val="00D90294"/>
    <w:rsid w:val="00D90460"/>
    <w:rsid w:val="00D9110A"/>
    <w:rsid w:val="00D92912"/>
    <w:rsid w:val="00D92CE7"/>
    <w:rsid w:val="00D933C3"/>
    <w:rsid w:val="00D93616"/>
    <w:rsid w:val="00D93AAB"/>
    <w:rsid w:val="00D93DE9"/>
    <w:rsid w:val="00D943A6"/>
    <w:rsid w:val="00D94D14"/>
    <w:rsid w:val="00D94DF1"/>
    <w:rsid w:val="00D94E4F"/>
    <w:rsid w:val="00D953EF"/>
    <w:rsid w:val="00D9558E"/>
    <w:rsid w:val="00D95E1F"/>
    <w:rsid w:val="00D961D4"/>
    <w:rsid w:val="00D968AE"/>
    <w:rsid w:val="00D96BDE"/>
    <w:rsid w:val="00D96CF6"/>
    <w:rsid w:val="00D9748F"/>
    <w:rsid w:val="00D97588"/>
    <w:rsid w:val="00D97DFC"/>
    <w:rsid w:val="00DA07C6"/>
    <w:rsid w:val="00DA0CA2"/>
    <w:rsid w:val="00DA1427"/>
    <w:rsid w:val="00DA1D21"/>
    <w:rsid w:val="00DA1E62"/>
    <w:rsid w:val="00DA2003"/>
    <w:rsid w:val="00DA247C"/>
    <w:rsid w:val="00DA2A2D"/>
    <w:rsid w:val="00DA2C4F"/>
    <w:rsid w:val="00DA2CC2"/>
    <w:rsid w:val="00DA3019"/>
    <w:rsid w:val="00DA3231"/>
    <w:rsid w:val="00DA3612"/>
    <w:rsid w:val="00DA36C0"/>
    <w:rsid w:val="00DA3CC7"/>
    <w:rsid w:val="00DA3D15"/>
    <w:rsid w:val="00DA4532"/>
    <w:rsid w:val="00DA4B73"/>
    <w:rsid w:val="00DA5326"/>
    <w:rsid w:val="00DA5810"/>
    <w:rsid w:val="00DA582A"/>
    <w:rsid w:val="00DA58E1"/>
    <w:rsid w:val="00DA5B02"/>
    <w:rsid w:val="00DA5DFA"/>
    <w:rsid w:val="00DA6113"/>
    <w:rsid w:val="00DA62D4"/>
    <w:rsid w:val="00DA632B"/>
    <w:rsid w:val="00DA637C"/>
    <w:rsid w:val="00DA6406"/>
    <w:rsid w:val="00DA6B10"/>
    <w:rsid w:val="00DA70C0"/>
    <w:rsid w:val="00DA73F6"/>
    <w:rsid w:val="00DA7C1E"/>
    <w:rsid w:val="00DA7ED7"/>
    <w:rsid w:val="00DB025A"/>
    <w:rsid w:val="00DB081A"/>
    <w:rsid w:val="00DB08D2"/>
    <w:rsid w:val="00DB0FF5"/>
    <w:rsid w:val="00DB1126"/>
    <w:rsid w:val="00DB118D"/>
    <w:rsid w:val="00DB15FB"/>
    <w:rsid w:val="00DB16FE"/>
    <w:rsid w:val="00DB1FC3"/>
    <w:rsid w:val="00DB3639"/>
    <w:rsid w:val="00DB3C77"/>
    <w:rsid w:val="00DB3E5A"/>
    <w:rsid w:val="00DB3F9A"/>
    <w:rsid w:val="00DB439F"/>
    <w:rsid w:val="00DB4829"/>
    <w:rsid w:val="00DB488B"/>
    <w:rsid w:val="00DB504E"/>
    <w:rsid w:val="00DB5185"/>
    <w:rsid w:val="00DB5214"/>
    <w:rsid w:val="00DB5360"/>
    <w:rsid w:val="00DB591A"/>
    <w:rsid w:val="00DB6003"/>
    <w:rsid w:val="00DB6364"/>
    <w:rsid w:val="00DB6525"/>
    <w:rsid w:val="00DB687D"/>
    <w:rsid w:val="00DB6D94"/>
    <w:rsid w:val="00DB6DEF"/>
    <w:rsid w:val="00DB772D"/>
    <w:rsid w:val="00DB7DCC"/>
    <w:rsid w:val="00DC0031"/>
    <w:rsid w:val="00DC04C7"/>
    <w:rsid w:val="00DC0518"/>
    <w:rsid w:val="00DC054B"/>
    <w:rsid w:val="00DC0A66"/>
    <w:rsid w:val="00DC0D51"/>
    <w:rsid w:val="00DC15BE"/>
    <w:rsid w:val="00DC19AA"/>
    <w:rsid w:val="00DC1BC1"/>
    <w:rsid w:val="00DC1F34"/>
    <w:rsid w:val="00DC23C2"/>
    <w:rsid w:val="00DC2C7D"/>
    <w:rsid w:val="00DC2C8E"/>
    <w:rsid w:val="00DC2FE5"/>
    <w:rsid w:val="00DC3E8B"/>
    <w:rsid w:val="00DC45DA"/>
    <w:rsid w:val="00DC47CB"/>
    <w:rsid w:val="00DC4816"/>
    <w:rsid w:val="00DC4C03"/>
    <w:rsid w:val="00DC4FA1"/>
    <w:rsid w:val="00DC5783"/>
    <w:rsid w:val="00DC5D24"/>
    <w:rsid w:val="00DC5FBD"/>
    <w:rsid w:val="00DC60DE"/>
    <w:rsid w:val="00DC62A5"/>
    <w:rsid w:val="00DC6768"/>
    <w:rsid w:val="00DC7422"/>
    <w:rsid w:val="00DC7442"/>
    <w:rsid w:val="00DC7462"/>
    <w:rsid w:val="00DC7B07"/>
    <w:rsid w:val="00DC7EBC"/>
    <w:rsid w:val="00DD010B"/>
    <w:rsid w:val="00DD0DFA"/>
    <w:rsid w:val="00DD13FB"/>
    <w:rsid w:val="00DD1639"/>
    <w:rsid w:val="00DD182E"/>
    <w:rsid w:val="00DD2B3E"/>
    <w:rsid w:val="00DD2C5C"/>
    <w:rsid w:val="00DD2D3E"/>
    <w:rsid w:val="00DD307D"/>
    <w:rsid w:val="00DD31A5"/>
    <w:rsid w:val="00DD31CF"/>
    <w:rsid w:val="00DD36F3"/>
    <w:rsid w:val="00DD3D92"/>
    <w:rsid w:val="00DD3EED"/>
    <w:rsid w:val="00DD3FE0"/>
    <w:rsid w:val="00DD4808"/>
    <w:rsid w:val="00DD510E"/>
    <w:rsid w:val="00DD52CF"/>
    <w:rsid w:val="00DD54D0"/>
    <w:rsid w:val="00DD5E0C"/>
    <w:rsid w:val="00DD5E4F"/>
    <w:rsid w:val="00DD5F91"/>
    <w:rsid w:val="00DD5FD3"/>
    <w:rsid w:val="00DD65C9"/>
    <w:rsid w:val="00DD6850"/>
    <w:rsid w:val="00DD6977"/>
    <w:rsid w:val="00DD6E2E"/>
    <w:rsid w:val="00DD73A2"/>
    <w:rsid w:val="00DD7564"/>
    <w:rsid w:val="00DD7614"/>
    <w:rsid w:val="00DD77BD"/>
    <w:rsid w:val="00DD7BAA"/>
    <w:rsid w:val="00DE017B"/>
    <w:rsid w:val="00DE0469"/>
    <w:rsid w:val="00DE05A6"/>
    <w:rsid w:val="00DE0677"/>
    <w:rsid w:val="00DE097D"/>
    <w:rsid w:val="00DE0A3C"/>
    <w:rsid w:val="00DE0D0E"/>
    <w:rsid w:val="00DE0E57"/>
    <w:rsid w:val="00DE0EFF"/>
    <w:rsid w:val="00DE1517"/>
    <w:rsid w:val="00DE1953"/>
    <w:rsid w:val="00DE19A8"/>
    <w:rsid w:val="00DE1A18"/>
    <w:rsid w:val="00DE1E11"/>
    <w:rsid w:val="00DE28E0"/>
    <w:rsid w:val="00DE2987"/>
    <w:rsid w:val="00DE31DB"/>
    <w:rsid w:val="00DE3840"/>
    <w:rsid w:val="00DE386E"/>
    <w:rsid w:val="00DE4E7C"/>
    <w:rsid w:val="00DE5373"/>
    <w:rsid w:val="00DE6028"/>
    <w:rsid w:val="00DE617B"/>
    <w:rsid w:val="00DE646B"/>
    <w:rsid w:val="00DE689C"/>
    <w:rsid w:val="00DE6C11"/>
    <w:rsid w:val="00DE6CAD"/>
    <w:rsid w:val="00DE6F32"/>
    <w:rsid w:val="00DE7028"/>
    <w:rsid w:val="00DE733A"/>
    <w:rsid w:val="00DE7394"/>
    <w:rsid w:val="00DE777B"/>
    <w:rsid w:val="00DE7D07"/>
    <w:rsid w:val="00DE7EFD"/>
    <w:rsid w:val="00DF0980"/>
    <w:rsid w:val="00DF0B2B"/>
    <w:rsid w:val="00DF1460"/>
    <w:rsid w:val="00DF1566"/>
    <w:rsid w:val="00DF158D"/>
    <w:rsid w:val="00DF1882"/>
    <w:rsid w:val="00DF19B3"/>
    <w:rsid w:val="00DF1D97"/>
    <w:rsid w:val="00DF1EAD"/>
    <w:rsid w:val="00DF1EFF"/>
    <w:rsid w:val="00DF207E"/>
    <w:rsid w:val="00DF2380"/>
    <w:rsid w:val="00DF32E4"/>
    <w:rsid w:val="00DF3466"/>
    <w:rsid w:val="00DF37AD"/>
    <w:rsid w:val="00DF384C"/>
    <w:rsid w:val="00DF390B"/>
    <w:rsid w:val="00DF47E5"/>
    <w:rsid w:val="00DF4D7A"/>
    <w:rsid w:val="00DF4F17"/>
    <w:rsid w:val="00DF5043"/>
    <w:rsid w:val="00DF52D2"/>
    <w:rsid w:val="00DF5564"/>
    <w:rsid w:val="00DF5BDB"/>
    <w:rsid w:val="00DF5DFD"/>
    <w:rsid w:val="00DF69E0"/>
    <w:rsid w:val="00DF69F2"/>
    <w:rsid w:val="00DF6D8E"/>
    <w:rsid w:val="00DF6F12"/>
    <w:rsid w:val="00DF739E"/>
    <w:rsid w:val="00DF758A"/>
    <w:rsid w:val="00DF7749"/>
    <w:rsid w:val="00DF7925"/>
    <w:rsid w:val="00E000B2"/>
    <w:rsid w:val="00E001CC"/>
    <w:rsid w:val="00E00AC9"/>
    <w:rsid w:val="00E01794"/>
    <w:rsid w:val="00E0197C"/>
    <w:rsid w:val="00E01A42"/>
    <w:rsid w:val="00E01B9F"/>
    <w:rsid w:val="00E01D3C"/>
    <w:rsid w:val="00E025B9"/>
    <w:rsid w:val="00E02FE2"/>
    <w:rsid w:val="00E03247"/>
    <w:rsid w:val="00E03948"/>
    <w:rsid w:val="00E03EAE"/>
    <w:rsid w:val="00E03F72"/>
    <w:rsid w:val="00E04366"/>
    <w:rsid w:val="00E04E0A"/>
    <w:rsid w:val="00E04EBF"/>
    <w:rsid w:val="00E05DDE"/>
    <w:rsid w:val="00E05E0D"/>
    <w:rsid w:val="00E0612F"/>
    <w:rsid w:val="00E064EE"/>
    <w:rsid w:val="00E07454"/>
    <w:rsid w:val="00E0753D"/>
    <w:rsid w:val="00E07EC6"/>
    <w:rsid w:val="00E10069"/>
    <w:rsid w:val="00E118BA"/>
    <w:rsid w:val="00E11D3D"/>
    <w:rsid w:val="00E11FD4"/>
    <w:rsid w:val="00E125C1"/>
    <w:rsid w:val="00E12976"/>
    <w:rsid w:val="00E131A5"/>
    <w:rsid w:val="00E13290"/>
    <w:rsid w:val="00E13C34"/>
    <w:rsid w:val="00E14CC4"/>
    <w:rsid w:val="00E14FF1"/>
    <w:rsid w:val="00E150F2"/>
    <w:rsid w:val="00E152AC"/>
    <w:rsid w:val="00E15668"/>
    <w:rsid w:val="00E15C4B"/>
    <w:rsid w:val="00E15CF1"/>
    <w:rsid w:val="00E15D24"/>
    <w:rsid w:val="00E15DC7"/>
    <w:rsid w:val="00E163D7"/>
    <w:rsid w:val="00E16C9D"/>
    <w:rsid w:val="00E16D14"/>
    <w:rsid w:val="00E16F7A"/>
    <w:rsid w:val="00E17289"/>
    <w:rsid w:val="00E17775"/>
    <w:rsid w:val="00E17A8A"/>
    <w:rsid w:val="00E17DA4"/>
    <w:rsid w:val="00E2011E"/>
    <w:rsid w:val="00E2048E"/>
    <w:rsid w:val="00E206E1"/>
    <w:rsid w:val="00E20AE6"/>
    <w:rsid w:val="00E21333"/>
    <w:rsid w:val="00E21D3D"/>
    <w:rsid w:val="00E22309"/>
    <w:rsid w:val="00E22527"/>
    <w:rsid w:val="00E22944"/>
    <w:rsid w:val="00E22ADF"/>
    <w:rsid w:val="00E23183"/>
    <w:rsid w:val="00E23AEA"/>
    <w:rsid w:val="00E24805"/>
    <w:rsid w:val="00E24C9F"/>
    <w:rsid w:val="00E255EE"/>
    <w:rsid w:val="00E25C0C"/>
    <w:rsid w:val="00E25C3D"/>
    <w:rsid w:val="00E26583"/>
    <w:rsid w:val="00E26702"/>
    <w:rsid w:val="00E26711"/>
    <w:rsid w:val="00E26790"/>
    <w:rsid w:val="00E26D9D"/>
    <w:rsid w:val="00E27659"/>
    <w:rsid w:val="00E278A3"/>
    <w:rsid w:val="00E278D2"/>
    <w:rsid w:val="00E27D48"/>
    <w:rsid w:val="00E27FF9"/>
    <w:rsid w:val="00E303AE"/>
    <w:rsid w:val="00E30C98"/>
    <w:rsid w:val="00E30E7B"/>
    <w:rsid w:val="00E3113C"/>
    <w:rsid w:val="00E3149D"/>
    <w:rsid w:val="00E31A5F"/>
    <w:rsid w:val="00E31C6C"/>
    <w:rsid w:val="00E31D94"/>
    <w:rsid w:val="00E31DBB"/>
    <w:rsid w:val="00E32733"/>
    <w:rsid w:val="00E33021"/>
    <w:rsid w:val="00E33427"/>
    <w:rsid w:val="00E33AAB"/>
    <w:rsid w:val="00E33F31"/>
    <w:rsid w:val="00E34542"/>
    <w:rsid w:val="00E34BBA"/>
    <w:rsid w:val="00E34CA3"/>
    <w:rsid w:val="00E3543B"/>
    <w:rsid w:val="00E359D2"/>
    <w:rsid w:val="00E35AA7"/>
    <w:rsid w:val="00E36DDD"/>
    <w:rsid w:val="00E37327"/>
    <w:rsid w:val="00E37690"/>
    <w:rsid w:val="00E37919"/>
    <w:rsid w:val="00E379CF"/>
    <w:rsid w:val="00E40324"/>
    <w:rsid w:val="00E4079F"/>
    <w:rsid w:val="00E4116A"/>
    <w:rsid w:val="00E41449"/>
    <w:rsid w:val="00E415FB"/>
    <w:rsid w:val="00E418D2"/>
    <w:rsid w:val="00E41DD9"/>
    <w:rsid w:val="00E41FCF"/>
    <w:rsid w:val="00E41FF2"/>
    <w:rsid w:val="00E420F0"/>
    <w:rsid w:val="00E429D5"/>
    <w:rsid w:val="00E42C01"/>
    <w:rsid w:val="00E42E4C"/>
    <w:rsid w:val="00E42E77"/>
    <w:rsid w:val="00E4325D"/>
    <w:rsid w:val="00E434C5"/>
    <w:rsid w:val="00E4357A"/>
    <w:rsid w:val="00E436CA"/>
    <w:rsid w:val="00E43A59"/>
    <w:rsid w:val="00E43AEB"/>
    <w:rsid w:val="00E43C0D"/>
    <w:rsid w:val="00E43F3E"/>
    <w:rsid w:val="00E4436E"/>
    <w:rsid w:val="00E44876"/>
    <w:rsid w:val="00E44D23"/>
    <w:rsid w:val="00E45AB3"/>
    <w:rsid w:val="00E45DD2"/>
    <w:rsid w:val="00E46039"/>
    <w:rsid w:val="00E4631D"/>
    <w:rsid w:val="00E46358"/>
    <w:rsid w:val="00E469FD"/>
    <w:rsid w:val="00E46BA3"/>
    <w:rsid w:val="00E46D74"/>
    <w:rsid w:val="00E46EFB"/>
    <w:rsid w:val="00E4747E"/>
    <w:rsid w:val="00E47932"/>
    <w:rsid w:val="00E47A16"/>
    <w:rsid w:val="00E47B3D"/>
    <w:rsid w:val="00E47C38"/>
    <w:rsid w:val="00E47D28"/>
    <w:rsid w:val="00E50322"/>
    <w:rsid w:val="00E506EA"/>
    <w:rsid w:val="00E50F51"/>
    <w:rsid w:val="00E5127B"/>
    <w:rsid w:val="00E52452"/>
    <w:rsid w:val="00E524BF"/>
    <w:rsid w:val="00E52BBA"/>
    <w:rsid w:val="00E52BF4"/>
    <w:rsid w:val="00E52EBD"/>
    <w:rsid w:val="00E533E2"/>
    <w:rsid w:val="00E53740"/>
    <w:rsid w:val="00E53A05"/>
    <w:rsid w:val="00E53C49"/>
    <w:rsid w:val="00E5432E"/>
    <w:rsid w:val="00E55300"/>
    <w:rsid w:val="00E5548D"/>
    <w:rsid w:val="00E55BB2"/>
    <w:rsid w:val="00E55E3D"/>
    <w:rsid w:val="00E56070"/>
    <w:rsid w:val="00E56627"/>
    <w:rsid w:val="00E568C4"/>
    <w:rsid w:val="00E56A88"/>
    <w:rsid w:val="00E56E63"/>
    <w:rsid w:val="00E57028"/>
    <w:rsid w:val="00E57038"/>
    <w:rsid w:val="00E60444"/>
    <w:rsid w:val="00E606AA"/>
    <w:rsid w:val="00E606AC"/>
    <w:rsid w:val="00E60C7D"/>
    <w:rsid w:val="00E60F83"/>
    <w:rsid w:val="00E60FFF"/>
    <w:rsid w:val="00E614A2"/>
    <w:rsid w:val="00E61786"/>
    <w:rsid w:val="00E61878"/>
    <w:rsid w:val="00E61EE6"/>
    <w:rsid w:val="00E61FFE"/>
    <w:rsid w:val="00E6237E"/>
    <w:rsid w:val="00E624D2"/>
    <w:rsid w:val="00E6279F"/>
    <w:rsid w:val="00E627C1"/>
    <w:rsid w:val="00E634F7"/>
    <w:rsid w:val="00E6366A"/>
    <w:rsid w:val="00E6454B"/>
    <w:rsid w:val="00E64600"/>
    <w:rsid w:val="00E64D05"/>
    <w:rsid w:val="00E64DFF"/>
    <w:rsid w:val="00E65033"/>
    <w:rsid w:val="00E6508D"/>
    <w:rsid w:val="00E6539A"/>
    <w:rsid w:val="00E6578E"/>
    <w:rsid w:val="00E659EF"/>
    <w:rsid w:val="00E66169"/>
    <w:rsid w:val="00E66456"/>
    <w:rsid w:val="00E6658A"/>
    <w:rsid w:val="00E66D08"/>
    <w:rsid w:val="00E66EDD"/>
    <w:rsid w:val="00E674FC"/>
    <w:rsid w:val="00E67565"/>
    <w:rsid w:val="00E678AE"/>
    <w:rsid w:val="00E67997"/>
    <w:rsid w:val="00E67EA9"/>
    <w:rsid w:val="00E67F2F"/>
    <w:rsid w:val="00E7023F"/>
    <w:rsid w:val="00E70AC0"/>
    <w:rsid w:val="00E70B5C"/>
    <w:rsid w:val="00E70B98"/>
    <w:rsid w:val="00E715BA"/>
    <w:rsid w:val="00E7180E"/>
    <w:rsid w:val="00E71AA1"/>
    <w:rsid w:val="00E722EC"/>
    <w:rsid w:val="00E72737"/>
    <w:rsid w:val="00E72788"/>
    <w:rsid w:val="00E734C2"/>
    <w:rsid w:val="00E74677"/>
    <w:rsid w:val="00E7490F"/>
    <w:rsid w:val="00E74959"/>
    <w:rsid w:val="00E749D6"/>
    <w:rsid w:val="00E74AB4"/>
    <w:rsid w:val="00E74D4E"/>
    <w:rsid w:val="00E754BF"/>
    <w:rsid w:val="00E75FC5"/>
    <w:rsid w:val="00E76400"/>
    <w:rsid w:val="00E765B4"/>
    <w:rsid w:val="00E7688E"/>
    <w:rsid w:val="00E76EB1"/>
    <w:rsid w:val="00E76FB9"/>
    <w:rsid w:val="00E7776F"/>
    <w:rsid w:val="00E77AA6"/>
    <w:rsid w:val="00E80B99"/>
    <w:rsid w:val="00E80FCA"/>
    <w:rsid w:val="00E81CAC"/>
    <w:rsid w:val="00E8200E"/>
    <w:rsid w:val="00E82095"/>
    <w:rsid w:val="00E823B5"/>
    <w:rsid w:val="00E82707"/>
    <w:rsid w:val="00E82A83"/>
    <w:rsid w:val="00E82EFB"/>
    <w:rsid w:val="00E83D18"/>
    <w:rsid w:val="00E845E4"/>
    <w:rsid w:val="00E84679"/>
    <w:rsid w:val="00E84E10"/>
    <w:rsid w:val="00E852BE"/>
    <w:rsid w:val="00E8586F"/>
    <w:rsid w:val="00E85887"/>
    <w:rsid w:val="00E858B6"/>
    <w:rsid w:val="00E85E0F"/>
    <w:rsid w:val="00E86425"/>
    <w:rsid w:val="00E8749F"/>
    <w:rsid w:val="00E87703"/>
    <w:rsid w:val="00E87B40"/>
    <w:rsid w:val="00E87EFE"/>
    <w:rsid w:val="00E902C4"/>
    <w:rsid w:val="00E907D4"/>
    <w:rsid w:val="00E90EBE"/>
    <w:rsid w:val="00E914F0"/>
    <w:rsid w:val="00E915EC"/>
    <w:rsid w:val="00E91934"/>
    <w:rsid w:val="00E91C7D"/>
    <w:rsid w:val="00E92043"/>
    <w:rsid w:val="00E922D8"/>
    <w:rsid w:val="00E92B71"/>
    <w:rsid w:val="00E93353"/>
    <w:rsid w:val="00E9351C"/>
    <w:rsid w:val="00E93C08"/>
    <w:rsid w:val="00E93C52"/>
    <w:rsid w:val="00E94674"/>
    <w:rsid w:val="00E94995"/>
    <w:rsid w:val="00E94CFA"/>
    <w:rsid w:val="00E94E00"/>
    <w:rsid w:val="00E94F59"/>
    <w:rsid w:val="00E9519C"/>
    <w:rsid w:val="00E952C8"/>
    <w:rsid w:val="00E95474"/>
    <w:rsid w:val="00E95598"/>
    <w:rsid w:val="00E95F41"/>
    <w:rsid w:val="00E9605C"/>
    <w:rsid w:val="00E9635B"/>
    <w:rsid w:val="00E96505"/>
    <w:rsid w:val="00E96B0E"/>
    <w:rsid w:val="00E96D21"/>
    <w:rsid w:val="00E977D0"/>
    <w:rsid w:val="00E9798E"/>
    <w:rsid w:val="00E97AC3"/>
    <w:rsid w:val="00E97D61"/>
    <w:rsid w:val="00E97D7F"/>
    <w:rsid w:val="00E97F27"/>
    <w:rsid w:val="00EA08AC"/>
    <w:rsid w:val="00EA0A63"/>
    <w:rsid w:val="00EA0ABC"/>
    <w:rsid w:val="00EA0ACB"/>
    <w:rsid w:val="00EA1832"/>
    <w:rsid w:val="00EA1BB4"/>
    <w:rsid w:val="00EA1D2C"/>
    <w:rsid w:val="00EA1EF7"/>
    <w:rsid w:val="00EA1F71"/>
    <w:rsid w:val="00EA20BD"/>
    <w:rsid w:val="00EA278E"/>
    <w:rsid w:val="00EA2A25"/>
    <w:rsid w:val="00EA2ED8"/>
    <w:rsid w:val="00EA2F29"/>
    <w:rsid w:val="00EA2F4E"/>
    <w:rsid w:val="00EA32DF"/>
    <w:rsid w:val="00EA3679"/>
    <w:rsid w:val="00EA380E"/>
    <w:rsid w:val="00EA42B7"/>
    <w:rsid w:val="00EA4346"/>
    <w:rsid w:val="00EA4A44"/>
    <w:rsid w:val="00EA5143"/>
    <w:rsid w:val="00EA593A"/>
    <w:rsid w:val="00EA672D"/>
    <w:rsid w:val="00EA6E38"/>
    <w:rsid w:val="00EA723C"/>
    <w:rsid w:val="00EA7EB2"/>
    <w:rsid w:val="00EB0CCB"/>
    <w:rsid w:val="00EB1126"/>
    <w:rsid w:val="00EB12C8"/>
    <w:rsid w:val="00EB13C7"/>
    <w:rsid w:val="00EB17DD"/>
    <w:rsid w:val="00EB17E2"/>
    <w:rsid w:val="00EB1CBF"/>
    <w:rsid w:val="00EB1DE5"/>
    <w:rsid w:val="00EB1DFF"/>
    <w:rsid w:val="00EB1E63"/>
    <w:rsid w:val="00EB1F10"/>
    <w:rsid w:val="00EB26DC"/>
    <w:rsid w:val="00EB283E"/>
    <w:rsid w:val="00EB28B0"/>
    <w:rsid w:val="00EB30A6"/>
    <w:rsid w:val="00EB315F"/>
    <w:rsid w:val="00EB33A5"/>
    <w:rsid w:val="00EB349D"/>
    <w:rsid w:val="00EB352A"/>
    <w:rsid w:val="00EB4158"/>
    <w:rsid w:val="00EB4582"/>
    <w:rsid w:val="00EB53BB"/>
    <w:rsid w:val="00EB5496"/>
    <w:rsid w:val="00EB6031"/>
    <w:rsid w:val="00EB63A8"/>
    <w:rsid w:val="00EB6B43"/>
    <w:rsid w:val="00EB6E06"/>
    <w:rsid w:val="00EB7310"/>
    <w:rsid w:val="00EB73A1"/>
    <w:rsid w:val="00EC0050"/>
    <w:rsid w:val="00EC0954"/>
    <w:rsid w:val="00EC0FE7"/>
    <w:rsid w:val="00EC1816"/>
    <w:rsid w:val="00EC1A27"/>
    <w:rsid w:val="00EC1A3B"/>
    <w:rsid w:val="00EC1AB5"/>
    <w:rsid w:val="00EC21A9"/>
    <w:rsid w:val="00EC26EA"/>
    <w:rsid w:val="00EC36A7"/>
    <w:rsid w:val="00EC383F"/>
    <w:rsid w:val="00EC39F5"/>
    <w:rsid w:val="00EC3EE8"/>
    <w:rsid w:val="00EC41B3"/>
    <w:rsid w:val="00EC4316"/>
    <w:rsid w:val="00EC48D5"/>
    <w:rsid w:val="00EC5419"/>
    <w:rsid w:val="00EC5588"/>
    <w:rsid w:val="00EC55C1"/>
    <w:rsid w:val="00EC5845"/>
    <w:rsid w:val="00EC5952"/>
    <w:rsid w:val="00EC59DF"/>
    <w:rsid w:val="00EC5CFE"/>
    <w:rsid w:val="00EC6240"/>
    <w:rsid w:val="00EC692B"/>
    <w:rsid w:val="00EC75C3"/>
    <w:rsid w:val="00EC761E"/>
    <w:rsid w:val="00ED0033"/>
    <w:rsid w:val="00ED09AC"/>
    <w:rsid w:val="00ED0FCE"/>
    <w:rsid w:val="00ED102B"/>
    <w:rsid w:val="00ED138D"/>
    <w:rsid w:val="00ED1490"/>
    <w:rsid w:val="00ED16C7"/>
    <w:rsid w:val="00ED18B4"/>
    <w:rsid w:val="00ED1DDE"/>
    <w:rsid w:val="00ED23EE"/>
    <w:rsid w:val="00ED2E25"/>
    <w:rsid w:val="00ED2F77"/>
    <w:rsid w:val="00ED3596"/>
    <w:rsid w:val="00ED3611"/>
    <w:rsid w:val="00ED3EC9"/>
    <w:rsid w:val="00ED3F90"/>
    <w:rsid w:val="00ED4A54"/>
    <w:rsid w:val="00ED4B0A"/>
    <w:rsid w:val="00ED4EB3"/>
    <w:rsid w:val="00ED5767"/>
    <w:rsid w:val="00ED5990"/>
    <w:rsid w:val="00ED5A19"/>
    <w:rsid w:val="00ED625F"/>
    <w:rsid w:val="00ED6307"/>
    <w:rsid w:val="00ED6654"/>
    <w:rsid w:val="00ED6CAE"/>
    <w:rsid w:val="00ED6D6B"/>
    <w:rsid w:val="00ED6E9D"/>
    <w:rsid w:val="00ED6F18"/>
    <w:rsid w:val="00ED739B"/>
    <w:rsid w:val="00ED770F"/>
    <w:rsid w:val="00EE094B"/>
    <w:rsid w:val="00EE13D4"/>
    <w:rsid w:val="00EE1687"/>
    <w:rsid w:val="00EE16B6"/>
    <w:rsid w:val="00EE17E9"/>
    <w:rsid w:val="00EE1BB1"/>
    <w:rsid w:val="00EE1E26"/>
    <w:rsid w:val="00EE2498"/>
    <w:rsid w:val="00EE2561"/>
    <w:rsid w:val="00EE2628"/>
    <w:rsid w:val="00EE2CAE"/>
    <w:rsid w:val="00EE2FDF"/>
    <w:rsid w:val="00EE30A9"/>
    <w:rsid w:val="00EE34B3"/>
    <w:rsid w:val="00EE36EF"/>
    <w:rsid w:val="00EE4127"/>
    <w:rsid w:val="00EE457D"/>
    <w:rsid w:val="00EE48E1"/>
    <w:rsid w:val="00EE48F0"/>
    <w:rsid w:val="00EE4D2A"/>
    <w:rsid w:val="00EE557C"/>
    <w:rsid w:val="00EE5B82"/>
    <w:rsid w:val="00EE5D93"/>
    <w:rsid w:val="00EE5F61"/>
    <w:rsid w:val="00EE7155"/>
    <w:rsid w:val="00EE75DF"/>
    <w:rsid w:val="00EE774B"/>
    <w:rsid w:val="00EF03DC"/>
    <w:rsid w:val="00EF059D"/>
    <w:rsid w:val="00EF09CB"/>
    <w:rsid w:val="00EF0C0F"/>
    <w:rsid w:val="00EF1A24"/>
    <w:rsid w:val="00EF1D1F"/>
    <w:rsid w:val="00EF1D55"/>
    <w:rsid w:val="00EF239A"/>
    <w:rsid w:val="00EF241E"/>
    <w:rsid w:val="00EF2AC1"/>
    <w:rsid w:val="00EF2B0C"/>
    <w:rsid w:val="00EF34A2"/>
    <w:rsid w:val="00EF38E7"/>
    <w:rsid w:val="00EF44D5"/>
    <w:rsid w:val="00EF453A"/>
    <w:rsid w:val="00EF4BD0"/>
    <w:rsid w:val="00EF501A"/>
    <w:rsid w:val="00EF527A"/>
    <w:rsid w:val="00EF539E"/>
    <w:rsid w:val="00EF5559"/>
    <w:rsid w:val="00EF5C07"/>
    <w:rsid w:val="00EF5C98"/>
    <w:rsid w:val="00EF627F"/>
    <w:rsid w:val="00EF642F"/>
    <w:rsid w:val="00EF71E2"/>
    <w:rsid w:val="00EF71E4"/>
    <w:rsid w:val="00EF7465"/>
    <w:rsid w:val="00EF7ABE"/>
    <w:rsid w:val="00EF7FB9"/>
    <w:rsid w:val="00F002C0"/>
    <w:rsid w:val="00F00502"/>
    <w:rsid w:val="00F00DAD"/>
    <w:rsid w:val="00F019DB"/>
    <w:rsid w:val="00F0268D"/>
    <w:rsid w:val="00F02889"/>
    <w:rsid w:val="00F0292B"/>
    <w:rsid w:val="00F02BD4"/>
    <w:rsid w:val="00F02CD0"/>
    <w:rsid w:val="00F02CEB"/>
    <w:rsid w:val="00F0312C"/>
    <w:rsid w:val="00F03397"/>
    <w:rsid w:val="00F04125"/>
    <w:rsid w:val="00F04396"/>
    <w:rsid w:val="00F045FA"/>
    <w:rsid w:val="00F04863"/>
    <w:rsid w:val="00F0490C"/>
    <w:rsid w:val="00F050E0"/>
    <w:rsid w:val="00F053EF"/>
    <w:rsid w:val="00F054A8"/>
    <w:rsid w:val="00F05598"/>
    <w:rsid w:val="00F05D44"/>
    <w:rsid w:val="00F05D4E"/>
    <w:rsid w:val="00F06CC1"/>
    <w:rsid w:val="00F06ED5"/>
    <w:rsid w:val="00F0721D"/>
    <w:rsid w:val="00F07627"/>
    <w:rsid w:val="00F078DF"/>
    <w:rsid w:val="00F07F23"/>
    <w:rsid w:val="00F10080"/>
    <w:rsid w:val="00F119D7"/>
    <w:rsid w:val="00F11B75"/>
    <w:rsid w:val="00F11CEC"/>
    <w:rsid w:val="00F11D51"/>
    <w:rsid w:val="00F11EDA"/>
    <w:rsid w:val="00F11F76"/>
    <w:rsid w:val="00F12DD5"/>
    <w:rsid w:val="00F133DA"/>
    <w:rsid w:val="00F13BF7"/>
    <w:rsid w:val="00F1439B"/>
    <w:rsid w:val="00F14939"/>
    <w:rsid w:val="00F14F29"/>
    <w:rsid w:val="00F15382"/>
    <w:rsid w:val="00F15655"/>
    <w:rsid w:val="00F15DB5"/>
    <w:rsid w:val="00F15EF4"/>
    <w:rsid w:val="00F166DB"/>
    <w:rsid w:val="00F16BA4"/>
    <w:rsid w:val="00F16C63"/>
    <w:rsid w:val="00F172E2"/>
    <w:rsid w:val="00F17381"/>
    <w:rsid w:val="00F17612"/>
    <w:rsid w:val="00F17688"/>
    <w:rsid w:val="00F17BAC"/>
    <w:rsid w:val="00F2022B"/>
    <w:rsid w:val="00F20394"/>
    <w:rsid w:val="00F20637"/>
    <w:rsid w:val="00F208E2"/>
    <w:rsid w:val="00F20922"/>
    <w:rsid w:val="00F216DD"/>
    <w:rsid w:val="00F21A64"/>
    <w:rsid w:val="00F21B17"/>
    <w:rsid w:val="00F21BA9"/>
    <w:rsid w:val="00F21F63"/>
    <w:rsid w:val="00F22396"/>
    <w:rsid w:val="00F227B3"/>
    <w:rsid w:val="00F22876"/>
    <w:rsid w:val="00F22FAA"/>
    <w:rsid w:val="00F23426"/>
    <w:rsid w:val="00F235D9"/>
    <w:rsid w:val="00F23755"/>
    <w:rsid w:val="00F23771"/>
    <w:rsid w:val="00F237D1"/>
    <w:rsid w:val="00F23827"/>
    <w:rsid w:val="00F23847"/>
    <w:rsid w:val="00F2388E"/>
    <w:rsid w:val="00F23BDC"/>
    <w:rsid w:val="00F23F82"/>
    <w:rsid w:val="00F2455F"/>
    <w:rsid w:val="00F25A44"/>
    <w:rsid w:val="00F25D02"/>
    <w:rsid w:val="00F25E78"/>
    <w:rsid w:val="00F25FD8"/>
    <w:rsid w:val="00F26A30"/>
    <w:rsid w:val="00F26B36"/>
    <w:rsid w:val="00F26D82"/>
    <w:rsid w:val="00F26F30"/>
    <w:rsid w:val="00F2764E"/>
    <w:rsid w:val="00F27AE6"/>
    <w:rsid w:val="00F305C7"/>
    <w:rsid w:val="00F305F8"/>
    <w:rsid w:val="00F30964"/>
    <w:rsid w:val="00F31055"/>
    <w:rsid w:val="00F3108B"/>
    <w:rsid w:val="00F3152C"/>
    <w:rsid w:val="00F31FBA"/>
    <w:rsid w:val="00F32936"/>
    <w:rsid w:val="00F3346C"/>
    <w:rsid w:val="00F336F1"/>
    <w:rsid w:val="00F33868"/>
    <w:rsid w:val="00F33998"/>
    <w:rsid w:val="00F33B88"/>
    <w:rsid w:val="00F33CD8"/>
    <w:rsid w:val="00F33E6C"/>
    <w:rsid w:val="00F34170"/>
    <w:rsid w:val="00F344B7"/>
    <w:rsid w:val="00F344EA"/>
    <w:rsid w:val="00F34E3C"/>
    <w:rsid w:val="00F35271"/>
    <w:rsid w:val="00F3540D"/>
    <w:rsid w:val="00F358FE"/>
    <w:rsid w:val="00F35A82"/>
    <w:rsid w:val="00F3617D"/>
    <w:rsid w:val="00F36628"/>
    <w:rsid w:val="00F36829"/>
    <w:rsid w:val="00F3686F"/>
    <w:rsid w:val="00F36AD7"/>
    <w:rsid w:val="00F36BCB"/>
    <w:rsid w:val="00F36DDA"/>
    <w:rsid w:val="00F36EDC"/>
    <w:rsid w:val="00F37497"/>
    <w:rsid w:val="00F37969"/>
    <w:rsid w:val="00F37AB2"/>
    <w:rsid w:val="00F37C46"/>
    <w:rsid w:val="00F40258"/>
    <w:rsid w:val="00F403B4"/>
    <w:rsid w:val="00F40DD2"/>
    <w:rsid w:val="00F40EDF"/>
    <w:rsid w:val="00F41527"/>
    <w:rsid w:val="00F41768"/>
    <w:rsid w:val="00F41AA5"/>
    <w:rsid w:val="00F42EBB"/>
    <w:rsid w:val="00F433D0"/>
    <w:rsid w:val="00F437EE"/>
    <w:rsid w:val="00F438F7"/>
    <w:rsid w:val="00F442E4"/>
    <w:rsid w:val="00F44AE2"/>
    <w:rsid w:val="00F44D95"/>
    <w:rsid w:val="00F450A8"/>
    <w:rsid w:val="00F45A08"/>
    <w:rsid w:val="00F460D7"/>
    <w:rsid w:val="00F4624E"/>
    <w:rsid w:val="00F46913"/>
    <w:rsid w:val="00F46E8A"/>
    <w:rsid w:val="00F47D8A"/>
    <w:rsid w:val="00F47D8B"/>
    <w:rsid w:val="00F5044D"/>
    <w:rsid w:val="00F51342"/>
    <w:rsid w:val="00F51FA9"/>
    <w:rsid w:val="00F520F2"/>
    <w:rsid w:val="00F52333"/>
    <w:rsid w:val="00F52377"/>
    <w:rsid w:val="00F52408"/>
    <w:rsid w:val="00F525CF"/>
    <w:rsid w:val="00F52816"/>
    <w:rsid w:val="00F52CF9"/>
    <w:rsid w:val="00F52F8A"/>
    <w:rsid w:val="00F531BF"/>
    <w:rsid w:val="00F53963"/>
    <w:rsid w:val="00F53D77"/>
    <w:rsid w:val="00F5410C"/>
    <w:rsid w:val="00F54FA0"/>
    <w:rsid w:val="00F55629"/>
    <w:rsid w:val="00F55646"/>
    <w:rsid w:val="00F55CCC"/>
    <w:rsid w:val="00F55D02"/>
    <w:rsid w:val="00F56097"/>
    <w:rsid w:val="00F5628C"/>
    <w:rsid w:val="00F562F1"/>
    <w:rsid w:val="00F563D1"/>
    <w:rsid w:val="00F56A89"/>
    <w:rsid w:val="00F570F2"/>
    <w:rsid w:val="00F572B1"/>
    <w:rsid w:val="00F572F7"/>
    <w:rsid w:val="00F576C7"/>
    <w:rsid w:val="00F57848"/>
    <w:rsid w:val="00F57E61"/>
    <w:rsid w:val="00F60223"/>
    <w:rsid w:val="00F603BE"/>
    <w:rsid w:val="00F6078E"/>
    <w:rsid w:val="00F60AD9"/>
    <w:rsid w:val="00F60D6A"/>
    <w:rsid w:val="00F6144A"/>
    <w:rsid w:val="00F616F3"/>
    <w:rsid w:val="00F6188A"/>
    <w:rsid w:val="00F619D9"/>
    <w:rsid w:val="00F61D91"/>
    <w:rsid w:val="00F62529"/>
    <w:rsid w:val="00F625E6"/>
    <w:rsid w:val="00F62899"/>
    <w:rsid w:val="00F62A0D"/>
    <w:rsid w:val="00F62B26"/>
    <w:rsid w:val="00F62B2A"/>
    <w:rsid w:val="00F62DE5"/>
    <w:rsid w:val="00F63003"/>
    <w:rsid w:val="00F64532"/>
    <w:rsid w:val="00F64594"/>
    <w:rsid w:val="00F645E0"/>
    <w:rsid w:val="00F64738"/>
    <w:rsid w:val="00F6491B"/>
    <w:rsid w:val="00F64C05"/>
    <w:rsid w:val="00F650D8"/>
    <w:rsid w:val="00F6533E"/>
    <w:rsid w:val="00F6546C"/>
    <w:rsid w:val="00F656EF"/>
    <w:rsid w:val="00F6598B"/>
    <w:rsid w:val="00F65A21"/>
    <w:rsid w:val="00F65FE2"/>
    <w:rsid w:val="00F664CA"/>
    <w:rsid w:val="00F666FC"/>
    <w:rsid w:val="00F66DA2"/>
    <w:rsid w:val="00F66E61"/>
    <w:rsid w:val="00F66FA8"/>
    <w:rsid w:val="00F67057"/>
    <w:rsid w:val="00F6734E"/>
    <w:rsid w:val="00F67DF4"/>
    <w:rsid w:val="00F70058"/>
    <w:rsid w:val="00F703EE"/>
    <w:rsid w:val="00F71834"/>
    <w:rsid w:val="00F71ACD"/>
    <w:rsid w:val="00F71B08"/>
    <w:rsid w:val="00F71BBB"/>
    <w:rsid w:val="00F71BF1"/>
    <w:rsid w:val="00F722F7"/>
    <w:rsid w:val="00F724B8"/>
    <w:rsid w:val="00F729B9"/>
    <w:rsid w:val="00F72B82"/>
    <w:rsid w:val="00F72FE0"/>
    <w:rsid w:val="00F732DC"/>
    <w:rsid w:val="00F73E9A"/>
    <w:rsid w:val="00F73F82"/>
    <w:rsid w:val="00F74677"/>
    <w:rsid w:val="00F749A2"/>
    <w:rsid w:val="00F74ECE"/>
    <w:rsid w:val="00F75183"/>
    <w:rsid w:val="00F75824"/>
    <w:rsid w:val="00F75A0B"/>
    <w:rsid w:val="00F75A55"/>
    <w:rsid w:val="00F75E13"/>
    <w:rsid w:val="00F763DB"/>
    <w:rsid w:val="00F765A1"/>
    <w:rsid w:val="00F76785"/>
    <w:rsid w:val="00F76B9C"/>
    <w:rsid w:val="00F76D23"/>
    <w:rsid w:val="00F76DDD"/>
    <w:rsid w:val="00F7741A"/>
    <w:rsid w:val="00F77480"/>
    <w:rsid w:val="00F777EF"/>
    <w:rsid w:val="00F77C45"/>
    <w:rsid w:val="00F77C7E"/>
    <w:rsid w:val="00F77CF7"/>
    <w:rsid w:val="00F77EA2"/>
    <w:rsid w:val="00F812EC"/>
    <w:rsid w:val="00F81453"/>
    <w:rsid w:val="00F81936"/>
    <w:rsid w:val="00F82071"/>
    <w:rsid w:val="00F82B12"/>
    <w:rsid w:val="00F82B25"/>
    <w:rsid w:val="00F82B92"/>
    <w:rsid w:val="00F82E81"/>
    <w:rsid w:val="00F83272"/>
    <w:rsid w:val="00F832AC"/>
    <w:rsid w:val="00F83A72"/>
    <w:rsid w:val="00F84B61"/>
    <w:rsid w:val="00F84BA7"/>
    <w:rsid w:val="00F84E97"/>
    <w:rsid w:val="00F85613"/>
    <w:rsid w:val="00F85946"/>
    <w:rsid w:val="00F85C14"/>
    <w:rsid w:val="00F85E47"/>
    <w:rsid w:val="00F85E82"/>
    <w:rsid w:val="00F863B0"/>
    <w:rsid w:val="00F86AFE"/>
    <w:rsid w:val="00F87181"/>
    <w:rsid w:val="00F8723D"/>
    <w:rsid w:val="00F8787B"/>
    <w:rsid w:val="00F87F2D"/>
    <w:rsid w:val="00F87F2E"/>
    <w:rsid w:val="00F900E6"/>
    <w:rsid w:val="00F907B8"/>
    <w:rsid w:val="00F90B9C"/>
    <w:rsid w:val="00F90D7F"/>
    <w:rsid w:val="00F90DFD"/>
    <w:rsid w:val="00F910E1"/>
    <w:rsid w:val="00F91DB0"/>
    <w:rsid w:val="00F91EE3"/>
    <w:rsid w:val="00F92087"/>
    <w:rsid w:val="00F922B1"/>
    <w:rsid w:val="00F92FD1"/>
    <w:rsid w:val="00F933CA"/>
    <w:rsid w:val="00F93AA0"/>
    <w:rsid w:val="00F93D17"/>
    <w:rsid w:val="00F93ED4"/>
    <w:rsid w:val="00F93F88"/>
    <w:rsid w:val="00F94066"/>
    <w:rsid w:val="00F9485B"/>
    <w:rsid w:val="00F94B11"/>
    <w:rsid w:val="00F94C7F"/>
    <w:rsid w:val="00F94C86"/>
    <w:rsid w:val="00F94FEB"/>
    <w:rsid w:val="00F95121"/>
    <w:rsid w:val="00F95367"/>
    <w:rsid w:val="00F9549F"/>
    <w:rsid w:val="00F95769"/>
    <w:rsid w:val="00F95DB9"/>
    <w:rsid w:val="00F961FD"/>
    <w:rsid w:val="00F964A5"/>
    <w:rsid w:val="00F96651"/>
    <w:rsid w:val="00F966DA"/>
    <w:rsid w:val="00F966E2"/>
    <w:rsid w:val="00F96C6A"/>
    <w:rsid w:val="00F973C7"/>
    <w:rsid w:val="00F979F8"/>
    <w:rsid w:val="00F97BDC"/>
    <w:rsid w:val="00FA0142"/>
    <w:rsid w:val="00FA08D5"/>
    <w:rsid w:val="00FA0A55"/>
    <w:rsid w:val="00FA0B9C"/>
    <w:rsid w:val="00FA0DEC"/>
    <w:rsid w:val="00FA1642"/>
    <w:rsid w:val="00FA1C39"/>
    <w:rsid w:val="00FA1D73"/>
    <w:rsid w:val="00FA1F43"/>
    <w:rsid w:val="00FA1FBC"/>
    <w:rsid w:val="00FA23FD"/>
    <w:rsid w:val="00FA275B"/>
    <w:rsid w:val="00FA2C34"/>
    <w:rsid w:val="00FA2F30"/>
    <w:rsid w:val="00FA32E5"/>
    <w:rsid w:val="00FA33C6"/>
    <w:rsid w:val="00FA3565"/>
    <w:rsid w:val="00FA37DB"/>
    <w:rsid w:val="00FA38DC"/>
    <w:rsid w:val="00FA3AC6"/>
    <w:rsid w:val="00FA3B46"/>
    <w:rsid w:val="00FA3D71"/>
    <w:rsid w:val="00FA587A"/>
    <w:rsid w:val="00FA5EEA"/>
    <w:rsid w:val="00FA6098"/>
    <w:rsid w:val="00FA66AB"/>
    <w:rsid w:val="00FA6C3D"/>
    <w:rsid w:val="00FA71B9"/>
    <w:rsid w:val="00FA722C"/>
    <w:rsid w:val="00FA73F5"/>
    <w:rsid w:val="00FA78AF"/>
    <w:rsid w:val="00FA7916"/>
    <w:rsid w:val="00FA7B6A"/>
    <w:rsid w:val="00FB011B"/>
    <w:rsid w:val="00FB02AA"/>
    <w:rsid w:val="00FB02E5"/>
    <w:rsid w:val="00FB0358"/>
    <w:rsid w:val="00FB03CD"/>
    <w:rsid w:val="00FB094C"/>
    <w:rsid w:val="00FB0ADA"/>
    <w:rsid w:val="00FB0DEE"/>
    <w:rsid w:val="00FB17DF"/>
    <w:rsid w:val="00FB1B88"/>
    <w:rsid w:val="00FB2181"/>
    <w:rsid w:val="00FB251C"/>
    <w:rsid w:val="00FB27B7"/>
    <w:rsid w:val="00FB2B30"/>
    <w:rsid w:val="00FB2F6F"/>
    <w:rsid w:val="00FB31E8"/>
    <w:rsid w:val="00FB3220"/>
    <w:rsid w:val="00FB3764"/>
    <w:rsid w:val="00FB3B0E"/>
    <w:rsid w:val="00FB409E"/>
    <w:rsid w:val="00FB477B"/>
    <w:rsid w:val="00FB4938"/>
    <w:rsid w:val="00FB4953"/>
    <w:rsid w:val="00FB4A18"/>
    <w:rsid w:val="00FB50D0"/>
    <w:rsid w:val="00FB5300"/>
    <w:rsid w:val="00FB5778"/>
    <w:rsid w:val="00FB589B"/>
    <w:rsid w:val="00FB58E2"/>
    <w:rsid w:val="00FB5A24"/>
    <w:rsid w:val="00FB5C54"/>
    <w:rsid w:val="00FB5CCC"/>
    <w:rsid w:val="00FB631C"/>
    <w:rsid w:val="00FB6AB3"/>
    <w:rsid w:val="00FB7CF4"/>
    <w:rsid w:val="00FB7E02"/>
    <w:rsid w:val="00FC078A"/>
    <w:rsid w:val="00FC1449"/>
    <w:rsid w:val="00FC15AF"/>
    <w:rsid w:val="00FC17B6"/>
    <w:rsid w:val="00FC1BD7"/>
    <w:rsid w:val="00FC1E71"/>
    <w:rsid w:val="00FC213D"/>
    <w:rsid w:val="00FC2C1E"/>
    <w:rsid w:val="00FC2E20"/>
    <w:rsid w:val="00FC3021"/>
    <w:rsid w:val="00FC348C"/>
    <w:rsid w:val="00FC35B2"/>
    <w:rsid w:val="00FC3797"/>
    <w:rsid w:val="00FC380C"/>
    <w:rsid w:val="00FC41AA"/>
    <w:rsid w:val="00FC442D"/>
    <w:rsid w:val="00FC4813"/>
    <w:rsid w:val="00FC48FB"/>
    <w:rsid w:val="00FC4C39"/>
    <w:rsid w:val="00FC4EA8"/>
    <w:rsid w:val="00FC4EAA"/>
    <w:rsid w:val="00FC4ECB"/>
    <w:rsid w:val="00FC5066"/>
    <w:rsid w:val="00FC550F"/>
    <w:rsid w:val="00FC62BF"/>
    <w:rsid w:val="00FC6BEE"/>
    <w:rsid w:val="00FC6F1F"/>
    <w:rsid w:val="00FC7110"/>
    <w:rsid w:val="00FC7288"/>
    <w:rsid w:val="00FC7B93"/>
    <w:rsid w:val="00FC7C74"/>
    <w:rsid w:val="00FC7D67"/>
    <w:rsid w:val="00FD055F"/>
    <w:rsid w:val="00FD0DAA"/>
    <w:rsid w:val="00FD0EF2"/>
    <w:rsid w:val="00FD1124"/>
    <w:rsid w:val="00FD1198"/>
    <w:rsid w:val="00FD12B8"/>
    <w:rsid w:val="00FD16FC"/>
    <w:rsid w:val="00FD2113"/>
    <w:rsid w:val="00FD24FD"/>
    <w:rsid w:val="00FD25E8"/>
    <w:rsid w:val="00FD2A4C"/>
    <w:rsid w:val="00FD2A91"/>
    <w:rsid w:val="00FD332D"/>
    <w:rsid w:val="00FD39CA"/>
    <w:rsid w:val="00FD3D74"/>
    <w:rsid w:val="00FD421D"/>
    <w:rsid w:val="00FD4A33"/>
    <w:rsid w:val="00FD5331"/>
    <w:rsid w:val="00FD5875"/>
    <w:rsid w:val="00FD58C2"/>
    <w:rsid w:val="00FD5BB8"/>
    <w:rsid w:val="00FD5E36"/>
    <w:rsid w:val="00FD618F"/>
    <w:rsid w:val="00FD68FA"/>
    <w:rsid w:val="00FD6927"/>
    <w:rsid w:val="00FD6A51"/>
    <w:rsid w:val="00FD6CB0"/>
    <w:rsid w:val="00FD76CD"/>
    <w:rsid w:val="00FD7A1B"/>
    <w:rsid w:val="00FD7AB1"/>
    <w:rsid w:val="00FE0A31"/>
    <w:rsid w:val="00FE0E20"/>
    <w:rsid w:val="00FE12CD"/>
    <w:rsid w:val="00FE14D9"/>
    <w:rsid w:val="00FE173D"/>
    <w:rsid w:val="00FE1E57"/>
    <w:rsid w:val="00FE1FE5"/>
    <w:rsid w:val="00FE2085"/>
    <w:rsid w:val="00FE21DE"/>
    <w:rsid w:val="00FE30F2"/>
    <w:rsid w:val="00FE34CC"/>
    <w:rsid w:val="00FE356F"/>
    <w:rsid w:val="00FE3758"/>
    <w:rsid w:val="00FE3A91"/>
    <w:rsid w:val="00FE44FF"/>
    <w:rsid w:val="00FE4538"/>
    <w:rsid w:val="00FE4658"/>
    <w:rsid w:val="00FE532A"/>
    <w:rsid w:val="00FE5C85"/>
    <w:rsid w:val="00FE5F63"/>
    <w:rsid w:val="00FE6460"/>
    <w:rsid w:val="00FE6565"/>
    <w:rsid w:val="00FE65B4"/>
    <w:rsid w:val="00FE6A18"/>
    <w:rsid w:val="00FE6D34"/>
    <w:rsid w:val="00FE6EF6"/>
    <w:rsid w:val="00FE737F"/>
    <w:rsid w:val="00FE7E95"/>
    <w:rsid w:val="00FF005D"/>
    <w:rsid w:val="00FF0452"/>
    <w:rsid w:val="00FF0703"/>
    <w:rsid w:val="00FF073A"/>
    <w:rsid w:val="00FF08D0"/>
    <w:rsid w:val="00FF0DDF"/>
    <w:rsid w:val="00FF0EE4"/>
    <w:rsid w:val="00FF1E06"/>
    <w:rsid w:val="00FF2489"/>
    <w:rsid w:val="00FF2DFF"/>
    <w:rsid w:val="00FF2FF9"/>
    <w:rsid w:val="00FF31B7"/>
    <w:rsid w:val="00FF37FD"/>
    <w:rsid w:val="00FF4523"/>
    <w:rsid w:val="00FF4829"/>
    <w:rsid w:val="00FF4D60"/>
    <w:rsid w:val="00FF4E20"/>
    <w:rsid w:val="00FF524C"/>
    <w:rsid w:val="00FF527D"/>
    <w:rsid w:val="00FF5847"/>
    <w:rsid w:val="00FF5B5B"/>
    <w:rsid w:val="00FF6001"/>
    <w:rsid w:val="00FF6103"/>
    <w:rsid w:val="00FF63A3"/>
    <w:rsid w:val="00FF6733"/>
    <w:rsid w:val="00FF6744"/>
    <w:rsid w:val="00FF6D18"/>
    <w:rsid w:val="00FF6D4E"/>
    <w:rsid w:val="00FF70D9"/>
    <w:rsid w:val="00FF765A"/>
    <w:rsid w:val="00FF7980"/>
    <w:rsid w:val="00FF7A0A"/>
    <w:rsid w:val="01286C44"/>
    <w:rsid w:val="01297246"/>
    <w:rsid w:val="01836960"/>
    <w:rsid w:val="02413D18"/>
    <w:rsid w:val="026D1E53"/>
    <w:rsid w:val="028B043C"/>
    <w:rsid w:val="029F24C7"/>
    <w:rsid w:val="02BE123C"/>
    <w:rsid w:val="03145751"/>
    <w:rsid w:val="031F5C02"/>
    <w:rsid w:val="03244C8D"/>
    <w:rsid w:val="0325511F"/>
    <w:rsid w:val="03406D51"/>
    <w:rsid w:val="034D7376"/>
    <w:rsid w:val="03EC760A"/>
    <w:rsid w:val="03ED7539"/>
    <w:rsid w:val="04134C03"/>
    <w:rsid w:val="04496B17"/>
    <w:rsid w:val="044E5768"/>
    <w:rsid w:val="047E3ADD"/>
    <w:rsid w:val="04B02A6D"/>
    <w:rsid w:val="04B07F96"/>
    <w:rsid w:val="0518407E"/>
    <w:rsid w:val="05225DD3"/>
    <w:rsid w:val="054569F1"/>
    <w:rsid w:val="0590740D"/>
    <w:rsid w:val="05BD52D7"/>
    <w:rsid w:val="05F551B3"/>
    <w:rsid w:val="06824554"/>
    <w:rsid w:val="069025AB"/>
    <w:rsid w:val="06B46803"/>
    <w:rsid w:val="07081CD4"/>
    <w:rsid w:val="073706BB"/>
    <w:rsid w:val="07761C75"/>
    <w:rsid w:val="077D08A6"/>
    <w:rsid w:val="078833CB"/>
    <w:rsid w:val="07A87C1B"/>
    <w:rsid w:val="07D13187"/>
    <w:rsid w:val="080F6B2A"/>
    <w:rsid w:val="08436C16"/>
    <w:rsid w:val="08CA6B17"/>
    <w:rsid w:val="08CF08CB"/>
    <w:rsid w:val="08EA46C1"/>
    <w:rsid w:val="09443B5F"/>
    <w:rsid w:val="0972172A"/>
    <w:rsid w:val="09E13323"/>
    <w:rsid w:val="0A4E02A2"/>
    <w:rsid w:val="0A6643AB"/>
    <w:rsid w:val="0AB55770"/>
    <w:rsid w:val="0ABA442A"/>
    <w:rsid w:val="0AE52E8B"/>
    <w:rsid w:val="0B3F7597"/>
    <w:rsid w:val="0B585A25"/>
    <w:rsid w:val="0B5C2DD2"/>
    <w:rsid w:val="0BFE6789"/>
    <w:rsid w:val="0C105729"/>
    <w:rsid w:val="0C4E713E"/>
    <w:rsid w:val="0C7533BB"/>
    <w:rsid w:val="0C9F72EE"/>
    <w:rsid w:val="0CC3003C"/>
    <w:rsid w:val="0D256CDE"/>
    <w:rsid w:val="0D27660B"/>
    <w:rsid w:val="0D3E638F"/>
    <w:rsid w:val="0D6533EF"/>
    <w:rsid w:val="0D6C5ECE"/>
    <w:rsid w:val="0DA53ECB"/>
    <w:rsid w:val="0DAC229E"/>
    <w:rsid w:val="0DCC773E"/>
    <w:rsid w:val="0DF01B2C"/>
    <w:rsid w:val="0E5A6406"/>
    <w:rsid w:val="0E5E0A4A"/>
    <w:rsid w:val="0E802975"/>
    <w:rsid w:val="0E8F2E00"/>
    <w:rsid w:val="0EDA493D"/>
    <w:rsid w:val="0F734569"/>
    <w:rsid w:val="0F9B68E0"/>
    <w:rsid w:val="101F30F1"/>
    <w:rsid w:val="103507B6"/>
    <w:rsid w:val="10D609C2"/>
    <w:rsid w:val="11223172"/>
    <w:rsid w:val="112D7C76"/>
    <w:rsid w:val="112F78F5"/>
    <w:rsid w:val="11496B03"/>
    <w:rsid w:val="119F63FF"/>
    <w:rsid w:val="11A00C40"/>
    <w:rsid w:val="11EC6788"/>
    <w:rsid w:val="12046FD3"/>
    <w:rsid w:val="120934F9"/>
    <w:rsid w:val="121967D3"/>
    <w:rsid w:val="124C1B31"/>
    <w:rsid w:val="127176FD"/>
    <w:rsid w:val="12756C32"/>
    <w:rsid w:val="12CF3616"/>
    <w:rsid w:val="13035BB2"/>
    <w:rsid w:val="13474D18"/>
    <w:rsid w:val="143610A4"/>
    <w:rsid w:val="14711A67"/>
    <w:rsid w:val="147C7A58"/>
    <w:rsid w:val="148E2A77"/>
    <w:rsid w:val="14946570"/>
    <w:rsid w:val="14AB568E"/>
    <w:rsid w:val="15923D6C"/>
    <w:rsid w:val="15F568CE"/>
    <w:rsid w:val="16055C32"/>
    <w:rsid w:val="167D67FE"/>
    <w:rsid w:val="168D1502"/>
    <w:rsid w:val="16DF4ABA"/>
    <w:rsid w:val="16FD6F25"/>
    <w:rsid w:val="175346AD"/>
    <w:rsid w:val="17541396"/>
    <w:rsid w:val="17941B97"/>
    <w:rsid w:val="17C74A60"/>
    <w:rsid w:val="1849566D"/>
    <w:rsid w:val="1850605A"/>
    <w:rsid w:val="188B23EB"/>
    <w:rsid w:val="188F5D81"/>
    <w:rsid w:val="18960C3F"/>
    <w:rsid w:val="18D5761B"/>
    <w:rsid w:val="18EB0096"/>
    <w:rsid w:val="199C7EE6"/>
    <w:rsid w:val="19D86EF5"/>
    <w:rsid w:val="19E67088"/>
    <w:rsid w:val="1A0030EF"/>
    <w:rsid w:val="1A062A7A"/>
    <w:rsid w:val="1A0E2236"/>
    <w:rsid w:val="1A287DD4"/>
    <w:rsid w:val="1A59411D"/>
    <w:rsid w:val="1A5B4B7F"/>
    <w:rsid w:val="1B097C19"/>
    <w:rsid w:val="1B385304"/>
    <w:rsid w:val="1BD601D7"/>
    <w:rsid w:val="1BFB6040"/>
    <w:rsid w:val="1C3B0CBB"/>
    <w:rsid w:val="1C75172A"/>
    <w:rsid w:val="1C8A6328"/>
    <w:rsid w:val="1CE446C2"/>
    <w:rsid w:val="1CE66620"/>
    <w:rsid w:val="1D725739"/>
    <w:rsid w:val="1D840CFF"/>
    <w:rsid w:val="1DF37898"/>
    <w:rsid w:val="1E151807"/>
    <w:rsid w:val="1E4F0432"/>
    <w:rsid w:val="1EC15554"/>
    <w:rsid w:val="1ED75A22"/>
    <w:rsid w:val="1EF41106"/>
    <w:rsid w:val="1F895E7E"/>
    <w:rsid w:val="1FEA58A4"/>
    <w:rsid w:val="21431098"/>
    <w:rsid w:val="214E3A17"/>
    <w:rsid w:val="2152170F"/>
    <w:rsid w:val="21B01A28"/>
    <w:rsid w:val="21B34D98"/>
    <w:rsid w:val="2215615A"/>
    <w:rsid w:val="22196DB9"/>
    <w:rsid w:val="2224416D"/>
    <w:rsid w:val="22DD3F76"/>
    <w:rsid w:val="23135F10"/>
    <w:rsid w:val="23140EEC"/>
    <w:rsid w:val="232D58F8"/>
    <w:rsid w:val="238E000F"/>
    <w:rsid w:val="23B13E1F"/>
    <w:rsid w:val="23EB5FDF"/>
    <w:rsid w:val="24DB2E12"/>
    <w:rsid w:val="24F37160"/>
    <w:rsid w:val="24F42929"/>
    <w:rsid w:val="251A57BC"/>
    <w:rsid w:val="255B319A"/>
    <w:rsid w:val="255F23EE"/>
    <w:rsid w:val="258D5239"/>
    <w:rsid w:val="258E18FF"/>
    <w:rsid w:val="25AF27D1"/>
    <w:rsid w:val="25F06074"/>
    <w:rsid w:val="264E2A88"/>
    <w:rsid w:val="268C353F"/>
    <w:rsid w:val="26917184"/>
    <w:rsid w:val="26D25182"/>
    <w:rsid w:val="26FD5492"/>
    <w:rsid w:val="27037FA1"/>
    <w:rsid w:val="277164CE"/>
    <w:rsid w:val="278A3AB2"/>
    <w:rsid w:val="27B409C1"/>
    <w:rsid w:val="27EB45C3"/>
    <w:rsid w:val="28101B67"/>
    <w:rsid w:val="283006CB"/>
    <w:rsid w:val="28B92947"/>
    <w:rsid w:val="28C407D0"/>
    <w:rsid w:val="28DB4FFA"/>
    <w:rsid w:val="291B318C"/>
    <w:rsid w:val="294A470F"/>
    <w:rsid w:val="29924DCC"/>
    <w:rsid w:val="29CB3006"/>
    <w:rsid w:val="29F41258"/>
    <w:rsid w:val="2A8B147E"/>
    <w:rsid w:val="2A8C4479"/>
    <w:rsid w:val="2A9834D1"/>
    <w:rsid w:val="2B062530"/>
    <w:rsid w:val="2B2578A1"/>
    <w:rsid w:val="2B4870A2"/>
    <w:rsid w:val="2B917AB8"/>
    <w:rsid w:val="2B9E65D1"/>
    <w:rsid w:val="2C7F533C"/>
    <w:rsid w:val="2CB43175"/>
    <w:rsid w:val="2CF450A3"/>
    <w:rsid w:val="2D3D1256"/>
    <w:rsid w:val="2D5F65CD"/>
    <w:rsid w:val="2D884C16"/>
    <w:rsid w:val="2DA52A4F"/>
    <w:rsid w:val="2DC92BD6"/>
    <w:rsid w:val="2DEA7094"/>
    <w:rsid w:val="2DEF06E0"/>
    <w:rsid w:val="2E224C23"/>
    <w:rsid w:val="2E25055D"/>
    <w:rsid w:val="2E3243DB"/>
    <w:rsid w:val="2E395218"/>
    <w:rsid w:val="2E3A48BA"/>
    <w:rsid w:val="2E4D782F"/>
    <w:rsid w:val="2E5F696B"/>
    <w:rsid w:val="2E627104"/>
    <w:rsid w:val="2E84775E"/>
    <w:rsid w:val="2E8C7A74"/>
    <w:rsid w:val="2E9105CE"/>
    <w:rsid w:val="2E917BBD"/>
    <w:rsid w:val="2EC61000"/>
    <w:rsid w:val="2EE94294"/>
    <w:rsid w:val="2EEB0043"/>
    <w:rsid w:val="2F675850"/>
    <w:rsid w:val="2FA00ED2"/>
    <w:rsid w:val="2FA973B0"/>
    <w:rsid w:val="2FB97DDB"/>
    <w:rsid w:val="2FDC2E07"/>
    <w:rsid w:val="2FDC59BD"/>
    <w:rsid w:val="305B07C2"/>
    <w:rsid w:val="30A146EF"/>
    <w:rsid w:val="30C3115B"/>
    <w:rsid w:val="30CA5204"/>
    <w:rsid w:val="313E288B"/>
    <w:rsid w:val="318E126D"/>
    <w:rsid w:val="31C35B82"/>
    <w:rsid w:val="31F308A1"/>
    <w:rsid w:val="321870FE"/>
    <w:rsid w:val="32264D50"/>
    <w:rsid w:val="32456B21"/>
    <w:rsid w:val="325212A2"/>
    <w:rsid w:val="3267118D"/>
    <w:rsid w:val="328A609B"/>
    <w:rsid w:val="329E47C7"/>
    <w:rsid w:val="32CE0213"/>
    <w:rsid w:val="33D3227E"/>
    <w:rsid w:val="342D0BF7"/>
    <w:rsid w:val="349B4554"/>
    <w:rsid w:val="351E0703"/>
    <w:rsid w:val="358E7E83"/>
    <w:rsid w:val="359E6D99"/>
    <w:rsid w:val="35A86345"/>
    <w:rsid w:val="35BE52EB"/>
    <w:rsid w:val="35CC2C04"/>
    <w:rsid w:val="36052EB7"/>
    <w:rsid w:val="36272245"/>
    <w:rsid w:val="36421C6A"/>
    <w:rsid w:val="365254B5"/>
    <w:rsid w:val="365E1C04"/>
    <w:rsid w:val="367675CD"/>
    <w:rsid w:val="368407C6"/>
    <w:rsid w:val="375C6F5F"/>
    <w:rsid w:val="377C5EA4"/>
    <w:rsid w:val="37C6571A"/>
    <w:rsid w:val="38080CFA"/>
    <w:rsid w:val="38651555"/>
    <w:rsid w:val="39631479"/>
    <w:rsid w:val="39850632"/>
    <w:rsid w:val="3A2E693D"/>
    <w:rsid w:val="3A416AF1"/>
    <w:rsid w:val="3A8310D0"/>
    <w:rsid w:val="3ADA1A44"/>
    <w:rsid w:val="3AFD61EB"/>
    <w:rsid w:val="3B091710"/>
    <w:rsid w:val="3B116D27"/>
    <w:rsid w:val="3B194C9B"/>
    <w:rsid w:val="3B935AD2"/>
    <w:rsid w:val="3B974FDD"/>
    <w:rsid w:val="3B9E5429"/>
    <w:rsid w:val="3BD50F38"/>
    <w:rsid w:val="3C6D2D06"/>
    <w:rsid w:val="3C7324DC"/>
    <w:rsid w:val="3CAF1033"/>
    <w:rsid w:val="3CBF2088"/>
    <w:rsid w:val="3D0B74E5"/>
    <w:rsid w:val="3D104C76"/>
    <w:rsid w:val="3D510B64"/>
    <w:rsid w:val="3D6B5446"/>
    <w:rsid w:val="3D786FF0"/>
    <w:rsid w:val="3D956191"/>
    <w:rsid w:val="3E175815"/>
    <w:rsid w:val="3E201412"/>
    <w:rsid w:val="3E4E6A45"/>
    <w:rsid w:val="3E940771"/>
    <w:rsid w:val="3EB858AB"/>
    <w:rsid w:val="3EBC3C0F"/>
    <w:rsid w:val="3EC80670"/>
    <w:rsid w:val="3F7E1BDB"/>
    <w:rsid w:val="3FA96FAA"/>
    <w:rsid w:val="3FBD050C"/>
    <w:rsid w:val="3FBE79B0"/>
    <w:rsid w:val="40113559"/>
    <w:rsid w:val="40147628"/>
    <w:rsid w:val="4034089B"/>
    <w:rsid w:val="404157B2"/>
    <w:rsid w:val="40B53EC6"/>
    <w:rsid w:val="40E27E08"/>
    <w:rsid w:val="41431E80"/>
    <w:rsid w:val="41566FD8"/>
    <w:rsid w:val="41696954"/>
    <w:rsid w:val="4173027B"/>
    <w:rsid w:val="41D673F7"/>
    <w:rsid w:val="422E09E1"/>
    <w:rsid w:val="424B3746"/>
    <w:rsid w:val="425638BB"/>
    <w:rsid w:val="427F6B4F"/>
    <w:rsid w:val="429231C9"/>
    <w:rsid w:val="42AC23C8"/>
    <w:rsid w:val="42C31EAA"/>
    <w:rsid w:val="42DC214E"/>
    <w:rsid w:val="43176962"/>
    <w:rsid w:val="43495697"/>
    <w:rsid w:val="43824D4F"/>
    <w:rsid w:val="439F148C"/>
    <w:rsid w:val="44202301"/>
    <w:rsid w:val="443235E5"/>
    <w:rsid w:val="44950A26"/>
    <w:rsid w:val="44AB417E"/>
    <w:rsid w:val="44BC5F52"/>
    <w:rsid w:val="44F73F2B"/>
    <w:rsid w:val="45324756"/>
    <w:rsid w:val="46391D76"/>
    <w:rsid w:val="46440A7C"/>
    <w:rsid w:val="4688668F"/>
    <w:rsid w:val="46FE11AF"/>
    <w:rsid w:val="472468C3"/>
    <w:rsid w:val="47612C39"/>
    <w:rsid w:val="48204A05"/>
    <w:rsid w:val="485574F7"/>
    <w:rsid w:val="488D6291"/>
    <w:rsid w:val="48931C54"/>
    <w:rsid w:val="48D9372A"/>
    <w:rsid w:val="49072A24"/>
    <w:rsid w:val="490D7D8B"/>
    <w:rsid w:val="492534CA"/>
    <w:rsid w:val="495569E8"/>
    <w:rsid w:val="495A0DA7"/>
    <w:rsid w:val="49AA24B1"/>
    <w:rsid w:val="49C769AB"/>
    <w:rsid w:val="4A14603F"/>
    <w:rsid w:val="4A2C562E"/>
    <w:rsid w:val="4A64765C"/>
    <w:rsid w:val="4A7369C2"/>
    <w:rsid w:val="4A8D7E6A"/>
    <w:rsid w:val="4AA82A13"/>
    <w:rsid w:val="4AD13A9B"/>
    <w:rsid w:val="4B194C8A"/>
    <w:rsid w:val="4B365894"/>
    <w:rsid w:val="4B4111B4"/>
    <w:rsid w:val="4B591F80"/>
    <w:rsid w:val="4B895B5B"/>
    <w:rsid w:val="4CFD3BA1"/>
    <w:rsid w:val="4D126345"/>
    <w:rsid w:val="4D927317"/>
    <w:rsid w:val="4E7339D9"/>
    <w:rsid w:val="4E8512DD"/>
    <w:rsid w:val="4EAD17BC"/>
    <w:rsid w:val="4EB40E5E"/>
    <w:rsid w:val="4EE77F30"/>
    <w:rsid w:val="4F546799"/>
    <w:rsid w:val="4FFE29DB"/>
    <w:rsid w:val="5055170B"/>
    <w:rsid w:val="505615F9"/>
    <w:rsid w:val="509C1B73"/>
    <w:rsid w:val="50B04BA3"/>
    <w:rsid w:val="50D224F3"/>
    <w:rsid w:val="510D05B0"/>
    <w:rsid w:val="513B51D8"/>
    <w:rsid w:val="51727DF4"/>
    <w:rsid w:val="51805724"/>
    <w:rsid w:val="51BF4D86"/>
    <w:rsid w:val="528130DB"/>
    <w:rsid w:val="52985FC6"/>
    <w:rsid w:val="52BE37EE"/>
    <w:rsid w:val="52C54E6E"/>
    <w:rsid w:val="52C938CF"/>
    <w:rsid w:val="52CA202D"/>
    <w:rsid w:val="53370A74"/>
    <w:rsid w:val="53376A7C"/>
    <w:rsid w:val="53DD4658"/>
    <w:rsid w:val="543C58D2"/>
    <w:rsid w:val="544846CD"/>
    <w:rsid w:val="54701D55"/>
    <w:rsid w:val="54782A88"/>
    <w:rsid w:val="551200DD"/>
    <w:rsid w:val="553A2301"/>
    <w:rsid w:val="555B480D"/>
    <w:rsid w:val="55736D33"/>
    <w:rsid w:val="5583732F"/>
    <w:rsid w:val="560012B0"/>
    <w:rsid w:val="56370DB9"/>
    <w:rsid w:val="5647786E"/>
    <w:rsid w:val="56795F33"/>
    <w:rsid w:val="56C4302A"/>
    <w:rsid w:val="56D130D8"/>
    <w:rsid w:val="57960F1C"/>
    <w:rsid w:val="580525B3"/>
    <w:rsid w:val="581D1DED"/>
    <w:rsid w:val="581E658E"/>
    <w:rsid w:val="582B767D"/>
    <w:rsid w:val="5896794C"/>
    <w:rsid w:val="58DB5668"/>
    <w:rsid w:val="598A377E"/>
    <w:rsid w:val="59AF1959"/>
    <w:rsid w:val="59F3703A"/>
    <w:rsid w:val="5A4A0D6F"/>
    <w:rsid w:val="5A973F30"/>
    <w:rsid w:val="5ADF25E2"/>
    <w:rsid w:val="5B0D388E"/>
    <w:rsid w:val="5B24111A"/>
    <w:rsid w:val="5B424016"/>
    <w:rsid w:val="5B59673B"/>
    <w:rsid w:val="5B6C362A"/>
    <w:rsid w:val="5BE42CA5"/>
    <w:rsid w:val="5BFF1F3C"/>
    <w:rsid w:val="5C102B4D"/>
    <w:rsid w:val="5C126502"/>
    <w:rsid w:val="5C195C8A"/>
    <w:rsid w:val="5C1F6640"/>
    <w:rsid w:val="5C3D2493"/>
    <w:rsid w:val="5C526AE1"/>
    <w:rsid w:val="5CA167DD"/>
    <w:rsid w:val="5CAE62AD"/>
    <w:rsid w:val="5CB25B31"/>
    <w:rsid w:val="5CB70F92"/>
    <w:rsid w:val="5CED74E3"/>
    <w:rsid w:val="5D0F54F7"/>
    <w:rsid w:val="5D3C6AF7"/>
    <w:rsid w:val="5D9A631E"/>
    <w:rsid w:val="5DE077AE"/>
    <w:rsid w:val="5DF94675"/>
    <w:rsid w:val="5E187475"/>
    <w:rsid w:val="5E3A3A47"/>
    <w:rsid w:val="5E585BDA"/>
    <w:rsid w:val="5EA5113A"/>
    <w:rsid w:val="5EBB370A"/>
    <w:rsid w:val="5EE41FFE"/>
    <w:rsid w:val="5F3F50A1"/>
    <w:rsid w:val="5F8010CC"/>
    <w:rsid w:val="5FC126A3"/>
    <w:rsid w:val="5FC92FE5"/>
    <w:rsid w:val="600E04DE"/>
    <w:rsid w:val="601361AD"/>
    <w:rsid w:val="60521AED"/>
    <w:rsid w:val="60635B98"/>
    <w:rsid w:val="60787BCC"/>
    <w:rsid w:val="608D08D2"/>
    <w:rsid w:val="60E86F9C"/>
    <w:rsid w:val="61043075"/>
    <w:rsid w:val="6151078F"/>
    <w:rsid w:val="617A1913"/>
    <w:rsid w:val="61A318C0"/>
    <w:rsid w:val="620C6497"/>
    <w:rsid w:val="62137E91"/>
    <w:rsid w:val="624F2CAD"/>
    <w:rsid w:val="62A54933"/>
    <w:rsid w:val="62AD1FE6"/>
    <w:rsid w:val="62CE4641"/>
    <w:rsid w:val="632155FB"/>
    <w:rsid w:val="63DB29F9"/>
    <w:rsid w:val="64D42327"/>
    <w:rsid w:val="65212E09"/>
    <w:rsid w:val="65456BA4"/>
    <w:rsid w:val="658F7DDA"/>
    <w:rsid w:val="65FB7383"/>
    <w:rsid w:val="66114791"/>
    <w:rsid w:val="66152E76"/>
    <w:rsid w:val="6674351E"/>
    <w:rsid w:val="670A658A"/>
    <w:rsid w:val="678B0606"/>
    <w:rsid w:val="67924E76"/>
    <w:rsid w:val="67EB24B1"/>
    <w:rsid w:val="68177AA5"/>
    <w:rsid w:val="68BB61CE"/>
    <w:rsid w:val="692D23D4"/>
    <w:rsid w:val="695F4A04"/>
    <w:rsid w:val="69A94C8C"/>
    <w:rsid w:val="69BA507E"/>
    <w:rsid w:val="69BD69D9"/>
    <w:rsid w:val="69C65B77"/>
    <w:rsid w:val="69CD08C8"/>
    <w:rsid w:val="69D17EAD"/>
    <w:rsid w:val="69DD1ED9"/>
    <w:rsid w:val="6A2C4B85"/>
    <w:rsid w:val="6A544F5F"/>
    <w:rsid w:val="6A9C7A2A"/>
    <w:rsid w:val="6ADD5057"/>
    <w:rsid w:val="6B4A60A7"/>
    <w:rsid w:val="6B78257B"/>
    <w:rsid w:val="6B9F0BF2"/>
    <w:rsid w:val="6BBB1021"/>
    <w:rsid w:val="6BBB74A5"/>
    <w:rsid w:val="6C1A2370"/>
    <w:rsid w:val="6C2335C9"/>
    <w:rsid w:val="6C474C68"/>
    <w:rsid w:val="6C816731"/>
    <w:rsid w:val="6CAE081C"/>
    <w:rsid w:val="6CEC0BBE"/>
    <w:rsid w:val="6D037715"/>
    <w:rsid w:val="6D0C62AD"/>
    <w:rsid w:val="6D0D2315"/>
    <w:rsid w:val="6D151F01"/>
    <w:rsid w:val="6D492F4A"/>
    <w:rsid w:val="6D60647B"/>
    <w:rsid w:val="6D6C2B6C"/>
    <w:rsid w:val="6D751473"/>
    <w:rsid w:val="6D8738D2"/>
    <w:rsid w:val="6E0C3ED3"/>
    <w:rsid w:val="6E3F6551"/>
    <w:rsid w:val="6E741BB6"/>
    <w:rsid w:val="6E7F1859"/>
    <w:rsid w:val="6ED74918"/>
    <w:rsid w:val="6EEA0EA4"/>
    <w:rsid w:val="6F0F4188"/>
    <w:rsid w:val="6F3254B5"/>
    <w:rsid w:val="6F4A7042"/>
    <w:rsid w:val="6F786A40"/>
    <w:rsid w:val="6FC56494"/>
    <w:rsid w:val="6FC62533"/>
    <w:rsid w:val="6FE03F14"/>
    <w:rsid w:val="70113B75"/>
    <w:rsid w:val="70481D48"/>
    <w:rsid w:val="71142A6A"/>
    <w:rsid w:val="713B24D4"/>
    <w:rsid w:val="7177597F"/>
    <w:rsid w:val="71B908F5"/>
    <w:rsid w:val="71E47957"/>
    <w:rsid w:val="720D0700"/>
    <w:rsid w:val="72280A87"/>
    <w:rsid w:val="72757046"/>
    <w:rsid w:val="73607365"/>
    <w:rsid w:val="737625E2"/>
    <w:rsid w:val="73DA6C61"/>
    <w:rsid w:val="740073DB"/>
    <w:rsid w:val="741019FE"/>
    <w:rsid w:val="741C11F1"/>
    <w:rsid w:val="74797DB9"/>
    <w:rsid w:val="74AE4C84"/>
    <w:rsid w:val="74B7444D"/>
    <w:rsid w:val="74EB38B7"/>
    <w:rsid w:val="750563AF"/>
    <w:rsid w:val="75327B82"/>
    <w:rsid w:val="754707BC"/>
    <w:rsid w:val="75785A89"/>
    <w:rsid w:val="759C77EA"/>
    <w:rsid w:val="75B90705"/>
    <w:rsid w:val="75E10D2C"/>
    <w:rsid w:val="75ED79CD"/>
    <w:rsid w:val="75F64948"/>
    <w:rsid w:val="760153F8"/>
    <w:rsid w:val="76092AD3"/>
    <w:rsid w:val="765E7D8D"/>
    <w:rsid w:val="768F789B"/>
    <w:rsid w:val="76942078"/>
    <w:rsid w:val="76A91815"/>
    <w:rsid w:val="772727D2"/>
    <w:rsid w:val="77C404A0"/>
    <w:rsid w:val="77C45195"/>
    <w:rsid w:val="78654EAF"/>
    <w:rsid w:val="786C3D92"/>
    <w:rsid w:val="789A3D66"/>
    <w:rsid w:val="78CE5D51"/>
    <w:rsid w:val="78CF71A7"/>
    <w:rsid w:val="78D8515F"/>
    <w:rsid w:val="78F96AD2"/>
    <w:rsid w:val="79CC586D"/>
    <w:rsid w:val="7A6D7165"/>
    <w:rsid w:val="7AEB3B1F"/>
    <w:rsid w:val="7AF85CD4"/>
    <w:rsid w:val="7B025B36"/>
    <w:rsid w:val="7B1B3EC4"/>
    <w:rsid w:val="7B34138A"/>
    <w:rsid w:val="7B36223B"/>
    <w:rsid w:val="7B3E063C"/>
    <w:rsid w:val="7B676529"/>
    <w:rsid w:val="7B740A6E"/>
    <w:rsid w:val="7B9652C4"/>
    <w:rsid w:val="7BF47F70"/>
    <w:rsid w:val="7C056F66"/>
    <w:rsid w:val="7C6722AD"/>
    <w:rsid w:val="7C7C161F"/>
    <w:rsid w:val="7CB91113"/>
    <w:rsid w:val="7D2821B9"/>
    <w:rsid w:val="7D3D1E9B"/>
    <w:rsid w:val="7D6D202D"/>
    <w:rsid w:val="7D9D7CB1"/>
    <w:rsid w:val="7D9E3805"/>
    <w:rsid w:val="7DE7658F"/>
    <w:rsid w:val="7DEB2275"/>
    <w:rsid w:val="7E2F5BA3"/>
    <w:rsid w:val="7E7C7AC1"/>
    <w:rsid w:val="7E7D66EB"/>
    <w:rsid w:val="7EA35E66"/>
    <w:rsid w:val="7ED22AB7"/>
    <w:rsid w:val="7EF34D4B"/>
    <w:rsid w:val="7F071FF9"/>
    <w:rsid w:val="7F076E9E"/>
    <w:rsid w:val="7F1A5AF4"/>
    <w:rsid w:val="7F39382B"/>
    <w:rsid w:val="7FE1407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35" w:semiHidden="0" w:name="caption"/>
    <w:lsdException w:qFormat="1" w:uiPriority="99" w:semiHidden="0"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iPriority="99" w:semiHidden="0" w:name="Body Text First Indent"/>
    <w:lsdException w:uiPriority="99" w:name="Body Text First Indent 2"/>
    <w:lsdException w:uiPriority="99" w:name="Note Heading"/>
    <w:lsdException w:qFormat="1"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cs="Times New Roman" w:eastAsiaTheme="minorEastAsia"/>
      <w:sz w:val="24"/>
      <w:szCs w:val="24"/>
      <w:lang w:val="en-US" w:eastAsia="en-US" w:bidi="ar-SA"/>
    </w:rPr>
  </w:style>
  <w:style w:type="paragraph" w:styleId="3">
    <w:name w:val="heading 1"/>
    <w:next w:val="4"/>
    <w:link w:val="112"/>
    <w:qFormat/>
    <w:uiPriority w:val="0"/>
    <w:pPr>
      <w:keepNext/>
      <w:keepLines/>
      <w:widowControl w:val="0"/>
      <w:numPr>
        <w:ilvl w:val="0"/>
        <w:numId w:val="1"/>
      </w:numPr>
      <w:overflowPunct w:val="0"/>
      <w:autoSpaceDE w:val="0"/>
      <w:autoSpaceDN w:val="0"/>
      <w:adjustRightInd w:val="0"/>
      <w:snapToGrid w:val="0"/>
      <w:spacing w:before="120" w:beforeLines="50" w:after="120" w:afterLines="50" w:line="300" w:lineRule="auto"/>
      <w:jc w:val="both"/>
      <w:outlineLvl w:val="0"/>
    </w:pPr>
    <w:rPr>
      <w:rFonts w:ascii="Times New Roman" w:hAnsi="Times New Roman" w:eastAsia="宋体" w:cs="Times New Roman"/>
      <w:b/>
      <w:bCs/>
      <w:kern w:val="44"/>
      <w:sz w:val="28"/>
      <w:szCs w:val="28"/>
      <w:u w:color="000000"/>
      <w:lang w:val="en-US" w:eastAsia="zh-CN" w:bidi="ar-SA"/>
    </w:rPr>
  </w:style>
  <w:style w:type="paragraph" w:styleId="5">
    <w:name w:val="heading 2"/>
    <w:basedOn w:val="1"/>
    <w:next w:val="1"/>
    <w:link w:val="73"/>
    <w:unhideWhenUsed/>
    <w:qFormat/>
    <w:uiPriority w:val="0"/>
    <w:pPr>
      <w:keepNext/>
      <w:keepLines/>
      <w:numPr>
        <w:ilvl w:val="1"/>
        <w:numId w:val="1"/>
      </w:numPr>
      <w:overflowPunct w:val="0"/>
      <w:autoSpaceDE w:val="0"/>
      <w:autoSpaceDN w:val="0"/>
      <w:adjustRightInd w:val="0"/>
      <w:snapToGrid w:val="0"/>
      <w:spacing w:before="120" w:beforeLines="50" w:after="120" w:afterLines="50" w:line="300" w:lineRule="auto"/>
      <w:outlineLvl w:val="1"/>
    </w:pPr>
    <w:rPr>
      <w:rFonts w:eastAsia="宋体"/>
      <w:b/>
      <w:bCs/>
    </w:rPr>
  </w:style>
  <w:style w:type="paragraph" w:styleId="6">
    <w:name w:val="heading 3"/>
    <w:basedOn w:val="1"/>
    <w:next w:val="1"/>
    <w:link w:val="88"/>
    <w:unhideWhenUsed/>
    <w:qFormat/>
    <w:uiPriority w:val="9"/>
    <w:pPr>
      <w:keepNext/>
      <w:keepLines/>
      <w:numPr>
        <w:ilvl w:val="2"/>
        <w:numId w:val="1"/>
      </w:numPr>
      <w:overflowPunct w:val="0"/>
      <w:autoSpaceDE w:val="0"/>
      <w:autoSpaceDN w:val="0"/>
      <w:adjustRightInd w:val="0"/>
      <w:snapToGrid w:val="0"/>
      <w:spacing w:before="120" w:beforeLines="50" w:after="120" w:afterLines="50" w:line="300" w:lineRule="auto"/>
      <w:outlineLvl w:val="2"/>
    </w:pPr>
    <w:rPr>
      <w:b/>
      <w:bCs/>
      <w:lang w:eastAsia="zh-CN"/>
    </w:rPr>
  </w:style>
  <w:style w:type="paragraph" w:styleId="7">
    <w:name w:val="heading 4"/>
    <w:basedOn w:val="1"/>
    <w:next w:val="1"/>
    <w:link w:val="159"/>
    <w:unhideWhenUsed/>
    <w:qFormat/>
    <w:uiPriority w:val="9"/>
    <w:pPr>
      <w:keepNext/>
      <w:keepLines/>
      <w:numPr>
        <w:ilvl w:val="3"/>
        <w:numId w:val="1"/>
      </w:numPr>
      <w:adjustRightInd w:val="0"/>
      <w:snapToGrid w:val="0"/>
      <w:spacing w:before="120" w:beforeLines="50" w:after="120" w:afterLines="50" w:line="300" w:lineRule="auto"/>
      <w:outlineLvl w:val="3"/>
    </w:pPr>
    <w:rPr>
      <w:rFonts w:eastAsia="宋体" w:cstheme="majorBidi"/>
      <w:b/>
      <w:bCs/>
      <w:szCs w:val="28"/>
    </w:rPr>
  </w:style>
  <w:style w:type="paragraph" w:styleId="8">
    <w:name w:val="heading 5"/>
    <w:basedOn w:val="1"/>
    <w:next w:val="1"/>
    <w:link w:val="160"/>
    <w:unhideWhenUsed/>
    <w:qFormat/>
    <w:uiPriority w:val="9"/>
    <w:pPr>
      <w:keepNext/>
      <w:keepLines/>
      <w:numPr>
        <w:ilvl w:val="4"/>
        <w:numId w:val="1"/>
      </w:numPr>
      <w:adjustRightInd w:val="0"/>
      <w:snapToGrid w:val="0"/>
      <w:spacing w:before="120" w:beforeLines="50" w:after="120" w:afterLines="50" w:line="300" w:lineRule="auto"/>
      <w:outlineLvl w:val="4"/>
    </w:pPr>
    <w:rPr>
      <w:b/>
      <w:bCs/>
    </w:rPr>
  </w:style>
  <w:style w:type="paragraph" w:styleId="9">
    <w:name w:val="heading 6"/>
    <w:basedOn w:val="1"/>
    <w:next w:val="1"/>
    <w:link w:val="89"/>
    <w:semiHidden/>
    <w:unhideWhenUsed/>
    <w:qFormat/>
    <w:uiPriority w:val="9"/>
    <w:pPr>
      <w:keepNext/>
      <w:keepLines/>
      <w:numPr>
        <w:ilvl w:val="5"/>
        <w:numId w:val="1"/>
      </w:numPr>
      <w:spacing w:before="240" w:after="64" w:line="320" w:lineRule="auto"/>
      <w:outlineLvl w:val="5"/>
    </w:pPr>
    <w:rPr>
      <w:rFonts w:asciiTheme="majorHAnsi" w:hAnsiTheme="majorHAnsi" w:eastAsiaTheme="majorEastAsia" w:cstheme="majorBidi"/>
      <w:b/>
      <w:bCs/>
    </w:rPr>
  </w:style>
  <w:style w:type="paragraph" w:styleId="10">
    <w:name w:val="heading 7"/>
    <w:basedOn w:val="1"/>
    <w:next w:val="1"/>
    <w:link w:val="161"/>
    <w:semiHidden/>
    <w:unhideWhenUsed/>
    <w:qFormat/>
    <w:uiPriority w:val="9"/>
    <w:pPr>
      <w:keepNext/>
      <w:keepLines/>
      <w:numPr>
        <w:ilvl w:val="6"/>
        <w:numId w:val="1"/>
      </w:numPr>
      <w:spacing w:before="240" w:after="64" w:line="320" w:lineRule="auto"/>
      <w:outlineLvl w:val="6"/>
    </w:pPr>
    <w:rPr>
      <w:b/>
      <w:bCs/>
    </w:rPr>
  </w:style>
  <w:style w:type="paragraph" w:styleId="11">
    <w:name w:val="heading 8"/>
    <w:basedOn w:val="1"/>
    <w:next w:val="1"/>
    <w:link w:val="162"/>
    <w:semiHidden/>
    <w:unhideWhenUsed/>
    <w:qFormat/>
    <w:uiPriority w:val="9"/>
    <w:pPr>
      <w:keepNext/>
      <w:keepLines/>
      <w:numPr>
        <w:ilvl w:val="7"/>
        <w:numId w:val="1"/>
      </w:numPr>
      <w:spacing w:before="240" w:after="64" w:line="320" w:lineRule="auto"/>
      <w:outlineLvl w:val="7"/>
    </w:pPr>
    <w:rPr>
      <w:rFonts w:asciiTheme="majorHAnsi" w:hAnsiTheme="majorHAnsi" w:eastAsiaTheme="majorEastAsia" w:cstheme="majorBidi"/>
    </w:rPr>
  </w:style>
  <w:style w:type="paragraph" w:styleId="12">
    <w:name w:val="heading 9"/>
    <w:basedOn w:val="1"/>
    <w:next w:val="1"/>
    <w:link w:val="163"/>
    <w:semiHidden/>
    <w:unhideWhenUsed/>
    <w:qFormat/>
    <w:uiPriority w:val="9"/>
    <w:pPr>
      <w:keepNext/>
      <w:keepLines/>
      <w:numPr>
        <w:ilvl w:val="8"/>
        <w:numId w:val="1"/>
      </w:numPr>
      <w:spacing w:before="240" w:after="64" w:line="320" w:lineRule="auto"/>
      <w:outlineLvl w:val="8"/>
    </w:pPr>
    <w:rPr>
      <w:rFonts w:asciiTheme="majorHAnsi" w:hAnsiTheme="majorHAnsi" w:eastAsiaTheme="majorEastAsia" w:cstheme="majorBidi"/>
      <w:sz w:val="21"/>
      <w:szCs w:val="21"/>
    </w:rPr>
  </w:style>
  <w:style w:type="character" w:default="1" w:styleId="44">
    <w:name w:val="Default Paragraph Font"/>
    <w:semiHidden/>
    <w:unhideWhenUsed/>
    <w:uiPriority w:val="1"/>
  </w:style>
  <w:style w:type="table" w:default="1" w:styleId="42">
    <w:name w:val="Normal Table"/>
    <w:semiHidden/>
    <w:unhideWhenUsed/>
    <w:uiPriority w:val="99"/>
    <w:tblPr>
      <w:tblCellMar>
        <w:top w:w="0" w:type="dxa"/>
        <w:left w:w="108" w:type="dxa"/>
        <w:bottom w:w="0" w:type="dxa"/>
        <w:right w:w="108" w:type="dxa"/>
      </w:tblCellMar>
    </w:tblPr>
  </w:style>
  <w:style w:type="paragraph" w:styleId="2">
    <w:name w:val="Body Text"/>
    <w:basedOn w:val="1"/>
    <w:link w:val="70"/>
    <w:unhideWhenUsed/>
    <w:qFormat/>
    <w:uiPriority w:val="99"/>
    <w:pPr>
      <w:spacing w:after="120"/>
    </w:pPr>
  </w:style>
  <w:style w:type="paragraph" w:customStyle="1" w:styleId="4">
    <w:name w:val="正文 A"/>
    <w:qFormat/>
    <w:uiPriority w:val="0"/>
    <w:pPr>
      <w:widowControl w:val="0"/>
      <w:spacing w:line="360" w:lineRule="auto"/>
      <w:ind w:firstLine="200" w:firstLineChars="200"/>
      <w:jc w:val="both"/>
    </w:pPr>
    <w:rPr>
      <w:rFonts w:ascii="Times New Roman" w:hAnsi="Times New Roman" w:eastAsia="宋体" w:cs="Calibri"/>
      <w:color w:val="000000"/>
      <w:kern w:val="2"/>
      <w:sz w:val="24"/>
      <w:szCs w:val="21"/>
      <w:u w:color="000000"/>
      <w:lang w:val="en-US" w:eastAsia="zh-CN" w:bidi="ar-SA"/>
    </w:rPr>
  </w:style>
  <w:style w:type="paragraph" w:styleId="13">
    <w:name w:val="toc 7"/>
    <w:basedOn w:val="1"/>
    <w:next w:val="1"/>
    <w:unhideWhenUsed/>
    <w:qFormat/>
    <w:uiPriority w:val="39"/>
    <w:pPr>
      <w:ind w:left="1440"/>
    </w:pPr>
  </w:style>
  <w:style w:type="paragraph" w:styleId="14">
    <w:name w:val="Normal Indent"/>
    <w:basedOn w:val="1"/>
    <w:qFormat/>
    <w:uiPriority w:val="0"/>
    <w:pPr>
      <w:ind w:firstLine="420" w:firstLineChars="200"/>
    </w:pPr>
    <w:rPr>
      <w:rFonts w:eastAsia="宋体"/>
    </w:rPr>
  </w:style>
  <w:style w:type="paragraph" w:styleId="15">
    <w:name w:val="caption"/>
    <w:next w:val="1"/>
    <w:link w:val="84"/>
    <w:qFormat/>
    <w:uiPriority w:val="35"/>
    <w:pPr>
      <w:keepNext/>
      <w:widowControl w:val="0"/>
      <w:tabs>
        <w:tab w:val="left" w:pos="420"/>
      </w:tabs>
      <w:overflowPunct w:val="0"/>
      <w:autoSpaceDE w:val="0"/>
      <w:autoSpaceDN w:val="0"/>
      <w:adjustRightInd w:val="0"/>
      <w:snapToGrid w:val="0"/>
      <w:spacing w:before="120" w:beforeLines="50" w:after="120" w:afterLines="50" w:line="300" w:lineRule="auto"/>
      <w:jc w:val="center"/>
      <w:outlineLvl w:val="1"/>
    </w:pPr>
    <w:rPr>
      <w:rFonts w:ascii="Times New Roman" w:hAnsi="Times New Roman" w:eastAsia="Arial Unicode MS" w:cs="Times New Roman"/>
      <w:b/>
      <w:u w:color="000000"/>
      <w:lang w:val="en-US" w:eastAsia="zh-CN" w:bidi="ar-SA"/>
    </w:rPr>
  </w:style>
  <w:style w:type="paragraph" w:styleId="16">
    <w:name w:val="Document Map"/>
    <w:basedOn w:val="1"/>
    <w:link w:val="156"/>
    <w:unhideWhenUsed/>
    <w:qFormat/>
    <w:uiPriority w:val="99"/>
    <w:pPr>
      <w:widowControl w:val="0"/>
      <w:spacing w:line="360" w:lineRule="auto"/>
      <w:ind w:firstLine="200" w:firstLineChars="200"/>
      <w:jc w:val="both"/>
    </w:pPr>
    <w:rPr>
      <w:rFonts w:ascii="Helvetica" w:hAnsi="Helvetica" w:eastAsia="宋体"/>
      <w:lang w:eastAsia="zh-CN"/>
    </w:rPr>
  </w:style>
  <w:style w:type="paragraph" w:styleId="17">
    <w:name w:val="annotation text"/>
    <w:basedOn w:val="1"/>
    <w:link w:val="63"/>
    <w:unhideWhenUsed/>
    <w:qFormat/>
    <w:uiPriority w:val="99"/>
  </w:style>
  <w:style w:type="paragraph" w:styleId="18">
    <w:name w:val="Body Text Indent"/>
    <w:link w:val="90"/>
    <w:qFormat/>
    <w:uiPriority w:val="0"/>
    <w:pPr>
      <w:widowControl w:val="0"/>
      <w:ind w:firstLine="540"/>
      <w:jc w:val="both"/>
    </w:pPr>
    <w:rPr>
      <w:rFonts w:ascii="Times New Roman" w:hAnsi="Arial Unicode MS" w:eastAsia="Arial Unicode MS" w:cs="Arial Unicode MS"/>
      <w:color w:val="000000"/>
      <w:kern w:val="2"/>
      <w:sz w:val="24"/>
      <w:szCs w:val="24"/>
      <w:u w:color="000000"/>
      <w:lang w:val="en-US" w:eastAsia="zh-CN" w:bidi="ar-SA"/>
    </w:rPr>
  </w:style>
  <w:style w:type="paragraph" w:styleId="19">
    <w:name w:val="toc 5"/>
    <w:next w:val="1"/>
    <w:qFormat/>
    <w:uiPriority w:val="39"/>
    <w:pPr>
      <w:widowControl w:val="0"/>
      <w:tabs>
        <w:tab w:val="right" w:leader="dot" w:pos="9000"/>
      </w:tabs>
      <w:ind w:left="840"/>
      <w:jc w:val="both"/>
    </w:pPr>
    <w:rPr>
      <w:rFonts w:ascii="Calibri" w:hAnsi="Calibri" w:eastAsia="Calibri" w:cs="Calibri"/>
      <w:color w:val="000000"/>
      <w:kern w:val="2"/>
      <w:sz w:val="21"/>
      <w:szCs w:val="21"/>
      <w:u w:color="000000"/>
      <w:lang w:val="en-US" w:eastAsia="zh-CN" w:bidi="ar-SA"/>
    </w:rPr>
  </w:style>
  <w:style w:type="paragraph" w:styleId="20">
    <w:name w:val="toc 3"/>
    <w:next w:val="1"/>
    <w:autoRedefine/>
    <w:qFormat/>
    <w:uiPriority w:val="39"/>
    <w:pPr>
      <w:widowControl w:val="0"/>
      <w:tabs>
        <w:tab w:val="right" w:leader="dot" w:pos="9355"/>
      </w:tabs>
      <w:overflowPunct w:val="0"/>
      <w:autoSpaceDE w:val="0"/>
      <w:autoSpaceDN w:val="0"/>
      <w:adjustRightInd w:val="0"/>
      <w:snapToGrid w:val="0"/>
      <w:spacing w:before="60" w:after="60" w:line="300" w:lineRule="auto"/>
      <w:ind w:left="1680" w:leftChars="300" w:hanging="960" w:hangingChars="400"/>
    </w:pPr>
    <w:rPr>
      <w:rFonts w:ascii="Times New Roman" w:hAnsi="Times New Roman" w:eastAsia="宋体" w:cs="Calibri"/>
      <w:color w:val="0000FF"/>
      <w:kern w:val="2"/>
      <w:sz w:val="24"/>
      <w:szCs w:val="21"/>
      <w:u w:color="000000"/>
      <w:lang w:val="en-US" w:eastAsia="zh-CN" w:bidi="ar-SA"/>
    </w:rPr>
  </w:style>
  <w:style w:type="paragraph" w:styleId="21">
    <w:name w:val="Plain Text"/>
    <w:basedOn w:val="1"/>
    <w:link w:val="110"/>
    <w:qFormat/>
    <w:uiPriority w:val="99"/>
    <w:pPr>
      <w:widowControl w:val="0"/>
      <w:spacing w:line="360" w:lineRule="auto"/>
      <w:ind w:firstLine="480" w:firstLineChars="200"/>
      <w:jc w:val="both"/>
    </w:pPr>
    <w:rPr>
      <w:rFonts w:asciiTheme="minorEastAsia" w:hAnsiTheme="minorEastAsia"/>
      <w:color w:val="231F20"/>
      <w:szCs w:val="21"/>
      <w:lang w:eastAsia="zh-CN"/>
    </w:rPr>
  </w:style>
  <w:style w:type="paragraph" w:styleId="22">
    <w:name w:val="toc 8"/>
    <w:basedOn w:val="1"/>
    <w:next w:val="1"/>
    <w:unhideWhenUsed/>
    <w:qFormat/>
    <w:uiPriority w:val="39"/>
    <w:pPr>
      <w:ind w:left="1680"/>
    </w:pPr>
  </w:style>
  <w:style w:type="paragraph" w:styleId="23">
    <w:name w:val="Date"/>
    <w:next w:val="1"/>
    <w:link w:val="66"/>
    <w:qFormat/>
    <w:uiPriority w:val="0"/>
    <w:pPr>
      <w:widowControl w:val="0"/>
      <w:ind w:left="100"/>
      <w:jc w:val="both"/>
    </w:pPr>
    <w:rPr>
      <w:rFonts w:ascii="Times New Roman" w:hAnsi="Times New Roman" w:eastAsia="Times New Roman" w:cs="Times New Roman"/>
      <w:color w:val="000000"/>
      <w:sz w:val="24"/>
      <w:szCs w:val="24"/>
      <w:u w:color="000000"/>
      <w:lang w:val="en-US" w:eastAsia="zh-CN" w:bidi="ar-SA"/>
    </w:rPr>
  </w:style>
  <w:style w:type="paragraph" w:styleId="24">
    <w:name w:val="Body Text Indent 2"/>
    <w:qFormat/>
    <w:uiPriority w:val="0"/>
    <w:pPr>
      <w:widowControl w:val="0"/>
      <w:spacing w:line="300" w:lineRule="auto"/>
      <w:ind w:firstLine="520"/>
    </w:pPr>
    <w:rPr>
      <w:rFonts w:hint="eastAsia" w:ascii="Arial Unicode MS" w:hAnsi="Arial Unicode MS" w:eastAsia="Times New Roman" w:cs="Arial Unicode MS"/>
      <w:color w:val="000000"/>
      <w:kern w:val="2"/>
      <w:sz w:val="26"/>
      <w:szCs w:val="26"/>
      <w:u w:color="000000"/>
      <w:lang w:val="en-US" w:eastAsia="zh-CN" w:bidi="ar-SA"/>
    </w:rPr>
  </w:style>
  <w:style w:type="paragraph" w:styleId="25">
    <w:name w:val="endnote text"/>
    <w:basedOn w:val="1"/>
    <w:link w:val="154"/>
    <w:unhideWhenUsed/>
    <w:qFormat/>
    <w:uiPriority w:val="99"/>
    <w:pPr>
      <w:widowControl w:val="0"/>
      <w:snapToGrid w:val="0"/>
      <w:spacing w:line="360" w:lineRule="auto"/>
      <w:ind w:firstLine="200" w:firstLineChars="200"/>
    </w:pPr>
    <w:rPr>
      <w:rFonts w:eastAsia="宋体"/>
      <w:szCs w:val="20"/>
      <w:lang w:eastAsia="zh-CN"/>
    </w:rPr>
  </w:style>
  <w:style w:type="paragraph" w:styleId="26">
    <w:name w:val="Balloon Text"/>
    <w:basedOn w:val="1"/>
    <w:link w:val="64"/>
    <w:unhideWhenUsed/>
    <w:qFormat/>
    <w:uiPriority w:val="99"/>
    <w:rPr>
      <w:sz w:val="18"/>
      <w:szCs w:val="18"/>
    </w:rPr>
  </w:style>
  <w:style w:type="paragraph" w:styleId="27">
    <w:name w:val="footer"/>
    <w:link w:val="71"/>
    <w:qFormat/>
    <w:uiPriority w:val="99"/>
    <w:pPr>
      <w:widowControl w:val="0"/>
      <w:tabs>
        <w:tab w:val="center" w:pos="4153"/>
        <w:tab w:val="right" w:pos="8306"/>
      </w:tabs>
    </w:pPr>
    <w:rPr>
      <w:rFonts w:ascii="Calibri" w:hAnsi="Calibri" w:eastAsia="Calibri" w:cs="Calibri"/>
      <w:color w:val="000000"/>
      <w:sz w:val="18"/>
      <w:szCs w:val="18"/>
      <w:u w:color="000000"/>
      <w:lang w:val="en-US" w:eastAsia="zh-CN" w:bidi="ar-SA"/>
    </w:rPr>
  </w:style>
  <w:style w:type="paragraph" w:styleId="28">
    <w:name w:val="header"/>
    <w:link w:val="76"/>
    <w:qFormat/>
    <w:uiPriority w:val="99"/>
    <w:pPr>
      <w:widowControl w:val="0"/>
      <w:tabs>
        <w:tab w:val="center" w:pos="4153"/>
        <w:tab w:val="right" w:pos="8306"/>
      </w:tabs>
      <w:jc w:val="center"/>
    </w:pPr>
    <w:rPr>
      <w:rFonts w:ascii="Calibri" w:hAnsi="Calibri" w:eastAsia="Calibri" w:cs="Calibri"/>
      <w:color w:val="000000"/>
      <w:sz w:val="18"/>
      <w:szCs w:val="18"/>
      <w:u w:color="000000"/>
      <w:lang w:val="en-US" w:eastAsia="zh-CN" w:bidi="ar-SA"/>
    </w:rPr>
  </w:style>
  <w:style w:type="paragraph" w:styleId="29">
    <w:name w:val="toc 1"/>
    <w:next w:val="1"/>
    <w:qFormat/>
    <w:uiPriority w:val="39"/>
    <w:pPr>
      <w:widowControl w:val="0"/>
      <w:tabs>
        <w:tab w:val="right" w:leader="dot" w:pos="9355"/>
      </w:tabs>
      <w:overflowPunct w:val="0"/>
      <w:autoSpaceDE w:val="0"/>
      <w:autoSpaceDN w:val="0"/>
      <w:adjustRightInd w:val="0"/>
      <w:snapToGrid w:val="0"/>
      <w:spacing w:before="60" w:after="60" w:line="300" w:lineRule="auto"/>
      <w:ind w:left="200" w:hanging="200" w:hangingChars="200"/>
      <w:jc w:val="both"/>
    </w:pPr>
    <w:rPr>
      <w:rFonts w:ascii="Times New Roman" w:hAnsi="Times New Roman" w:eastAsia="宋体" w:cs="Calibri"/>
      <w:b/>
      <w:color w:val="0000FF"/>
      <w:kern w:val="2"/>
      <w:sz w:val="24"/>
      <w:szCs w:val="21"/>
      <w:u w:color="000000"/>
      <w:lang w:val="en-US" w:eastAsia="zh-CN" w:bidi="ar-SA"/>
    </w:rPr>
  </w:style>
  <w:style w:type="paragraph" w:styleId="30">
    <w:name w:val="toc 4"/>
    <w:next w:val="1"/>
    <w:qFormat/>
    <w:uiPriority w:val="39"/>
    <w:pPr>
      <w:widowControl w:val="0"/>
      <w:tabs>
        <w:tab w:val="right" w:leader="dot" w:pos="9355"/>
      </w:tabs>
      <w:overflowPunct w:val="0"/>
      <w:autoSpaceDE w:val="0"/>
      <w:autoSpaceDN w:val="0"/>
      <w:adjustRightInd w:val="0"/>
      <w:snapToGrid w:val="0"/>
      <w:spacing w:before="60" w:after="60" w:line="300" w:lineRule="auto"/>
      <w:jc w:val="both"/>
    </w:pPr>
    <w:rPr>
      <w:rFonts w:ascii="Times New Roman" w:hAnsi="Times New Roman" w:eastAsia="Calibri" w:cs="Calibri"/>
      <w:color w:val="0000FF"/>
      <w:kern w:val="2"/>
      <w:sz w:val="24"/>
      <w:szCs w:val="21"/>
      <w:u w:color="000000"/>
      <w:lang w:val="en-US" w:eastAsia="zh-CN" w:bidi="ar-SA"/>
    </w:rPr>
  </w:style>
  <w:style w:type="paragraph" w:styleId="31">
    <w:name w:val="Subtitle"/>
    <w:next w:val="4"/>
    <w:link w:val="82"/>
    <w:qFormat/>
    <w:uiPriority w:val="0"/>
    <w:pPr>
      <w:keepNext/>
      <w:spacing w:before="240" w:after="120"/>
      <w:ind w:left="360" w:hanging="360"/>
      <w:outlineLvl w:val="0"/>
    </w:pPr>
    <w:rPr>
      <w:rFonts w:ascii="Times New Roman Bold" w:hAnsi="Times New Roman Bold" w:eastAsia="Times New Roman Bold" w:cs="Times New Roman Bold"/>
      <w:color w:val="000000"/>
      <w:kern w:val="44"/>
      <w:u w:color="000000"/>
      <w:lang w:val="en-US" w:eastAsia="zh-CN" w:bidi="ar-SA"/>
    </w:rPr>
  </w:style>
  <w:style w:type="paragraph" w:styleId="32">
    <w:name w:val="toc 6"/>
    <w:basedOn w:val="1"/>
    <w:next w:val="1"/>
    <w:unhideWhenUsed/>
    <w:qFormat/>
    <w:uiPriority w:val="39"/>
    <w:pPr>
      <w:ind w:left="1200"/>
    </w:pPr>
  </w:style>
  <w:style w:type="paragraph" w:styleId="33">
    <w:name w:val="table of figures"/>
    <w:basedOn w:val="1"/>
    <w:next w:val="1"/>
    <w:unhideWhenUsed/>
    <w:qFormat/>
    <w:uiPriority w:val="99"/>
    <w:pPr>
      <w:tabs>
        <w:tab w:val="right" w:leader="dot" w:pos="9355"/>
      </w:tabs>
      <w:overflowPunct w:val="0"/>
      <w:autoSpaceDE w:val="0"/>
      <w:autoSpaceDN w:val="0"/>
      <w:adjustRightInd w:val="0"/>
      <w:snapToGrid w:val="0"/>
      <w:spacing w:before="60" w:after="60" w:line="300" w:lineRule="auto"/>
      <w:ind w:left="200" w:hanging="200" w:hangingChars="200"/>
    </w:pPr>
    <w:rPr>
      <w:color w:val="0000FF"/>
    </w:rPr>
  </w:style>
  <w:style w:type="paragraph" w:styleId="34">
    <w:name w:val="toc 2"/>
    <w:next w:val="1"/>
    <w:qFormat/>
    <w:uiPriority w:val="39"/>
    <w:pPr>
      <w:widowControl w:val="0"/>
      <w:tabs>
        <w:tab w:val="right" w:leader="dot" w:pos="9355"/>
      </w:tabs>
      <w:overflowPunct w:val="0"/>
      <w:autoSpaceDE w:val="0"/>
      <w:autoSpaceDN w:val="0"/>
      <w:adjustRightInd w:val="0"/>
      <w:snapToGrid w:val="0"/>
      <w:spacing w:before="60" w:after="60" w:line="300" w:lineRule="auto"/>
      <w:ind w:left="500" w:leftChars="200" w:hanging="300" w:hangingChars="300"/>
      <w:jc w:val="both"/>
    </w:pPr>
    <w:rPr>
      <w:rFonts w:ascii="Times New Roman" w:hAnsi="Times New Roman" w:eastAsia="宋体" w:cs="Calibri"/>
      <w:color w:val="0000FF"/>
      <w:kern w:val="2"/>
      <w:sz w:val="24"/>
      <w:szCs w:val="21"/>
      <w:u w:color="000000"/>
      <w:lang w:val="en-US" w:eastAsia="zh-CN" w:bidi="ar-SA"/>
    </w:rPr>
  </w:style>
  <w:style w:type="paragraph" w:styleId="35">
    <w:name w:val="toc 9"/>
    <w:basedOn w:val="1"/>
    <w:next w:val="1"/>
    <w:unhideWhenUsed/>
    <w:qFormat/>
    <w:uiPriority w:val="39"/>
    <w:pPr>
      <w:ind w:left="1920"/>
    </w:pPr>
  </w:style>
  <w:style w:type="paragraph" w:styleId="36">
    <w:name w:val="Body Text 2"/>
    <w:basedOn w:val="1"/>
    <w:link w:val="74"/>
    <w:unhideWhenUsed/>
    <w:qFormat/>
    <w:uiPriority w:val="0"/>
    <w:pPr>
      <w:spacing w:after="120" w:line="480" w:lineRule="auto"/>
    </w:pPr>
  </w:style>
  <w:style w:type="paragraph" w:styleId="37">
    <w:name w:val="HTML Preformatted"/>
    <w:basedOn w:val="1"/>
    <w:link w:val="79"/>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eastAsia="宋体" w:cs="Arial"/>
      <w:lang w:eastAsia="zh-CN"/>
    </w:rPr>
  </w:style>
  <w:style w:type="paragraph" w:styleId="38">
    <w:name w:val="Normal (Web)"/>
    <w:basedOn w:val="1"/>
    <w:qFormat/>
    <w:uiPriority w:val="99"/>
    <w:pPr>
      <w:spacing w:before="100" w:beforeAutospacing="1" w:after="100" w:afterAutospacing="1" w:line="384" w:lineRule="auto"/>
    </w:pPr>
    <w:rPr>
      <w:rFonts w:ascii="宋体" w:hAnsi="宋体" w:eastAsia="宋体" w:cs="宋体"/>
      <w:color w:val="000000"/>
      <w:sz w:val="21"/>
      <w:szCs w:val="21"/>
      <w:lang w:eastAsia="zh-CN"/>
    </w:rPr>
  </w:style>
  <w:style w:type="paragraph" w:styleId="39">
    <w:name w:val="Title"/>
    <w:next w:val="1"/>
    <w:link w:val="69"/>
    <w:qFormat/>
    <w:uiPriority w:val="0"/>
    <w:pPr>
      <w:keepNext/>
      <w:spacing w:before="240" w:after="120"/>
      <w:ind w:left="360" w:hanging="360"/>
      <w:outlineLvl w:val="1"/>
    </w:pPr>
    <w:rPr>
      <w:rFonts w:ascii="Times New Roman" w:hAnsi="Times New Roman" w:eastAsia="Times New Roman" w:cs="Times New Roman"/>
      <w:b/>
      <w:bCs/>
      <w:color w:val="000000"/>
      <w:kern w:val="44"/>
      <w:u w:color="000000"/>
      <w:lang w:val="en-US" w:eastAsia="zh-CN" w:bidi="ar-SA"/>
    </w:rPr>
  </w:style>
  <w:style w:type="paragraph" w:styleId="40">
    <w:name w:val="annotation subject"/>
    <w:basedOn w:val="17"/>
    <w:next w:val="17"/>
    <w:link w:val="97"/>
    <w:semiHidden/>
    <w:unhideWhenUsed/>
    <w:qFormat/>
    <w:uiPriority w:val="99"/>
    <w:rPr>
      <w:b/>
      <w:bCs/>
    </w:rPr>
  </w:style>
  <w:style w:type="paragraph" w:styleId="41">
    <w:name w:val="Body Text First Indent"/>
    <w:basedOn w:val="2"/>
    <w:link w:val="86"/>
    <w:unhideWhenUsed/>
    <w:qFormat/>
    <w:uiPriority w:val="99"/>
    <w:pPr>
      <w:ind w:firstLine="420" w:firstLineChars="100"/>
    </w:pPr>
  </w:style>
  <w:style w:type="table" w:styleId="43">
    <w:name w:val="Table Grid"/>
    <w:basedOn w:val="4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5">
    <w:name w:val="Strong"/>
    <w:basedOn w:val="44"/>
    <w:qFormat/>
    <w:uiPriority w:val="22"/>
    <w:rPr>
      <w:b/>
      <w:bCs/>
    </w:rPr>
  </w:style>
  <w:style w:type="character" w:styleId="46">
    <w:name w:val="endnote reference"/>
    <w:basedOn w:val="44"/>
    <w:unhideWhenUsed/>
    <w:qFormat/>
    <w:uiPriority w:val="99"/>
    <w:rPr>
      <w:vertAlign w:val="superscript"/>
    </w:rPr>
  </w:style>
  <w:style w:type="character" w:styleId="47">
    <w:name w:val="FollowedHyperlink"/>
    <w:basedOn w:val="44"/>
    <w:semiHidden/>
    <w:unhideWhenUsed/>
    <w:qFormat/>
    <w:uiPriority w:val="99"/>
    <w:rPr>
      <w:color w:val="800080"/>
      <w:u w:val="single"/>
    </w:rPr>
  </w:style>
  <w:style w:type="character" w:styleId="48">
    <w:name w:val="Emphasis"/>
    <w:basedOn w:val="44"/>
    <w:qFormat/>
    <w:uiPriority w:val="20"/>
    <w:rPr>
      <w:i/>
      <w:iCs/>
    </w:rPr>
  </w:style>
  <w:style w:type="character" w:styleId="49">
    <w:name w:val="Hyperlink"/>
    <w:qFormat/>
    <w:uiPriority w:val="99"/>
    <w:rPr>
      <w:u w:val="single"/>
    </w:rPr>
  </w:style>
  <w:style w:type="character" w:styleId="50">
    <w:name w:val="annotation reference"/>
    <w:basedOn w:val="44"/>
    <w:unhideWhenUsed/>
    <w:qFormat/>
    <w:uiPriority w:val="99"/>
    <w:rPr>
      <w:sz w:val="21"/>
      <w:szCs w:val="21"/>
    </w:rPr>
  </w:style>
  <w:style w:type="table" w:customStyle="1" w:styleId="51">
    <w:name w:val="Table Normal"/>
    <w:qFormat/>
    <w:uiPriority w:val="0"/>
    <w:tblPr>
      <w:tblCellMar>
        <w:top w:w="0" w:type="dxa"/>
        <w:left w:w="0" w:type="dxa"/>
        <w:bottom w:w="0" w:type="dxa"/>
        <w:right w:w="0" w:type="dxa"/>
      </w:tblCellMar>
    </w:tblPr>
  </w:style>
  <w:style w:type="paragraph" w:customStyle="1" w:styleId="52">
    <w:name w:val="页眉与页脚"/>
    <w:qFormat/>
    <w:uiPriority w:val="0"/>
    <w:pPr>
      <w:tabs>
        <w:tab w:val="right" w:pos="9020"/>
      </w:tabs>
    </w:pPr>
    <w:rPr>
      <w:rFonts w:ascii="Helvetica" w:hAnsi="Helvetica" w:eastAsia="Helvetica" w:cs="Helvetica"/>
      <w:color w:val="000000"/>
      <w:sz w:val="24"/>
      <w:szCs w:val="24"/>
      <w:lang w:val="en-US" w:eastAsia="zh-CN" w:bidi="ar-SA"/>
    </w:rPr>
  </w:style>
  <w:style w:type="paragraph" w:customStyle="1" w:styleId="53">
    <w:name w:val="默认"/>
    <w:qFormat/>
    <w:uiPriority w:val="0"/>
    <w:rPr>
      <w:rFonts w:ascii="Helvetica" w:hAnsi="Helvetica" w:eastAsia="Helvetica" w:cs="Helvetica"/>
      <w:color w:val="000000"/>
      <w:sz w:val="22"/>
      <w:szCs w:val="22"/>
      <w:lang w:val="en-US" w:eastAsia="zh-CN" w:bidi="ar-SA"/>
    </w:rPr>
  </w:style>
  <w:style w:type="paragraph" w:customStyle="1" w:styleId="54">
    <w:name w:val="Propertystatement"/>
    <w:qFormat/>
    <w:uiPriority w:val="0"/>
    <w:pPr>
      <w:spacing w:before="1200"/>
      <w:jc w:val="center"/>
    </w:pPr>
    <w:rPr>
      <w:rFonts w:ascii="宋体" w:hAnsi="宋体" w:eastAsia="宋体" w:cs="宋体"/>
      <w:color w:val="000000"/>
      <w:u w:color="000000"/>
      <w:lang w:val="en-US" w:eastAsia="zh-TW" w:bidi="ar-SA"/>
    </w:rPr>
  </w:style>
  <w:style w:type="paragraph" w:customStyle="1" w:styleId="55">
    <w:name w:val="Style ！标题2 + Times New Roman"/>
    <w:qFormat/>
    <w:uiPriority w:val="0"/>
    <w:pPr>
      <w:keepNext/>
      <w:keepLines/>
      <w:widowControl w:val="0"/>
      <w:spacing w:line="360" w:lineRule="auto"/>
      <w:jc w:val="both"/>
      <w:outlineLvl w:val="0"/>
    </w:pPr>
    <w:rPr>
      <w:rFonts w:ascii="Times New Roman" w:hAnsi="Times New Roman" w:eastAsia="Times New Roman" w:cs="Times New Roman"/>
      <w:b/>
      <w:bCs/>
      <w:color w:val="000000"/>
      <w:kern w:val="2"/>
      <w:sz w:val="24"/>
      <w:szCs w:val="24"/>
      <w:u w:color="000000"/>
      <w:lang w:val="en-US" w:eastAsia="zh-CN" w:bidi="ar-SA"/>
    </w:rPr>
  </w:style>
  <w:style w:type="paragraph" w:customStyle="1" w:styleId="56">
    <w:name w:val="Style ！标题3 + Times New Roman"/>
    <w:qFormat/>
    <w:uiPriority w:val="0"/>
    <w:pPr>
      <w:keepNext/>
      <w:keepLines/>
      <w:widowControl w:val="0"/>
      <w:spacing w:line="360" w:lineRule="auto"/>
      <w:jc w:val="both"/>
      <w:outlineLvl w:val="1"/>
    </w:pPr>
    <w:rPr>
      <w:rFonts w:ascii="Times New Roman" w:hAnsi="Times New Roman" w:eastAsia="Times New Roman" w:cs="Times New Roman"/>
      <w:b/>
      <w:bCs/>
      <w:color w:val="000000"/>
      <w:kern w:val="2"/>
      <w:sz w:val="24"/>
      <w:szCs w:val="24"/>
      <w:u w:color="000000"/>
      <w:lang w:val="en-US" w:eastAsia="zh-CN" w:bidi="ar-SA"/>
    </w:rPr>
  </w:style>
  <w:style w:type="paragraph" w:customStyle="1" w:styleId="57">
    <w:name w:val="！标题2"/>
    <w:next w:val="58"/>
    <w:qFormat/>
    <w:uiPriority w:val="0"/>
    <w:pPr>
      <w:keepNext/>
      <w:keepLines/>
      <w:widowControl w:val="0"/>
      <w:spacing w:line="360" w:lineRule="auto"/>
      <w:jc w:val="both"/>
      <w:outlineLvl w:val="3"/>
    </w:pPr>
    <w:rPr>
      <w:rFonts w:ascii="Cambria" w:hAnsi="Cambria" w:eastAsia="Cambria" w:cs="Cambria"/>
      <w:b/>
      <w:bCs/>
      <w:color w:val="000000"/>
      <w:kern w:val="2"/>
      <w:sz w:val="24"/>
      <w:szCs w:val="24"/>
      <w:u w:color="000000"/>
      <w:lang w:val="en-US" w:eastAsia="zh-CN" w:bidi="ar-SA"/>
    </w:rPr>
  </w:style>
  <w:style w:type="paragraph" w:customStyle="1" w:styleId="58">
    <w:name w:val="！正文"/>
    <w:qFormat/>
    <w:uiPriority w:val="0"/>
    <w:pPr>
      <w:widowControl w:val="0"/>
      <w:spacing w:line="360" w:lineRule="auto"/>
      <w:ind w:firstLine="476"/>
      <w:jc w:val="both"/>
    </w:pPr>
    <w:rPr>
      <w:rFonts w:ascii="Times New Roman" w:hAnsi="Times New Roman" w:eastAsia="宋体" w:cs="Times New Roman"/>
      <w:color w:val="000000"/>
      <w:kern w:val="2"/>
      <w:sz w:val="24"/>
      <w:szCs w:val="24"/>
      <w:u w:color="000000"/>
      <w:lang w:val="en-US" w:eastAsia="zh-CN" w:bidi="ar-SA"/>
    </w:rPr>
  </w:style>
  <w:style w:type="paragraph" w:customStyle="1" w:styleId="59">
    <w:name w:val="！标题3"/>
    <w:next w:val="58"/>
    <w:qFormat/>
    <w:uiPriority w:val="0"/>
    <w:pPr>
      <w:keepNext/>
      <w:keepLines/>
      <w:widowControl w:val="0"/>
      <w:spacing w:line="360" w:lineRule="auto"/>
      <w:jc w:val="both"/>
      <w:outlineLvl w:val="4"/>
    </w:pPr>
    <w:rPr>
      <w:rFonts w:ascii="Times New Roman" w:hAnsi="Times New Roman" w:eastAsia="Times New Roman" w:cs="Times New Roman"/>
      <w:b/>
      <w:bCs/>
      <w:color w:val="000000"/>
      <w:kern w:val="2"/>
      <w:sz w:val="24"/>
      <w:szCs w:val="24"/>
      <w:u w:color="000000"/>
      <w:lang w:val="en-US" w:eastAsia="zh-CN" w:bidi="ar-SA"/>
    </w:rPr>
  </w:style>
  <w:style w:type="paragraph" w:customStyle="1" w:styleId="60">
    <w:name w:val="MoRP List 1-20"/>
    <w:qFormat/>
    <w:uiPriority w:val="0"/>
    <w:pPr>
      <w:tabs>
        <w:tab w:val="left" w:pos="567"/>
        <w:tab w:val="left" w:pos="1985"/>
      </w:tabs>
      <w:spacing w:line="288" w:lineRule="auto"/>
      <w:ind w:left="567" w:hanging="567"/>
      <w:jc w:val="both"/>
    </w:pPr>
    <w:rPr>
      <w:rFonts w:hint="eastAsia" w:ascii="Arial Unicode MS" w:hAnsi="Arial Unicode MS" w:eastAsia="Arial" w:cs="Arial Unicode MS"/>
      <w:color w:val="000000"/>
      <w:sz w:val="22"/>
      <w:szCs w:val="22"/>
      <w:u w:color="000000"/>
      <w:lang w:val="en-US" w:eastAsia="zh-CN" w:bidi="ar-SA"/>
    </w:rPr>
  </w:style>
  <w:style w:type="paragraph" w:customStyle="1" w:styleId="61">
    <w:name w:val="List Paragraph1"/>
    <w:qFormat/>
    <w:uiPriority w:val="0"/>
    <w:pPr>
      <w:widowControl w:val="0"/>
      <w:ind w:firstLine="420"/>
      <w:jc w:val="both"/>
    </w:pPr>
    <w:rPr>
      <w:rFonts w:ascii="Calibri" w:hAnsi="Calibri" w:eastAsia="Calibri" w:cs="Calibri"/>
      <w:color w:val="000000"/>
      <w:kern w:val="2"/>
      <w:sz w:val="21"/>
      <w:szCs w:val="21"/>
      <w:u w:color="000000"/>
      <w:lang w:val="en-US" w:eastAsia="zh-CN" w:bidi="ar-SA"/>
    </w:rPr>
  </w:style>
  <w:style w:type="paragraph" w:customStyle="1" w:styleId="62">
    <w:name w:val="列出段落1"/>
    <w:qFormat/>
    <w:uiPriority w:val="0"/>
    <w:pPr>
      <w:widowControl w:val="0"/>
      <w:ind w:firstLine="420"/>
      <w:jc w:val="both"/>
    </w:pPr>
    <w:rPr>
      <w:rFonts w:ascii="Calibri" w:hAnsi="Calibri" w:eastAsia="Calibri" w:cs="Calibri"/>
      <w:color w:val="000000"/>
      <w:kern w:val="2"/>
      <w:sz w:val="21"/>
      <w:szCs w:val="21"/>
      <w:u w:color="000000"/>
      <w:lang w:val="en-US" w:eastAsia="zh-CN" w:bidi="ar-SA"/>
    </w:rPr>
  </w:style>
  <w:style w:type="character" w:customStyle="1" w:styleId="63">
    <w:name w:val="批注文字 Char"/>
    <w:basedOn w:val="44"/>
    <w:link w:val="17"/>
    <w:qFormat/>
    <w:uiPriority w:val="99"/>
    <w:rPr>
      <w:sz w:val="24"/>
      <w:szCs w:val="24"/>
      <w:lang w:eastAsia="en-US"/>
    </w:rPr>
  </w:style>
  <w:style w:type="character" w:customStyle="1" w:styleId="64">
    <w:name w:val="批注框文本 Char"/>
    <w:basedOn w:val="44"/>
    <w:link w:val="26"/>
    <w:semiHidden/>
    <w:qFormat/>
    <w:uiPriority w:val="99"/>
    <w:rPr>
      <w:sz w:val="18"/>
      <w:szCs w:val="18"/>
      <w:lang w:eastAsia="en-US"/>
    </w:rPr>
  </w:style>
  <w:style w:type="character" w:customStyle="1" w:styleId="65">
    <w:name w:val="long_text"/>
    <w:qFormat/>
    <w:uiPriority w:val="99"/>
  </w:style>
  <w:style w:type="character" w:customStyle="1" w:styleId="66">
    <w:name w:val="日期 Char"/>
    <w:basedOn w:val="44"/>
    <w:link w:val="23"/>
    <w:qFormat/>
    <w:uiPriority w:val="0"/>
    <w:rPr>
      <w:rFonts w:eastAsia="Times New Roman"/>
      <w:color w:val="000000"/>
      <w:sz w:val="24"/>
      <w:szCs w:val="24"/>
      <w:u w:color="000000"/>
    </w:rPr>
  </w:style>
  <w:style w:type="paragraph" w:customStyle="1" w:styleId="67">
    <w:name w:val="列出段落11"/>
    <w:qFormat/>
    <w:uiPriority w:val="0"/>
    <w:pPr>
      <w:widowControl w:val="0"/>
      <w:ind w:firstLine="420"/>
      <w:jc w:val="both"/>
    </w:pPr>
    <w:rPr>
      <w:rFonts w:ascii="Times New Roman" w:hAnsi="Arial Unicode MS" w:eastAsia="Arial Unicode MS" w:cs="Arial Unicode MS"/>
      <w:color w:val="000000"/>
      <w:kern w:val="2"/>
      <w:sz w:val="24"/>
      <w:szCs w:val="24"/>
      <w:u w:color="000000"/>
      <w:lang w:val="en-US" w:eastAsia="zh-CN" w:bidi="ar-SA"/>
    </w:rPr>
  </w:style>
  <w:style w:type="character" w:customStyle="1" w:styleId="68">
    <w:name w:val="apple-converted-space"/>
    <w:basedOn w:val="44"/>
    <w:qFormat/>
    <w:uiPriority w:val="0"/>
  </w:style>
  <w:style w:type="character" w:customStyle="1" w:styleId="69">
    <w:name w:val="标题 Char"/>
    <w:basedOn w:val="44"/>
    <w:link w:val="39"/>
    <w:qFormat/>
    <w:uiPriority w:val="0"/>
    <w:rPr>
      <w:rFonts w:eastAsia="Times New Roman"/>
      <w:b/>
      <w:bCs/>
      <w:color w:val="000000"/>
      <w:kern w:val="44"/>
      <w:u w:color="000000"/>
    </w:rPr>
  </w:style>
  <w:style w:type="character" w:customStyle="1" w:styleId="70">
    <w:name w:val="正文文本 Char"/>
    <w:basedOn w:val="44"/>
    <w:link w:val="2"/>
    <w:qFormat/>
    <w:uiPriority w:val="99"/>
    <w:rPr>
      <w:sz w:val="24"/>
      <w:szCs w:val="24"/>
      <w:lang w:eastAsia="en-US"/>
    </w:rPr>
  </w:style>
  <w:style w:type="character" w:customStyle="1" w:styleId="71">
    <w:name w:val="页脚 Char"/>
    <w:basedOn w:val="44"/>
    <w:link w:val="27"/>
    <w:qFormat/>
    <w:uiPriority w:val="99"/>
    <w:rPr>
      <w:rFonts w:ascii="Calibri" w:hAnsi="Calibri" w:eastAsia="Calibri" w:cs="Calibri"/>
      <w:color w:val="000000"/>
      <w:sz w:val="18"/>
      <w:szCs w:val="18"/>
      <w:u w:color="000000"/>
    </w:rPr>
  </w:style>
  <w:style w:type="paragraph" w:customStyle="1" w:styleId="72">
    <w:name w:val="列出段落2"/>
    <w:qFormat/>
    <w:uiPriority w:val="34"/>
    <w:pPr>
      <w:widowControl w:val="0"/>
      <w:ind w:firstLine="420"/>
      <w:jc w:val="both"/>
    </w:pPr>
    <w:rPr>
      <w:rFonts w:hint="eastAsia" w:ascii="Arial Unicode MS" w:hAnsi="Arial Unicode MS" w:eastAsia="Times New Roman" w:cs="Arial Unicode MS"/>
      <w:color w:val="000000"/>
      <w:kern w:val="2"/>
      <w:sz w:val="24"/>
      <w:szCs w:val="24"/>
      <w:u w:color="000000"/>
      <w:lang w:val="en-US" w:eastAsia="zh-CN" w:bidi="ar-SA"/>
    </w:rPr>
  </w:style>
  <w:style w:type="character" w:customStyle="1" w:styleId="73">
    <w:name w:val="标题 2 Char"/>
    <w:basedOn w:val="44"/>
    <w:link w:val="5"/>
    <w:qFormat/>
    <w:uiPriority w:val="0"/>
    <w:rPr>
      <w:b/>
      <w:bCs/>
      <w:sz w:val="24"/>
      <w:szCs w:val="24"/>
      <w:lang w:eastAsia="en-US"/>
    </w:rPr>
  </w:style>
  <w:style w:type="character" w:customStyle="1" w:styleId="74">
    <w:name w:val="正文文本 2 Char"/>
    <w:basedOn w:val="44"/>
    <w:link w:val="36"/>
    <w:qFormat/>
    <w:uiPriority w:val="99"/>
    <w:rPr>
      <w:sz w:val="24"/>
      <w:szCs w:val="24"/>
      <w:lang w:eastAsia="en-US"/>
    </w:rPr>
  </w:style>
  <w:style w:type="paragraph" w:customStyle="1" w:styleId="75">
    <w:name w:val="paragraph"/>
    <w:qFormat/>
    <w:uiPriority w:val="0"/>
    <w:pPr>
      <w:spacing w:before="120"/>
    </w:pPr>
    <w:rPr>
      <w:rFonts w:hint="eastAsia" w:ascii="Arial Unicode MS" w:hAnsi="Arial Unicode MS" w:eastAsia="Times New Roman" w:cs="Arial Unicode MS"/>
      <w:color w:val="000000"/>
      <w:sz w:val="22"/>
      <w:szCs w:val="22"/>
      <w:u w:color="000000"/>
      <w:lang w:val="en-US" w:eastAsia="zh-CN" w:bidi="ar-SA"/>
    </w:rPr>
  </w:style>
  <w:style w:type="character" w:customStyle="1" w:styleId="76">
    <w:name w:val="页眉 Char"/>
    <w:basedOn w:val="44"/>
    <w:link w:val="28"/>
    <w:qFormat/>
    <w:uiPriority w:val="99"/>
    <w:rPr>
      <w:rFonts w:ascii="Calibri" w:hAnsi="Calibri" w:eastAsia="Calibri" w:cs="Calibri"/>
      <w:color w:val="000000"/>
      <w:sz w:val="18"/>
      <w:szCs w:val="18"/>
      <w:u w:color="000000"/>
    </w:rPr>
  </w:style>
  <w:style w:type="character" w:customStyle="1" w:styleId="77">
    <w:name w:val="ypdrugname"/>
    <w:basedOn w:val="44"/>
    <w:qFormat/>
    <w:uiPriority w:val="0"/>
  </w:style>
  <w:style w:type="paragraph" w:styleId="78">
    <w:name w:val="List Paragraph"/>
    <w:link w:val="108"/>
    <w:qFormat/>
    <w:uiPriority w:val="34"/>
    <w:pPr>
      <w:widowControl w:val="0"/>
      <w:ind w:firstLine="420"/>
      <w:jc w:val="both"/>
    </w:pPr>
    <w:rPr>
      <w:rFonts w:ascii="Times New Roman" w:hAnsi="Arial Unicode MS" w:eastAsia="Arial Unicode MS" w:cs="Arial Unicode MS"/>
      <w:color w:val="000000"/>
      <w:kern w:val="2"/>
      <w:sz w:val="24"/>
      <w:szCs w:val="24"/>
      <w:u w:color="000000"/>
      <w:lang w:val="en-US" w:eastAsia="zh-CN" w:bidi="ar-SA"/>
    </w:rPr>
  </w:style>
  <w:style w:type="character" w:customStyle="1" w:styleId="79">
    <w:name w:val="HTML 预设格式 Char"/>
    <w:basedOn w:val="44"/>
    <w:link w:val="37"/>
    <w:qFormat/>
    <w:uiPriority w:val="0"/>
    <w:rPr>
      <w:rFonts w:ascii="Arial" w:hAnsi="Arial" w:eastAsia="宋体" w:cs="Arial"/>
      <w:sz w:val="24"/>
      <w:szCs w:val="24"/>
    </w:rPr>
  </w:style>
  <w:style w:type="paragraph" w:customStyle="1" w:styleId="80">
    <w:name w:val="Bayer Body Text Full"/>
    <w:link w:val="81"/>
    <w:qFormat/>
    <w:uiPriority w:val="0"/>
    <w:pPr>
      <w:spacing w:before="120" w:after="120"/>
    </w:pPr>
    <w:rPr>
      <w:rFonts w:ascii="Arial Unicode MS" w:hAnsi="Arial Unicode MS" w:eastAsia="Times New Roman" w:cs="Arial Unicode MS"/>
      <w:color w:val="000000"/>
      <w:sz w:val="24"/>
      <w:szCs w:val="24"/>
      <w:u w:color="000000"/>
      <w:lang w:val="en-US" w:eastAsia="zh-CN" w:bidi="ar-SA"/>
    </w:rPr>
  </w:style>
  <w:style w:type="character" w:customStyle="1" w:styleId="81">
    <w:name w:val="Bayer Body Text Full Char"/>
    <w:link w:val="80"/>
    <w:qFormat/>
    <w:uiPriority w:val="0"/>
    <w:rPr>
      <w:rFonts w:ascii="Arial Unicode MS" w:hAnsi="Arial Unicode MS" w:eastAsia="Times New Roman" w:cs="Arial Unicode MS"/>
      <w:color w:val="000000"/>
      <w:sz w:val="24"/>
      <w:szCs w:val="24"/>
      <w:u w:color="000000"/>
    </w:rPr>
  </w:style>
  <w:style w:type="character" w:customStyle="1" w:styleId="82">
    <w:name w:val="副标题 Char"/>
    <w:basedOn w:val="44"/>
    <w:link w:val="31"/>
    <w:qFormat/>
    <w:uiPriority w:val="0"/>
    <w:rPr>
      <w:rFonts w:ascii="Times New Roman Bold" w:hAnsi="Times New Roman Bold" w:eastAsia="Times New Roman Bold" w:cs="Times New Roman Bold"/>
      <w:color w:val="000000"/>
      <w:kern w:val="44"/>
      <w:u w:color="000000"/>
    </w:rPr>
  </w:style>
  <w:style w:type="paragraph" w:customStyle="1" w:styleId="83">
    <w:name w:val="Default"/>
    <w:qFormat/>
    <w:uiPriority w:val="0"/>
    <w:pPr>
      <w:widowControl w:val="0"/>
      <w:jc w:val="both"/>
    </w:pPr>
    <w:rPr>
      <w:rFonts w:ascii="仿宋_GB2312" w:hAnsi="仿宋_GB2312" w:eastAsia="仿宋_GB2312" w:cs="仿宋_GB2312"/>
      <w:color w:val="000000"/>
      <w:sz w:val="24"/>
      <w:szCs w:val="24"/>
      <w:u w:color="000000"/>
      <w:lang w:val="en-US" w:eastAsia="zh-CN" w:bidi="ar-SA"/>
    </w:rPr>
  </w:style>
  <w:style w:type="character" w:customStyle="1" w:styleId="84">
    <w:name w:val="题注 Char"/>
    <w:link w:val="15"/>
    <w:qFormat/>
    <w:locked/>
    <w:uiPriority w:val="35"/>
    <w:rPr>
      <w:rFonts w:eastAsia="Arial Unicode MS"/>
      <w:b/>
      <w:u w:color="000000"/>
    </w:rPr>
  </w:style>
  <w:style w:type="paragraph" w:customStyle="1" w:styleId="85">
    <w:name w:val="表格"/>
    <w:basedOn w:val="1"/>
    <w:qFormat/>
    <w:uiPriority w:val="0"/>
    <w:pPr>
      <w:widowControl w:val="0"/>
      <w:jc w:val="both"/>
    </w:pPr>
    <w:rPr>
      <w:rFonts w:eastAsia="宋体"/>
      <w:kern w:val="2"/>
      <w:sz w:val="21"/>
      <w:szCs w:val="20"/>
      <w:lang w:eastAsia="zh-CN"/>
    </w:rPr>
  </w:style>
  <w:style w:type="character" w:customStyle="1" w:styleId="86">
    <w:name w:val="正文首行缩进 Char"/>
    <w:basedOn w:val="70"/>
    <w:link w:val="41"/>
    <w:qFormat/>
    <w:uiPriority w:val="99"/>
    <w:rPr>
      <w:sz w:val="24"/>
      <w:szCs w:val="24"/>
      <w:lang w:eastAsia="en-US"/>
    </w:rPr>
  </w:style>
  <w:style w:type="paragraph" w:customStyle="1" w:styleId="87">
    <w:name w:val="Bullet Bayer Body Text Full"/>
    <w:qFormat/>
    <w:uiPriority w:val="0"/>
    <w:pPr>
      <w:spacing w:before="120" w:after="120"/>
    </w:pPr>
    <w:rPr>
      <w:rFonts w:hint="eastAsia" w:ascii="Arial Unicode MS" w:hAnsi="Arial Unicode MS" w:eastAsia="Times New Roman" w:cs="Arial Unicode MS"/>
      <w:color w:val="000000"/>
      <w:sz w:val="24"/>
      <w:szCs w:val="24"/>
      <w:u w:color="000000"/>
      <w:lang w:val="en-US" w:eastAsia="zh-CN" w:bidi="ar-SA"/>
    </w:rPr>
  </w:style>
  <w:style w:type="character" w:customStyle="1" w:styleId="88">
    <w:name w:val="标题 3 Char"/>
    <w:basedOn w:val="44"/>
    <w:link w:val="6"/>
    <w:qFormat/>
    <w:uiPriority w:val="9"/>
    <w:rPr>
      <w:rFonts w:eastAsiaTheme="minorEastAsia"/>
      <w:b/>
      <w:bCs/>
      <w:sz w:val="24"/>
      <w:szCs w:val="24"/>
    </w:rPr>
  </w:style>
  <w:style w:type="character" w:customStyle="1" w:styleId="89">
    <w:name w:val="标题 6 Char"/>
    <w:basedOn w:val="44"/>
    <w:link w:val="9"/>
    <w:semiHidden/>
    <w:qFormat/>
    <w:uiPriority w:val="9"/>
    <w:rPr>
      <w:rFonts w:asciiTheme="majorHAnsi" w:hAnsiTheme="majorHAnsi" w:eastAsiaTheme="majorEastAsia" w:cstheme="majorBidi"/>
      <w:b/>
      <w:bCs/>
      <w:sz w:val="24"/>
      <w:szCs w:val="24"/>
      <w:lang w:eastAsia="en-US"/>
    </w:rPr>
  </w:style>
  <w:style w:type="character" w:customStyle="1" w:styleId="90">
    <w:name w:val="正文文本缩进 Char"/>
    <w:basedOn w:val="44"/>
    <w:link w:val="18"/>
    <w:qFormat/>
    <w:uiPriority w:val="0"/>
    <w:rPr>
      <w:rFonts w:hAnsi="Arial Unicode MS" w:eastAsia="Arial Unicode MS" w:cs="Arial Unicode MS"/>
      <w:color w:val="000000"/>
      <w:kern w:val="2"/>
      <w:sz w:val="24"/>
      <w:szCs w:val="24"/>
      <w:u w:color="000000"/>
    </w:rPr>
  </w:style>
  <w:style w:type="paragraph" w:customStyle="1" w:styleId="91">
    <w:name w:val="图表居中"/>
    <w:qFormat/>
    <w:uiPriority w:val="0"/>
    <w:pPr>
      <w:widowControl w:val="0"/>
      <w:jc w:val="center"/>
    </w:pPr>
    <w:rPr>
      <w:rFonts w:ascii="Arial" w:hAnsi="Arial" w:eastAsia="Arial" w:cs="Arial"/>
      <w:color w:val="000000"/>
      <w:kern w:val="2"/>
      <w:u w:color="000000"/>
      <w:lang w:val="en-US" w:eastAsia="zh-CN" w:bidi="ar-SA"/>
    </w:rPr>
  </w:style>
  <w:style w:type="character" w:customStyle="1" w:styleId="92">
    <w:name w:val="Hyperlink.0"/>
    <w:basedOn w:val="65"/>
    <w:qFormat/>
    <w:uiPriority w:val="0"/>
    <w:rPr>
      <w:spacing w:val="8"/>
      <w:sz w:val="21"/>
      <w:szCs w:val="21"/>
    </w:rPr>
  </w:style>
  <w:style w:type="character" w:customStyle="1" w:styleId="93">
    <w:name w:val="Hyperlink.1"/>
    <w:basedOn w:val="65"/>
    <w:qFormat/>
    <w:uiPriority w:val="0"/>
    <w:rPr>
      <w:rFonts w:ascii="宋体" w:hAnsi="宋体" w:eastAsia="宋体" w:cs="宋体"/>
      <w:kern w:val="0"/>
      <w:lang w:val="en-US" w:eastAsia="zh-TW"/>
    </w:rPr>
  </w:style>
  <w:style w:type="character" w:customStyle="1" w:styleId="94">
    <w:name w:val="Hyperlink.2"/>
    <w:basedOn w:val="65"/>
    <w:qFormat/>
    <w:uiPriority w:val="0"/>
    <w:rPr>
      <w:rFonts w:ascii="宋体" w:hAnsi="宋体" w:eastAsia="宋体" w:cs="宋体"/>
      <w:color w:val="000000"/>
      <w:spacing w:val="0"/>
      <w:kern w:val="0"/>
      <w:position w:val="0"/>
      <w:sz w:val="18"/>
      <w:szCs w:val="18"/>
      <w:u w:val="none" w:color="000000"/>
      <w:vertAlign w:val="baseline"/>
      <w:lang w:val="en-US" w:eastAsia="zh-TW"/>
    </w:rPr>
  </w:style>
  <w:style w:type="paragraph" w:customStyle="1" w:styleId="95">
    <w:name w:val="Abstract"/>
    <w:qFormat/>
    <w:uiPriority w:val="0"/>
    <w:pPr>
      <w:widowControl w:val="0"/>
      <w:tabs>
        <w:tab w:val="left" w:pos="2880"/>
        <w:tab w:val="left" w:pos="3960"/>
        <w:tab w:val="left" w:pos="5040"/>
        <w:tab w:val="left" w:pos="7200"/>
        <w:tab w:val="right" w:pos="9360"/>
      </w:tabs>
      <w:spacing w:after="58" w:line="271" w:lineRule="atLeast"/>
    </w:pPr>
    <w:rPr>
      <w:rFonts w:ascii="Times New Roman" w:hAnsi="Times New Roman" w:eastAsia="宋体" w:cs="Times New Roman"/>
      <w:sz w:val="24"/>
      <w:lang w:val="en-US" w:eastAsia="en-US" w:bidi="ar-SA"/>
    </w:rPr>
  </w:style>
  <w:style w:type="paragraph" w:customStyle="1" w:styleId="96">
    <w:name w:val="_Style 10"/>
    <w:basedOn w:val="1"/>
    <w:qFormat/>
    <w:uiPriority w:val="0"/>
    <w:rPr>
      <w:rFonts w:eastAsia="宋体"/>
    </w:rPr>
  </w:style>
  <w:style w:type="character" w:customStyle="1" w:styleId="97">
    <w:name w:val="批注主题 Char"/>
    <w:basedOn w:val="63"/>
    <w:link w:val="40"/>
    <w:semiHidden/>
    <w:qFormat/>
    <w:uiPriority w:val="99"/>
    <w:rPr>
      <w:b/>
      <w:bCs/>
      <w:sz w:val="24"/>
      <w:szCs w:val="24"/>
      <w:lang w:eastAsia="en-US"/>
    </w:rPr>
  </w:style>
  <w:style w:type="paragraph" w:customStyle="1" w:styleId="98">
    <w:name w:val="修订1"/>
    <w:hidden/>
    <w:semiHidden/>
    <w:qFormat/>
    <w:uiPriority w:val="99"/>
    <w:rPr>
      <w:rFonts w:ascii="Times New Roman" w:hAnsi="Times New Roman" w:cs="Times New Roman" w:eastAsiaTheme="minorEastAsia"/>
      <w:sz w:val="24"/>
      <w:szCs w:val="24"/>
      <w:lang w:val="en-US" w:eastAsia="en-US" w:bidi="ar-SA"/>
    </w:rPr>
  </w:style>
  <w:style w:type="paragraph" w:customStyle="1" w:styleId="99">
    <w:name w:val="Table Cell Text 12pt"/>
    <w:basedOn w:val="1"/>
    <w:link w:val="100"/>
    <w:qFormat/>
    <w:uiPriority w:val="99"/>
    <w:pPr>
      <w:keepNext/>
      <w:spacing w:before="40" w:after="40"/>
      <w:jc w:val="center"/>
    </w:pPr>
    <w:rPr>
      <w:rFonts w:eastAsia="MS Mincho"/>
      <w:kern w:val="24"/>
      <w:lang w:eastAsia="ja-JP"/>
    </w:rPr>
  </w:style>
  <w:style w:type="character" w:customStyle="1" w:styleId="100">
    <w:name w:val="Table Cell Text 12pt Char"/>
    <w:basedOn w:val="44"/>
    <w:link w:val="99"/>
    <w:qFormat/>
    <w:locked/>
    <w:uiPriority w:val="99"/>
    <w:rPr>
      <w:rFonts w:eastAsia="MS Mincho"/>
      <w:kern w:val="24"/>
      <w:sz w:val="24"/>
      <w:szCs w:val="24"/>
      <w:lang w:eastAsia="ja-JP"/>
    </w:rPr>
  </w:style>
  <w:style w:type="paragraph" w:customStyle="1" w:styleId="101">
    <w:name w:val="Normal (Web)1"/>
    <w:basedOn w:val="1"/>
    <w:qFormat/>
    <w:uiPriority w:val="0"/>
    <w:pPr>
      <w:spacing w:before="100" w:beforeAutospacing="1" w:after="100" w:afterAutospacing="1"/>
    </w:pPr>
    <w:rPr>
      <w:rFonts w:eastAsia="MS Mincho"/>
      <w:u w:color="000000"/>
    </w:rPr>
  </w:style>
  <w:style w:type="paragraph" w:customStyle="1" w:styleId="102">
    <w:name w:val="样式1"/>
    <w:basedOn w:val="3"/>
    <w:link w:val="104"/>
    <w:qFormat/>
    <w:uiPriority w:val="0"/>
    <w:pPr>
      <w:keepNext w:val="0"/>
      <w:keepLines w:val="0"/>
      <w:tabs>
        <w:tab w:val="left" w:pos="420"/>
      </w:tabs>
      <w:spacing w:line="440" w:lineRule="exact"/>
      <w:jc w:val="left"/>
    </w:pPr>
    <w:rPr>
      <w:rFonts w:ascii="宋体" w:hAnsi="宋体" w:cs="宋体"/>
      <w:lang w:eastAsia="zh-TW"/>
    </w:rPr>
  </w:style>
  <w:style w:type="paragraph" w:customStyle="1" w:styleId="103">
    <w:name w:val="样式2"/>
    <w:basedOn w:val="80"/>
    <w:next w:val="5"/>
    <w:link w:val="105"/>
    <w:qFormat/>
    <w:uiPriority w:val="0"/>
    <w:pPr>
      <w:widowControl w:val="0"/>
      <w:tabs>
        <w:tab w:val="left" w:pos="420"/>
      </w:tabs>
      <w:spacing w:beforeLines="50" w:after="0" w:line="440" w:lineRule="exact"/>
      <w:outlineLvl w:val="1"/>
    </w:pPr>
    <w:rPr>
      <w:rFonts w:ascii="Times New Roman Bold" w:eastAsia="宋体"/>
      <w:b/>
    </w:rPr>
  </w:style>
  <w:style w:type="character" w:customStyle="1" w:styleId="104">
    <w:name w:val="样式1 Char"/>
    <w:basedOn w:val="44"/>
    <w:link w:val="102"/>
    <w:qFormat/>
    <w:uiPriority w:val="0"/>
    <w:rPr>
      <w:rFonts w:ascii="宋体" w:hAnsi="宋体" w:cs="宋体"/>
      <w:b/>
      <w:bCs/>
      <w:kern w:val="44"/>
      <w:sz w:val="28"/>
      <w:szCs w:val="28"/>
      <w:u w:color="000000"/>
      <w:lang w:eastAsia="zh-TW"/>
    </w:rPr>
  </w:style>
  <w:style w:type="character" w:customStyle="1" w:styleId="105">
    <w:name w:val="样式2 Char"/>
    <w:basedOn w:val="81"/>
    <w:link w:val="103"/>
    <w:qFormat/>
    <w:uiPriority w:val="0"/>
    <w:rPr>
      <w:rFonts w:ascii="Times New Roman Bold" w:hAnsi="Arial Unicode MS" w:eastAsia="宋体" w:cs="Arial Unicode MS"/>
      <w:b/>
      <w:color w:val="000000"/>
      <w:sz w:val="24"/>
      <w:szCs w:val="24"/>
      <w:u w:color="000000"/>
    </w:rPr>
  </w:style>
  <w:style w:type="paragraph" w:customStyle="1" w:styleId="106">
    <w:name w:val="样式3"/>
    <w:basedOn w:val="80"/>
    <w:next w:val="6"/>
    <w:link w:val="107"/>
    <w:qFormat/>
    <w:uiPriority w:val="0"/>
    <w:pPr>
      <w:widowControl w:val="0"/>
      <w:tabs>
        <w:tab w:val="left" w:pos="420"/>
      </w:tabs>
      <w:spacing w:beforeLines="50" w:after="0" w:line="440" w:lineRule="exact"/>
      <w:outlineLvl w:val="2"/>
    </w:pPr>
    <w:rPr>
      <w:rFonts w:ascii="Times New Roman Bold" w:eastAsia="宋体"/>
      <w:b/>
    </w:rPr>
  </w:style>
  <w:style w:type="character" w:customStyle="1" w:styleId="107">
    <w:name w:val="样式3 Char"/>
    <w:basedOn w:val="81"/>
    <w:link w:val="106"/>
    <w:qFormat/>
    <w:uiPriority w:val="0"/>
    <w:rPr>
      <w:rFonts w:ascii="Times New Roman Bold" w:hAnsi="Arial Unicode MS" w:eastAsia="宋体" w:cs="Arial Unicode MS"/>
      <w:b/>
      <w:color w:val="000000"/>
      <w:sz w:val="24"/>
      <w:szCs w:val="24"/>
      <w:u w:color="000000"/>
    </w:rPr>
  </w:style>
  <w:style w:type="character" w:customStyle="1" w:styleId="108">
    <w:name w:val="列出段落 Char"/>
    <w:basedOn w:val="44"/>
    <w:link w:val="78"/>
    <w:qFormat/>
    <w:uiPriority w:val="34"/>
    <w:rPr>
      <w:rFonts w:hAnsi="Arial Unicode MS" w:eastAsia="Arial Unicode MS" w:cs="Arial Unicode MS"/>
      <w:color w:val="000000"/>
      <w:kern w:val="2"/>
      <w:sz w:val="24"/>
      <w:szCs w:val="24"/>
      <w:u w:color="000000"/>
    </w:rPr>
  </w:style>
  <w:style w:type="character" w:customStyle="1" w:styleId="109">
    <w:name w:val="纯文本 字符"/>
    <w:basedOn w:val="44"/>
    <w:semiHidden/>
    <w:qFormat/>
    <w:uiPriority w:val="99"/>
    <w:rPr>
      <w:rFonts w:hAnsi="Courier New" w:cs="Courier New" w:asciiTheme="minorEastAsia"/>
      <w:sz w:val="24"/>
      <w:szCs w:val="24"/>
      <w:lang w:eastAsia="en-US"/>
    </w:rPr>
  </w:style>
  <w:style w:type="character" w:customStyle="1" w:styleId="110">
    <w:name w:val="纯文本 Char"/>
    <w:link w:val="21"/>
    <w:qFormat/>
    <w:uiPriority w:val="99"/>
    <w:rPr>
      <w:rFonts w:asciiTheme="minorEastAsia" w:hAnsiTheme="minorEastAsia"/>
      <w:color w:val="231F20"/>
      <w:sz w:val="24"/>
      <w:szCs w:val="21"/>
    </w:rPr>
  </w:style>
  <w:style w:type="paragraph" w:customStyle="1" w:styleId="111">
    <w:name w:val="p0"/>
    <w:basedOn w:val="1"/>
    <w:qFormat/>
    <w:uiPriority w:val="0"/>
    <w:pPr>
      <w:jc w:val="both"/>
    </w:pPr>
    <w:rPr>
      <w:rFonts w:eastAsia="宋体"/>
      <w:sz w:val="21"/>
      <w:szCs w:val="21"/>
      <w:lang w:eastAsia="zh-CN"/>
    </w:rPr>
  </w:style>
  <w:style w:type="character" w:customStyle="1" w:styleId="112">
    <w:name w:val="标题 1 Char"/>
    <w:basedOn w:val="44"/>
    <w:link w:val="3"/>
    <w:qFormat/>
    <w:uiPriority w:val="0"/>
    <w:rPr>
      <w:b/>
      <w:bCs/>
      <w:kern w:val="44"/>
      <w:sz w:val="28"/>
      <w:szCs w:val="28"/>
      <w:u w:color="000000"/>
    </w:rPr>
  </w:style>
  <w:style w:type="paragraph" w:customStyle="1" w:styleId="113">
    <w:name w:val="标题4"/>
    <w:qFormat/>
    <w:uiPriority w:val="0"/>
    <w:pPr>
      <w:widowControl w:val="0"/>
      <w:spacing w:beforeLines="50" w:afterLines="50" w:line="360" w:lineRule="auto"/>
      <w:jc w:val="both"/>
    </w:pPr>
    <w:rPr>
      <w:rFonts w:ascii="Times New Roman" w:hAnsi="Times New Roman" w:eastAsia="宋体" w:cs="Calibri"/>
      <w:b/>
      <w:color w:val="000000"/>
      <w:kern w:val="2"/>
      <w:sz w:val="24"/>
      <w:szCs w:val="21"/>
      <w:u w:color="000000"/>
      <w:lang w:val="en-US" w:eastAsia="zh-CN" w:bidi="ar-SA"/>
    </w:rPr>
  </w:style>
  <w:style w:type="paragraph" w:customStyle="1" w:styleId="114">
    <w:name w:val="Protocol Text 1"/>
    <w:basedOn w:val="1"/>
    <w:qFormat/>
    <w:uiPriority w:val="0"/>
    <w:pPr>
      <w:spacing w:after="240" w:line="300" w:lineRule="exact"/>
    </w:pPr>
    <w:rPr>
      <w:rFonts w:eastAsia="宋体"/>
      <w:color w:val="000000"/>
      <w:szCs w:val="20"/>
    </w:rPr>
  </w:style>
  <w:style w:type="paragraph" w:customStyle="1" w:styleId="115">
    <w:name w:val="font5"/>
    <w:basedOn w:val="1"/>
    <w:qFormat/>
    <w:uiPriority w:val="0"/>
    <w:pPr>
      <w:spacing w:before="100" w:beforeAutospacing="1" w:after="100" w:afterAutospacing="1"/>
    </w:pPr>
    <w:rPr>
      <w:rFonts w:ascii="宋体" w:hAnsi="宋体" w:eastAsia="宋体" w:cs="宋体"/>
      <w:b/>
      <w:bCs/>
      <w:color w:val="000000"/>
      <w:sz w:val="22"/>
      <w:szCs w:val="22"/>
      <w:lang w:eastAsia="zh-CN"/>
    </w:rPr>
  </w:style>
  <w:style w:type="paragraph" w:customStyle="1" w:styleId="116">
    <w:name w:val="font6"/>
    <w:basedOn w:val="1"/>
    <w:qFormat/>
    <w:uiPriority w:val="0"/>
    <w:pPr>
      <w:spacing w:before="100" w:beforeAutospacing="1" w:after="100" w:afterAutospacing="1"/>
    </w:pPr>
    <w:rPr>
      <w:rFonts w:ascii="宋体" w:hAnsi="宋体" w:eastAsia="宋体" w:cs="宋体"/>
      <w:b/>
      <w:bCs/>
      <w:color w:val="000000"/>
      <w:sz w:val="16"/>
      <w:szCs w:val="16"/>
      <w:lang w:eastAsia="zh-CN"/>
    </w:rPr>
  </w:style>
  <w:style w:type="paragraph" w:customStyle="1" w:styleId="117">
    <w:name w:val="font7"/>
    <w:basedOn w:val="1"/>
    <w:qFormat/>
    <w:uiPriority w:val="0"/>
    <w:pPr>
      <w:spacing w:before="100" w:beforeAutospacing="1" w:after="100" w:afterAutospacing="1"/>
    </w:pPr>
    <w:rPr>
      <w:rFonts w:ascii="宋体" w:hAnsi="宋体" w:eastAsia="宋体" w:cs="宋体"/>
      <w:color w:val="000000"/>
      <w:sz w:val="22"/>
      <w:szCs w:val="22"/>
      <w:lang w:eastAsia="zh-CN"/>
    </w:rPr>
  </w:style>
  <w:style w:type="paragraph" w:customStyle="1" w:styleId="118">
    <w:name w:val="font8"/>
    <w:basedOn w:val="1"/>
    <w:qFormat/>
    <w:uiPriority w:val="0"/>
    <w:pPr>
      <w:spacing w:before="100" w:beforeAutospacing="1" w:after="100" w:afterAutospacing="1"/>
    </w:pPr>
    <w:rPr>
      <w:rFonts w:eastAsia="宋体"/>
      <w:b/>
      <w:bCs/>
      <w:color w:val="000000"/>
      <w:sz w:val="22"/>
      <w:szCs w:val="22"/>
      <w:lang w:eastAsia="zh-CN"/>
    </w:rPr>
  </w:style>
  <w:style w:type="paragraph" w:customStyle="1" w:styleId="119">
    <w:name w:val="font9"/>
    <w:basedOn w:val="1"/>
    <w:qFormat/>
    <w:uiPriority w:val="0"/>
    <w:pPr>
      <w:spacing w:before="100" w:beforeAutospacing="1" w:after="100" w:afterAutospacing="1"/>
    </w:pPr>
    <w:rPr>
      <w:rFonts w:eastAsia="宋体"/>
      <w:color w:val="000000"/>
      <w:sz w:val="18"/>
      <w:szCs w:val="18"/>
      <w:lang w:eastAsia="zh-CN"/>
    </w:rPr>
  </w:style>
  <w:style w:type="paragraph" w:customStyle="1" w:styleId="120">
    <w:name w:val="font10"/>
    <w:basedOn w:val="1"/>
    <w:qFormat/>
    <w:uiPriority w:val="0"/>
    <w:pPr>
      <w:spacing w:before="100" w:beforeAutospacing="1" w:after="100" w:afterAutospacing="1"/>
    </w:pPr>
    <w:rPr>
      <w:rFonts w:eastAsia="宋体"/>
      <w:b/>
      <w:bCs/>
      <w:color w:val="000000"/>
      <w:sz w:val="16"/>
      <w:szCs w:val="16"/>
      <w:lang w:eastAsia="zh-CN"/>
    </w:rPr>
  </w:style>
  <w:style w:type="paragraph" w:customStyle="1" w:styleId="121">
    <w:name w:val="font11"/>
    <w:basedOn w:val="1"/>
    <w:qFormat/>
    <w:uiPriority w:val="0"/>
    <w:pPr>
      <w:spacing w:before="100" w:beforeAutospacing="1" w:after="100" w:afterAutospacing="1"/>
    </w:pPr>
    <w:rPr>
      <w:rFonts w:eastAsia="宋体"/>
      <w:color w:val="000000"/>
      <w:sz w:val="22"/>
      <w:szCs w:val="22"/>
      <w:lang w:eastAsia="zh-CN"/>
    </w:rPr>
  </w:style>
  <w:style w:type="paragraph" w:customStyle="1" w:styleId="122">
    <w:name w:val="font12"/>
    <w:basedOn w:val="1"/>
    <w:qFormat/>
    <w:uiPriority w:val="0"/>
    <w:pPr>
      <w:spacing w:before="100" w:beforeAutospacing="1" w:after="100" w:afterAutospacing="1"/>
    </w:pPr>
    <w:rPr>
      <w:rFonts w:eastAsia="宋体"/>
      <w:color w:val="000000"/>
      <w:sz w:val="15"/>
      <w:szCs w:val="15"/>
      <w:lang w:eastAsia="zh-CN"/>
    </w:rPr>
  </w:style>
  <w:style w:type="paragraph" w:customStyle="1" w:styleId="123">
    <w:name w:val="font13"/>
    <w:basedOn w:val="1"/>
    <w:qFormat/>
    <w:uiPriority w:val="0"/>
    <w:pPr>
      <w:spacing w:before="100" w:beforeAutospacing="1" w:after="100" w:afterAutospacing="1"/>
    </w:pPr>
    <w:rPr>
      <w:rFonts w:ascii="宋体" w:hAnsi="宋体" w:eastAsia="宋体" w:cs="宋体"/>
      <w:sz w:val="18"/>
      <w:szCs w:val="18"/>
      <w:lang w:eastAsia="zh-CN"/>
    </w:rPr>
  </w:style>
  <w:style w:type="paragraph" w:customStyle="1" w:styleId="124">
    <w:name w:val="font14"/>
    <w:basedOn w:val="1"/>
    <w:qFormat/>
    <w:uiPriority w:val="0"/>
    <w:pPr>
      <w:spacing w:before="100" w:beforeAutospacing="1" w:after="100" w:afterAutospacing="1"/>
    </w:pPr>
    <w:rPr>
      <w:rFonts w:eastAsia="宋体"/>
      <w:color w:val="FF0000"/>
      <w:sz w:val="15"/>
      <w:szCs w:val="15"/>
      <w:lang w:eastAsia="zh-CN"/>
    </w:rPr>
  </w:style>
  <w:style w:type="paragraph" w:customStyle="1" w:styleId="125">
    <w:name w:val="font15"/>
    <w:basedOn w:val="1"/>
    <w:qFormat/>
    <w:uiPriority w:val="0"/>
    <w:pPr>
      <w:spacing w:before="100" w:beforeAutospacing="1" w:after="100" w:afterAutospacing="1"/>
    </w:pPr>
    <w:rPr>
      <w:rFonts w:ascii="宋体" w:hAnsi="宋体" w:eastAsia="宋体" w:cs="宋体"/>
      <w:color w:val="FF0000"/>
      <w:sz w:val="15"/>
      <w:szCs w:val="15"/>
      <w:lang w:eastAsia="zh-CN"/>
    </w:rPr>
  </w:style>
  <w:style w:type="paragraph" w:customStyle="1" w:styleId="126">
    <w:name w:val="xl65"/>
    <w:basedOn w:val="1"/>
    <w:qFormat/>
    <w:uiPriority w:val="0"/>
    <w:pPr>
      <w:pBdr>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sz w:val="18"/>
      <w:szCs w:val="18"/>
      <w:lang w:eastAsia="zh-CN"/>
    </w:rPr>
  </w:style>
  <w:style w:type="paragraph" w:customStyle="1" w:styleId="127">
    <w:name w:val="xl66"/>
    <w:basedOn w:val="1"/>
    <w:qFormat/>
    <w:uiPriority w:val="0"/>
    <w:pPr>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lang w:eastAsia="zh-CN"/>
    </w:rPr>
  </w:style>
  <w:style w:type="paragraph" w:customStyle="1" w:styleId="128">
    <w:name w:val="xl67"/>
    <w:basedOn w:val="1"/>
    <w:qFormat/>
    <w:uiPriority w:val="0"/>
    <w:pPr>
      <w:pBdr>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sz w:val="16"/>
      <w:szCs w:val="16"/>
      <w:lang w:eastAsia="zh-CN"/>
    </w:rPr>
  </w:style>
  <w:style w:type="paragraph" w:customStyle="1" w:styleId="129">
    <w:name w:val="xl68"/>
    <w:basedOn w:val="1"/>
    <w:qFormat/>
    <w:uiPriority w:val="0"/>
    <w:pPr>
      <w:pBdr>
        <w:bottom w:val="single" w:color="auto" w:sz="8" w:space="0"/>
        <w:right w:val="single" w:color="auto" w:sz="8" w:space="0"/>
      </w:pBdr>
      <w:spacing w:before="100" w:beforeAutospacing="1" w:after="100" w:afterAutospacing="1"/>
      <w:jc w:val="center"/>
      <w:textAlignment w:val="center"/>
    </w:pPr>
    <w:rPr>
      <w:rFonts w:ascii="宋体" w:hAnsi="宋体" w:eastAsia="宋体" w:cs="宋体"/>
      <w:color w:val="000000"/>
      <w:sz w:val="15"/>
      <w:szCs w:val="15"/>
      <w:lang w:eastAsia="zh-CN"/>
    </w:rPr>
  </w:style>
  <w:style w:type="paragraph" w:customStyle="1" w:styleId="130">
    <w:name w:val="xl69"/>
    <w:basedOn w:val="1"/>
    <w:qFormat/>
    <w:uiPriority w:val="0"/>
    <w:pPr>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color w:val="000000"/>
      <w:sz w:val="15"/>
      <w:szCs w:val="15"/>
      <w:lang w:eastAsia="zh-CN"/>
    </w:rPr>
  </w:style>
  <w:style w:type="paragraph" w:customStyle="1" w:styleId="131">
    <w:name w:val="xl70"/>
    <w:basedOn w:val="1"/>
    <w:qFormat/>
    <w:uiPriority w:val="0"/>
    <w:pPr>
      <w:pBdr>
        <w:left w:val="single" w:color="auto" w:sz="8" w:space="0"/>
        <w:bottom w:val="single" w:color="auto" w:sz="8" w:space="0"/>
        <w:right w:val="single" w:color="auto" w:sz="8" w:space="0"/>
      </w:pBdr>
      <w:shd w:val="clear" w:color="000000" w:fill="FFFFFF"/>
      <w:spacing w:before="100" w:beforeAutospacing="1" w:after="100" w:afterAutospacing="1"/>
      <w:jc w:val="center"/>
      <w:textAlignment w:val="center"/>
    </w:pPr>
    <w:rPr>
      <w:rFonts w:ascii="宋体" w:hAnsi="宋体" w:eastAsia="宋体" w:cs="宋体"/>
      <w:color w:val="000000"/>
      <w:sz w:val="15"/>
      <w:szCs w:val="15"/>
      <w:lang w:eastAsia="zh-CN"/>
    </w:rPr>
  </w:style>
  <w:style w:type="paragraph" w:customStyle="1" w:styleId="132">
    <w:name w:val="xl71"/>
    <w:basedOn w:val="1"/>
    <w:qFormat/>
    <w:uiPriority w:val="0"/>
    <w:pPr>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lang w:eastAsia="zh-CN"/>
    </w:rPr>
  </w:style>
  <w:style w:type="paragraph" w:customStyle="1" w:styleId="133">
    <w:name w:val="xl72"/>
    <w:basedOn w:val="1"/>
    <w:qFormat/>
    <w:uiPriority w:val="0"/>
    <w:pPr>
      <w:pBdr>
        <w:bottom w:val="single" w:color="auto" w:sz="8" w:space="0"/>
        <w:right w:val="single" w:color="auto" w:sz="8" w:space="0"/>
      </w:pBdr>
      <w:spacing w:before="100" w:beforeAutospacing="1" w:after="100" w:afterAutospacing="1"/>
      <w:jc w:val="center"/>
      <w:textAlignment w:val="center"/>
    </w:pPr>
    <w:rPr>
      <w:rFonts w:eastAsia="宋体"/>
      <w:b/>
      <w:bCs/>
      <w:color w:val="000000"/>
      <w:sz w:val="18"/>
      <w:szCs w:val="18"/>
      <w:lang w:eastAsia="zh-CN"/>
    </w:rPr>
  </w:style>
  <w:style w:type="paragraph" w:customStyle="1" w:styleId="134">
    <w:name w:val="xl73"/>
    <w:basedOn w:val="1"/>
    <w:qFormat/>
    <w:uiPriority w:val="0"/>
    <w:pPr>
      <w:pBdr>
        <w:bottom w:val="single" w:color="auto" w:sz="8" w:space="0"/>
        <w:right w:val="single" w:color="auto" w:sz="8" w:space="0"/>
      </w:pBdr>
      <w:shd w:val="clear" w:color="000000" w:fill="FFFF00"/>
      <w:spacing w:before="100" w:beforeAutospacing="1" w:after="100" w:afterAutospacing="1"/>
      <w:jc w:val="center"/>
      <w:textAlignment w:val="center"/>
    </w:pPr>
    <w:rPr>
      <w:rFonts w:eastAsia="宋体"/>
      <w:b/>
      <w:bCs/>
      <w:color w:val="000000"/>
      <w:sz w:val="18"/>
      <w:szCs w:val="18"/>
      <w:lang w:eastAsia="zh-CN"/>
    </w:rPr>
  </w:style>
  <w:style w:type="paragraph" w:customStyle="1" w:styleId="135">
    <w:name w:val="xl74"/>
    <w:basedOn w:val="1"/>
    <w:qFormat/>
    <w:uiPriority w:val="0"/>
    <w:pPr>
      <w:pBdr>
        <w:bottom w:val="single" w:color="auto" w:sz="8" w:space="0"/>
        <w:right w:val="single" w:color="auto" w:sz="8" w:space="0"/>
      </w:pBdr>
      <w:spacing w:before="100" w:beforeAutospacing="1" w:after="100" w:afterAutospacing="1"/>
      <w:jc w:val="center"/>
      <w:textAlignment w:val="center"/>
    </w:pPr>
    <w:rPr>
      <w:rFonts w:eastAsia="宋体"/>
      <w:color w:val="000000"/>
      <w:sz w:val="15"/>
      <w:szCs w:val="15"/>
      <w:lang w:eastAsia="zh-CN"/>
    </w:rPr>
  </w:style>
  <w:style w:type="paragraph" w:customStyle="1" w:styleId="136">
    <w:name w:val="xl75"/>
    <w:basedOn w:val="1"/>
    <w:qFormat/>
    <w:uiPriority w:val="0"/>
    <w:pPr>
      <w:pBdr>
        <w:left w:val="single" w:color="auto" w:sz="8" w:space="0"/>
        <w:bottom w:val="single" w:color="auto" w:sz="8" w:space="0"/>
        <w:right w:val="single" w:color="auto" w:sz="8" w:space="0"/>
      </w:pBdr>
      <w:spacing w:before="100" w:beforeAutospacing="1" w:after="100" w:afterAutospacing="1"/>
      <w:jc w:val="center"/>
      <w:textAlignment w:val="center"/>
    </w:pPr>
    <w:rPr>
      <w:rFonts w:eastAsia="宋体"/>
      <w:b/>
      <w:bCs/>
      <w:color w:val="000000"/>
      <w:lang w:eastAsia="zh-CN"/>
    </w:rPr>
  </w:style>
  <w:style w:type="paragraph" w:customStyle="1" w:styleId="137">
    <w:name w:val="xl76"/>
    <w:basedOn w:val="1"/>
    <w:qFormat/>
    <w:uiPriority w:val="0"/>
    <w:pPr>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color w:val="000000"/>
      <w:lang w:eastAsia="zh-CN"/>
    </w:rPr>
  </w:style>
  <w:style w:type="paragraph" w:customStyle="1" w:styleId="138">
    <w:name w:val="xl77"/>
    <w:basedOn w:val="1"/>
    <w:qFormat/>
    <w:uiPriority w:val="0"/>
    <w:pPr>
      <w:pBdr>
        <w:left w:val="single" w:color="auto" w:sz="8" w:space="0"/>
        <w:bottom w:val="single" w:color="auto" w:sz="8" w:space="0"/>
        <w:right w:val="single" w:color="auto" w:sz="8" w:space="0"/>
      </w:pBdr>
      <w:spacing w:before="100" w:beforeAutospacing="1" w:after="100" w:afterAutospacing="1"/>
      <w:jc w:val="center"/>
      <w:textAlignment w:val="center"/>
    </w:pPr>
    <w:rPr>
      <w:rFonts w:eastAsia="宋体"/>
      <w:color w:val="000000"/>
      <w:lang w:eastAsia="zh-CN"/>
    </w:rPr>
  </w:style>
  <w:style w:type="paragraph" w:customStyle="1" w:styleId="139">
    <w:name w:val="xl78"/>
    <w:basedOn w:val="1"/>
    <w:qFormat/>
    <w:uiPriority w:val="0"/>
    <w:pPr>
      <w:pBdr>
        <w:bottom w:val="single" w:color="auto" w:sz="8" w:space="0"/>
        <w:right w:val="single" w:color="auto" w:sz="8" w:space="0"/>
      </w:pBdr>
      <w:shd w:val="clear" w:color="000000" w:fill="FFFF00"/>
      <w:spacing w:before="100" w:beforeAutospacing="1" w:after="100" w:afterAutospacing="1"/>
      <w:jc w:val="center"/>
      <w:textAlignment w:val="center"/>
    </w:pPr>
    <w:rPr>
      <w:rFonts w:ascii="宋体" w:hAnsi="宋体" w:eastAsia="宋体" w:cs="宋体"/>
      <w:color w:val="000000"/>
      <w:sz w:val="15"/>
      <w:szCs w:val="15"/>
      <w:lang w:eastAsia="zh-CN"/>
    </w:rPr>
  </w:style>
  <w:style w:type="paragraph" w:customStyle="1" w:styleId="140">
    <w:name w:val="xl79"/>
    <w:basedOn w:val="1"/>
    <w:qFormat/>
    <w:uiPriority w:val="0"/>
    <w:pPr>
      <w:pBdr>
        <w:bottom w:val="single" w:color="auto" w:sz="8" w:space="0"/>
        <w:right w:val="single" w:color="auto" w:sz="8" w:space="0"/>
      </w:pBdr>
      <w:shd w:val="clear" w:color="000000" w:fill="00B0F0"/>
      <w:spacing w:before="100" w:beforeAutospacing="1" w:after="100" w:afterAutospacing="1"/>
      <w:jc w:val="center"/>
      <w:textAlignment w:val="center"/>
    </w:pPr>
    <w:rPr>
      <w:rFonts w:ascii="宋体" w:hAnsi="宋体" w:eastAsia="宋体" w:cs="宋体"/>
      <w:sz w:val="15"/>
      <w:szCs w:val="15"/>
      <w:lang w:eastAsia="zh-CN"/>
    </w:rPr>
  </w:style>
  <w:style w:type="paragraph" w:customStyle="1" w:styleId="141">
    <w:name w:val="xl80"/>
    <w:basedOn w:val="1"/>
    <w:qFormat/>
    <w:uiPriority w:val="0"/>
    <w:pPr>
      <w:pBdr>
        <w:top w:val="single" w:color="auto" w:sz="8" w:space="0"/>
        <w:left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lang w:eastAsia="zh-CN"/>
    </w:rPr>
  </w:style>
  <w:style w:type="paragraph" w:customStyle="1" w:styleId="142">
    <w:name w:val="xl81"/>
    <w:basedOn w:val="1"/>
    <w:qFormat/>
    <w:uiPriority w:val="0"/>
    <w:pPr>
      <w:pBdr>
        <w:left w:val="single" w:color="auto" w:sz="8" w:space="0"/>
        <w:bottom w:val="single" w:color="000000" w:sz="8" w:space="0"/>
        <w:right w:val="single" w:color="auto" w:sz="8" w:space="0"/>
      </w:pBdr>
      <w:spacing w:before="100" w:beforeAutospacing="1" w:after="100" w:afterAutospacing="1"/>
      <w:jc w:val="center"/>
      <w:textAlignment w:val="center"/>
    </w:pPr>
    <w:rPr>
      <w:rFonts w:ascii="宋体" w:hAnsi="宋体" w:eastAsia="宋体" w:cs="宋体"/>
      <w:b/>
      <w:bCs/>
      <w:color w:val="000000"/>
      <w:lang w:eastAsia="zh-CN"/>
    </w:rPr>
  </w:style>
  <w:style w:type="paragraph" w:customStyle="1" w:styleId="143">
    <w:name w:val="xl82"/>
    <w:basedOn w:val="1"/>
    <w:qFormat/>
    <w:uiPriority w:val="0"/>
    <w:pPr>
      <w:pBdr>
        <w:top w:val="single" w:color="auto" w:sz="8" w:space="0"/>
        <w:left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sz w:val="16"/>
      <w:szCs w:val="16"/>
      <w:lang w:eastAsia="zh-CN"/>
    </w:rPr>
  </w:style>
  <w:style w:type="paragraph" w:customStyle="1" w:styleId="144">
    <w:name w:val="xl83"/>
    <w:basedOn w:val="1"/>
    <w:qFormat/>
    <w:uiPriority w:val="0"/>
    <w:pPr>
      <w:pBdr>
        <w:left w:val="single" w:color="auto" w:sz="8" w:space="0"/>
        <w:bottom w:val="single" w:color="000000" w:sz="8" w:space="0"/>
        <w:right w:val="single" w:color="auto" w:sz="8" w:space="0"/>
      </w:pBdr>
      <w:spacing w:before="100" w:beforeAutospacing="1" w:after="100" w:afterAutospacing="1"/>
      <w:jc w:val="center"/>
      <w:textAlignment w:val="center"/>
    </w:pPr>
    <w:rPr>
      <w:rFonts w:ascii="宋体" w:hAnsi="宋体" w:eastAsia="宋体" w:cs="宋体"/>
      <w:b/>
      <w:bCs/>
      <w:color w:val="000000"/>
      <w:sz w:val="16"/>
      <w:szCs w:val="16"/>
      <w:lang w:eastAsia="zh-CN"/>
    </w:rPr>
  </w:style>
  <w:style w:type="paragraph" w:customStyle="1" w:styleId="145">
    <w:name w:val="xl84"/>
    <w:basedOn w:val="1"/>
    <w:qFormat/>
    <w:uiPriority w:val="0"/>
    <w:pPr>
      <w:pBdr>
        <w:top w:val="single" w:color="auto" w:sz="8" w:space="0"/>
        <w:bottom w:val="single" w:color="auto" w:sz="8" w:space="0"/>
      </w:pBdr>
      <w:spacing w:before="100" w:beforeAutospacing="1" w:after="100" w:afterAutospacing="1"/>
    </w:pPr>
    <w:rPr>
      <w:rFonts w:ascii="宋体" w:hAnsi="宋体" w:eastAsia="宋体" w:cs="宋体"/>
      <w:lang w:eastAsia="zh-CN"/>
    </w:rPr>
  </w:style>
  <w:style w:type="paragraph" w:customStyle="1" w:styleId="146">
    <w:name w:val="xl85"/>
    <w:basedOn w:val="1"/>
    <w:qFormat/>
    <w:uiPriority w:val="0"/>
    <w:pPr>
      <w:pBdr>
        <w:top w:val="single" w:color="auto" w:sz="8" w:space="0"/>
        <w:bottom w:val="single" w:color="auto" w:sz="8" w:space="0"/>
        <w:right w:val="single" w:color="auto" w:sz="8" w:space="0"/>
      </w:pBdr>
      <w:spacing w:before="100" w:beforeAutospacing="1" w:after="100" w:afterAutospacing="1"/>
    </w:pPr>
    <w:rPr>
      <w:rFonts w:ascii="宋体" w:hAnsi="宋体" w:eastAsia="宋体" w:cs="宋体"/>
      <w:lang w:eastAsia="zh-CN"/>
    </w:rPr>
  </w:style>
  <w:style w:type="paragraph" w:customStyle="1" w:styleId="147">
    <w:name w:val="xl86"/>
    <w:basedOn w:val="1"/>
    <w:qFormat/>
    <w:uiPriority w:val="0"/>
    <w:pPr>
      <w:pBdr>
        <w:top w:val="single" w:color="auto" w:sz="8" w:space="0"/>
        <w:left w:val="single" w:color="auto" w:sz="8" w:space="0"/>
        <w:bottom w:val="single" w:color="auto" w:sz="8" w:space="0"/>
      </w:pBdr>
      <w:spacing w:before="100" w:beforeAutospacing="1" w:after="100" w:afterAutospacing="1"/>
    </w:pPr>
    <w:rPr>
      <w:rFonts w:ascii="宋体" w:hAnsi="宋体" w:eastAsia="宋体" w:cs="宋体"/>
      <w:lang w:eastAsia="zh-CN"/>
    </w:rPr>
  </w:style>
  <w:style w:type="paragraph" w:customStyle="1" w:styleId="148">
    <w:name w:val="xl87"/>
    <w:basedOn w:val="1"/>
    <w:qFormat/>
    <w:uiPriority w:val="0"/>
    <w:pPr>
      <w:pBdr>
        <w:bottom w:val="single" w:color="auto" w:sz="8" w:space="0"/>
        <w:right w:val="single" w:color="auto" w:sz="8" w:space="0"/>
      </w:pBdr>
      <w:shd w:val="clear" w:color="000000" w:fill="FFFFFF"/>
      <w:spacing w:before="100" w:beforeAutospacing="1" w:after="100" w:afterAutospacing="1"/>
      <w:jc w:val="center"/>
      <w:textAlignment w:val="center"/>
    </w:pPr>
    <w:rPr>
      <w:rFonts w:ascii="宋体" w:hAnsi="宋体" w:eastAsia="宋体" w:cs="宋体"/>
      <w:color w:val="000000"/>
      <w:sz w:val="15"/>
      <w:szCs w:val="15"/>
      <w:lang w:eastAsia="zh-CN"/>
    </w:rPr>
  </w:style>
  <w:style w:type="paragraph" w:customStyle="1" w:styleId="149">
    <w:name w:val="xl88"/>
    <w:basedOn w:val="1"/>
    <w:qFormat/>
    <w:uiPriority w:val="0"/>
    <w:pPr>
      <w:pBdr>
        <w:left w:val="single" w:color="auto" w:sz="8" w:space="0"/>
        <w:bottom w:val="single" w:color="auto" w:sz="8" w:space="0"/>
        <w:right w:val="single" w:color="auto" w:sz="8" w:space="0"/>
      </w:pBdr>
      <w:spacing w:before="100" w:beforeAutospacing="1" w:after="100" w:afterAutospacing="1"/>
      <w:jc w:val="center"/>
      <w:textAlignment w:val="center"/>
    </w:pPr>
    <w:rPr>
      <w:rFonts w:eastAsia="宋体"/>
      <w:color w:val="FF0000"/>
      <w:sz w:val="15"/>
      <w:szCs w:val="15"/>
      <w:lang w:eastAsia="zh-CN"/>
    </w:rPr>
  </w:style>
  <w:style w:type="paragraph" w:customStyle="1" w:styleId="150">
    <w:name w:val="xl89"/>
    <w:basedOn w:val="1"/>
    <w:qFormat/>
    <w:uiPriority w:val="0"/>
    <w:pPr>
      <w:pBdr>
        <w:bottom w:val="single" w:color="auto" w:sz="8" w:space="0"/>
        <w:right w:val="single" w:color="auto" w:sz="8" w:space="0"/>
      </w:pBdr>
      <w:spacing w:before="100" w:beforeAutospacing="1" w:after="100" w:afterAutospacing="1"/>
      <w:jc w:val="center"/>
      <w:textAlignment w:val="center"/>
    </w:pPr>
    <w:rPr>
      <w:rFonts w:eastAsia="宋体"/>
      <w:color w:val="FF0000"/>
      <w:sz w:val="15"/>
      <w:szCs w:val="15"/>
      <w:lang w:eastAsia="zh-CN"/>
    </w:rPr>
  </w:style>
  <w:style w:type="paragraph" w:customStyle="1" w:styleId="151">
    <w:name w:val="xl90"/>
    <w:basedOn w:val="1"/>
    <w:qFormat/>
    <w:uiPriority w:val="0"/>
    <w:pPr>
      <w:pBdr>
        <w:bottom w:val="single" w:color="auto" w:sz="8" w:space="0"/>
        <w:right w:val="single" w:color="auto" w:sz="8" w:space="0"/>
      </w:pBdr>
      <w:spacing w:before="100" w:beforeAutospacing="1" w:after="100" w:afterAutospacing="1"/>
      <w:jc w:val="center"/>
      <w:textAlignment w:val="center"/>
    </w:pPr>
    <w:rPr>
      <w:rFonts w:ascii="宋体" w:hAnsi="宋体" w:eastAsia="宋体" w:cs="宋体"/>
      <w:color w:val="FF0000"/>
      <w:sz w:val="15"/>
      <w:szCs w:val="15"/>
      <w:lang w:eastAsia="zh-CN"/>
    </w:rPr>
  </w:style>
  <w:style w:type="paragraph" w:customStyle="1" w:styleId="152">
    <w:name w:val="xl91"/>
    <w:basedOn w:val="1"/>
    <w:qFormat/>
    <w:uiPriority w:val="0"/>
    <w:pPr>
      <w:spacing w:before="100" w:beforeAutospacing="1" w:after="100" w:afterAutospacing="1"/>
    </w:pPr>
    <w:rPr>
      <w:rFonts w:ascii="宋体" w:hAnsi="宋体" w:eastAsia="宋体" w:cs="宋体"/>
      <w:color w:val="FF0000"/>
      <w:lang w:eastAsia="zh-CN"/>
    </w:rPr>
  </w:style>
  <w:style w:type="character" w:customStyle="1" w:styleId="153">
    <w:name w:val="批注文字 字符"/>
    <w:qFormat/>
    <w:uiPriority w:val="99"/>
    <w:rPr>
      <w:rFonts w:ascii="Calibri" w:hAnsi="Calibri" w:eastAsia="宋体" w:cs="Calibri"/>
      <w:szCs w:val="21"/>
    </w:rPr>
  </w:style>
  <w:style w:type="character" w:customStyle="1" w:styleId="154">
    <w:name w:val="尾注文本 Char1"/>
    <w:link w:val="25"/>
    <w:qFormat/>
    <w:uiPriority w:val="99"/>
    <w:rPr>
      <w:rFonts w:eastAsia="宋体"/>
      <w:sz w:val="24"/>
    </w:rPr>
  </w:style>
  <w:style w:type="character" w:customStyle="1" w:styleId="155">
    <w:name w:val="尾注文本 Char"/>
    <w:basedOn w:val="44"/>
    <w:semiHidden/>
    <w:qFormat/>
    <w:uiPriority w:val="99"/>
    <w:rPr>
      <w:sz w:val="24"/>
      <w:szCs w:val="24"/>
      <w:lang w:eastAsia="en-US"/>
    </w:rPr>
  </w:style>
  <w:style w:type="character" w:customStyle="1" w:styleId="156">
    <w:name w:val="文档结构图 Char1"/>
    <w:link w:val="16"/>
    <w:qFormat/>
    <w:uiPriority w:val="99"/>
    <w:rPr>
      <w:rFonts w:ascii="Helvetica" w:hAnsi="Helvetica" w:eastAsia="宋体"/>
      <w:sz w:val="24"/>
      <w:szCs w:val="24"/>
    </w:rPr>
  </w:style>
  <w:style w:type="character" w:customStyle="1" w:styleId="157">
    <w:name w:val="文档结构图 Char"/>
    <w:basedOn w:val="44"/>
    <w:semiHidden/>
    <w:qFormat/>
    <w:uiPriority w:val="99"/>
    <w:rPr>
      <w:rFonts w:ascii="Microsoft YaHei UI" w:eastAsia="Microsoft YaHei UI"/>
      <w:sz w:val="18"/>
      <w:szCs w:val="18"/>
      <w:lang w:eastAsia="en-US"/>
    </w:rPr>
  </w:style>
  <w:style w:type="character" w:customStyle="1" w:styleId="158">
    <w:name w:val="页脚 字符"/>
    <w:qFormat/>
    <w:uiPriority w:val="99"/>
    <w:rPr>
      <w:rFonts w:ascii="Times New Roman" w:hAnsi="Times New Roman" w:eastAsia="宋体" w:cs="Times New Roman"/>
      <w:sz w:val="18"/>
      <w:szCs w:val="18"/>
    </w:rPr>
  </w:style>
  <w:style w:type="character" w:customStyle="1" w:styleId="159">
    <w:name w:val="标题 4 Char"/>
    <w:basedOn w:val="44"/>
    <w:link w:val="7"/>
    <w:qFormat/>
    <w:uiPriority w:val="9"/>
    <w:rPr>
      <w:rFonts w:cstheme="majorBidi"/>
      <w:b/>
      <w:bCs/>
      <w:sz w:val="24"/>
      <w:szCs w:val="28"/>
      <w:lang w:eastAsia="en-US"/>
    </w:rPr>
  </w:style>
  <w:style w:type="character" w:customStyle="1" w:styleId="160">
    <w:name w:val="标题 5 Char"/>
    <w:basedOn w:val="44"/>
    <w:link w:val="8"/>
    <w:qFormat/>
    <w:uiPriority w:val="9"/>
    <w:rPr>
      <w:rFonts w:eastAsiaTheme="minorEastAsia"/>
      <w:b/>
      <w:bCs/>
      <w:sz w:val="24"/>
      <w:szCs w:val="24"/>
      <w:lang w:eastAsia="en-US"/>
    </w:rPr>
  </w:style>
  <w:style w:type="character" w:customStyle="1" w:styleId="161">
    <w:name w:val="标题 7 Char"/>
    <w:basedOn w:val="44"/>
    <w:link w:val="10"/>
    <w:semiHidden/>
    <w:qFormat/>
    <w:uiPriority w:val="9"/>
    <w:rPr>
      <w:rFonts w:eastAsiaTheme="minorEastAsia"/>
      <w:b/>
      <w:bCs/>
      <w:sz w:val="24"/>
      <w:szCs w:val="24"/>
      <w:lang w:eastAsia="en-US"/>
    </w:rPr>
  </w:style>
  <w:style w:type="character" w:customStyle="1" w:styleId="162">
    <w:name w:val="标题 8 Char"/>
    <w:basedOn w:val="44"/>
    <w:link w:val="11"/>
    <w:semiHidden/>
    <w:qFormat/>
    <w:uiPriority w:val="9"/>
    <w:rPr>
      <w:rFonts w:asciiTheme="majorHAnsi" w:hAnsiTheme="majorHAnsi" w:eastAsiaTheme="majorEastAsia" w:cstheme="majorBidi"/>
      <w:sz w:val="24"/>
      <w:szCs w:val="24"/>
      <w:lang w:eastAsia="en-US"/>
    </w:rPr>
  </w:style>
  <w:style w:type="character" w:customStyle="1" w:styleId="163">
    <w:name w:val="标题 9 Char"/>
    <w:basedOn w:val="44"/>
    <w:link w:val="12"/>
    <w:semiHidden/>
    <w:qFormat/>
    <w:uiPriority w:val="9"/>
    <w:rPr>
      <w:rFonts w:asciiTheme="majorHAnsi" w:hAnsiTheme="majorHAnsi" w:eastAsiaTheme="majorEastAsia" w:cstheme="majorBidi"/>
      <w:sz w:val="21"/>
      <w:szCs w:val="21"/>
      <w:lang w:eastAsia="en-US"/>
    </w:rPr>
  </w:style>
  <w:style w:type="paragraph" w:customStyle="1" w:styleId="164">
    <w:name w:val="彩色列表 - 着色 11"/>
    <w:basedOn w:val="1"/>
    <w:qFormat/>
    <w:uiPriority w:val="0"/>
    <w:pPr>
      <w:widowControl w:val="0"/>
      <w:spacing w:line="360" w:lineRule="auto"/>
      <w:ind w:firstLine="420" w:firstLineChars="200"/>
      <w:jc w:val="both"/>
    </w:pPr>
    <w:rPr>
      <w:rFonts w:ascii="等线" w:hAnsi="等线" w:eastAsia="宋体"/>
      <w:kern w:val="2"/>
      <w:szCs w:val="22"/>
      <w:lang w:eastAsia="zh-CN"/>
    </w:rPr>
  </w:style>
  <w:style w:type="table" w:customStyle="1" w:styleId="165">
    <w:name w:val="网格型1"/>
    <w:basedOn w:val="42"/>
    <w:qFormat/>
    <w:uiPriority w:val="39"/>
    <w:rPr>
      <w:rFonts w:ascii="等线" w:hAnsi="等线"/>
      <w:kern w:val="2"/>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6">
    <w:name w:val="WX Body Text"/>
    <w:qFormat/>
    <w:uiPriority w:val="0"/>
    <w:pPr>
      <w:spacing w:before="120" w:after="120"/>
      <w:ind w:left="720"/>
      <w:jc w:val="both"/>
    </w:pPr>
    <w:rPr>
      <w:rFonts w:ascii="Times New Roman" w:hAnsi="Times New Roman" w:eastAsia="宋体" w:cs="Times New Roman"/>
      <w:bCs/>
      <w:kern w:val="32"/>
      <w:sz w:val="24"/>
      <w:szCs w:val="24"/>
      <w:lang w:val="en-US" w:eastAsia="zh-CN" w:bidi="ar-SA"/>
    </w:rPr>
  </w:style>
  <w:style w:type="paragraph" w:customStyle="1" w:styleId="167">
    <w:name w:val="WX Body Text 1"/>
    <w:qFormat/>
    <w:uiPriority w:val="99"/>
    <w:pPr>
      <w:spacing w:beforeLines="50" w:afterLines="50"/>
      <w:ind w:left="720"/>
      <w:jc w:val="both"/>
    </w:pPr>
    <w:rPr>
      <w:rFonts w:ascii="Times New Roman" w:hAnsi="Times New Roman" w:eastAsia="宋体" w:cs="Times New Roman"/>
      <w:kern w:val="32"/>
      <w:sz w:val="24"/>
      <w:szCs w:val="22"/>
      <w:lang w:val="en-US" w:eastAsia="zh-CN" w:bidi="ar-SA"/>
    </w:rPr>
  </w:style>
  <w:style w:type="paragraph" w:customStyle="1" w:styleId="168">
    <w:name w:val="default"/>
    <w:basedOn w:val="1"/>
    <w:qFormat/>
    <w:uiPriority w:val="0"/>
    <w:pPr>
      <w:autoSpaceDE w:val="0"/>
      <w:autoSpaceDN w:val="0"/>
    </w:pPr>
    <w:rPr>
      <w:rFonts w:eastAsia="宋体"/>
      <w:color w:val="000000"/>
    </w:rPr>
  </w:style>
  <w:style w:type="paragraph" w:customStyle="1" w:styleId="169">
    <w:name w:val="修订2"/>
    <w:hidden/>
    <w:semiHidden/>
    <w:qFormat/>
    <w:uiPriority w:val="99"/>
    <w:rPr>
      <w:rFonts w:ascii="Times New Roman" w:hAnsi="Times New Roman" w:cs="Times New Roman" w:eastAsiaTheme="minorEastAsia"/>
      <w:sz w:val="24"/>
      <w:szCs w:val="24"/>
      <w:lang w:val="en-US" w:eastAsia="en-US" w:bidi="ar-SA"/>
    </w:rPr>
  </w:style>
  <w:style w:type="paragraph" w:customStyle="1" w:styleId="170">
    <w:name w:val="修订3"/>
    <w:hidden/>
    <w:semiHidden/>
    <w:qFormat/>
    <w:uiPriority w:val="99"/>
    <w:rPr>
      <w:rFonts w:ascii="Times New Roman" w:hAnsi="Times New Roman" w:cs="Times New Roman" w:eastAsiaTheme="minorEastAsia"/>
      <w:sz w:val="24"/>
      <w:szCs w:val="24"/>
      <w:lang w:val="en-US" w:eastAsia="en-US" w:bidi="ar-SA"/>
    </w:rPr>
  </w:style>
  <w:style w:type="character" w:customStyle="1" w:styleId="171">
    <w:name w:val="fontstyle01"/>
    <w:basedOn w:val="44"/>
    <w:qFormat/>
    <w:uiPriority w:val="0"/>
    <w:rPr>
      <w:rFonts w:ascii="STSongti-SC-Regular" w:hAnsi="STSongti-SC-Regular" w:eastAsia="STSongti-SC-Regular" w:cs="STSongti-SC-Regular"/>
      <w:color w:val="000000"/>
      <w:sz w:val="14"/>
      <w:szCs w:val="14"/>
    </w:rPr>
  </w:style>
  <w:style w:type="paragraph" w:customStyle="1" w:styleId="172">
    <w:name w:val="修订4"/>
    <w:hidden/>
    <w:semiHidden/>
    <w:qFormat/>
    <w:uiPriority w:val="99"/>
    <w:rPr>
      <w:rFonts w:ascii="Times New Roman" w:hAnsi="Times New Roman" w:cs="Times New Roman" w:eastAsiaTheme="minorEastAsia"/>
      <w:sz w:val="24"/>
      <w:szCs w:val="24"/>
      <w:lang w:val="en-US" w:eastAsia="en-US" w:bidi="ar-SA"/>
    </w:rPr>
  </w:style>
  <w:style w:type="paragraph" w:customStyle="1" w:styleId="173">
    <w:name w:val="修订5"/>
    <w:hidden/>
    <w:semiHidden/>
    <w:qFormat/>
    <w:uiPriority w:val="99"/>
    <w:rPr>
      <w:rFonts w:ascii="Times New Roman" w:hAnsi="Times New Roman" w:cs="Times New Roman" w:eastAsiaTheme="minorEastAsia"/>
      <w:sz w:val="24"/>
      <w:szCs w:val="24"/>
      <w:lang w:val="en-US" w:eastAsia="en-US" w:bidi="ar-SA"/>
    </w:rPr>
  </w:style>
  <w:style w:type="paragraph" w:customStyle="1" w:styleId="174">
    <w:name w:val="修订6"/>
    <w:hidden/>
    <w:semiHidden/>
    <w:qFormat/>
    <w:uiPriority w:val="99"/>
    <w:rPr>
      <w:rFonts w:ascii="Times New Roman" w:hAnsi="Times New Roman" w:cs="Times New Roman" w:eastAsiaTheme="minorEastAsia"/>
      <w:sz w:val="24"/>
      <w:szCs w:val="24"/>
      <w:lang w:val="en-US" w:eastAsia="en-US" w:bidi="ar-SA"/>
    </w:rPr>
  </w:style>
  <w:style w:type="character" w:customStyle="1" w:styleId="175">
    <w:name w:val="未处理的提及1"/>
    <w:basedOn w:val="44"/>
    <w:semiHidden/>
    <w:unhideWhenUsed/>
    <w:qFormat/>
    <w:uiPriority w:val="99"/>
    <w:rPr>
      <w:color w:val="605E5C"/>
      <w:shd w:val="clear" w:color="auto" w:fill="E1DFDD"/>
    </w:rPr>
  </w:style>
  <w:style w:type="paragraph" w:customStyle="1" w:styleId="176">
    <w:name w:val="SW_章节"/>
    <w:qFormat/>
    <w:uiPriority w:val="0"/>
    <w:pPr>
      <w:spacing w:line="360" w:lineRule="auto"/>
      <w:ind w:firstLine="200" w:firstLineChars="200"/>
    </w:pPr>
    <w:rPr>
      <w:rFonts w:ascii="Times New Roman" w:hAnsi="Times New Roman" w:eastAsia="宋体" w:cs="Times New Roman"/>
      <w:sz w:val="24"/>
      <w:szCs w:val="24"/>
      <w:lang w:val="en-US" w:eastAsia="en-US" w:bidi="ar-SA"/>
    </w:rPr>
  </w:style>
  <w:style w:type="paragraph" w:customStyle="1" w:styleId="177">
    <w:name w:val="WPSOffice手动目录 1"/>
    <w:qFormat/>
    <w:uiPriority w:val="0"/>
    <w:rPr>
      <w:rFonts w:ascii="Times New Roman" w:hAnsi="Times New Roman" w:eastAsia="宋体" w:cs="Times New Roman"/>
      <w:lang w:val="en-US" w:eastAsia="zh-CN" w:bidi="ar-SA"/>
    </w:rPr>
  </w:style>
  <w:style w:type="paragraph" w:customStyle="1" w:styleId="178">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79">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80">
    <w:name w:val="Revision"/>
    <w:hidden/>
    <w:semiHidden/>
    <w:qFormat/>
    <w:uiPriority w:val="99"/>
    <w:rPr>
      <w:rFonts w:ascii="Times New Roman" w:hAnsi="Times New Roman" w:cs="Times New Roman" w:eastAsiaTheme="minorEastAsia"/>
      <w:sz w:val="24"/>
      <w:szCs w:val="24"/>
      <w:lang w:val="en-US" w:eastAsia="en-US" w:bidi="ar-SA"/>
    </w:rPr>
  </w:style>
  <w:style w:type="character" w:customStyle="1" w:styleId="181">
    <w:name w:val="transsent"/>
    <w:basedOn w:val="44"/>
    <w:qFormat/>
    <w:uiPriority w:val="0"/>
  </w:style>
  <w:style w:type="character" w:customStyle="1" w:styleId="182">
    <w:name w:val="tgt"/>
    <w:basedOn w:val="44"/>
    <w:qFormat/>
    <w:uiPriority w:val="0"/>
  </w:style>
  <w:style w:type="paragraph" w:customStyle="1" w:styleId="183">
    <w:name w:val="正文文本1"/>
    <w:basedOn w:val="1"/>
    <w:link w:val="184"/>
    <w:qFormat/>
    <w:uiPriority w:val="0"/>
    <w:pPr>
      <w:spacing w:before="50" w:beforeLines="50" w:after="50" w:afterLines="50" w:line="312" w:lineRule="auto"/>
      <w:ind w:firstLine="200" w:firstLineChars="200"/>
      <w:jc w:val="both"/>
    </w:pPr>
    <w:rPr>
      <w:rFonts w:eastAsia="宋体"/>
    </w:rPr>
  </w:style>
  <w:style w:type="character" w:customStyle="1" w:styleId="184">
    <w:name w:val="正文文本1 Char"/>
    <w:basedOn w:val="44"/>
    <w:link w:val="183"/>
    <w:qFormat/>
    <w:uiPriority w:val="0"/>
    <w:rPr>
      <w:sz w:val="24"/>
      <w:szCs w:val="24"/>
      <w:lang w:val="en-US" w:eastAsia="en-US"/>
    </w:rPr>
  </w:style>
  <w:style w:type="character" w:customStyle="1" w:styleId="185">
    <w:name w:val="未处理的提及2"/>
    <w:basedOn w:val="44"/>
    <w:semiHidden/>
    <w:unhideWhenUsed/>
    <w:qFormat/>
    <w:uiPriority w:val="99"/>
    <w:rPr>
      <w:color w:val="605E5C"/>
      <w:shd w:val="clear" w:color="auto" w:fill="E1DFDD"/>
    </w:rPr>
  </w:style>
  <w:style w:type="character" w:customStyle="1" w:styleId="186">
    <w:name w:val="批注文字 字符2"/>
    <w:qFormat/>
    <w:uiPriority w:val="99"/>
    <w:rPr>
      <w:sz w:val="24"/>
      <w:szCs w:val="24"/>
      <w:lang w:eastAsia="en-US"/>
    </w:rPr>
  </w:style>
  <w:style w:type="character" w:customStyle="1" w:styleId="187">
    <w:name w:val="未处理的提及21"/>
    <w:basedOn w:val="44"/>
    <w:semiHidden/>
    <w:unhideWhenUsed/>
    <w:qFormat/>
    <w:uiPriority w:val="99"/>
    <w:rPr>
      <w:color w:val="605E5C"/>
      <w:shd w:val="clear" w:color="auto" w:fill="E1DFDD"/>
    </w:rPr>
  </w:style>
  <w:style w:type="character" w:customStyle="1" w:styleId="188">
    <w:name w:val="fontstyle21"/>
    <w:basedOn w:val="44"/>
    <w:qFormat/>
    <w:uiPriority w:val="0"/>
    <w:rPr>
      <w:rFonts w:hint="default" w:ascii="HYShuSongErKW" w:hAnsi="HYShuSongErKW"/>
      <w:color w:val="000008"/>
      <w:sz w:val="24"/>
      <w:szCs w:val="24"/>
    </w:rPr>
  </w:style>
  <w:style w:type="character" w:customStyle="1" w:styleId="189">
    <w:name w:val="fontstyle31"/>
    <w:basedOn w:val="44"/>
    <w:qFormat/>
    <w:uiPriority w:val="0"/>
    <w:rPr>
      <w:rFonts w:hint="default" w:ascii="TimesNewRomanPSMT" w:hAnsi="TimesNewRomanPSMT"/>
      <w:color w:val="000008"/>
      <w:sz w:val="24"/>
      <w:szCs w:val="24"/>
    </w:rPr>
  </w:style>
  <w:style w:type="character" w:customStyle="1" w:styleId="190">
    <w:name w:val="fontstyle11"/>
    <w:basedOn w:val="44"/>
    <w:qFormat/>
    <w:uiPriority w:val="0"/>
    <w:rPr>
      <w:rFonts w:hint="default" w:ascii="TimesNewRomanPSMT" w:hAnsi="TimesNewRomanPSMT"/>
      <w:color w:val="000008"/>
      <w:sz w:val="24"/>
      <w:szCs w:val="24"/>
    </w:rPr>
  </w:style>
  <w:style w:type="table" w:customStyle="1" w:styleId="191">
    <w:name w:val="Plain Table 2"/>
    <w:basedOn w:val="42"/>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192">
    <w:name w:val="Plain Table 4"/>
    <w:basedOn w:val="42"/>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character" w:customStyle="1" w:styleId="193">
    <w:name w:val="Unresolved Mention"/>
    <w:basedOn w:val="44"/>
    <w:semiHidden/>
    <w:unhideWhenUsed/>
    <w:qFormat/>
    <w:uiPriority w:val="99"/>
    <w:rPr>
      <w:color w:val="605E5C"/>
      <w:shd w:val="clear" w:color="auto" w:fill="E1DFDD"/>
    </w:rPr>
  </w:style>
  <w:style w:type="paragraph" w:customStyle="1" w:styleId="194">
    <w:name w:val="A0"/>
    <w:basedOn w:val="1"/>
    <w:link w:val="195"/>
    <w:qFormat/>
    <w:uiPriority w:val="0"/>
    <w:pPr>
      <w:overflowPunct w:val="0"/>
      <w:autoSpaceDE w:val="0"/>
      <w:autoSpaceDN w:val="0"/>
      <w:adjustRightInd w:val="0"/>
      <w:snapToGrid w:val="0"/>
      <w:spacing w:before="120" w:beforeLines="50" w:after="120" w:afterLines="50" w:line="300" w:lineRule="auto"/>
      <w:jc w:val="center"/>
      <w:outlineLvl w:val="0"/>
    </w:pPr>
    <w:rPr>
      <w:b/>
      <w:bCs/>
      <w:sz w:val="28"/>
      <w:szCs w:val="28"/>
    </w:rPr>
  </w:style>
  <w:style w:type="character" w:customStyle="1" w:styleId="195">
    <w:name w:val="A0 字符"/>
    <w:basedOn w:val="44"/>
    <w:link w:val="194"/>
    <w:qFormat/>
    <w:uiPriority w:val="0"/>
    <w:rPr>
      <w:rFonts w:eastAsiaTheme="minorEastAsia"/>
      <w:b/>
      <w:bCs/>
      <w:sz w:val="28"/>
      <w:szCs w:val="28"/>
      <w:lang w:eastAsia="en-US"/>
    </w:rPr>
  </w:style>
  <w:style w:type="paragraph" w:customStyle="1" w:styleId="196">
    <w:name w:val="F"/>
    <w:basedOn w:val="15"/>
    <w:link w:val="197"/>
    <w:qFormat/>
    <w:uiPriority w:val="0"/>
    <w:pPr>
      <w:pageBreakBefore/>
      <w:jc w:val="left"/>
    </w:pPr>
    <w:rPr>
      <w:bCs/>
      <w:sz w:val="24"/>
      <w:szCs w:val="24"/>
    </w:rPr>
  </w:style>
  <w:style w:type="character" w:customStyle="1" w:styleId="197">
    <w:name w:val="F 字符"/>
    <w:basedOn w:val="84"/>
    <w:link w:val="196"/>
    <w:qFormat/>
    <w:uiPriority w:val="0"/>
    <w:rPr>
      <w:rFonts w:eastAsia="Arial Unicode MS"/>
      <w:bCs/>
      <w:sz w:val="24"/>
      <w:szCs w:val="24"/>
      <w:u w:color="00000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黑体"/>
        <a:cs typeface="Helvetica"/>
      </a:majorFont>
      <a:minorFont>
        <a:latin typeface="Helvetica"/>
        <a:ea typeface="宋体"/>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50800" tIns="50800" rIns="50800" bIns="50800" numCol="1" spcCol="38100" rtlCol="0" anchor="t">
        <a:spAutoFit/>
      </a:bodyPr>
      <a:lstStyle/>
      <a:style>
        <a:lnRef idx="0">
          <a:scrgbClr r="0" g="0" b="0"/>
        </a:lnRef>
        <a:fillRef idx="0">
          <a:scrgbClr r="0" g="0" b="0"/>
        </a:fillRef>
        <a:effectRef idx="0">
          <a:scrgbClr r="0" g="0" b="0"/>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127D13-5054-4DD9-B12D-F630A6C4EFE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93</Pages>
  <Words>30971</Words>
  <Characters>169574</Characters>
  <Lines>1497</Lines>
  <Paragraphs>421</Paragraphs>
  <TotalTime>0</TotalTime>
  <ScaleCrop>false</ScaleCrop>
  <LinksUpToDate>false</LinksUpToDate>
  <CharactersWithSpaces>198735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2024-01-12T09:18:00Z</dcterms:created>
  <dc:creator>Administrator</dc:creator>
  <cp:lastModifiedBy>xusuiqi</cp:lastModifiedBy>
  <cp:lastPrinted>2023-07-10T05:17:00Z</cp:lastPrinted>
  <dcterms:modified xsi:type="dcterms:W3CDTF">2024-06-28T00:40:42Z</dcterms:modified>
  <cp:revision>1034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7224FDD150964DB9AC9EB3B3F830E270_13</vt:lpwstr>
  </property>
</Properties>
</file>