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BB5BA" w14:textId="77777777" w:rsidR="000D2388" w:rsidRPr="00E508CA" w:rsidRDefault="00000000" w:rsidP="008E7A5F">
      <w:pPr>
        <w:rPr>
          <w:rFonts w:ascii="Times New Roman" w:hAnsi="Times New Roman" w:cs="Times New Roman"/>
        </w:rPr>
      </w:pPr>
      <w:r w:rsidRPr="00E508CA">
        <w:rPr>
          <w:rFonts w:ascii="Times New Roman" w:hAnsi="Times New Roman" w:cs="Times New Roman"/>
        </w:rPr>
        <w:t>Table 4. Model comparison between static and dynamic Fine-Gray models for cumulative incidence of relapse.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744"/>
        <w:gridCol w:w="2016"/>
        <w:gridCol w:w="2016"/>
        <w:gridCol w:w="2016"/>
      </w:tblGrid>
      <w:tr w:rsidR="000D2388" w14:paraId="13B70FBF" w14:textId="77777777">
        <w:trPr>
          <w:tblHeader/>
          <w:jc w:val="center"/>
        </w:trPr>
        <w:tc>
          <w:tcPr>
            <w:tcW w:w="374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77B16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Metric</w:t>
            </w:r>
          </w:p>
        </w:tc>
        <w:tc>
          <w:tcPr>
            <w:tcW w:w="2016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9BEA7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Static model (m2)</w:t>
            </w:r>
          </w:p>
        </w:tc>
        <w:tc>
          <w:tcPr>
            <w:tcW w:w="2016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3E755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Dynamic model (m3)</w:t>
            </w:r>
          </w:p>
        </w:tc>
        <w:tc>
          <w:tcPr>
            <w:tcW w:w="2016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E7979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Comparison</w:t>
            </w:r>
          </w:p>
        </w:tc>
      </w:tr>
      <w:tr w:rsidR="000D2388" w14:paraId="3A33822C" w14:textId="77777777">
        <w:trPr>
          <w:jc w:val="center"/>
        </w:trPr>
        <w:tc>
          <w:tcPr>
            <w:tcW w:w="3744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3BE5E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5-year AUC</w:t>
            </w:r>
          </w:p>
        </w:tc>
        <w:tc>
          <w:tcPr>
            <w:tcW w:w="2016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B0DE3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69.5%</w:t>
            </w:r>
          </w:p>
        </w:tc>
        <w:tc>
          <w:tcPr>
            <w:tcW w:w="2016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0B353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69.2%</w:t>
            </w:r>
          </w:p>
        </w:tc>
        <w:tc>
          <w:tcPr>
            <w:tcW w:w="2016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C6CB8" w14:textId="289A6BDE" w:rsidR="000D2388" w:rsidRDefault="00E508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08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−0.3% (−2.2 to 1.6), p=.704</w:t>
            </w:r>
          </w:p>
        </w:tc>
      </w:tr>
      <w:tr w:rsidR="000D2388" w14:paraId="67AF4D2E" w14:textId="77777777">
        <w:trPr>
          <w:jc w:val="center"/>
        </w:trPr>
        <w:tc>
          <w:tcPr>
            <w:tcW w:w="3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595B8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Pseudo log-likelihood</w:t>
            </w:r>
          </w:p>
        </w:tc>
        <w:tc>
          <w:tcPr>
            <w:tcW w:w="20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D957B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-931.64</w:t>
            </w:r>
          </w:p>
        </w:tc>
        <w:tc>
          <w:tcPr>
            <w:tcW w:w="20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C36CB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-929.48</w:t>
            </w:r>
          </w:p>
        </w:tc>
        <w:tc>
          <w:tcPr>
            <w:tcW w:w="20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F02E7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0D2388" w14:paraId="1FC7FCBC" w14:textId="77777777">
        <w:trPr>
          <w:jc w:val="center"/>
        </w:trPr>
        <w:tc>
          <w:tcPr>
            <w:tcW w:w="3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0C1E4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Pseudo-AIC</w:t>
            </w:r>
          </w:p>
        </w:tc>
        <w:tc>
          <w:tcPr>
            <w:tcW w:w="20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B1C0D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1875.3</w:t>
            </w:r>
          </w:p>
        </w:tc>
        <w:tc>
          <w:tcPr>
            <w:tcW w:w="20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FD87D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1873.0</w:t>
            </w:r>
          </w:p>
        </w:tc>
        <w:tc>
          <w:tcPr>
            <w:tcW w:w="20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13557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ΔAIC = 2.3</w:t>
            </w:r>
          </w:p>
        </w:tc>
      </w:tr>
      <w:tr w:rsidR="000D2388" w14:paraId="182EE622" w14:textId="77777777">
        <w:trPr>
          <w:jc w:val="center"/>
        </w:trPr>
        <w:tc>
          <w:tcPr>
            <w:tcW w:w="3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77FA1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Likelihood ratio test</w:t>
            </w:r>
          </w:p>
        </w:tc>
        <w:tc>
          <w:tcPr>
            <w:tcW w:w="20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81A55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0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6F65C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0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60C33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LR = 4.33,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= 1, p = .037</w:t>
            </w:r>
          </w:p>
        </w:tc>
      </w:tr>
      <w:tr w:rsidR="000D2388" w14:paraId="59B42E57" w14:textId="77777777">
        <w:trPr>
          <w:jc w:val="center"/>
        </w:trPr>
        <w:tc>
          <w:tcPr>
            <w:tcW w:w="3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F6584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Categorical NRI</w:t>
            </w:r>
          </w:p>
        </w:tc>
        <w:tc>
          <w:tcPr>
            <w:tcW w:w="20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65783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0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81F45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0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47C60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1.6%</w:t>
            </w:r>
          </w:p>
        </w:tc>
      </w:tr>
      <w:tr w:rsidR="000D2388" w14:paraId="13B61540" w14:textId="77777777">
        <w:trPr>
          <w:jc w:val="center"/>
        </w:trPr>
        <w:tc>
          <w:tcPr>
            <w:tcW w:w="3744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293AC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Continuous NRI</w:t>
            </w:r>
          </w:p>
        </w:tc>
        <w:tc>
          <w:tcPr>
            <w:tcW w:w="2016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8260C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016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857E0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016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00B15" w14:textId="77777777" w:rsidR="000D23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29.0%</w:t>
            </w:r>
          </w:p>
        </w:tc>
      </w:tr>
    </w:tbl>
    <w:p w14:paraId="53BDAFDA" w14:textId="77777777" w:rsidR="000D2388" w:rsidRPr="008E7A5F" w:rsidRDefault="00000000">
      <w:pPr>
        <w:rPr>
          <w:rFonts w:ascii="Times New Roman" w:hAnsi="Times New Roman" w:cs="Times New Roman"/>
          <w:sz w:val="18"/>
          <w:szCs w:val="18"/>
        </w:rPr>
      </w:pPr>
      <w:r w:rsidRPr="008E7A5F">
        <w:rPr>
          <w:rFonts w:ascii="Times New Roman" w:hAnsi="Times New Roman" w:cs="Times New Roman"/>
          <w:sz w:val="18"/>
          <w:szCs w:val="18"/>
        </w:rPr>
        <w:t xml:space="preserve">AUC, area under the time-dependent receiver operating characteristic curve, estimated using </w:t>
      </w:r>
      <w:proofErr w:type="spellStart"/>
      <w:r w:rsidRPr="008E7A5F">
        <w:rPr>
          <w:rFonts w:ascii="Times New Roman" w:hAnsi="Times New Roman" w:cs="Times New Roman"/>
          <w:sz w:val="18"/>
          <w:szCs w:val="18"/>
        </w:rPr>
        <w:t>timeROC</w:t>
      </w:r>
      <w:proofErr w:type="spellEnd"/>
      <w:r w:rsidRPr="008E7A5F">
        <w:rPr>
          <w:rFonts w:ascii="Times New Roman" w:hAnsi="Times New Roman" w:cs="Times New Roman"/>
          <w:sz w:val="18"/>
          <w:szCs w:val="18"/>
        </w:rPr>
        <w:t xml:space="preserve"> at 5 years. NRI, net reclassification improvement; AIC, Akaike information criterion; LR, likelihood ratio. Model 2: static EOI2 MRD (&gt;=0.05% vs &lt;0.05%) + covariates. Model 3: static EOI2 MRD + ΔMRD + covariates. The continuous NRI is exploratory; 95% CI and p-value were not calculated.</w:t>
      </w:r>
    </w:p>
    <w:sectPr w:rsidR="000D2388" w:rsidRPr="008E7A5F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24255220">
    <w:abstractNumId w:val="1"/>
  </w:num>
  <w:num w:numId="2" w16cid:durableId="1867132996">
    <w:abstractNumId w:val="2"/>
  </w:num>
  <w:num w:numId="3" w16cid:durableId="402872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0D2388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E7A5F"/>
    <w:rsid w:val="008F1F48"/>
    <w:rsid w:val="00901463"/>
    <w:rsid w:val="00946CB3"/>
    <w:rsid w:val="00AE18EF"/>
    <w:rsid w:val="00AE1BDD"/>
    <w:rsid w:val="00AF0A28"/>
    <w:rsid w:val="00B3547C"/>
    <w:rsid w:val="00B4379D"/>
    <w:rsid w:val="00C27329"/>
    <w:rsid w:val="00C31EEB"/>
    <w:rsid w:val="00E508CA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45690EB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4721</cp:lastModifiedBy>
  <cp:revision>11</cp:revision>
  <dcterms:created xsi:type="dcterms:W3CDTF">2017-02-28T11:18:00Z</dcterms:created>
  <dcterms:modified xsi:type="dcterms:W3CDTF">2026-09-26T12:23:00Z</dcterms:modified>
  <cp:category/>
</cp:coreProperties>
</file>