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E515C" w14:textId="77777777" w:rsidR="00B73AAB" w:rsidRPr="00480CDF" w:rsidRDefault="00000000" w:rsidP="00480CDF">
      <w:pPr>
        <w:rPr>
          <w:rFonts w:ascii="Times New Roman" w:hAnsi="Times New Roman" w:cs="Times New Roman"/>
        </w:rPr>
      </w:pPr>
      <w:bookmarkStart w:id="0" w:name="OLE_LINK4"/>
      <w:r w:rsidRPr="00480CDF">
        <w:rPr>
          <w:rFonts w:ascii="Times New Roman" w:hAnsi="Times New Roman" w:cs="Times New Roman"/>
        </w:rPr>
        <w:t>Supplementary Table S2. Multivariable Fine-Gray model further adjusted for EOI1 MRD burden (Model 4).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785"/>
        <w:gridCol w:w="2912"/>
        <w:gridCol w:w="1369"/>
      </w:tblGrid>
      <w:tr w:rsidR="00B73AAB" w14:paraId="2D21F79F" w14:textId="77777777" w:rsidTr="00480CDF">
        <w:trPr>
          <w:tblHeader/>
          <w:jc w:val="center"/>
        </w:trPr>
        <w:tc>
          <w:tcPr>
            <w:tcW w:w="2639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428E9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606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26176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SHR (95% CI)</w:t>
            </w:r>
          </w:p>
        </w:tc>
        <w:tc>
          <w:tcPr>
            <w:tcW w:w="755" w:type="pct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DE83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B73AAB" w14:paraId="76CF6B9A" w14:textId="77777777" w:rsidTr="00480CDF">
        <w:trPr>
          <w:jc w:val="center"/>
        </w:trPr>
        <w:tc>
          <w:tcPr>
            <w:tcW w:w="2639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552CD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EOI2 MRD (&gt;=0.05% vs &lt;0.05%)</w:t>
            </w:r>
          </w:p>
        </w:tc>
        <w:tc>
          <w:tcPr>
            <w:tcW w:w="1606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3341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0.558 (0.126-2.472)</w:t>
            </w:r>
          </w:p>
        </w:tc>
        <w:tc>
          <w:tcPr>
            <w:tcW w:w="755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019A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.443</w:t>
            </w:r>
          </w:p>
        </w:tc>
      </w:tr>
      <w:tr w:rsidR="00B73AAB" w14:paraId="7377B76A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DA0D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ΔMRD (per log2 unit)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CD5CE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0.959 (0.857-1.073)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F256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.463</w:t>
            </w:r>
          </w:p>
        </w:tc>
      </w:tr>
      <w:tr w:rsidR="00B73AAB" w14:paraId="13549049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461B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log10(EOI1 MRD + 1e-6)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6987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1.287 (0.887-1.868)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73337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.184</w:t>
            </w:r>
          </w:p>
        </w:tc>
      </w:tr>
      <w:tr w:rsidR="00B73AAB" w14:paraId="61AD408E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0090D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 (per year)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0AF9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1.013 (0.984-1.043)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9E5E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.368</w:t>
            </w:r>
          </w:p>
        </w:tc>
      </w:tr>
      <w:tr w:rsidR="00B73AAB" w14:paraId="2ADFB1B8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28192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Intermediate vs Low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8CC9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2.180 (1.526-3.114)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F78D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&lt;.001</w:t>
            </w:r>
          </w:p>
        </w:tc>
      </w:tr>
      <w:tr w:rsidR="00B73AAB" w14:paraId="6CC7965B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9CFC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ELN 2022 Adverse vs Low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051C7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1.590 (0.931-2.716)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1E28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.089</w:t>
            </w:r>
          </w:p>
        </w:tc>
      </w:tr>
      <w:tr w:rsidR="00B73AAB" w14:paraId="2D0846C2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0193F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log10(WBC+1)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55DC8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1.690 (1.274-2.240)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B779C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&lt;.001</w:t>
            </w:r>
          </w:p>
        </w:tc>
      </w:tr>
      <w:tr w:rsidR="00B73AAB" w14:paraId="7C8F7BA5" w14:textId="77777777" w:rsidTr="00480CDF">
        <w:trPr>
          <w:jc w:val="center"/>
        </w:trPr>
        <w:tc>
          <w:tcPr>
            <w:tcW w:w="2639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F44F7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606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7775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0.980 (0.614-1.566)</w:t>
            </w:r>
          </w:p>
        </w:tc>
        <w:tc>
          <w:tcPr>
            <w:tcW w:w="755" w:type="pct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49CC8" w14:textId="77777777" w:rsidR="00B73AAB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.933</w:t>
            </w:r>
          </w:p>
        </w:tc>
      </w:tr>
    </w:tbl>
    <w:p w14:paraId="102FE9BF" w14:textId="77777777" w:rsidR="00B73AAB" w:rsidRPr="00480CDF" w:rsidRDefault="00000000">
      <w:pPr>
        <w:rPr>
          <w:rFonts w:ascii="Times New Roman" w:hAnsi="Times New Roman" w:cs="Times New Roman"/>
          <w:sz w:val="18"/>
          <w:szCs w:val="18"/>
        </w:rPr>
      </w:pPr>
      <w:r w:rsidRPr="00480CDF">
        <w:rPr>
          <w:rFonts w:ascii="Times New Roman" w:hAnsi="Times New Roman" w:cs="Times New Roman"/>
          <w:sz w:val="18"/>
          <w:szCs w:val="18"/>
        </w:rPr>
        <w:t xml:space="preserve">SHR, </w:t>
      </w:r>
      <w:proofErr w:type="spellStart"/>
      <w:r w:rsidRPr="00480CDF">
        <w:rPr>
          <w:rFonts w:ascii="Times New Roman" w:hAnsi="Times New Roman" w:cs="Times New Roman"/>
          <w:sz w:val="18"/>
          <w:szCs w:val="18"/>
        </w:rPr>
        <w:t>subdistribution</w:t>
      </w:r>
      <w:proofErr w:type="spellEnd"/>
      <w:r w:rsidRPr="00480CDF">
        <w:rPr>
          <w:rFonts w:ascii="Times New Roman" w:hAnsi="Times New Roman" w:cs="Times New Roman"/>
          <w:sz w:val="18"/>
          <w:szCs w:val="18"/>
        </w:rPr>
        <w:t xml:space="preserve"> hazard ratio; CI, confidence interval; MRD, measurable residual disease; EOI, end of induction. Model 4 included EOI2 MRD status, ΔMRD, log-transformed EOI1 MRD, age, ELN 2022 risk, log10(WBC+1), and treatment protocol. The association of ΔMRD was attenuated after adjustment for EOI1 MRD burden.</w:t>
      </w:r>
      <w:bookmarkEnd w:id="0"/>
    </w:p>
    <w:sectPr w:rsidR="00B73AAB" w:rsidRPr="00480CDF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7804659">
    <w:abstractNumId w:val="1"/>
  </w:num>
  <w:num w:numId="2" w16cid:durableId="14383996">
    <w:abstractNumId w:val="2"/>
  </w:num>
  <w:num w:numId="3" w16cid:durableId="184839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480CDF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B73AAB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840CC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2026-09-25T15:25:00Z</dcterms:modified>
  <cp:category/>
</cp:coreProperties>
</file>