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829C1" w14:textId="77777777" w:rsidR="000C6164" w:rsidRPr="00711E8B" w:rsidRDefault="00000000" w:rsidP="00711E8B">
      <w:pPr>
        <w:rPr>
          <w:rFonts w:ascii="Times New Roman" w:hAnsi="Times New Roman" w:cs="Times New Roman"/>
        </w:rPr>
      </w:pPr>
      <w:r w:rsidRPr="00711E8B">
        <w:rPr>
          <w:rFonts w:ascii="Times New Roman" w:hAnsi="Times New Roman" w:cs="Times New Roman"/>
        </w:rPr>
        <w:t>Supplementary Table S5. Fixed-time landmark sensitivity analyses at 3, 6, and 9 months from diagnosis.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1106"/>
        <w:gridCol w:w="1327"/>
        <w:gridCol w:w="1327"/>
        <w:gridCol w:w="2653"/>
        <w:gridCol w:w="2653"/>
      </w:tblGrid>
      <w:tr w:rsidR="000C6164" w14:paraId="73F048DD" w14:textId="77777777" w:rsidTr="00711E8B">
        <w:trPr>
          <w:tblHeader/>
          <w:jc w:val="center"/>
        </w:trPr>
        <w:tc>
          <w:tcPr>
            <w:tcW w:w="610" w:type="pct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6ABC8" w14:textId="77777777" w:rsidR="000C616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Landmark</w:t>
            </w:r>
          </w:p>
        </w:tc>
        <w:tc>
          <w:tcPr>
            <w:tcW w:w="732" w:type="pct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8C2E4" w14:textId="77777777" w:rsidR="000C616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N (all patients)</w:t>
            </w:r>
          </w:p>
        </w:tc>
        <w:tc>
          <w:tcPr>
            <w:tcW w:w="732" w:type="pct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797740" w14:textId="77777777" w:rsidR="000C616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N (EOI2 &lt;0.05%)</w:t>
            </w:r>
          </w:p>
        </w:tc>
        <w:tc>
          <w:tcPr>
            <w:tcW w:w="1463" w:type="pct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0A498" w14:textId="77777777" w:rsidR="000C616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Pos/Neg vs Neg/Neg (all patients)</w:t>
            </w:r>
          </w:p>
        </w:tc>
        <w:tc>
          <w:tcPr>
            <w:tcW w:w="1463" w:type="pct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74CF6" w14:textId="77777777" w:rsidR="000C616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Pos/Neg vs Neg/Neg (EOI2 &lt;0.05%)</w:t>
            </w:r>
          </w:p>
        </w:tc>
      </w:tr>
      <w:tr w:rsidR="000C6164" w14:paraId="5F3FA31B" w14:textId="77777777" w:rsidTr="00711E8B">
        <w:trPr>
          <w:jc w:val="center"/>
        </w:trPr>
        <w:tc>
          <w:tcPr>
            <w:tcW w:w="610" w:type="pct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83BC5" w14:textId="77777777" w:rsidR="000C616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months</w:t>
            </w:r>
          </w:p>
        </w:tc>
        <w:tc>
          <w:tcPr>
            <w:tcW w:w="732" w:type="pct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9ED93" w14:textId="77777777" w:rsidR="000C616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415</w:t>
            </w:r>
          </w:p>
        </w:tc>
        <w:tc>
          <w:tcPr>
            <w:tcW w:w="732" w:type="pct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C07A8" w14:textId="77777777" w:rsidR="000C616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360</w:t>
            </w:r>
          </w:p>
        </w:tc>
        <w:tc>
          <w:tcPr>
            <w:tcW w:w="1463" w:type="pct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6E770B" w14:textId="77777777" w:rsidR="000C616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1.62 (1.12-2.37); P = .011</w:t>
            </w:r>
          </w:p>
        </w:tc>
        <w:tc>
          <w:tcPr>
            <w:tcW w:w="1463" w:type="pct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D9D7FC" w14:textId="77777777" w:rsidR="000C616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1.66 (1.14-2.43); P = .009</w:t>
            </w:r>
          </w:p>
        </w:tc>
      </w:tr>
      <w:tr w:rsidR="000C6164" w14:paraId="63492DEB" w14:textId="77777777" w:rsidTr="00711E8B">
        <w:trPr>
          <w:jc w:val="center"/>
        </w:trPr>
        <w:tc>
          <w:tcPr>
            <w:tcW w:w="61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61245E" w14:textId="77777777" w:rsidR="000C616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months</w:t>
            </w:r>
          </w:p>
        </w:tc>
        <w:tc>
          <w:tcPr>
            <w:tcW w:w="732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CF0A8" w14:textId="77777777" w:rsidR="000C616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391</w:t>
            </w:r>
          </w:p>
        </w:tc>
        <w:tc>
          <w:tcPr>
            <w:tcW w:w="732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933F2" w14:textId="77777777" w:rsidR="000C616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345</w:t>
            </w:r>
          </w:p>
        </w:tc>
        <w:tc>
          <w:tcPr>
            <w:tcW w:w="1463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FABFBA" w14:textId="77777777" w:rsidR="000C616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1.86 (1.25-2.75); P = .002</w:t>
            </w:r>
          </w:p>
        </w:tc>
        <w:tc>
          <w:tcPr>
            <w:tcW w:w="1463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A234D" w14:textId="77777777" w:rsidR="000C616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1.89 (1.27-2.82); P = .002</w:t>
            </w:r>
          </w:p>
        </w:tc>
      </w:tr>
      <w:tr w:rsidR="000C6164" w14:paraId="0B7B0E06" w14:textId="77777777" w:rsidTr="00711E8B">
        <w:trPr>
          <w:jc w:val="center"/>
        </w:trPr>
        <w:tc>
          <w:tcPr>
            <w:tcW w:w="610" w:type="pct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36E43" w14:textId="77777777" w:rsidR="000C616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months</w:t>
            </w:r>
          </w:p>
        </w:tc>
        <w:tc>
          <w:tcPr>
            <w:tcW w:w="732" w:type="pct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9A44F" w14:textId="77777777" w:rsidR="000C616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352</w:t>
            </w:r>
          </w:p>
        </w:tc>
        <w:tc>
          <w:tcPr>
            <w:tcW w:w="732" w:type="pct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01255F" w14:textId="77777777" w:rsidR="000C616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315</w:t>
            </w:r>
          </w:p>
        </w:tc>
        <w:tc>
          <w:tcPr>
            <w:tcW w:w="1463" w:type="pct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03699A" w14:textId="77777777" w:rsidR="000C616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2.17 (1.40-3.37); P &lt; .001</w:t>
            </w:r>
          </w:p>
        </w:tc>
        <w:tc>
          <w:tcPr>
            <w:tcW w:w="1463" w:type="pct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72CB6" w14:textId="77777777" w:rsidR="000C616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2.15 (1.38-3.35); P &lt; .001</w:t>
            </w:r>
          </w:p>
        </w:tc>
      </w:tr>
    </w:tbl>
    <w:p w14:paraId="42C37193" w14:textId="77777777" w:rsidR="000C6164" w:rsidRPr="00711E8B" w:rsidRDefault="00000000">
      <w:pPr>
        <w:rPr>
          <w:rFonts w:ascii="Times New Roman" w:hAnsi="Times New Roman" w:cs="Times New Roman"/>
          <w:sz w:val="18"/>
          <w:szCs w:val="18"/>
        </w:rPr>
      </w:pPr>
      <w:r w:rsidRPr="00711E8B">
        <w:rPr>
          <w:rFonts w:ascii="Times New Roman" w:hAnsi="Times New Roman" w:cs="Times New Roman"/>
          <w:sz w:val="18"/>
          <w:szCs w:val="18"/>
        </w:rPr>
        <w:t xml:space="preserve">SHR, </w:t>
      </w:r>
      <w:proofErr w:type="spellStart"/>
      <w:r w:rsidRPr="00711E8B">
        <w:rPr>
          <w:rFonts w:ascii="Times New Roman" w:hAnsi="Times New Roman" w:cs="Times New Roman"/>
          <w:sz w:val="18"/>
          <w:szCs w:val="18"/>
        </w:rPr>
        <w:t>subdistribution</w:t>
      </w:r>
      <w:proofErr w:type="spellEnd"/>
      <w:r w:rsidRPr="00711E8B">
        <w:rPr>
          <w:rFonts w:ascii="Times New Roman" w:hAnsi="Times New Roman" w:cs="Times New Roman"/>
          <w:sz w:val="18"/>
          <w:szCs w:val="18"/>
        </w:rPr>
        <w:t xml:space="preserve"> hazard ratio; CI, confidence interval; MRD, measurable residual disease; EOI, end of induction. Landmark analyses were performed within the primary analysis cohort (n = 418). At each landmark, patients who had relapse or death before the landmark were excluded; therefore, the number at risk at 3, 6, and 9 months was ≤418 and decreased over time. The EOI2 &lt;0.05% subgroup at each landmark was ≤363. Because the TARGET-AML public database does not provide the exact date of EOI2 assessment, a formal EOI2 landmark analysis could not be performed. Fixed-time landmark analyses were performed instead.</w:t>
      </w:r>
    </w:p>
    <w:sectPr w:rsidR="000C6164" w:rsidRPr="00711E8B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339701222">
    <w:abstractNumId w:val="1"/>
  </w:num>
  <w:num w:numId="2" w16cid:durableId="706180955">
    <w:abstractNumId w:val="2"/>
  </w:num>
  <w:num w:numId="3" w16cid:durableId="5834924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bordersDoNotSurroundHeader/>
  <w:bordersDoNotSurroundFooter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79D"/>
    <w:rsid w:val="00036527"/>
    <w:rsid w:val="00073835"/>
    <w:rsid w:val="000C6164"/>
    <w:rsid w:val="001379FE"/>
    <w:rsid w:val="001C0A13"/>
    <w:rsid w:val="001D75AB"/>
    <w:rsid w:val="0035500D"/>
    <w:rsid w:val="00362E65"/>
    <w:rsid w:val="004158F9"/>
    <w:rsid w:val="00457CF1"/>
    <w:rsid w:val="00711E8B"/>
    <w:rsid w:val="00747CCE"/>
    <w:rsid w:val="007B3E96"/>
    <w:rsid w:val="008F1F48"/>
    <w:rsid w:val="00901463"/>
    <w:rsid w:val="00946CB3"/>
    <w:rsid w:val="00AE18EF"/>
    <w:rsid w:val="00AE1BDD"/>
    <w:rsid w:val="00AF0A28"/>
    <w:rsid w:val="00B3547C"/>
    <w:rsid w:val="00B4379D"/>
    <w:rsid w:val="00C27329"/>
    <w:rsid w:val="00C31EEB"/>
    <w:rsid w:val="00F12158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6C53672"/>
  <w14:defaultImageDpi w14:val="300"/>
  <w15:docId w15:val="{82A812A4-2F41-F746-AAB1-47BA7D9E8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要点1"/>
    <w:basedOn w:val="a0"/>
    <w:uiPriority w:val="1"/>
    <w:qFormat/>
    <w:rsid w:val="007B3E96"/>
    <w:rPr>
      <w:b/>
    </w:rPr>
  </w:style>
  <w:style w:type="paragraph" w:customStyle="1" w:styleId="centered">
    <w:name w:val="centered"/>
    <w:basedOn w:val="a"/>
    <w:qFormat/>
    <w:rsid w:val="001D75AB"/>
    <w:pPr>
      <w:jc w:val="center"/>
    </w:pPr>
  </w:style>
  <w:style w:type="table" w:customStyle="1" w:styleId="tabletemplate">
    <w:name w:val="table_template"/>
    <w:basedOn w:val="a1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Light List Accent 2"/>
    <w:basedOn w:val="a1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a3">
    <w:name w:val="Table Professional"/>
    <w:basedOn w:val="a1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a"/>
    <w:next w:val="a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rsid w:val="00FB63E7"/>
    <w:pPr>
      <w:spacing w:after="100"/>
      <w:ind w:left="240"/>
    </w:pPr>
  </w:style>
  <w:style w:type="paragraph" w:styleId="a4">
    <w:name w:val="Balloon Text"/>
    <w:basedOn w:val="a"/>
    <w:link w:val="a5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a"/>
    <w:rsid w:val="0035500D"/>
  </w:style>
  <w:style w:type="paragraph" w:customStyle="1" w:styleId="tabletitle">
    <w:name w:val="table title"/>
    <w:basedOn w:val="TableCaption"/>
    <w:next w:val="a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4721</dc:creator>
  <cp:keywords/>
  <dc:description/>
  <cp:lastModifiedBy>4721</cp:lastModifiedBy>
  <cp:revision>2</cp:revision>
  <dcterms:created xsi:type="dcterms:W3CDTF">2026-09-27T02:05:00Z</dcterms:created>
  <dcterms:modified xsi:type="dcterms:W3CDTF">2026-09-27T02:05:00Z</dcterms:modified>
  <cp:category/>
</cp:coreProperties>
</file>