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FED6C" w14:textId="77777777" w:rsidR="00BB283E" w:rsidRPr="006A62E1" w:rsidRDefault="00000000" w:rsidP="006A62E1">
      <w:pPr>
        <w:rPr>
          <w:rFonts w:ascii="Times New Roman" w:hAnsi="Times New Roman" w:cs="Times New Roman"/>
        </w:rPr>
      </w:pPr>
      <w:r w:rsidRPr="006A62E1">
        <w:rPr>
          <w:rFonts w:ascii="Times New Roman" w:hAnsi="Times New Roman" w:cs="Times New Roman"/>
        </w:rPr>
        <w:t>Supplementary Table S4. Exploratory analysis of the ELN 2025 MRD relapse definition within the Pos/Pos group.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72"/>
        <w:gridCol w:w="1584"/>
        <w:gridCol w:w="1584"/>
        <w:gridCol w:w="2592"/>
        <w:gridCol w:w="2592"/>
      </w:tblGrid>
      <w:tr w:rsidR="00BB283E" w14:paraId="77B72E5F" w14:textId="77777777">
        <w:trPr>
          <w:tblHeader/>
          <w:jc w:val="center"/>
        </w:trPr>
        <w:tc>
          <w:tcPr>
            <w:tcW w:w="187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42D77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Definition</w:t>
            </w:r>
          </w:p>
        </w:tc>
        <w:tc>
          <w:tcPr>
            <w:tcW w:w="158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F0EB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ELN-MRD relapse, n</w:t>
            </w:r>
          </w:p>
        </w:tc>
        <w:tc>
          <w:tcPr>
            <w:tcW w:w="158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7342C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Stable positive, n</w:t>
            </w:r>
          </w:p>
        </w:tc>
        <w:tc>
          <w:tcPr>
            <w:tcW w:w="259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5CCA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5-year CIR, ELN-MRD relapse (95% CI)</w:t>
            </w:r>
          </w:p>
        </w:tc>
        <w:tc>
          <w:tcPr>
            <w:tcW w:w="259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9A54C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5-year CIR, stable positive (95% CI)</w:t>
            </w:r>
          </w:p>
        </w:tc>
      </w:tr>
      <w:tr w:rsidR="00BB283E" w14:paraId="03C1F891" w14:textId="77777777">
        <w:trPr>
          <w:jc w:val="center"/>
        </w:trPr>
        <w:tc>
          <w:tcPr>
            <w:tcW w:w="187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AE394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&gt;=1-log10 rise</w:t>
            </w:r>
          </w:p>
        </w:tc>
        <w:tc>
          <w:tcPr>
            <w:tcW w:w="158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825B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A8B83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59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7121B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42.9% (1.6-84.1%)</w:t>
            </w:r>
          </w:p>
        </w:tc>
        <w:tc>
          <w:tcPr>
            <w:tcW w:w="259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76D7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50.8% (36.3-65.4%)</w:t>
            </w:r>
          </w:p>
        </w:tc>
      </w:tr>
      <w:tr w:rsidR="00BB283E" w14:paraId="67C468A4" w14:textId="77777777">
        <w:trPr>
          <w:jc w:val="center"/>
        </w:trPr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79B7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&gt;=0.5-log10 rise</w:t>
            </w:r>
          </w:p>
        </w:tc>
        <w:tc>
          <w:tcPr>
            <w:tcW w:w="158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F2D4F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8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02A6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50B4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44.4% (8.9-80.0%)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DE49" w14:textId="77777777" w:rsidR="00BB283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50.9% (36.0-65.8%)</w:t>
            </w:r>
          </w:p>
        </w:tc>
      </w:tr>
    </w:tbl>
    <w:p w14:paraId="1854165F" w14:textId="77777777" w:rsidR="00BB283E" w:rsidRPr="006A62E1" w:rsidRDefault="00000000">
      <w:pPr>
        <w:rPr>
          <w:rFonts w:ascii="Times New Roman" w:hAnsi="Times New Roman" w:cs="Times New Roman"/>
          <w:sz w:val="18"/>
          <w:szCs w:val="18"/>
        </w:rPr>
      </w:pPr>
      <w:r w:rsidRPr="006A62E1">
        <w:rPr>
          <w:rFonts w:ascii="Times New Roman" w:hAnsi="Times New Roman" w:cs="Times New Roman"/>
          <w:sz w:val="18"/>
          <w:szCs w:val="18"/>
        </w:rPr>
        <w:t xml:space="preserve">CIR, cumulative incidence of relapse; CI, confidence interval; MRD, measurable residual disease; ELN, European </w:t>
      </w:r>
      <w:proofErr w:type="spellStart"/>
      <w:r w:rsidRPr="006A62E1">
        <w:rPr>
          <w:rFonts w:ascii="Times New Roman" w:hAnsi="Times New Roman" w:cs="Times New Roman"/>
          <w:sz w:val="18"/>
          <w:szCs w:val="18"/>
        </w:rPr>
        <w:t>LeukemiaNet</w:t>
      </w:r>
      <w:proofErr w:type="spellEnd"/>
      <w:r w:rsidRPr="006A62E1">
        <w:rPr>
          <w:rFonts w:ascii="Times New Roman" w:hAnsi="Times New Roman" w:cs="Times New Roman"/>
          <w:sz w:val="18"/>
          <w:szCs w:val="18"/>
        </w:rPr>
        <w:t>. Formal statistical comparison was not performed because of the small sample size of the ELN-MRD relapse subgroup. These results should be regarded as exploratory rather than as a validation of the ELN 2025 criteria in children.</w:t>
      </w:r>
    </w:p>
    <w:sectPr w:rsidR="00BB283E" w:rsidRPr="006A62E1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459770">
    <w:abstractNumId w:val="1"/>
  </w:num>
  <w:num w:numId="2" w16cid:durableId="1665157735">
    <w:abstractNumId w:val="2"/>
  </w:num>
  <w:num w:numId="3" w16cid:durableId="1544172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6A62E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BB283E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BF7153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2026-09-25T15:41:00Z</dcterms:modified>
  <cp:category/>
</cp:coreProperties>
</file>