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E69D" w14:textId="77777777" w:rsidR="003B0053" w:rsidRPr="007F012C" w:rsidRDefault="00000000" w:rsidP="007F012C">
      <w:pPr>
        <w:rPr>
          <w:rFonts w:ascii="Times New Roman" w:hAnsi="Times New Roman" w:cs="Times New Roman"/>
        </w:rPr>
      </w:pPr>
      <w:r w:rsidRPr="007F012C">
        <w:rPr>
          <w:rFonts w:ascii="Times New Roman" w:hAnsi="Times New Roman" w:cs="Times New Roman"/>
        </w:rPr>
        <w:t>Table 5. Subgroup analysis of Pos/Neg versus Neg/Neg for cumulative incidence of relapse.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744"/>
        <w:gridCol w:w="1152"/>
        <w:gridCol w:w="2592"/>
        <w:gridCol w:w="1440"/>
      </w:tblGrid>
      <w:tr w:rsidR="003B0053" w14:paraId="6A36D292" w14:textId="77777777">
        <w:trPr>
          <w:tblHeader/>
          <w:jc w:val="center"/>
        </w:trPr>
        <w:tc>
          <w:tcPr>
            <w:tcW w:w="374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2BE8C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Subgroup</w:t>
            </w:r>
          </w:p>
        </w:tc>
        <w:tc>
          <w:tcPr>
            <w:tcW w:w="115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4CC77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259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4AF46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SHR (95% CI)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4D330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p-value</w:t>
            </w:r>
          </w:p>
        </w:tc>
      </w:tr>
      <w:tr w:rsidR="003B0053" w14:paraId="7457C968" w14:textId="77777777">
        <w:trPr>
          <w:jc w:val="center"/>
        </w:trPr>
        <w:tc>
          <w:tcPr>
            <w:tcW w:w="374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907B9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Overall (EOI2 &lt;0.05%)</w:t>
            </w:r>
          </w:p>
        </w:tc>
        <w:tc>
          <w:tcPr>
            <w:tcW w:w="1152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A387F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2592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63660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1.70 (1.16-2.47)</w:t>
            </w:r>
          </w:p>
        </w:tc>
        <w:tc>
          <w:tcPr>
            <w:tcW w:w="144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103B4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.006</w:t>
            </w:r>
          </w:p>
        </w:tc>
      </w:tr>
      <w:tr w:rsidR="003B0053" w14:paraId="72E6A8AD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A3C0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ELN 2022 Low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4D816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25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2ADF0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 (0.63-2.47)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CA40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.520</w:t>
            </w:r>
          </w:p>
        </w:tc>
      </w:tr>
      <w:tr w:rsidR="003B0053" w14:paraId="7E9C5840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1F43B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ELN 2022 Intermediate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326D2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25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0049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 (1.37-3.79)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8BAA0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.001</w:t>
            </w:r>
          </w:p>
        </w:tc>
      </w:tr>
      <w:tr w:rsidR="003B0053" w14:paraId="361C3AFF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7E12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AAML03P1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B44E4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5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EBC30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 (0.41-4.12)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663B6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.659</w:t>
            </w:r>
          </w:p>
        </w:tc>
      </w:tr>
      <w:tr w:rsidR="003B0053" w14:paraId="6DE2D7D1" w14:textId="77777777">
        <w:trPr>
          <w:jc w:val="center"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02878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</w:t>
            </w:r>
          </w:p>
        </w:tc>
        <w:tc>
          <w:tcPr>
            <w:tcW w:w="1152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D69A6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2592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C7EA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1.65 (1.10-2.46)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4834" w14:textId="77777777" w:rsidR="003B005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.015</w:t>
            </w:r>
          </w:p>
        </w:tc>
      </w:tr>
    </w:tbl>
    <w:p w14:paraId="35479284" w14:textId="070A05AE" w:rsidR="003B0053" w:rsidRPr="007F012C" w:rsidRDefault="00000000">
      <w:pPr>
        <w:rPr>
          <w:rFonts w:ascii="Times New Roman" w:hAnsi="Times New Roman" w:cs="Times New Roman"/>
          <w:sz w:val="18"/>
          <w:szCs w:val="18"/>
        </w:rPr>
      </w:pPr>
      <w:r w:rsidRPr="007F012C">
        <w:rPr>
          <w:rFonts w:ascii="Times New Roman" w:hAnsi="Times New Roman" w:cs="Times New Roman"/>
          <w:sz w:val="18"/>
          <w:szCs w:val="18"/>
        </w:rPr>
        <w:t xml:space="preserve">SHR, </w:t>
      </w:r>
      <w:proofErr w:type="spellStart"/>
      <w:r w:rsidRPr="007F012C">
        <w:rPr>
          <w:rFonts w:ascii="Times New Roman" w:hAnsi="Times New Roman" w:cs="Times New Roman"/>
          <w:sz w:val="18"/>
          <w:szCs w:val="18"/>
        </w:rPr>
        <w:t>subdistribution</w:t>
      </w:r>
      <w:proofErr w:type="spellEnd"/>
      <w:r w:rsidRPr="007F012C">
        <w:rPr>
          <w:rFonts w:ascii="Times New Roman" w:hAnsi="Times New Roman" w:cs="Times New Roman"/>
          <w:sz w:val="18"/>
          <w:szCs w:val="18"/>
        </w:rPr>
        <w:t xml:space="preserve"> hazard ratio; CI, confidence interval; MRD, measurable residual disease; ELN, European Leukemia</w:t>
      </w:r>
      <w:r w:rsidR="007F012C"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 w:rsidRPr="007F012C">
        <w:rPr>
          <w:rFonts w:ascii="Times New Roman" w:hAnsi="Times New Roman" w:cs="Times New Roman"/>
          <w:sz w:val="18"/>
          <w:szCs w:val="18"/>
        </w:rPr>
        <w:t>Net; EOI, end of induction. The ELN 2022 Adverse subgroup was not fitted because only 8 patients had Pos/Neg status. Formal interaction tests were not significant (MRD x ELN 2022, p = .238; MRD x Protocol, p = .283), so subgroup estimates should be interpreted as descriptive rather than as evidence of differential effects.</w:t>
      </w:r>
    </w:p>
    <w:sectPr w:rsidR="003B0053" w:rsidRPr="007F012C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69143812">
    <w:abstractNumId w:val="1"/>
  </w:num>
  <w:num w:numId="2" w16cid:durableId="846017918">
    <w:abstractNumId w:val="2"/>
  </w:num>
  <w:num w:numId="3" w16cid:durableId="24727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3B0053"/>
    <w:rsid w:val="004158F9"/>
    <w:rsid w:val="00457CF1"/>
    <w:rsid w:val="005D79EC"/>
    <w:rsid w:val="00747CCE"/>
    <w:rsid w:val="007B3E96"/>
    <w:rsid w:val="007F012C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770D5E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2026-09-27T04:40:00Z</dcterms:modified>
  <cp:category/>
</cp:coreProperties>
</file>