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FF299" w14:textId="77777777" w:rsidR="00E36DA9" w:rsidRPr="00FB3BA9" w:rsidRDefault="00000000" w:rsidP="00AE4403">
      <w:pPr>
        <w:rPr>
          <w:rFonts w:ascii="Times New Roman" w:hAnsi="Times New Roman" w:cs="Times New Roman"/>
        </w:rPr>
      </w:pPr>
      <w:r w:rsidRPr="00FB3BA9">
        <w:rPr>
          <w:rFonts w:ascii="Times New Roman" w:hAnsi="Times New Roman" w:cs="Times New Roman"/>
        </w:rPr>
        <w:t>Supplementary Table S3. Interaction tests for the association between MRD kinetics and cumulative incidence of relapse.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7258"/>
        <w:gridCol w:w="1808"/>
      </w:tblGrid>
      <w:tr w:rsidR="00E36DA9" w14:paraId="196EADDF" w14:textId="77777777">
        <w:trPr>
          <w:tblHeader/>
          <w:jc w:val="center"/>
        </w:trPr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AC7E7" w14:textId="77777777" w:rsidR="00E36DA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Interaction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3A71C" w14:textId="77777777" w:rsidR="00E36DA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 value</w:t>
            </w:r>
          </w:p>
        </w:tc>
      </w:tr>
      <w:tr w:rsidR="00E36DA9" w14:paraId="3D6BEDE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10F8A" w14:textId="77777777" w:rsidR="00E36DA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MRD kinetics x ELN 2022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DFE92" w14:textId="77777777" w:rsidR="00E36DA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.238</w:t>
            </w:r>
          </w:p>
        </w:tc>
      </w:tr>
      <w:tr w:rsidR="00E36DA9" w14:paraId="6D00C4B1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34A20" w14:textId="77777777" w:rsidR="00E36DA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MRD kinetics x Treatment protocol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FB432" w14:textId="77777777" w:rsidR="00E36DA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.283</w:t>
            </w:r>
          </w:p>
        </w:tc>
      </w:tr>
    </w:tbl>
    <w:p w14:paraId="37DBE1FA" w14:textId="77777777" w:rsidR="00E36DA9" w:rsidRPr="00AE4403" w:rsidRDefault="00000000">
      <w:pPr>
        <w:rPr>
          <w:rFonts w:ascii="Times New Roman" w:hAnsi="Times New Roman" w:cs="Times New Roman"/>
          <w:sz w:val="18"/>
          <w:szCs w:val="18"/>
        </w:rPr>
      </w:pPr>
      <w:r w:rsidRPr="00AE4403">
        <w:rPr>
          <w:rFonts w:ascii="Times New Roman" w:hAnsi="Times New Roman" w:cs="Times New Roman"/>
          <w:sz w:val="18"/>
          <w:szCs w:val="18"/>
        </w:rPr>
        <w:t xml:space="preserve">MRD, measurable residual disease; ELN, European </w:t>
      </w:r>
      <w:proofErr w:type="spellStart"/>
      <w:r w:rsidRPr="00AE4403">
        <w:rPr>
          <w:rFonts w:ascii="Times New Roman" w:hAnsi="Times New Roman" w:cs="Times New Roman"/>
          <w:sz w:val="18"/>
          <w:szCs w:val="18"/>
        </w:rPr>
        <w:t>LeukemiaNet</w:t>
      </w:r>
      <w:proofErr w:type="spellEnd"/>
      <w:r w:rsidRPr="00AE4403">
        <w:rPr>
          <w:rFonts w:ascii="Times New Roman" w:hAnsi="Times New Roman" w:cs="Times New Roman"/>
          <w:sz w:val="18"/>
          <w:szCs w:val="18"/>
        </w:rPr>
        <w:t>. Interaction tests were performed using cause-specific Cox models with robust standard errors. None of the interaction terms reached statistical significance.</w:t>
      </w:r>
    </w:p>
    <w:sectPr w:rsidR="00E36DA9" w:rsidRPr="00AE4403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6876227">
    <w:abstractNumId w:val="1"/>
  </w:num>
  <w:num w:numId="2" w16cid:durableId="2004896366">
    <w:abstractNumId w:val="2"/>
  </w:num>
  <w:num w:numId="3" w16cid:durableId="2037656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AE4403"/>
    <w:rsid w:val="00AF0A28"/>
    <w:rsid w:val="00B3547C"/>
    <w:rsid w:val="00B4379D"/>
    <w:rsid w:val="00C27329"/>
    <w:rsid w:val="00C31EEB"/>
    <w:rsid w:val="00E36DA9"/>
    <w:rsid w:val="00F12158"/>
    <w:rsid w:val="00FB3BA9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7924644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11</cp:revision>
  <dcterms:created xsi:type="dcterms:W3CDTF">2017-02-28T11:18:00Z</dcterms:created>
  <dcterms:modified xsi:type="dcterms:W3CDTF">2026-09-26T13:46:00Z</dcterms:modified>
  <cp:category/>
</cp:coreProperties>
</file>