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0DDA" w14:textId="77777777" w:rsidR="00411FB4" w:rsidRPr="00DB2B42" w:rsidRDefault="00000000" w:rsidP="00DB2B42">
      <w:pPr>
        <w:rPr>
          <w:rFonts w:ascii="Times New Roman" w:hAnsi="Times New Roman" w:cs="Times New Roman"/>
        </w:rPr>
      </w:pPr>
      <w:r w:rsidRPr="00DB2B42">
        <w:rPr>
          <w:rFonts w:ascii="Times New Roman" w:hAnsi="Times New Roman" w:cs="Times New Roman"/>
        </w:rPr>
        <w:t>Table 2. Univariable Fine-Gray competing risk analysis for cumulative incidence of relapse.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917"/>
        <w:gridCol w:w="3209"/>
        <w:gridCol w:w="1897"/>
        <w:gridCol w:w="1043"/>
      </w:tblGrid>
      <w:tr w:rsidR="00411FB4" w14:paraId="0837B335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375E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6DC73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16A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SHR (95% CI)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697BB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411FB4" w14:paraId="0E58E0C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BCA9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MRD kinetics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9961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Pos/Neg vs Neg/Neg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ECF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1.78 (1.21-2.60)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47C13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.003</w:t>
            </w:r>
          </w:p>
        </w:tc>
      </w:tr>
      <w:tr w:rsidR="00411FB4" w14:paraId="242A0A18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560F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MRD kinetics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4049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Pos/Pos vs Neg/Neg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0B4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1.66 (1.08-2.57)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D28B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.022</w:t>
            </w:r>
          </w:p>
        </w:tc>
      </w:tr>
      <w:tr w:rsidR="00411FB4" w14:paraId="51B5F573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0E43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ΔMRD (per log2 unit)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A0E7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per log2 unit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855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1.03 (1.00-1.06)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095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.032</w:t>
            </w:r>
          </w:p>
        </w:tc>
      </w:tr>
      <w:tr w:rsidR="00411FB4" w14:paraId="46CE05EF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60D53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0D1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per year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5AA7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0.99 (0.96-1.02)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A438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.535</w:t>
            </w:r>
          </w:p>
        </w:tc>
      </w:tr>
      <w:tr w:rsidR="00411FB4" w14:paraId="6FA824DF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84E1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48A86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Female vs Male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07E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0.96 (0.71-1.31)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FED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.807</w:t>
            </w:r>
          </w:p>
        </w:tc>
      </w:tr>
      <w:tr w:rsidR="00411FB4" w14:paraId="582B355C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B6EE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log10(WBC+1)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98EED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per unit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BDC3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1.66 (1.26-2.20)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CD5E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411FB4" w14:paraId="10E60EF1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FCB1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Bone marrow blasts (%)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CDCDB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per %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8D23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1.01 (1.00-1.02)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277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.011</w:t>
            </w:r>
          </w:p>
        </w:tc>
      </w:tr>
      <w:tr w:rsidR="00411FB4" w14:paraId="18A73FC4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004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ELN 2022 risk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7DA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Intermediate vs Low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818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2.06 (1.47-2.89)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CCB13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411FB4" w14:paraId="129B774F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0DF4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ELN 2022 risk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23BF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Adverse vs Low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ED11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2.08 (1.28-3.40)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A79B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.003</w:t>
            </w:r>
          </w:p>
        </w:tc>
      </w:tr>
      <w:tr w:rsidR="00411FB4" w14:paraId="1095CE90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DCC6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Treatment protocol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E9848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E1D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0.97 (0.62-1.50)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8CD39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.879</w:t>
            </w:r>
          </w:p>
        </w:tc>
      </w:tr>
      <w:tr w:rsidR="00411FB4" w14:paraId="58109A53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2F65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FLT3-ITD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121A9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Yes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vs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46C8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1.41 (0.94-2.10)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403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.093</w:t>
            </w:r>
          </w:p>
        </w:tc>
      </w:tr>
      <w:tr w:rsidR="00411FB4" w14:paraId="6A698407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D4C0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NPM1 mutation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7546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Yes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vs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B1E8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0.74 (0.41-1.33)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E2F5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.316</w:t>
            </w:r>
          </w:p>
        </w:tc>
      </w:tr>
      <w:tr w:rsidR="00411FB4" w14:paraId="60D3A732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F521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8;21)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E51A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Yes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vs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08DD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0.40 (0.24-0.67)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4C7D9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&lt;0.001</w:t>
            </w:r>
          </w:p>
        </w:tc>
      </w:tr>
      <w:tr w:rsidR="00411FB4" w14:paraId="1BA3B954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216D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inv(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91A8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Yes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vs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9545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0.96 (0.63-1.45)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44F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.843</w:t>
            </w:r>
          </w:p>
        </w:tc>
      </w:tr>
      <w:tr w:rsidR="00411FB4" w14:paraId="104A1713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94F1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KMT2A rearrangement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E20D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Yes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vs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3FA58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1.35 (0.90-2.03)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D1D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.150</w:t>
            </w:r>
          </w:p>
        </w:tc>
      </w:tr>
      <w:tr w:rsidR="00411FB4" w14:paraId="1432DAEC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F1F2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SCT in first CR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93AC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Yes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vs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279F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0.94 (0.62-1.42)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FB517" w14:textId="77777777" w:rsidR="00411FB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.773</w:t>
            </w:r>
          </w:p>
        </w:tc>
      </w:tr>
    </w:tbl>
    <w:p w14:paraId="2A664680" w14:textId="77777777" w:rsidR="00411FB4" w:rsidRPr="00DB2B42" w:rsidRDefault="00000000">
      <w:pPr>
        <w:rPr>
          <w:rFonts w:ascii="Times New Roman" w:hAnsi="Times New Roman" w:cs="Times New Roman"/>
          <w:sz w:val="18"/>
          <w:szCs w:val="18"/>
        </w:rPr>
      </w:pPr>
      <w:r w:rsidRPr="00DB2B42">
        <w:rPr>
          <w:rFonts w:ascii="Times New Roman" w:hAnsi="Times New Roman" w:cs="Times New Roman"/>
          <w:sz w:val="18"/>
          <w:szCs w:val="18"/>
        </w:rPr>
        <w:t xml:space="preserve">SHR, </w:t>
      </w:r>
      <w:proofErr w:type="spellStart"/>
      <w:r w:rsidRPr="00DB2B42">
        <w:rPr>
          <w:rFonts w:ascii="Times New Roman" w:hAnsi="Times New Roman" w:cs="Times New Roman"/>
          <w:sz w:val="18"/>
          <w:szCs w:val="18"/>
        </w:rPr>
        <w:t>subdistribution</w:t>
      </w:r>
      <w:proofErr w:type="spellEnd"/>
      <w:r w:rsidRPr="00DB2B42">
        <w:rPr>
          <w:rFonts w:ascii="Times New Roman" w:hAnsi="Times New Roman" w:cs="Times New Roman"/>
          <w:sz w:val="18"/>
          <w:szCs w:val="18"/>
        </w:rPr>
        <w:t xml:space="preserve"> hazard ratio; CI, confidence interval; MRD, measurable residual disease; WBC, white blood cell count; SCT, stem cell transplantation; CR, complete remission; ELN, European </w:t>
      </w:r>
      <w:proofErr w:type="spellStart"/>
      <w:r w:rsidRPr="00DB2B42">
        <w:rPr>
          <w:rFonts w:ascii="Times New Roman" w:hAnsi="Times New Roman" w:cs="Times New Roman"/>
          <w:sz w:val="18"/>
          <w:szCs w:val="18"/>
        </w:rPr>
        <w:t>LeukemiaNet</w:t>
      </w:r>
      <w:proofErr w:type="spellEnd"/>
      <w:r w:rsidRPr="00DB2B42">
        <w:rPr>
          <w:rFonts w:ascii="Times New Roman" w:hAnsi="Times New Roman" w:cs="Times New Roman"/>
          <w:sz w:val="18"/>
          <w:szCs w:val="18"/>
        </w:rPr>
        <w:t>. All estimates were derived from univariable Fine-Gray competing risk models with non-relapse mortality as the competing event. Reference group: Neg/Neg for MRD kinetics; Low for ELN 2022 risk; AAML03P1 for treatment protocol; No for binary variables.</w:t>
      </w:r>
    </w:p>
    <w:sectPr w:rsidR="00411FB4" w:rsidRPr="00DB2B42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4097611">
    <w:abstractNumId w:val="1"/>
  </w:num>
  <w:num w:numId="2" w16cid:durableId="944263228">
    <w:abstractNumId w:val="2"/>
  </w:num>
  <w:num w:numId="3" w16cid:durableId="84640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1FB4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DB2B42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1E4A7D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10</cp:revision>
  <dcterms:created xsi:type="dcterms:W3CDTF">2017-02-28T11:18:00Z</dcterms:created>
  <dcterms:modified xsi:type="dcterms:W3CDTF">2026-09-24T06:23:00Z</dcterms:modified>
  <cp:category/>
</cp:coreProperties>
</file>