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B13C4" w14:textId="77777777" w:rsidR="00CE6506" w:rsidRPr="00EF4308" w:rsidRDefault="00000000" w:rsidP="00EF4308">
      <w:pPr>
        <w:rPr>
          <w:rFonts w:ascii="Times New Roman" w:hAnsi="Times New Roman" w:cs="Times New Roman"/>
        </w:rPr>
      </w:pPr>
      <w:r w:rsidRPr="00EF4308">
        <w:rPr>
          <w:rFonts w:ascii="Times New Roman" w:hAnsi="Times New Roman" w:cs="Times New Roman"/>
        </w:rPr>
        <w:t>Table 3. Multivariable Fine-Gray competing risk models for cumulative incidence of relapse.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656"/>
        <w:gridCol w:w="1804"/>
        <w:gridCol w:w="1804"/>
        <w:gridCol w:w="1802"/>
      </w:tblGrid>
      <w:tr w:rsidR="00CE6506" w:rsidRPr="00EF4308" w14:paraId="26A4BCCA" w14:textId="77777777" w:rsidTr="00EF4308">
        <w:trPr>
          <w:tblHeader/>
          <w:jc w:val="center"/>
        </w:trPr>
        <w:tc>
          <w:tcPr>
            <w:tcW w:w="2016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22E48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995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63F19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995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F6BBD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995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4FA56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Model 3</w:t>
            </w:r>
          </w:p>
        </w:tc>
      </w:tr>
      <w:tr w:rsidR="00CE6506" w:rsidRPr="00EF4308" w14:paraId="1C5A1BBF" w14:textId="77777777" w:rsidTr="00EF4308">
        <w:trPr>
          <w:jc w:val="center"/>
        </w:trPr>
        <w:tc>
          <w:tcPr>
            <w:tcW w:w="2016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B5B7D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Pos/Neg vs Neg/Neg</w:t>
            </w:r>
          </w:p>
        </w:tc>
        <w:tc>
          <w:tcPr>
            <w:tcW w:w="995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1968A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1.66 (1.14-2.42)</w:t>
            </w:r>
          </w:p>
        </w:tc>
        <w:tc>
          <w:tcPr>
            <w:tcW w:w="995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8F496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995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C1123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CE6506" w:rsidRPr="00EF4308" w14:paraId="6DA0CBAB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326C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3061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.008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AB63B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C9BA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E6506" w:rsidRPr="00EF4308" w14:paraId="0D5FEADC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25CED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Pos/Pos vs Neg/Neg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3C909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 (0.89-2.22)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4F6A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53A0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CE6506" w:rsidRPr="00EF4308" w14:paraId="38847ECA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A335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F0551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.145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BED4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4B305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E6506" w:rsidRPr="00EF4308" w14:paraId="1BC1EED4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0D928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EOI2 MRD (&gt;=0.05% vs &lt;0.05%)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C234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2033C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 (0.82-1.99)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2CD12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1.40 (0.88-2.21)</w:t>
            </w:r>
          </w:p>
        </w:tc>
      </w:tr>
      <w:tr w:rsidR="00CE6506" w:rsidRPr="00EF4308" w14:paraId="349F80F8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3F2D6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E1F2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D177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.284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77FD3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.157</w:t>
            </w:r>
          </w:p>
        </w:tc>
      </w:tr>
      <w:tr w:rsidR="00CE6506" w:rsidRPr="00EF4308" w14:paraId="5B8AEBC6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703A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ΔMRD (per log2 unit)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53B81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8CD49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821F1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 (1.00-1.06)</w:t>
            </w:r>
          </w:p>
        </w:tc>
      </w:tr>
      <w:tr w:rsidR="00CE6506" w:rsidRPr="00EF4308" w14:paraId="22819758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E0DE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6B1F7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61A3C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950E7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.021</w:t>
            </w:r>
          </w:p>
        </w:tc>
      </w:tr>
      <w:tr w:rsidR="00CE6506" w:rsidRPr="00EF4308" w14:paraId="49EB7825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7D43F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 (per year)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66774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 (0.99-1.05)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B9C90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(0.98-1.04)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2ED5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(0.98-1.04)</w:t>
            </w:r>
          </w:p>
        </w:tc>
      </w:tr>
      <w:tr w:rsidR="00CE6506" w:rsidRPr="00EF4308" w14:paraId="1A8970B0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D0A51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1AE54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.299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8B61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.349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4F149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.365</w:t>
            </w:r>
          </w:p>
        </w:tc>
      </w:tr>
      <w:tr w:rsidR="00CE6506" w:rsidRPr="00EF4308" w14:paraId="24D692ED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4CA75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ELN 2022 Intermediate vs Low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7BF06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 (1.54-3.15)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81ED3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 (1.52-3.12)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34FBC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 (1.52-3.12)</w:t>
            </w:r>
          </w:p>
        </w:tc>
      </w:tr>
      <w:tr w:rsidR="00CE6506" w:rsidRPr="00EF4308" w14:paraId="252BC433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F4758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CC1D" w14:textId="3C5F001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&lt;.001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369DF" w14:textId="1BE5078A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&lt;.001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7B15" w14:textId="64F30AEE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&lt;.001</w:t>
            </w:r>
          </w:p>
        </w:tc>
      </w:tr>
      <w:tr w:rsidR="00CE6506" w:rsidRPr="00EF4308" w14:paraId="6C5464F7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9DC3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ELN 2022 Adverse vs Low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B1563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1.66 (0.98-2.79)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3EBF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 (1.03-2.90)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FFAD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1.65 (0.98-2.79)</w:t>
            </w:r>
          </w:p>
        </w:tc>
      </w:tr>
      <w:tr w:rsidR="00CE6506" w:rsidRPr="00EF4308" w14:paraId="4B274FEE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23EC1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E6906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.058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FEF35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.039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8B0E6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.061</w:t>
            </w:r>
          </w:p>
        </w:tc>
      </w:tr>
      <w:tr w:rsidR="00CE6506" w:rsidRPr="00EF4308" w14:paraId="39DE5F5C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3846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log10(WBC+1)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B4F7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 (1.24-2.17)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C31E9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1.68 (1.27-2.23)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38ABE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1.66 (1.26-2.20)</w:t>
            </w:r>
          </w:p>
        </w:tc>
      </w:tr>
      <w:tr w:rsidR="00CE6506" w:rsidRPr="00EF4308" w14:paraId="2EB16F75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D1913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7C0C5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.001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B41B9" w14:textId="7D3CADD0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&lt;.001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2F39" w14:textId="23934CB9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&lt;.001</w:t>
            </w:r>
          </w:p>
        </w:tc>
      </w:tr>
      <w:tr w:rsidR="00CE6506" w:rsidRPr="00EF4308" w14:paraId="2D7637B8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D957F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D199A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 (0.61-1.55)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C1B70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(0.63-1.60)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6025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 (0.62-1.56)</w:t>
            </w:r>
          </w:p>
        </w:tc>
      </w:tr>
      <w:tr w:rsidR="00CE6506" w:rsidRPr="00EF4308" w14:paraId="7D608A76" w14:textId="77777777" w:rsidTr="00EF4308">
        <w:trPr>
          <w:jc w:val="center"/>
        </w:trPr>
        <w:tc>
          <w:tcPr>
            <w:tcW w:w="2016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4643D" w14:textId="77777777" w:rsidR="00CE6506" w:rsidRPr="00EF4308" w:rsidRDefault="00CE65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63C31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.913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0214E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.989</w:t>
            </w:r>
          </w:p>
        </w:tc>
        <w:tc>
          <w:tcPr>
            <w:tcW w:w="995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A90C4" w14:textId="77777777" w:rsidR="00CE6506" w:rsidRPr="00EF430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4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.944</w:t>
            </w:r>
          </w:p>
        </w:tc>
      </w:tr>
    </w:tbl>
    <w:p w14:paraId="313C2182" w14:textId="77777777" w:rsidR="00CE6506" w:rsidRPr="00EF4308" w:rsidRDefault="00000000">
      <w:pPr>
        <w:rPr>
          <w:rFonts w:ascii="Times New Roman" w:hAnsi="Times New Roman" w:cs="Times New Roman"/>
          <w:sz w:val="18"/>
          <w:szCs w:val="18"/>
        </w:rPr>
      </w:pPr>
      <w:r w:rsidRPr="00EF4308">
        <w:rPr>
          <w:rFonts w:ascii="Times New Roman" w:hAnsi="Times New Roman" w:cs="Times New Roman"/>
          <w:sz w:val="18"/>
          <w:szCs w:val="18"/>
        </w:rPr>
        <w:t xml:space="preserve">Model 1: MRD kinetics group + covariates. Model 2: static EOI2 MRD (&gt;=0.05% vs &lt;0.05%) + covariates. Model 3: static EOI2 MRD + ΔMRD + covariates. Covariates: age, ELN 2022 risk, log10(WBC+1), and treatment protocol. A Model 4 further adjusted for EOI1 MRD burden is shown in Supplementary Table S2. SHR, </w:t>
      </w:r>
      <w:proofErr w:type="spellStart"/>
      <w:r w:rsidRPr="00EF4308">
        <w:rPr>
          <w:rFonts w:ascii="Times New Roman" w:hAnsi="Times New Roman" w:cs="Times New Roman"/>
          <w:sz w:val="18"/>
          <w:szCs w:val="18"/>
        </w:rPr>
        <w:t>subdistribution</w:t>
      </w:r>
      <w:proofErr w:type="spellEnd"/>
      <w:r w:rsidRPr="00EF4308">
        <w:rPr>
          <w:rFonts w:ascii="Times New Roman" w:hAnsi="Times New Roman" w:cs="Times New Roman"/>
          <w:sz w:val="18"/>
          <w:szCs w:val="18"/>
        </w:rPr>
        <w:t xml:space="preserve"> hazard ratio; CI, confidence interval; MRD, measurable residual disease.</w:t>
      </w:r>
    </w:p>
    <w:sectPr w:rsidR="00CE6506" w:rsidRPr="00EF4308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6170166">
    <w:abstractNumId w:val="1"/>
  </w:num>
  <w:num w:numId="2" w16cid:durableId="715591619">
    <w:abstractNumId w:val="2"/>
  </w:num>
  <w:num w:numId="3" w16cid:durableId="1382946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CE6506"/>
    <w:rsid w:val="00EF4308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CC7C4E6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10</cp:revision>
  <dcterms:created xsi:type="dcterms:W3CDTF">2017-02-28T11:18:00Z</dcterms:created>
  <dcterms:modified xsi:type="dcterms:W3CDTF">2026-09-26T12:00:00Z</dcterms:modified>
  <cp:category/>
</cp:coreProperties>
</file>