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1DF24" w14:textId="77777777" w:rsidR="004C5D02" w:rsidRPr="00FE3F66" w:rsidRDefault="00000000" w:rsidP="00FE3F66">
      <w:pPr>
        <w:rPr>
          <w:rFonts w:ascii="Times New Roman" w:hAnsi="Times New Roman" w:cs="Times New Roman"/>
        </w:rPr>
      </w:pPr>
      <w:r w:rsidRPr="00FE3F66">
        <w:rPr>
          <w:rFonts w:ascii="Times New Roman" w:hAnsi="Times New Roman" w:cs="Times New Roman"/>
        </w:rPr>
        <w:t>Table 6. Multivariable Cox proportional hazards models for overall survival and event-free survival.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732"/>
        <w:gridCol w:w="3283"/>
        <w:gridCol w:w="2614"/>
        <w:gridCol w:w="1437"/>
      </w:tblGrid>
      <w:tr w:rsidR="004C5D02" w14:paraId="444819BD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A37CE" w14:textId="77777777" w:rsidR="004C5D0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Endpoint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B9781" w14:textId="77777777" w:rsidR="004C5D0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FF625" w14:textId="77777777" w:rsidR="004C5D0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HR (95% CI)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2D1D1" w14:textId="77777777" w:rsidR="004C5D0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p-value</w:t>
            </w:r>
          </w:p>
        </w:tc>
      </w:tr>
      <w:tr w:rsidR="004C5D02" w14:paraId="4CB4383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04732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OS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1359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Pos/Neg vs Neg/Neg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AEA10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2.03 (1.28-3.22)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25283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.003</w:t>
            </w:r>
          </w:p>
        </w:tc>
      </w:tr>
      <w:tr w:rsidR="004C5D02" w14:paraId="1BB3044F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7565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OS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A797C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Pos/Pos vs Neg/Neg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6310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1.79 (1.10-2.91)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C2E8F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.020</w:t>
            </w:r>
          </w:p>
        </w:tc>
      </w:tr>
      <w:tr w:rsidR="004C5D02" w14:paraId="587E0C42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14CE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EFS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EEF8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Pos/Neg vs Neg/Neg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F422F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1.89 (1.32-2.71)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AF7B8" w14:textId="7702B085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&lt;.001</w:t>
            </w:r>
          </w:p>
        </w:tc>
      </w:tr>
      <w:tr w:rsidR="004C5D02" w14:paraId="434FF826" w14:textId="77777777">
        <w:trPr>
          <w:jc w:val="center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92594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EFS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844B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Pos/Pos vs Neg/Neg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0FE1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1.75 (1.16-2.64)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1463" w14:textId="77777777" w:rsidR="004C5D02" w:rsidRPr="00B247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80" w:right="8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247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.007</w:t>
            </w:r>
          </w:p>
        </w:tc>
      </w:tr>
    </w:tbl>
    <w:p w14:paraId="1F400D47" w14:textId="77777777" w:rsidR="004C5D02" w:rsidRPr="00FE3F66" w:rsidRDefault="00000000">
      <w:pPr>
        <w:rPr>
          <w:rFonts w:ascii="Times New Roman" w:hAnsi="Times New Roman" w:cs="Times New Roman"/>
          <w:sz w:val="18"/>
          <w:szCs w:val="18"/>
        </w:rPr>
      </w:pPr>
      <w:r w:rsidRPr="00FE3F66">
        <w:rPr>
          <w:rFonts w:ascii="Times New Roman" w:hAnsi="Times New Roman" w:cs="Times New Roman"/>
          <w:sz w:val="18"/>
          <w:szCs w:val="18"/>
        </w:rPr>
        <w:t>OS, overall survival; EFS, event-free survival; HR, hazard ratio; CI, confidence interval; MRD, measurable residual disease. HRs were derived from multivariable Cox proportional hazards models with robust standard errors, adjusted for age, ELN 2022 risk, log10(WBC+1), and treatment protocol. Reference group: Neg/Neg.</w:t>
      </w:r>
    </w:p>
    <w:sectPr w:rsidR="004C5D02" w:rsidRPr="00FE3F66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3941524">
    <w:abstractNumId w:val="1"/>
  </w:num>
  <w:num w:numId="2" w16cid:durableId="558052446">
    <w:abstractNumId w:val="2"/>
  </w:num>
  <w:num w:numId="3" w16cid:durableId="119977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4C5D02"/>
    <w:rsid w:val="00747CCE"/>
    <w:rsid w:val="007B3E96"/>
    <w:rsid w:val="008F1F48"/>
    <w:rsid w:val="00901463"/>
    <w:rsid w:val="00946CB3"/>
    <w:rsid w:val="00AE18EF"/>
    <w:rsid w:val="00AE1BDD"/>
    <w:rsid w:val="00AF0A28"/>
    <w:rsid w:val="00B24701"/>
    <w:rsid w:val="00B3547C"/>
    <w:rsid w:val="00B4379D"/>
    <w:rsid w:val="00C27329"/>
    <w:rsid w:val="00C31EEB"/>
    <w:rsid w:val="00F12158"/>
    <w:rsid w:val="00FB63E7"/>
    <w:rsid w:val="00FC557F"/>
    <w:rsid w:val="00FE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CBF1099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2026-09-27T06:08:00Z</dcterms:modified>
  <cp:category/>
</cp:coreProperties>
</file>