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5900B9" w14:textId="77777777" w:rsidR="00222352" w:rsidRPr="00FA73B4" w:rsidRDefault="00222352" w:rsidP="00222352">
      <w:pPr>
        <w:rPr>
          <w:rFonts w:ascii="Times New Roman" w:eastAsia="Times New Roman" w:hAnsi="Times New Roman" w:cs="Times New Roman"/>
          <w:b/>
          <w:bCs/>
        </w:rPr>
      </w:pPr>
      <w:r w:rsidRPr="00FA73B4">
        <w:rPr>
          <w:rFonts w:ascii="Times New Roman" w:eastAsia="Times New Roman" w:hAnsi="Times New Roman" w:cs="Times New Roman"/>
          <w:b/>
          <w:bCs/>
        </w:rPr>
        <w:t xml:space="preserve">Article Title: </w:t>
      </w:r>
      <w:r w:rsidRPr="00FA73B4">
        <w:rPr>
          <w:rFonts w:ascii="Times New Roman" w:eastAsia="Times New Roman" w:hAnsi="Times New Roman" w:cs="Times New Roman"/>
        </w:rPr>
        <w:t>Inpatient Dermatology Mortality by Skin Type: A Retrospective Cohort Study of an Inpatient Dermatology Consultation Database Evaluating Socioeconomic Factors</w:t>
      </w:r>
    </w:p>
    <w:p w14:paraId="227DB597" w14:textId="77777777" w:rsidR="00222352" w:rsidRPr="00FA73B4" w:rsidRDefault="00222352" w:rsidP="00222352">
      <w:pPr>
        <w:rPr>
          <w:rFonts w:ascii="Times New Roman" w:eastAsia="Times New Roman" w:hAnsi="Times New Roman" w:cs="Times New Roman"/>
          <w:b/>
          <w:bCs/>
        </w:rPr>
      </w:pPr>
      <w:r w:rsidRPr="00FA73B4">
        <w:rPr>
          <w:rFonts w:ascii="Times New Roman" w:eastAsia="Times New Roman" w:hAnsi="Times New Roman" w:cs="Times New Roman"/>
          <w:b/>
          <w:bCs/>
        </w:rPr>
        <w:t xml:space="preserve">Journal: </w:t>
      </w:r>
      <w:r w:rsidRPr="00FA73B4">
        <w:rPr>
          <w:rFonts w:ascii="Times New Roman" w:eastAsia="Times New Roman" w:hAnsi="Times New Roman" w:cs="Times New Roman"/>
        </w:rPr>
        <w:t>Archives of Dermatological Research</w:t>
      </w:r>
    </w:p>
    <w:p w14:paraId="4BAC2969" w14:textId="77777777" w:rsidR="00222352" w:rsidRPr="00FA73B4" w:rsidRDefault="00222352" w:rsidP="00222352">
      <w:pPr>
        <w:rPr>
          <w:rFonts w:ascii="Times New Roman" w:eastAsia="Times New Roman" w:hAnsi="Times New Roman" w:cs="Times New Roman"/>
          <w:b/>
          <w:bCs/>
        </w:rPr>
      </w:pPr>
      <w:r w:rsidRPr="00FA73B4">
        <w:rPr>
          <w:rFonts w:ascii="Times New Roman" w:eastAsia="Times New Roman" w:hAnsi="Times New Roman" w:cs="Times New Roman"/>
          <w:b/>
          <w:bCs/>
        </w:rPr>
        <w:t xml:space="preserve">Authors: </w:t>
      </w:r>
      <w:r w:rsidRPr="00FA73B4">
        <w:rPr>
          <w:rFonts w:ascii="Times New Roman" w:eastAsia="Times New Roman" w:hAnsi="Times New Roman" w:cs="Times New Roman"/>
        </w:rPr>
        <w:t>Daniella Jaguan, BS, Sidney Lampert, BA Zoya Siddiqui, BA, Rachel E. Lipman, MD, Lida Zheng, MD, Cuong V. Nguyen, MD</w:t>
      </w:r>
    </w:p>
    <w:p w14:paraId="26BD8CE5" w14:textId="77777777" w:rsidR="00222352" w:rsidRPr="00FA73B4" w:rsidRDefault="00222352" w:rsidP="00222352">
      <w:pPr>
        <w:rPr>
          <w:rFonts w:ascii="Times New Roman" w:eastAsia="Times New Roman" w:hAnsi="Times New Roman" w:cs="Times New Roman"/>
          <w:b/>
          <w:bCs/>
        </w:rPr>
      </w:pPr>
      <w:r w:rsidRPr="00FA73B4">
        <w:rPr>
          <w:rFonts w:ascii="Times New Roman" w:eastAsia="Times New Roman" w:hAnsi="Times New Roman" w:cs="Times New Roman"/>
          <w:b/>
          <w:bCs/>
        </w:rPr>
        <w:t xml:space="preserve">Corresponding author: </w:t>
      </w:r>
      <w:r w:rsidRPr="00FA73B4">
        <w:rPr>
          <w:rFonts w:ascii="Times New Roman" w:eastAsia="Times New Roman" w:hAnsi="Times New Roman" w:cs="Times New Roman"/>
        </w:rPr>
        <w:t xml:space="preserve">Cuong V. Nguyen, MD; 676 N St Clair St, Ste 1600, Chicago, IL 60611 </w:t>
      </w:r>
    </w:p>
    <w:p w14:paraId="50D2E84F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  <w:hyperlink r:id="rId4" w:history="1">
        <w:r w:rsidRPr="00FA73B4">
          <w:rPr>
            <w:rStyle w:val="Hyperlink"/>
            <w:rFonts w:ascii="Times New Roman" w:eastAsia="Times New Roman" w:hAnsi="Times New Roman" w:cs="Times New Roman"/>
          </w:rPr>
          <w:t>Cuong.nguyen@northwestern.edu</w:t>
        </w:r>
      </w:hyperlink>
    </w:p>
    <w:p w14:paraId="4627049A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61E862FB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2B2A2BA0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0BD856F2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058C2FC6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6E1178B2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2F504697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35B0E759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5EA808AA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6F613899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7FC5336C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4B52C160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40D1658E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3C31BEB8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5B6E7348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37497436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17FC1A67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3D8DB2A4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000B1386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43F8BC45" w14:textId="77777777" w:rsidR="00222352" w:rsidRDefault="00222352" w:rsidP="00222352">
      <w:pPr>
        <w:rPr>
          <w:rFonts w:ascii="Times New Roman" w:eastAsia="Times New Roman" w:hAnsi="Times New Roman" w:cs="Times New Roman"/>
        </w:rPr>
      </w:pPr>
    </w:p>
    <w:p w14:paraId="385B6C93" w14:textId="77777777" w:rsidR="00222352" w:rsidRPr="00FA73B4" w:rsidRDefault="00222352" w:rsidP="00222352">
      <w:pPr>
        <w:rPr>
          <w:rFonts w:ascii="Times New Roman" w:eastAsia="Times New Roman" w:hAnsi="Times New Roman" w:cs="Times New Roman"/>
        </w:rPr>
      </w:pPr>
    </w:p>
    <w:p w14:paraId="26610BC9" w14:textId="77777777" w:rsidR="00222352" w:rsidRPr="00901ACE" w:rsidRDefault="00222352" w:rsidP="00222352">
      <w:pPr>
        <w:rPr>
          <w:rFonts w:ascii="Times New Roman" w:eastAsia="Times New Roman" w:hAnsi="Times New Roman" w:cs="Times New Roman"/>
        </w:rPr>
      </w:pPr>
      <w:r w:rsidRPr="2F1A7AEC">
        <w:rPr>
          <w:rFonts w:ascii="Times New Roman" w:eastAsia="Times New Roman" w:hAnsi="Times New Roman" w:cs="Times New Roman"/>
          <w:b/>
          <w:bCs/>
        </w:rPr>
        <w:lastRenderedPageBreak/>
        <w:t>Supplementary Table 1</w:t>
      </w:r>
      <w:r w:rsidRPr="2F1A7AEC">
        <w:rPr>
          <w:rFonts w:ascii="Times New Roman" w:eastAsia="Times New Roman" w:hAnsi="Times New Roman" w:cs="Times New Roman"/>
        </w:rPr>
        <w:t xml:space="preserve">. Diagnostic Categories and Included Conditions 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885"/>
        <w:gridCol w:w="7560"/>
      </w:tblGrid>
      <w:tr w:rsidR="00222352" w:rsidRPr="00901ACE" w14:paraId="76903E90" w14:textId="77777777" w:rsidTr="00D52FA2">
        <w:trPr>
          <w:trHeight w:val="560"/>
        </w:trPr>
        <w:tc>
          <w:tcPr>
            <w:tcW w:w="1885" w:type="dxa"/>
            <w:hideMark/>
          </w:tcPr>
          <w:p w14:paraId="740DE353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Diagnostic Buckets</w:t>
            </w:r>
          </w:p>
        </w:tc>
        <w:tc>
          <w:tcPr>
            <w:tcW w:w="7560" w:type="dxa"/>
            <w:hideMark/>
          </w:tcPr>
          <w:p w14:paraId="53D6E807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Diagnoses included in each bucket </w:t>
            </w:r>
          </w:p>
        </w:tc>
      </w:tr>
      <w:tr w:rsidR="00222352" w:rsidRPr="00901ACE" w14:paraId="66645F4F" w14:textId="77777777" w:rsidTr="00D52FA2">
        <w:trPr>
          <w:trHeight w:val="1271"/>
        </w:trPr>
        <w:tc>
          <w:tcPr>
            <w:tcW w:w="1885" w:type="dxa"/>
            <w:noWrap/>
            <w:hideMark/>
          </w:tcPr>
          <w:p w14:paraId="16BD1B58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Inflammatory</w:t>
            </w:r>
          </w:p>
        </w:tc>
        <w:tc>
          <w:tcPr>
            <w:tcW w:w="7560" w:type="dxa"/>
            <w:hideMark/>
          </w:tcPr>
          <w:p w14:paraId="6FCEAA33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Eczematous dermatitis, psoriasis, hidradenitis suppurativa, neutrophilic dermatoses (Sweet syndrome, pyoderma gangrenosum), vasculitis (including IgA and leukocytoclastic vasculitis), panniculitis, GVHD, sarcoidosis, calciphylaxis, papulosquamous eruptions </w:t>
            </w:r>
          </w:p>
        </w:tc>
      </w:tr>
      <w:tr w:rsidR="00222352" w:rsidRPr="00901ACE" w14:paraId="7003512D" w14:textId="77777777" w:rsidTr="00D52FA2">
        <w:trPr>
          <w:trHeight w:val="502"/>
        </w:trPr>
        <w:tc>
          <w:tcPr>
            <w:tcW w:w="1885" w:type="dxa"/>
            <w:noWrap/>
            <w:hideMark/>
          </w:tcPr>
          <w:p w14:paraId="33A95269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Infectious</w:t>
            </w:r>
          </w:p>
        </w:tc>
        <w:tc>
          <w:tcPr>
            <w:tcW w:w="7560" w:type="dxa"/>
            <w:hideMark/>
          </w:tcPr>
          <w:p w14:paraId="01CB5187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bacterial (cellulitis, impetigo, abscesses), viral (HSV, VZV, viral exanthems), fungal (tinea, candidiasis), parasitic (scabies, lice), mycobacterial, and polymicrobial infections</w:t>
            </w:r>
          </w:p>
        </w:tc>
      </w:tr>
      <w:tr w:rsidR="00222352" w:rsidRPr="00901ACE" w14:paraId="0CA949A5" w14:textId="77777777" w:rsidTr="00D52FA2">
        <w:trPr>
          <w:trHeight w:val="747"/>
        </w:trPr>
        <w:tc>
          <w:tcPr>
            <w:tcW w:w="1885" w:type="dxa"/>
            <w:noWrap/>
            <w:hideMark/>
          </w:tcPr>
          <w:p w14:paraId="4A4E20D6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Drug</w:t>
            </w:r>
          </w:p>
        </w:tc>
        <w:tc>
          <w:tcPr>
            <w:tcW w:w="7560" w:type="dxa"/>
            <w:hideMark/>
          </w:tcPr>
          <w:p w14:paraId="324E9B51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Cutaneous drug reactions, including morbilliform eruptions, DRESS, AGEP, fixed drug eruption, toxic erythema of chemotherapy (TEC), immune checkpoint inhibitor-related eruptions, SJS/TEN-spectrum </w:t>
            </w:r>
          </w:p>
        </w:tc>
      </w:tr>
      <w:tr w:rsidR="00222352" w:rsidRPr="00901ACE" w14:paraId="71ADE1D4" w14:textId="77777777" w:rsidTr="00D52FA2">
        <w:trPr>
          <w:trHeight w:val="713"/>
        </w:trPr>
        <w:tc>
          <w:tcPr>
            <w:tcW w:w="1885" w:type="dxa"/>
            <w:noWrap/>
            <w:hideMark/>
          </w:tcPr>
          <w:p w14:paraId="557B02E6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Total Body Skin Exam (TBSE)</w:t>
            </w:r>
          </w:p>
        </w:tc>
        <w:tc>
          <w:tcPr>
            <w:tcW w:w="7560" w:type="dxa"/>
            <w:hideMark/>
          </w:tcPr>
          <w:p w14:paraId="6B2B2817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Pretransplant total body skin examinations without dermatologic pathology and benign findings (e.g., nevi, seborrheic keratoses, lentigines)</w:t>
            </w:r>
          </w:p>
        </w:tc>
      </w:tr>
      <w:tr w:rsidR="00222352" w:rsidRPr="00901ACE" w14:paraId="6019BF3D" w14:textId="77777777" w:rsidTr="00D52FA2">
        <w:trPr>
          <w:trHeight w:val="1145"/>
        </w:trPr>
        <w:tc>
          <w:tcPr>
            <w:tcW w:w="1885" w:type="dxa"/>
            <w:noWrap/>
            <w:hideMark/>
          </w:tcPr>
          <w:p w14:paraId="36BD7C60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Malignancy</w:t>
            </w:r>
          </w:p>
        </w:tc>
        <w:tc>
          <w:tcPr>
            <w:tcW w:w="7560" w:type="dxa"/>
            <w:hideMark/>
          </w:tcPr>
          <w:p w14:paraId="1E593A2E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Primary and secondary cutaneous malignancies, including cutaneous T-cell lymphoma (mycosis fungoides, </w:t>
            </w:r>
            <w:proofErr w:type="spellStart"/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Sézary</w:t>
            </w:r>
            <w:proofErr w:type="spellEnd"/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syndrome), leukemia cutis, lymphoma cutis, Kaposi sarcoma, cutaneous metastases, and melanoma/nonmelanoma skin cancer</w:t>
            </w:r>
          </w:p>
        </w:tc>
      </w:tr>
      <w:tr w:rsidR="00222352" w:rsidRPr="00901ACE" w14:paraId="67F71783" w14:textId="77777777" w:rsidTr="00D52FA2">
        <w:trPr>
          <w:trHeight w:val="502"/>
        </w:trPr>
        <w:tc>
          <w:tcPr>
            <w:tcW w:w="1885" w:type="dxa"/>
            <w:noWrap/>
            <w:hideMark/>
          </w:tcPr>
          <w:p w14:paraId="56CA80C5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Edema</w:t>
            </w:r>
          </w:p>
        </w:tc>
        <w:tc>
          <w:tcPr>
            <w:tcW w:w="7560" w:type="dxa"/>
            <w:hideMark/>
          </w:tcPr>
          <w:p w14:paraId="31BAD7D7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Edema and edema-related dermatoses including venous stasis dermatitis, edema bullae, elephantiasis </w:t>
            </w:r>
            <w:proofErr w:type="spellStart"/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nostras</w:t>
            </w:r>
            <w:proofErr w:type="spellEnd"/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verrucosa, reactive erythema secondary to edema</w:t>
            </w:r>
          </w:p>
        </w:tc>
      </w:tr>
      <w:tr w:rsidR="00222352" w:rsidRPr="00901ACE" w14:paraId="2D529256" w14:textId="77777777" w:rsidTr="00D52FA2">
        <w:trPr>
          <w:trHeight w:val="747"/>
        </w:trPr>
        <w:tc>
          <w:tcPr>
            <w:tcW w:w="1885" w:type="dxa"/>
            <w:noWrap/>
            <w:hideMark/>
          </w:tcPr>
          <w:p w14:paraId="0D4DF694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Autoimmune</w:t>
            </w:r>
          </w:p>
        </w:tc>
        <w:tc>
          <w:tcPr>
            <w:tcW w:w="7560" w:type="dxa"/>
            <w:hideMark/>
          </w:tcPr>
          <w:p w14:paraId="02F93428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Autoimmune blistering and connective tissue diseases including bullous pemphigoid, pemphigus vulgaris, lupus erythematosus, dermatomyositis, scleroderma-spectrum disorders, paraneoplastic pemphigus</w:t>
            </w:r>
          </w:p>
        </w:tc>
      </w:tr>
      <w:tr w:rsidR="00222352" w:rsidRPr="00901ACE" w14:paraId="5B78D800" w14:textId="77777777" w:rsidTr="00D52FA2">
        <w:trPr>
          <w:trHeight w:val="502"/>
        </w:trPr>
        <w:tc>
          <w:tcPr>
            <w:tcW w:w="1885" w:type="dxa"/>
            <w:noWrap/>
            <w:hideMark/>
          </w:tcPr>
          <w:p w14:paraId="53C4C2BD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Environmental</w:t>
            </w:r>
          </w:p>
        </w:tc>
        <w:tc>
          <w:tcPr>
            <w:tcW w:w="7560" w:type="dxa"/>
            <w:hideMark/>
          </w:tcPr>
          <w:p w14:paraId="3E6FA0CE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Skin conditions resulting from external environmental exposures (e.g., heat, moisture, radiation, or inadequate skin care), including miliaria, keratolysis </w:t>
            </w:r>
            <w:proofErr w:type="spellStart"/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exfoliativa</w:t>
            </w:r>
            <w:proofErr w:type="spellEnd"/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, retention hyperkeratosis, and palmoplantar keratoderma</w:t>
            </w:r>
          </w:p>
        </w:tc>
      </w:tr>
      <w:tr w:rsidR="00222352" w:rsidRPr="00901ACE" w14:paraId="1DB8CD28" w14:textId="77777777" w:rsidTr="00D52FA2">
        <w:trPr>
          <w:trHeight w:val="502"/>
        </w:trPr>
        <w:tc>
          <w:tcPr>
            <w:tcW w:w="1885" w:type="dxa"/>
            <w:noWrap/>
            <w:hideMark/>
          </w:tcPr>
          <w:p w14:paraId="460357AF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Ulcers NOS</w:t>
            </w:r>
          </w:p>
        </w:tc>
        <w:tc>
          <w:tcPr>
            <w:tcW w:w="7560" w:type="dxa"/>
            <w:hideMark/>
          </w:tcPr>
          <w:p w14:paraId="0947ACB2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Cutaneous ulcerations of unclear or multifactorial etiology not meeting criteria for infectious, inflammatory, malignant, or vascular diagnostic categories</w:t>
            </w:r>
          </w:p>
        </w:tc>
      </w:tr>
      <w:tr w:rsidR="00222352" w:rsidRPr="00901ACE" w14:paraId="64D2FFC0" w14:textId="77777777" w:rsidTr="00D52FA2">
        <w:trPr>
          <w:trHeight w:val="502"/>
        </w:trPr>
        <w:tc>
          <w:tcPr>
            <w:tcW w:w="1885" w:type="dxa"/>
            <w:noWrap/>
            <w:hideMark/>
          </w:tcPr>
          <w:p w14:paraId="55A33C9D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Trauma</w:t>
            </w:r>
          </w:p>
        </w:tc>
        <w:tc>
          <w:tcPr>
            <w:tcW w:w="7560" w:type="dxa"/>
            <w:hideMark/>
          </w:tcPr>
          <w:p w14:paraId="72593F01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Traumatic skin findings including mechanical and pressure-related injuries, including bullae, erosions, ulcers, ecchymoses, hematomas, and chronic wounds resulting from external or repetitive physical injury.</w:t>
            </w:r>
          </w:p>
        </w:tc>
      </w:tr>
      <w:tr w:rsidR="00222352" w:rsidRPr="00901ACE" w14:paraId="2C3BA8DF" w14:textId="77777777" w:rsidTr="00D52FA2">
        <w:trPr>
          <w:trHeight w:val="502"/>
        </w:trPr>
        <w:tc>
          <w:tcPr>
            <w:tcW w:w="1885" w:type="dxa"/>
            <w:noWrap/>
            <w:hideMark/>
          </w:tcPr>
          <w:p w14:paraId="0DAA424B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Vascular</w:t>
            </w:r>
          </w:p>
        </w:tc>
        <w:tc>
          <w:tcPr>
            <w:tcW w:w="7560" w:type="dxa"/>
            <w:hideMark/>
          </w:tcPr>
          <w:p w14:paraId="57BDED0B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Non-inflammatory purpura and hemorrhagic skin findings due to underlying hematologic or vascular processes (e.g., thrombocytopenia, coagulopathy, medication-related), excluding lesions primarily attributable to mechanical trauma.</w:t>
            </w:r>
          </w:p>
        </w:tc>
      </w:tr>
      <w:tr w:rsidR="00222352" w:rsidRPr="00901ACE" w14:paraId="04EB732D" w14:textId="77777777" w:rsidTr="00D52FA2">
        <w:trPr>
          <w:trHeight w:val="245"/>
        </w:trPr>
        <w:tc>
          <w:tcPr>
            <w:tcW w:w="1885" w:type="dxa"/>
            <w:noWrap/>
            <w:hideMark/>
          </w:tcPr>
          <w:p w14:paraId="07CA3FBE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Urticaria</w:t>
            </w:r>
          </w:p>
        </w:tc>
        <w:tc>
          <w:tcPr>
            <w:tcW w:w="7560" w:type="dxa"/>
            <w:hideMark/>
          </w:tcPr>
          <w:p w14:paraId="74FC0F7F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Acute or chronic urticaria, dermal hypersensitivity reactions, and angioedema</w:t>
            </w:r>
          </w:p>
        </w:tc>
      </w:tr>
      <w:tr w:rsidR="00222352" w:rsidRPr="00901ACE" w14:paraId="3C597633" w14:textId="77777777" w:rsidTr="00D52FA2">
        <w:trPr>
          <w:trHeight w:val="245"/>
        </w:trPr>
        <w:tc>
          <w:tcPr>
            <w:tcW w:w="1885" w:type="dxa"/>
            <w:noWrap/>
            <w:hideMark/>
          </w:tcPr>
          <w:p w14:paraId="57AE385F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Pruritus</w:t>
            </w:r>
          </w:p>
        </w:tc>
        <w:tc>
          <w:tcPr>
            <w:tcW w:w="7560" w:type="dxa"/>
            <w:hideMark/>
          </w:tcPr>
          <w:p w14:paraId="51B58919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Pruritus without a primary rash or with secondary excoriations</w:t>
            </w:r>
          </w:p>
        </w:tc>
      </w:tr>
      <w:tr w:rsidR="00222352" w:rsidRPr="00901ACE" w14:paraId="7B65F2E7" w14:textId="77777777" w:rsidTr="00D52FA2">
        <w:trPr>
          <w:trHeight w:val="245"/>
        </w:trPr>
        <w:tc>
          <w:tcPr>
            <w:tcW w:w="1885" w:type="dxa"/>
            <w:noWrap/>
            <w:hideMark/>
          </w:tcPr>
          <w:p w14:paraId="4F184E81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Morbilliform NOS</w:t>
            </w:r>
          </w:p>
        </w:tc>
        <w:tc>
          <w:tcPr>
            <w:tcW w:w="7560" w:type="dxa"/>
            <w:hideMark/>
          </w:tcPr>
          <w:p w14:paraId="72888BBE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Morbilliform eruptions of unclear etiology not clearly attributable to drug or infection</w:t>
            </w:r>
          </w:p>
        </w:tc>
      </w:tr>
      <w:tr w:rsidR="00222352" w:rsidRPr="00901ACE" w14:paraId="4EBF0635" w14:textId="77777777" w:rsidTr="00D52FA2">
        <w:trPr>
          <w:trHeight w:val="502"/>
        </w:trPr>
        <w:tc>
          <w:tcPr>
            <w:tcW w:w="1885" w:type="dxa"/>
            <w:noWrap/>
            <w:hideMark/>
          </w:tcPr>
          <w:p w14:paraId="112483ED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Nutrition</w:t>
            </w:r>
          </w:p>
        </w:tc>
        <w:tc>
          <w:tcPr>
            <w:tcW w:w="7560" w:type="dxa"/>
            <w:hideMark/>
          </w:tcPr>
          <w:p w14:paraId="40E5E640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Nutritional deficiency associated dermatoses (e.g., pellagra, acrodermatitis </w:t>
            </w:r>
            <w:proofErr w:type="spellStart"/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enteropathica</w:t>
            </w:r>
            <w:proofErr w:type="spellEnd"/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, atrophic glossitis)</w:t>
            </w:r>
          </w:p>
        </w:tc>
      </w:tr>
      <w:tr w:rsidR="00222352" w:rsidRPr="00901ACE" w14:paraId="2478F250" w14:textId="77777777" w:rsidTr="00D52FA2">
        <w:trPr>
          <w:trHeight w:val="502"/>
        </w:trPr>
        <w:tc>
          <w:tcPr>
            <w:tcW w:w="1885" w:type="dxa"/>
            <w:noWrap/>
            <w:hideMark/>
          </w:tcPr>
          <w:p w14:paraId="115DFABF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Exogenous</w:t>
            </w:r>
          </w:p>
        </w:tc>
        <w:tc>
          <w:tcPr>
            <w:tcW w:w="7560" w:type="dxa"/>
            <w:hideMark/>
          </w:tcPr>
          <w:p w14:paraId="5D691C8B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Conditions due to deposition of external or foreign material within the skin, including calcinosis cutis and associated sequelae (e.g., Chronic non healing ulcers, exuberant granulation tissue)</w:t>
            </w:r>
          </w:p>
        </w:tc>
      </w:tr>
      <w:tr w:rsidR="00222352" w:rsidRPr="00901ACE" w14:paraId="1362F02B" w14:textId="77777777" w:rsidTr="00D52FA2">
        <w:trPr>
          <w:trHeight w:val="245"/>
        </w:trPr>
        <w:tc>
          <w:tcPr>
            <w:tcW w:w="1885" w:type="dxa"/>
            <w:noWrap/>
            <w:hideMark/>
          </w:tcPr>
          <w:p w14:paraId="4EF4BD87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Erythroderma NOS</w:t>
            </w:r>
          </w:p>
        </w:tc>
        <w:tc>
          <w:tcPr>
            <w:tcW w:w="7560" w:type="dxa"/>
            <w:hideMark/>
          </w:tcPr>
          <w:p w14:paraId="1E17D569" w14:textId="77777777" w:rsidR="00222352" w:rsidRPr="00901ACE" w:rsidRDefault="00222352" w:rsidP="00D52FA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2F1A7AEC">
              <w:rPr>
                <w:rFonts w:ascii="Times New Roman" w:eastAsia="Times New Roman" w:hAnsi="Times New Roman" w:cs="Times New Roman"/>
                <w:color w:val="000000" w:themeColor="text1"/>
              </w:rPr>
              <w:t>Erythroderma of unclear etiology</w:t>
            </w:r>
          </w:p>
        </w:tc>
      </w:tr>
    </w:tbl>
    <w:p w14:paraId="55A45EFD" w14:textId="77777777" w:rsidR="00222352" w:rsidRPr="00901ACE" w:rsidRDefault="00222352" w:rsidP="00222352">
      <w:pPr>
        <w:rPr>
          <w:rFonts w:ascii="Times New Roman" w:eastAsia="Times New Roman" w:hAnsi="Times New Roman" w:cs="Times New Roman"/>
        </w:rPr>
      </w:pPr>
    </w:p>
    <w:p w14:paraId="32439E14" w14:textId="77777777" w:rsidR="00C91027" w:rsidRDefault="00C91027"/>
    <w:sectPr w:rsidR="00C91027" w:rsidSect="00222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352"/>
    <w:rsid w:val="0000587D"/>
    <w:rsid w:val="00016239"/>
    <w:rsid w:val="00021BBF"/>
    <w:rsid w:val="000253C2"/>
    <w:rsid w:val="00027EBE"/>
    <w:rsid w:val="0003493F"/>
    <w:rsid w:val="00041099"/>
    <w:rsid w:val="000452D7"/>
    <w:rsid w:val="00045916"/>
    <w:rsid w:val="00050FA8"/>
    <w:rsid w:val="000520E7"/>
    <w:rsid w:val="00055C70"/>
    <w:rsid w:val="000569D4"/>
    <w:rsid w:val="00072587"/>
    <w:rsid w:val="00084042"/>
    <w:rsid w:val="000869F4"/>
    <w:rsid w:val="000A1932"/>
    <w:rsid w:val="000A4681"/>
    <w:rsid w:val="000A743D"/>
    <w:rsid w:val="000B1977"/>
    <w:rsid w:val="000B7CEB"/>
    <w:rsid w:val="000C1B96"/>
    <w:rsid w:val="000C1FD1"/>
    <w:rsid w:val="000C77BC"/>
    <w:rsid w:val="000D15B6"/>
    <w:rsid w:val="000F23B8"/>
    <w:rsid w:val="000F3377"/>
    <w:rsid w:val="000F3984"/>
    <w:rsid w:val="00100E34"/>
    <w:rsid w:val="001013D4"/>
    <w:rsid w:val="00104FE4"/>
    <w:rsid w:val="00105839"/>
    <w:rsid w:val="00105CE4"/>
    <w:rsid w:val="00106919"/>
    <w:rsid w:val="0011064A"/>
    <w:rsid w:val="00120C05"/>
    <w:rsid w:val="00125442"/>
    <w:rsid w:val="0012684D"/>
    <w:rsid w:val="001308E8"/>
    <w:rsid w:val="001470DA"/>
    <w:rsid w:val="00150233"/>
    <w:rsid w:val="00150AAF"/>
    <w:rsid w:val="00153964"/>
    <w:rsid w:val="0015452C"/>
    <w:rsid w:val="001607DE"/>
    <w:rsid w:val="00162B5F"/>
    <w:rsid w:val="00185CBA"/>
    <w:rsid w:val="001B17DF"/>
    <w:rsid w:val="001B2263"/>
    <w:rsid w:val="001B5A15"/>
    <w:rsid w:val="001B64B9"/>
    <w:rsid w:val="001B7519"/>
    <w:rsid w:val="001C04C6"/>
    <w:rsid w:val="001C4154"/>
    <w:rsid w:val="001D1CC9"/>
    <w:rsid w:val="001D5E51"/>
    <w:rsid w:val="001E374C"/>
    <w:rsid w:val="001F0EDD"/>
    <w:rsid w:val="00212EEB"/>
    <w:rsid w:val="002218E0"/>
    <w:rsid w:val="00222352"/>
    <w:rsid w:val="002246B8"/>
    <w:rsid w:val="00231F2A"/>
    <w:rsid w:val="002330AF"/>
    <w:rsid w:val="002420C2"/>
    <w:rsid w:val="002438C9"/>
    <w:rsid w:val="00247E5E"/>
    <w:rsid w:val="00252531"/>
    <w:rsid w:val="00253DF1"/>
    <w:rsid w:val="00254AC5"/>
    <w:rsid w:val="0025763D"/>
    <w:rsid w:val="00263F88"/>
    <w:rsid w:val="002640EE"/>
    <w:rsid w:val="002652C9"/>
    <w:rsid w:val="00267775"/>
    <w:rsid w:val="0028557A"/>
    <w:rsid w:val="002A082B"/>
    <w:rsid w:val="002A4295"/>
    <w:rsid w:val="002B0EB6"/>
    <w:rsid w:val="002B5588"/>
    <w:rsid w:val="002C1BB8"/>
    <w:rsid w:val="002C506D"/>
    <w:rsid w:val="002D10A4"/>
    <w:rsid w:val="002D12CB"/>
    <w:rsid w:val="002D19EC"/>
    <w:rsid w:val="002D3D5A"/>
    <w:rsid w:val="002D6D4E"/>
    <w:rsid w:val="002E139C"/>
    <w:rsid w:val="002E46DB"/>
    <w:rsid w:val="002E5DA7"/>
    <w:rsid w:val="002F6A59"/>
    <w:rsid w:val="002F7D83"/>
    <w:rsid w:val="00303952"/>
    <w:rsid w:val="00311050"/>
    <w:rsid w:val="00313A35"/>
    <w:rsid w:val="00320D4D"/>
    <w:rsid w:val="00325A29"/>
    <w:rsid w:val="00332B1A"/>
    <w:rsid w:val="0033387A"/>
    <w:rsid w:val="003375D1"/>
    <w:rsid w:val="00351AB5"/>
    <w:rsid w:val="00351E13"/>
    <w:rsid w:val="00365031"/>
    <w:rsid w:val="003657CF"/>
    <w:rsid w:val="00367800"/>
    <w:rsid w:val="00374277"/>
    <w:rsid w:val="0038110A"/>
    <w:rsid w:val="00391364"/>
    <w:rsid w:val="00394245"/>
    <w:rsid w:val="003962F3"/>
    <w:rsid w:val="003A39DB"/>
    <w:rsid w:val="003A6E07"/>
    <w:rsid w:val="003A7EBC"/>
    <w:rsid w:val="003B3247"/>
    <w:rsid w:val="003C0411"/>
    <w:rsid w:val="003C3BFA"/>
    <w:rsid w:val="003C6A5F"/>
    <w:rsid w:val="003D050B"/>
    <w:rsid w:val="003E7F1F"/>
    <w:rsid w:val="00400993"/>
    <w:rsid w:val="00404AF3"/>
    <w:rsid w:val="00410309"/>
    <w:rsid w:val="00412783"/>
    <w:rsid w:val="004136C7"/>
    <w:rsid w:val="00414A59"/>
    <w:rsid w:val="00417D68"/>
    <w:rsid w:val="00426065"/>
    <w:rsid w:val="00427B3C"/>
    <w:rsid w:val="004363BE"/>
    <w:rsid w:val="00441A78"/>
    <w:rsid w:val="00442111"/>
    <w:rsid w:val="004441D0"/>
    <w:rsid w:val="004450C1"/>
    <w:rsid w:val="00445C9D"/>
    <w:rsid w:val="00451DF5"/>
    <w:rsid w:val="00452180"/>
    <w:rsid w:val="00455DC8"/>
    <w:rsid w:val="00462451"/>
    <w:rsid w:val="0046693D"/>
    <w:rsid w:val="0047176C"/>
    <w:rsid w:val="004740D1"/>
    <w:rsid w:val="00475C9D"/>
    <w:rsid w:val="00475DDC"/>
    <w:rsid w:val="00486A9D"/>
    <w:rsid w:val="00487D81"/>
    <w:rsid w:val="004B19F5"/>
    <w:rsid w:val="004B289D"/>
    <w:rsid w:val="004C05AB"/>
    <w:rsid w:val="004C2775"/>
    <w:rsid w:val="004C441A"/>
    <w:rsid w:val="004C499A"/>
    <w:rsid w:val="004C7981"/>
    <w:rsid w:val="004D10BC"/>
    <w:rsid w:val="004D3821"/>
    <w:rsid w:val="004D59EC"/>
    <w:rsid w:val="004E6964"/>
    <w:rsid w:val="004F20F6"/>
    <w:rsid w:val="00504389"/>
    <w:rsid w:val="00510FD7"/>
    <w:rsid w:val="00512E45"/>
    <w:rsid w:val="0051455B"/>
    <w:rsid w:val="00514747"/>
    <w:rsid w:val="00521F23"/>
    <w:rsid w:val="005233F0"/>
    <w:rsid w:val="00524FBC"/>
    <w:rsid w:val="00533355"/>
    <w:rsid w:val="005468EB"/>
    <w:rsid w:val="00547B92"/>
    <w:rsid w:val="00547E80"/>
    <w:rsid w:val="00550CE6"/>
    <w:rsid w:val="00570027"/>
    <w:rsid w:val="00573AD8"/>
    <w:rsid w:val="0058098B"/>
    <w:rsid w:val="00591AE4"/>
    <w:rsid w:val="00594741"/>
    <w:rsid w:val="00594A5B"/>
    <w:rsid w:val="00596F7B"/>
    <w:rsid w:val="005A13AF"/>
    <w:rsid w:val="005A350C"/>
    <w:rsid w:val="005B0F26"/>
    <w:rsid w:val="005C2190"/>
    <w:rsid w:val="005C2E36"/>
    <w:rsid w:val="005C6013"/>
    <w:rsid w:val="005D0DA2"/>
    <w:rsid w:val="005D3BDE"/>
    <w:rsid w:val="005D4B4C"/>
    <w:rsid w:val="005D7857"/>
    <w:rsid w:val="00613713"/>
    <w:rsid w:val="00621F91"/>
    <w:rsid w:val="00622FFF"/>
    <w:rsid w:val="0062389B"/>
    <w:rsid w:val="00633FBB"/>
    <w:rsid w:val="00635BC4"/>
    <w:rsid w:val="00636BE0"/>
    <w:rsid w:val="00637FCC"/>
    <w:rsid w:val="00641C06"/>
    <w:rsid w:val="00651D7C"/>
    <w:rsid w:val="00653B32"/>
    <w:rsid w:val="00674C97"/>
    <w:rsid w:val="00682BA8"/>
    <w:rsid w:val="00683433"/>
    <w:rsid w:val="0069795D"/>
    <w:rsid w:val="006A47E9"/>
    <w:rsid w:val="006A64AD"/>
    <w:rsid w:val="006C41C1"/>
    <w:rsid w:val="006C6876"/>
    <w:rsid w:val="006C6C2E"/>
    <w:rsid w:val="006D4E4B"/>
    <w:rsid w:val="006F69CD"/>
    <w:rsid w:val="00701DC8"/>
    <w:rsid w:val="00710031"/>
    <w:rsid w:val="00711866"/>
    <w:rsid w:val="00712171"/>
    <w:rsid w:val="00715A81"/>
    <w:rsid w:val="00715B7B"/>
    <w:rsid w:val="007217E4"/>
    <w:rsid w:val="007247DD"/>
    <w:rsid w:val="00725A89"/>
    <w:rsid w:val="00732D1E"/>
    <w:rsid w:val="007438A4"/>
    <w:rsid w:val="00747AA6"/>
    <w:rsid w:val="007639C1"/>
    <w:rsid w:val="007642DD"/>
    <w:rsid w:val="00772425"/>
    <w:rsid w:val="00775FAA"/>
    <w:rsid w:val="00776F4F"/>
    <w:rsid w:val="0078118B"/>
    <w:rsid w:val="00783DDC"/>
    <w:rsid w:val="00784DF0"/>
    <w:rsid w:val="00794E26"/>
    <w:rsid w:val="007A7AD5"/>
    <w:rsid w:val="007B0478"/>
    <w:rsid w:val="007C041D"/>
    <w:rsid w:val="007C3A49"/>
    <w:rsid w:val="007C484C"/>
    <w:rsid w:val="007C593E"/>
    <w:rsid w:val="007D6452"/>
    <w:rsid w:val="007D76F4"/>
    <w:rsid w:val="007E4497"/>
    <w:rsid w:val="007E5C14"/>
    <w:rsid w:val="007E5F2F"/>
    <w:rsid w:val="007F1DCE"/>
    <w:rsid w:val="007F23B2"/>
    <w:rsid w:val="007F7F32"/>
    <w:rsid w:val="00800C2A"/>
    <w:rsid w:val="008048AC"/>
    <w:rsid w:val="00810AEC"/>
    <w:rsid w:val="00816585"/>
    <w:rsid w:val="00822234"/>
    <w:rsid w:val="0082487B"/>
    <w:rsid w:val="00836A50"/>
    <w:rsid w:val="00842D03"/>
    <w:rsid w:val="00870DBF"/>
    <w:rsid w:val="00870E24"/>
    <w:rsid w:val="00871D2C"/>
    <w:rsid w:val="00872CC2"/>
    <w:rsid w:val="0087310A"/>
    <w:rsid w:val="00875F7F"/>
    <w:rsid w:val="00885391"/>
    <w:rsid w:val="00892BB1"/>
    <w:rsid w:val="008947DE"/>
    <w:rsid w:val="008A3347"/>
    <w:rsid w:val="008A6FCA"/>
    <w:rsid w:val="008B2C9D"/>
    <w:rsid w:val="008C2105"/>
    <w:rsid w:val="008C3220"/>
    <w:rsid w:val="008C6B4F"/>
    <w:rsid w:val="008D13A8"/>
    <w:rsid w:val="008D3648"/>
    <w:rsid w:val="008D368A"/>
    <w:rsid w:val="008D6331"/>
    <w:rsid w:val="008E79CA"/>
    <w:rsid w:val="008F37AA"/>
    <w:rsid w:val="009077D5"/>
    <w:rsid w:val="00913DB5"/>
    <w:rsid w:val="00920019"/>
    <w:rsid w:val="00920C1D"/>
    <w:rsid w:val="00924813"/>
    <w:rsid w:val="0093049F"/>
    <w:rsid w:val="00944291"/>
    <w:rsid w:val="00944FA3"/>
    <w:rsid w:val="009502BD"/>
    <w:rsid w:val="0095116F"/>
    <w:rsid w:val="00955399"/>
    <w:rsid w:val="009559E6"/>
    <w:rsid w:val="0095768A"/>
    <w:rsid w:val="00963426"/>
    <w:rsid w:val="00965578"/>
    <w:rsid w:val="009672CE"/>
    <w:rsid w:val="00967941"/>
    <w:rsid w:val="009748A4"/>
    <w:rsid w:val="00975AB9"/>
    <w:rsid w:val="00981BB5"/>
    <w:rsid w:val="00985990"/>
    <w:rsid w:val="009A07E2"/>
    <w:rsid w:val="009A3B56"/>
    <w:rsid w:val="009B505E"/>
    <w:rsid w:val="009B74C8"/>
    <w:rsid w:val="009C5126"/>
    <w:rsid w:val="009D4464"/>
    <w:rsid w:val="009F2AF5"/>
    <w:rsid w:val="009F2EF3"/>
    <w:rsid w:val="00A01CC7"/>
    <w:rsid w:val="00A249AA"/>
    <w:rsid w:val="00A32880"/>
    <w:rsid w:val="00A40792"/>
    <w:rsid w:val="00A45BCD"/>
    <w:rsid w:val="00A556F4"/>
    <w:rsid w:val="00A6237F"/>
    <w:rsid w:val="00A62845"/>
    <w:rsid w:val="00A63BA5"/>
    <w:rsid w:val="00A64B87"/>
    <w:rsid w:val="00A6562E"/>
    <w:rsid w:val="00A74078"/>
    <w:rsid w:val="00A809CE"/>
    <w:rsid w:val="00A83C8F"/>
    <w:rsid w:val="00A8461A"/>
    <w:rsid w:val="00A877A6"/>
    <w:rsid w:val="00A87A43"/>
    <w:rsid w:val="00A90416"/>
    <w:rsid w:val="00AA4EAD"/>
    <w:rsid w:val="00AB07AC"/>
    <w:rsid w:val="00AB0B6A"/>
    <w:rsid w:val="00AC2DD5"/>
    <w:rsid w:val="00AC340A"/>
    <w:rsid w:val="00AC583C"/>
    <w:rsid w:val="00AC6A4C"/>
    <w:rsid w:val="00AC7CDA"/>
    <w:rsid w:val="00AD01FD"/>
    <w:rsid w:val="00AE70D1"/>
    <w:rsid w:val="00AF2169"/>
    <w:rsid w:val="00AF53F2"/>
    <w:rsid w:val="00AF5C5E"/>
    <w:rsid w:val="00B01149"/>
    <w:rsid w:val="00B12A49"/>
    <w:rsid w:val="00B2235F"/>
    <w:rsid w:val="00B22981"/>
    <w:rsid w:val="00B34DFE"/>
    <w:rsid w:val="00B40BA8"/>
    <w:rsid w:val="00B52EC9"/>
    <w:rsid w:val="00B612CA"/>
    <w:rsid w:val="00B630BA"/>
    <w:rsid w:val="00B649F0"/>
    <w:rsid w:val="00B72C13"/>
    <w:rsid w:val="00B80FF0"/>
    <w:rsid w:val="00B94322"/>
    <w:rsid w:val="00B95B8F"/>
    <w:rsid w:val="00BA0356"/>
    <w:rsid w:val="00BA31D2"/>
    <w:rsid w:val="00BA794D"/>
    <w:rsid w:val="00BB5439"/>
    <w:rsid w:val="00BC4340"/>
    <w:rsid w:val="00BD48E1"/>
    <w:rsid w:val="00BE2EB3"/>
    <w:rsid w:val="00BF1A01"/>
    <w:rsid w:val="00BF4D63"/>
    <w:rsid w:val="00C06FCA"/>
    <w:rsid w:val="00C12DC9"/>
    <w:rsid w:val="00C175E9"/>
    <w:rsid w:val="00C432B0"/>
    <w:rsid w:val="00C57B1E"/>
    <w:rsid w:val="00C604E5"/>
    <w:rsid w:val="00C64041"/>
    <w:rsid w:val="00C74D7B"/>
    <w:rsid w:val="00C77218"/>
    <w:rsid w:val="00C91027"/>
    <w:rsid w:val="00C97FDB"/>
    <w:rsid w:val="00CA21B8"/>
    <w:rsid w:val="00CA4336"/>
    <w:rsid w:val="00CB316A"/>
    <w:rsid w:val="00CB523B"/>
    <w:rsid w:val="00CB730D"/>
    <w:rsid w:val="00CC255D"/>
    <w:rsid w:val="00CE2493"/>
    <w:rsid w:val="00CE6BF7"/>
    <w:rsid w:val="00CE6C64"/>
    <w:rsid w:val="00CE6E05"/>
    <w:rsid w:val="00CF4300"/>
    <w:rsid w:val="00D01756"/>
    <w:rsid w:val="00D134AF"/>
    <w:rsid w:val="00D15EB7"/>
    <w:rsid w:val="00D1759F"/>
    <w:rsid w:val="00D175B2"/>
    <w:rsid w:val="00D34442"/>
    <w:rsid w:val="00D3572C"/>
    <w:rsid w:val="00D358B5"/>
    <w:rsid w:val="00D35F70"/>
    <w:rsid w:val="00D47952"/>
    <w:rsid w:val="00D56C51"/>
    <w:rsid w:val="00D64500"/>
    <w:rsid w:val="00D647AC"/>
    <w:rsid w:val="00D65AA7"/>
    <w:rsid w:val="00D66A2C"/>
    <w:rsid w:val="00D73000"/>
    <w:rsid w:val="00D803F1"/>
    <w:rsid w:val="00D842B8"/>
    <w:rsid w:val="00DA6CA8"/>
    <w:rsid w:val="00DA75A1"/>
    <w:rsid w:val="00DB2619"/>
    <w:rsid w:val="00DB49FF"/>
    <w:rsid w:val="00DC238D"/>
    <w:rsid w:val="00DC4887"/>
    <w:rsid w:val="00DC701E"/>
    <w:rsid w:val="00DD7C12"/>
    <w:rsid w:val="00DE059A"/>
    <w:rsid w:val="00DE32F5"/>
    <w:rsid w:val="00DE5247"/>
    <w:rsid w:val="00E15822"/>
    <w:rsid w:val="00E15A4E"/>
    <w:rsid w:val="00E17056"/>
    <w:rsid w:val="00E222B7"/>
    <w:rsid w:val="00E31B1B"/>
    <w:rsid w:val="00E414A7"/>
    <w:rsid w:val="00E540CE"/>
    <w:rsid w:val="00E60259"/>
    <w:rsid w:val="00E65317"/>
    <w:rsid w:val="00E70624"/>
    <w:rsid w:val="00E769AC"/>
    <w:rsid w:val="00E77318"/>
    <w:rsid w:val="00E90BF7"/>
    <w:rsid w:val="00E935F4"/>
    <w:rsid w:val="00E9444C"/>
    <w:rsid w:val="00EA34E9"/>
    <w:rsid w:val="00EA4730"/>
    <w:rsid w:val="00EA7951"/>
    <w:rsid w:val="00EB0240"/>
    <w:rsid w:val="00EB3C96"/>
    <w:rsid w:val="00EC7AF8"/>
    <w:rsid w:val="00ED392D"/>
    <w:rsid w:val="00EE499C"/>
    <w:rsid w:val="00F03901"/>
    <w:rsid w:val="00F1147C"/>
    <w:rsid w:val="00F11566"/>
    <w:rsid w:val="00F1542B"/>
    <w:rsid w:val="00F16C3C"/>
    <w:rsid w:val="00F21870"/>
    <w:rsid w:val="00F237AD"/>
    <w:rsid w:val="00F23BDA"/>
    <w:rsid w:val="00F24E2A"/>
    <w:rsid w:val="00F3256D"/>
    <w:rsid w:val="00F35F8A"/>
    <w:rsid w:val="00F400B8"/>
    <w:rsid w:val="00F50601"/>
    <w:rsid w:val="00F52101"/>
    <w:rsid w:val="00F664C5"/>
    <w:rsid w:val="00F700CC"/>
    <w:rsid w:val="00F72C67"/>
    <w:rsid w:val="00F72D72"/>
    <w:rsid w:val="00F741E1"/>
    <w:rsid w:val="00F76A87"/>
    <w:rsid w:val="00F879F0"/>
    <w:rsid w:val="00F90916"/>
    <w:rsid w:val="00F94C65"/>
    <w:rsid w:val="00FA7ECE"/>
    <w:rsid w:val="00FB1932"/>
    <w:rsid w:val="00FB221F"/>
    <w:rsid w:val="00FC058F"/>
    <w:rsid w:val="00FC101A"/>
    <w:rsid w:val="00FC268A"/>
    <w:rsid w:val="00FC70E1"/>
    <w:rsid w:val="00FF171B"/>
    <w:rsid w:val="00FF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AAC0FA"/>
  <w15:chartTrackingRefBased/>
  <w15:docId w15:val="{2421001E-CF87-3045-9BE7-357E1D9E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352"/>
  </w:style>
  <w:style w:type="paragraph" w:styleId="Heading1">
    <w:name w:val="heading 1"/>
    <w:basedOn w:val="Normal"/>
    <w:next w:val="Normal"/>
    <w:link w:val="Heading1Char"/>
    <w:uiPriority w:val="9"/>
    <w:qFormat/>
    <w:rsid w:val="002223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3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3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3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3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3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3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3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3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3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3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3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3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3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3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3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3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3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3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3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3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3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3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3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3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3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35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235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uong.nguyen@northwester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Daniella Alexandra Jaguan</dc:creator>
  <cp:keywords/>
  <dc:description/>
  <cp:lastModifiedBy>Daniella Alexandra Jaguan</cp:lastModifiedBy>
  <cp:revision>1</cp:revision>
  <dcterms:created xsi:type="dcterms:W3CDTF">2026-10-13T01:25:00Z</dcterms:created>
  <dcterms:modified xsi:type="dcterms:W3CDTF">2026-10-13T01:25:00Z</dcterms:modified>
</cp:coreProperties>
</file>