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65470">
      <w:pPr>
        <w:pStyle w:val="39"/>
        <w:spacing w:before="0" w:after="2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8"/>
        </w:rPr>
        <w:t>Posterior cortical gray matter heterogeneity between hyposmia- and RBD-defined prodromal phenotypes in Parkinson's disease: a PPMI voxel-based morphometry study</w:t>
      </w:r>
    </w:p>
    <w:p w14:paraId="320CD872">
      <w:pPr>
        <w:spacing w:after="40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Authors: Lingzhuo Chen; Shengqiang Chen; Kejia Hu; Hua He</w:t>
      </w:r>
    </w:p>
    <w:p w14:paraId="4F4D9E52">
      <w:pPr>
        <w:spacing w:after="40" w:line="240" w:lineRule="auto"/>
        <w:rPr>
          <w:rFonts w:hint="default" w:ascii="Times New Roman" w:hAnsi="Times New Roman" w:cs="Times New Roman"/>
          <w:sz w:val="18"/>
        </w:rPr>
      </w:pPr>
      <w:r>
        <w:rPr>
          <w:rFonts w:hint="default" w:ascii="Times New Roman" w:hAnsi="Times New Roman" w:cs="Times New Roman"/>
          <w:sz w:val="18"/>
        </w:rPr>
        <w:t xml:space="preserve">Affiliations 1: </w:t>
      </w: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20"/>
          <w:lang w:val="en-US" w:eastAsia="zh-CN" w:bidi="ar-SA"/>
        </w:rPr>
        <w:t>Department of Neurosurgery, The Third Affiliated Hospital of Naval Medical University (Second Military Medical University), Shanghai 200438, China</w:t>
      </w:r>
    </w:p>
    <w:p w14:paraId="2A8A357D">
      <w:pPr>
        <w:spacing w:after="40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Affiliations 2: Department of Hepatic Surgery VI, Eastern Hepatobiliary Surgery Hospital, The Third Affiliated Hospital of Naval Medical University, Shanghai, China</w:t>
      </w:r>
    </w:p>
    <w:p w14:paraId="6BB2293A">
      <w:pPr>
        <w:spacing w:after="40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Affiliation 3: Department of Neurosurgery, Center for Functional Neurosurgery, Ruijin Hospital, Shanghai Jiao Tong University School of Medicine, Shanghai, China</w:t>
      </w:r>
    </w:p>
    <w:p w14:paraId="45AF8494">
      <w:pPr>
        <w:spacing w:after="40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Affiliation 4: Emergency &amp; Critical Care Medicine Center, Ruijin Hospital, Shanghai Jiao Tong University School of Medicine, Shanghai, China</w:t>
      </w:r>
    </w:p>
    <w:p w14:paraId="5912094D">
      <w:pPr>
        <w:spacing w:after="40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Affiliation 5: Shanghai Institute of Aviation Medicine, Ruijin Hospital, Shanghai Jiao Tong University School of Medicine, Shanghai, China</w:t>
      </w:r>
    </w:p>
    <w:p w14:paraId="403CC083">
      <w:pPr>
        <w:spacing w:after="40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Correspondence: Hua He (hehual624@smmu.edu.cn); Kejia Hu (hukejia@shsmu.edu.cn)</w:t>
      </w:r>
    </w:p>
    <w:p w14:paraId="6812FB3A">
      <w:pPr>
        <w:pStyle w:val="48"/>
        <w:spacing w:before="0" w:after="100"/>
        <w:ind w:left="0" w:right="0"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Supplementary Tables S1–S9 and Supplementary Figures S1–S2 report scanner composition, whole-brain VBM sensitivity and disease-context findings, MRI quality control, matched-pair results, clinical scales and timing, exploratory atlas ROI effects, MRI-proximal RBDSQ associations, and PALM inference with directional and spatial audits.</w:t>
      </w:r>
    </w:p>
    <w:p w14:paraId="34CEE973">
      <w:pPr>
        <w:pStyle w:val="56"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sz w:val="20"/>
        </w:rPr>
        <w:t>Table S1. Scanner-family distribution across analysis cohorts.</w:t>
      </w:r>
    </w:p>
    <w:p w14:paraId="453E185C">
      <w:pPr>
        <w:pStyle w:val="47"/>
        <w:spacing w:before="4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19"/>
        </w:rPr>
        <w:t>Panel A. Primary phenotype cohort and all-3T disease-context cohort</w:t>
      </w:r>
    </w:p>
    <w:tbl>
      <w:tblPr>
        <w:tblStyle w:val="80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1944"/>
        <w:gridCol w:w="1944"/>
        <w:gridCol w:w="1728"/>
      </w:tblGrid>
      <w:tr w14:paraId="50A4AA4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38F850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Scanner family</w:t>
            </w:r>
          </w:p>
        </w:tc>
        <w:tc>
          <w:tcPr>
            <w:tcW w:w="1944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572D25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Hyposmia-only, n (%)</w:t>
            </w:r>
          </w:p>
        </w:tc>
        <w:tc>
          <w:tcPr>
            <w:tcW w:w="1944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658365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RBD-only, n (%)</w:t>
            </w:r>
          </w:p>
        </w:tc>
        <w:tc>
          <w:tcPr>
            <w:tcW w:w="1728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5038EA0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PD, n (%)</w:t>
            </w:r>
          </w:p>
        </w:tc>
      </w:tr>
      <w:tr w14:paraId="66BE0FD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0D7C42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GE_ARCHITECT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47A3BC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15 (3.2%)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32598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28 (18.8%)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ECADA1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18 (5.7%)</w:t>
            </w:r>
          </w:p>
        </w:tc>
      </w:tr>
      <w:tr w14:paraId="404D1A9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B053C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GE_MR750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BCD345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15 (3.2%)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00ED23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9 (6.0%)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2477BD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14 (4.4%)</w:t>
            </w:r>
          </w:p>
        </w:tc>
      </w:tr>
      <w:tr w14:paraId="508658C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178F7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OTHER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B5E94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 (0.4%)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49CEFD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11 (7.4%)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2405A3E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12 (3.8%)</w:t>
            </w:r>
          </w:p>
        </w:tc>
      </w:tr>
      <w:tr w14:paraId="343EA25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8FF8B09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SIEMENS_PRISMA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92EA40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208 (44.7%)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D0B8719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79 (53.0%)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FED8E4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171 (54.1%)</w:t>
            </w:r>
          </w:p>
        </w:tc>
      </w:tr>
      <w:tr w14:paraId="21064B8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27220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SIEMENS_SKYRA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EF79F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54 (11.6%)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A36815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19 (12.8%)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B89A5C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53 (16.8%)</w:t>
            </w:r>
          </w:p>
        </w:tc>
      </w:tr>
      <w:tr w14:paraId="66F43DE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1C12C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SIEMENS_VERIO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0AF03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155 (33.3%)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E7982C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 (1.3%)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51184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40 (12.7%)</w:t>
            </w:r>
          </w:p>
        </w:tc>
      </w:tr>
      <w:tr w14:paraId="609EC2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44C8C0E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SIEMENS_VIDA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3A257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16 (3.4%)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562394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 (0.7%)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15E02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8 (2.5%)</w:t>
            </w:r>
          </w:p>
        </w:tc>
      </w:tr>
      <w:tr w14:paraId="35EB45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1FBF1C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Total</w:t>
            </w:r>
          </w:p>
        </w:tc>
        <w:tc>
          <w:tcPr>
            <w:tcW w:w="1944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B0995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465 (100.0%)</w:t>
            </w:r>
          </w:p>
        </w:tc>
        <w:tc>
          <w:tcPr>
            <w:tcW w:w="1944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46FF9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149 (100.0%)</w:t>
            </w:r>
          </w:p>
        </w:tc>
        <w:tc>
          <w:tcPr>
            <w:tcW w:w="1728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C847A0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316 (100.0%)</w:t>
            </w:r>
          </w:p>
        </w:tc>
      </w:tr>
    </w:tbl>
    <w:p w14:paraId="50AB5F79">
      <w:pPr>
        <w:pStyle w:val="58"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Note: Hyposmia-only/RBD-only columns correspond to the primary phenotype cohort (N=614); adding PD gives the all-3T disease-context cohort (N=930).</w:t>
      </w:r>
    </w:p>
    <w:p w14:paraId="03817197">
      <w:pPr>
        <w:pStyle w:val="47"/>
        <w:spacing w:before="4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19"/>
        </w:rPr>
        <w:t>Panel B. Scanner common-support cohorts</w:t>
      </w:r>
    </w:p>
    <w:tbl>
      <w:tblPr>
        <w:tblStyle w:val="80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1944"/>
        <w:gridCol w:w="1944"/>
        <w:gridCol w:w="1728"/>
      </w:tblGrid>
      <w:tr w14:paraId="5979E70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10A3E2C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Scanner family</w:t>
            </w:r>
          </w:p>
        </w:tc>
        <w:tc>
          <w:tcPr>
            <w:tcW w:w="1944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3646BC9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Hyposmia-only, n (%)</w:t>
            </w:r>
          </w:p>
        </w:tc>
        <w:tc>
          <w:tcPr>
            <w:tcW w:w="1944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B450883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RBD-only, n (%)</w:t>
            </w:r>
          </w:p>
        </w:tc>
        <w:tc>
          <w:tcPr>
            <w:tcW w:w="1728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D7CDCF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PD, n (%)</w:t>
            </w:r>
          </w:p>
        </w:tc>
      </w:tr>
      <w:tr w14:paraId="09EA98F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553F32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GE_ARCHITECT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F89D3F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15 (5.1%)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E7330B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28 (20.7%)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9340279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18 (7.0%)</w:t>
            </w:r>
          </w:p>
        </w:tc>
      </w:tr>
      <w:tr w14:paraId="6F8444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B99221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GE_MR750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57A818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15 (5.1%)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9F94F70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9 (6.7%)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59275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14 (5.5%)</w:t>
            </w:r>
          </w:p>
        </w:tc>
      </w:tr>
      <w:tr w14:paraId="1FFA96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3C6399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SIEMENS_PRISMA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1CFF1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208 (71.2%)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8751B3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79 (58.5%)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3431DE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171 (66.8%)</w:t>
            </w:r>
          </w:p>
        </w:tc>
      </w:tr>
      <w:tr w14:paraId="65E3AD0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137B4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SIEMENS_SKYRA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56C24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54 (18.5%)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4CE72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19 (14.1%)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A4876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53 (20.7%)</w:t>
            </w:r>
          </w:p>
        </w:tc>
      </w:tr>
      <w:tr w14:paraId="68AE178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2E5062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Total</w:t>
            </w:r>
          </w:p>
        </w:tc>
        <w:tc>
          <w:tcPr>
            <w:tcW w:w="1944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6B71759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292 (100.0%)</w:t>
            </w:r>
          </w:p>
        </w:tc>
        <w:tc>
          <w:tcPr>
            <w:tcW w:w="1944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E1A7E8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135 (100.0%)</w:t>
            </w:r>
          </w:p>
        </w:tc>
        <w:tc>
          <w:tcPr>
            <w:tcW w:w="1728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A6A709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256 (100.0%)</w:t>
            </w:r>
          </w:p>
        </w:tc>
      </w:tr>
    </w:tbl>
    <w:p w14:paraId="24936C45">
      <w:pPr>
        <w:pStyle w:val="58"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Note: Hyposmia-only/RBD-only subset N=427; adding PD gives N=683.</w:t>
      </w:r>
    </w:p>
    <w:p w14:paraId="2F531C2F">
      <w:pPr>
        <w:pStyle w:val="47"/>
        <w:spacing w:before="4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19"/>
        </w:rPr>
        <w:t>Panel C. Siemens PRISMA/SKYRA-restricted cohorts</w:t>
      </w:r>
    </w:p>
    <w:tbl>
      <w:tblPr>
        <w:tblStyle w:val="80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1944"/>
        <w:gridCol w:w="1944"/>
        <w:gridCol w:w="1728"/>
      </w:tblGrid>
      <w:tr w14:paraId="3FCA84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D7EFB1E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Scanner family</w:t>
            </w:r>
          </w:p>
        </w:tc>
        <w:tc>
          <w:tcPr>
            <w:tcW w:w="1944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0E9D94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Hyposmia-only, n (%)</w:t>
            </w:r>
          </w:p>
        </w:tc>
        <w:tc>
          <w:tcPr>
            <w:tcW w:w="1944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9D80910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RBD-only, n (%)</w:t>
            </w:r>
          </w:p>
        </w:tc>
        <w:tc>
          <w:tcPr>
            <w:tcW w:w="1728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0BDEF20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PD, n (%)</w:t>
            </w:r>
          </w:p>
        </w:tc>
      </w:tr>
      <w:tr w14:paraId="07574D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5189EE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SIEMENS_PRISMA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28A1B0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208 (79.4%)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09290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79 (80.6%)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2C13E2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171 (76.3%)</w:t>
            </w:r>
          </w:p>
        </w:tc>
      </w:tr>
      <w:tr w14:paraId="04733D8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43DDBA9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SIEMENS_SKYRA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C5632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54 (20.6%)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D7DEDC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19 (19.4%)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5A986E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53 (23.7%)</w:t>
            </w:r>
          </w:p>
        </w:tc>
      </w:tr>
      <w:tr w14:paraId="4294FE8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34738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Total</w:t>
            </w:r>
          </w:p>
        </w:tc>
        <w:tc>
          <w:tcPr>
            <w:tcW w:w="1944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7E2E294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262 (100.0%)</w:t>
            </w:r>
          </w:p>
        </w:tc>
        <w:tc>
          <w:tcPr>
            <w:tcW w:w="1944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C17210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98 (100.0%)</w:t>
            </w:r>
          </w:p>
        </w:tc>
        <w:tc>
          <w:tcPr>
            <w:tcW w:w="1728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55D56A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224 (100.0%)</w:t>
            </w:r>
          </w:p>
        </w:tc>
      </w:tr>
    </w:tbl>
    <w:p w14:paraId="05A278BF">
      <w:pPr>
        <w:pStyle w:val="58"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Note: Hyposmia-only/RBD-only subset N=360; adding PD gives N=584.</w:t>
      </w:r>
    </w:p>
    <w:p w14:paraId="50015F3D">
      <w:pPr>
        <w:pStyle w:val="47"/>
        <w:spacing w:before="4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19"/>
        </w:rPr>
        <w:t>Panel D. Siemens PRISMA-only phenotype sensitivity</w:t>
      </w:r>
    </w:p>
    <w:tbl>
      <w:tblPr>
        <w:tblStyle w:val="80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1944"/>
        <w:gridCol w:w="1944"/>
        <w:gridCol w:w="1728"/>
      </w:tblGrid>
      <w:tr w14:paraId="6452C12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042F3BA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Scanner family</w:t>
            </w:r>
          </w:p>
        </w:tc>
        <w:tc>
          <w:tcPr>
            <w:tcW w:w="1944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0E530C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Hyposmia-only, n (%)</w:t>
            </w:r>
          </w:p>
        </w:tc>
        <w:tc>
          <w:tcPr>
            <w:tcW w:w="1944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96ACFE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RBD-only, n (%)</w:t>
            </w:r>
          </w:p>
        </w:tc>
        <w:tc>
          <w:tcPr>
            <w:tcW w:w="1728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3C60EBE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PD, n (%)</w:t>
            </w:r>
          </w:p>
        </w:tc>
      </w:tr>
      <w:tr w14:paraId="132472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EB716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SIEMENS_PRISMA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89E60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208 (100.0%)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ACB361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79 (100.0%)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55D4D2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—</w:t>
            </w:r>
          </w:p>
        </w:tc>
      </w:tr>
      <w:tr w14:paraId="008EB7F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4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8BE18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Total</w:t>
            </w:r>
          </w:p>
        </w:tc>
        <w:tc>
          <w:tcPr>
            <w:tcW w:w="1944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7E9EC0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208 (100.0%)</w:t>
            </w:r>
          </w:p>
        </w:tc>
        <w:tc>
          <w:tcPr>
            <w:tcW w:w="1944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68D288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79 (100.0%)</w:t>
            </w:r>
          </w:p>
        </w:tc>
        <w:tc>
          <w:tcPr>
            <w:tcW w:w="1728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D111A9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—</w:t>
            </w:r>
          </w:p>
        </w:tc>
      </w:tr>
    </w:tbl>
    <w:p w14:paraId="10F92CDC">
      <w:pPr>
        <w:pStyle w:val="58"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Note: PRISMA-only phenotype sensitivity included 208 Hyposmia-only and 79 RBD-only participants (N=287); no PRISMA-only disease-context model was used in the manuscript. In the primary phenotype cohort, scanner-family distribution differed between phenotypes (chi-square=117.16, df=6, p=6.42 x 10^-23, Cramer's V=0.437).</w:t>
      </w:r>
    </w:p>
    <w:p w14:paraId="53EC0265">
      <w:pPr>
        <w:pStyle w:val="56"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sz w:val="20"/>
        </w:rPr>
        <w:t>Table S2. Cluster-level VBM results for primary, sensitivity, and disease-context analyses.</w:t>
      </w:r>
    </w:p>
    <w:p w14:paraId="724E5DD2">
      <w:pPr>
        <w:pStyle w:val="47"/>
        <w:spacing w:before="4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19"/>
        </w:rPr>
        <w:t>Panel A. Primary phenotype comparison and prespecified sensitivity analyses</w:t>
      </w:r>
    </w:p>
    <w:tbl>
      <w:tblPr>
        <w:tblStyle w:val="80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2"/>
        <w:gridCol w:w="588"/>
        <w:gridCol w:w="1614"/>
        <w:gridCol w:w="606"/>
        <w:gridCol w:w="1043"/>
        <w:gridCol w:w="1050"/>
        <w:gridCol w:w="1246"/>
        <w:gridCol w:w="1475"/>
      </w:tblGrid>
      <w:tr w14:paraId="03091E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232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BF3498B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Analysis / restriction</w:t>
            </w:r>
          </w:p>
        </w:tc>
        <w:tc>
          <w:tcPr>
            <w:tcW w:w="648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4760C7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N</w:t>
            </w:r>
          </w:p>
        </w:tc>
        <w:tc>
          <w:tcPr>
            <w:tcW w:w="1800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5261717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Contrast</w:t>
            </w:r>
          </w:p>
        </w:tc>
        <w:tc>
          <w:tcPr>
            <w:tcW w:w="648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3343DE1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k</w:t>
            </w:r>
          </w:p>
        </w:tc>
        <w:tc>
          <w:tcPr>
            <w:tcW w:w="1152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95D6A0C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Cluster pFWE</w:t>
            </w:r>
          </w:p>
        </w:tc>
        <w:tc>
          <w:tcPr>
            <w:tcW w:w="1152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D0FD2B6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Peak statistic</w:t>
            </w:r>
          </w:p>
        </w:tc>
        <w:tc>
          <w:tcPr>
            <w:tcW w:w="1440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06D3BD1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Peak MNI [x,y,z]</w:t>
            </w:r>
          </w:p>
        </w:tc>
        <w:tc>
          <w:tcPr>
            <w:tcW w:w="1656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BB9C50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Inference</w:t>
            </w:r>
          </w:p>
        </w:tc>
      </w:tr>
      <w:tr w14:paraId="365A69F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7A2C9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Primary, GM mask 0.05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46547E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614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B56AC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Phenotype difference (F)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8057F9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4499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996BFF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4.15 x 10^-7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C71E6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F=25.81</w:t>
            </w:r>
          </w:p>
        </w:tc>
        <w:tc>
          <w:tcPr>
            <w:tcW w:w="144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1DDC9E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[0, -91.5, 22.5]</w:t>
            </w:r>
          </w:p>
        </w:tc>
        <w:tc>
          <w:tcPr>
            <w:tcW w:w="16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1C86EFD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FWE significant</w:t>
            </w:r>
          </w:p>
        </w:tc>
      </w:tr>
      <w:tr w14:paraId="78BDA8A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419D7D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Primary, GM mask 0.05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EC303E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614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1AC240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Hyposmia &gt; RBD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6741A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5947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71D67E4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1.33 x 10^-7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320B67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T=5.08</w:t>
            </w:r>
          </w:p>
        </w:tc>
        <w:tc>
          <w:tcPr>
            <w:tcW w:w="144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3F0D8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[0, -91.5, 22.5]</w:t>
            </w:r>
          </w:p>
        </w:tc>
        <w:tc>
          <w:tcPr>
            <w:tcW w:w="16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A22D85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FWE significant</w:t>
            </w:r>
          </w:p>
        </w:tc>
      </w:tr>
      <w:tr w14:paraId="0D8E13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8429A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Sensitivity, GM mask 0.10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7ECC4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614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F24D6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Phenotype difference (F)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1C8449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3830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CE8C0B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3.46 x 10^-6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84D4BE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F=25.83</w:t>
            </w:r>
          </w:p>
        </w:tc>
        <w:tc>
          <w:tcPr>
            <w:tcW w:w="144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BAFC38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[0, -91.5, 22.5]</w:t>
            </w:r>
          </w:p>
        </w:tc>
        <w:tc>
          <w:tcPr>
            <w:tcW w:w="16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EB0FC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FWE significant</w:t>
            </w:r>
          </w:p>
        </w:tc>
      </w:tr>
      <w:tr w14:paraId="36D6322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C34D54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Sensitivity, GM mask 0.10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EA208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614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8C2DE9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Hyposmia &gt; RBD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B927754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5169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678E40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1.03 x 10^-6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5AAE73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T=5.08</w:t>
            </w:r>
          </w:p>
        </w:tc>
        <w:tc>
          <w:tcPr>
            <w:tcW w:w="144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45C4DA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[0, -91.5, 22.5]</w:t>
            </w:r>
          </w:p>
        </w:tc>
        <w:tc>
          <w:tcPr>
            <w:tcW w:w="16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5B1AEA2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FWE significant</w:t>
            </w:r>
          </w:p>
        </w:tc>
      </w:tr>
      <w:tr w14:paraId="5576E96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E5E192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Scanner common support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1DE7F8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427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C2D703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Phenotype difference (F)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9FC93E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3127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9D96B02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1.97 x 10^-5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DAA4BD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F=22.30</w:t>
            </w:r>
          </w:p>
        </w:tc>
        <w:tc>
          <w:tcPr>
            <w:tcW w:w="144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7B704D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[0, -91.5, 24]</w:t>
            </w:r>
          </w:p>
        </w:tc>
        <w:tc>
          <w:tcPr>
            <w:tcW w:w="16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5D6B8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FWE significant</w:t>
            </w:r>
          </w:p>
        </w:tc>
      </w:tr>
      <w:tr w14:paraId="54CB889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9DDB1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Scanner common support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4422FD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427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FD7949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Hyposmia &gt; RBD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1C57BC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4178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E531B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7.21 x 10^-6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7BBC9C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T=4.72</w:t>
            </w:r>
          </w:p>
        </w:tc>
        <w:tc>
          <w:tcPr>
            <w:tcW w:w="144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8E93D6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[0, -91.5, 24]</w:t>
            </w:r>
          </w:p>
        </w:tc>
        <w:tc>
          <w:tcPr>
            <w:tcW w:w="16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76AF58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FWE significant</w:t>
            </w:r>
          </w:p>
        </w:tc>
      </w:tr>
      <w:tr w14:paraId="79086EA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CD5EE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 PRISMA/SKYRA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E29832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360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A2569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Phenotype difference (F)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88B475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1547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FEDB0BD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0.0027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014D2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F=20.08</w:t>
            </w:r>
          </w:p>
        </w:tc>
        <w:tc>
          <w:tcPr>
            <w:tcW w:w="144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F58828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[-1.5, -87, 27]</w:t>
            </w:r>
          </w:p>
        </w:tc>
        <w:tc>
          <w:tcPr>
            <w:tcW w:w="16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87684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FWE significant</w:t>
            </w:r>
          </w:p>
        </w:tc>
      </w:tr>
      <w:tr w14:paraId="147AC7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74A54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 PRISMA/SKYRA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9788B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360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A0E375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Hyposmia &gt; RBD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281B05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2265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037BE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7.94 x 10^-4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F64B50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T=4.48</w:t>
            </w:r>
          </w:p>
        </w:tc>
        <w:tc>
          <w:tcPr>
            <w:tcW w:w="144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EC84D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[-1.5, -87, 27]</w:t>
            </w:r>
          </w:p>
        </w:tc>
        <w:tc>
          <w:tcPr>
            <w:tcW w:w="16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6008C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FWE significant</w:t>
            </w:r>
          </w:p>
        </w:tc>
      </w:tr>
      <w:tr w14:paraId="7324A89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C6C90E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 PRISMA only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0AA1194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287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49F250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Phenotype difference (F)</w:t>
            </w:r>
          </w:p>
        </w:tc>
        <w:tc>
          <w:tcPr>
            <w:tcW w:w="6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2131EC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381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72659D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0.273</w:t>
            </w:r>
          </w:p>
        </w:tc>
        <w:tc>
          <w:tcPr>
            <w:tcW w:w="115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9CF23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F=16.06</w:t>
            </w:r>
          </w:p>
        </w:tc>
        <w:tc>
          <w:tcPr>
            <w:tcW w:w="144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BABF7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[0, -88.5, 25.5]</w:t>
            </w:r>
          </w:p>
        </w:tc>
        <w:tc>
          <w:tcPr>
            <w:tcW w:w="16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658E4D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Not FWE significant</w:t>
            </w:r>
          </w:p>
        </w:tc>
      </w:tr>
      <w:tr w14:paraId="39F67C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CCF0E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 PRISMA only</w:t>
            </w:r>
          </w:p>
        </w:tc>
        <w:tc>
          <w:tcPr>
            <w:tcW w:w="648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DE698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287</w:t>
            </w:r>
          </w:p>
        </w:tc>
        <w:tc>
          <w:tcPr>
            <w:tcW w:w="1800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1A1B10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Hyposmia &gt; RBD</w:t>
            </w:r>
          </w:p>
        </w:tc>
        <w:tc>
          <w:tcPr>
            <w:tcW w:w="648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3C898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564</w:t>
            </w:r>
          </w:p>
        </w:tc>
        <w:tc>
          <w:tcPr>
            <w:tcW w:w="1152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30755D9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0.156</w:t>
            </w:r>
          </w:p>
        </w:tc>
        <w:tc>
          <w:tcPr>
            <w:tcW w:w="1152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9B44CF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T=4.01</w:t>
            </w:r>
          </w:p>
        </w:tc>
        <w:tc>
          <w:tcPr>
            <w:tcW w:w="1440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B72D7C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[0, -88.5, 25.5]</w:t>
            </w:r>
          </w:p>
        </w:tc>
        <w:tc>
          <w:tcPr>
            <w:tcW w:w="1656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962DAB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Not FWE significant</w:t>
            </w:r>
          </w:p>
        </w:tc>
      </w:tr>
    </w:tbl>
    <w:p w14:paraId="6158F950">
      <w:pPr>
        <w:pStyle w:val="58"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Note: Whole-brain maps used voxel p&lt;0.001 uncorrected with cluster-level FWE p&lt;0.05. PRISMA-only rows report the largest spatially concordant posterior clusters despite lack of FWE significance. No RBD-only &gt; Hyposmia-only cluster survived cluster-level FWE correction in the phenotype analyses.</w:t>
      </w:r>
    </w:p>
    <w:p w14:paraId="4B9A275C">
      <w:pPr>
        <w:pStyle w:val="47"/>
        <w:spacing w:before="4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19"/>
        </w:rPr>
        <w:t>Panel B. Prespecified disease-context F contrasts</w:t>
      </w:r>
    </w:p>
    <w:tbl>
      <w:tblPr>
        <w:tblStyle w:val="80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533"/>
        <w:gridCol w:w="1478"/>
        <w:gridCol w:w="551"/>
        <w:gridCol w:w="990"/>
        <w:gridCol w:w="1285"/>
        <w:gridCol w:w="828"/>
        <w:gridCol w:w="1197"/>
        <w:gridCol w:w="1205"/>
      </w:tblGrid>
      <w:tr w14:paraId="0A03C6B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597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B81464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Restriction</w:t>
            </w:r>
          </w:p>
        </w:tc>
        <w:tc>
          <w:tcPr>
            <w:tcW w:w="533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C35ABA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N</w:t>
            </w:r>
          </w:p>
        </w:tc>
        <w:tc>
          <w:tcPr>
            <w:tcW w:w="1478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4C29F85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Contrast</w:t>
            </w:r>
          </w:p>
        </w:tc>
        <w:tc>
          <w:tcPr>
            <w:tcW w:w="551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51AB4D7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k</w:t>
            </w:r>
          </w:p>
        </w:tc>
        <w:tc>
          <w:tcPr>
            <w:tcW w:w="990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B0973E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Cluster pFWE</w:t>
            </w:r>
          </w:p>
        </w:tc>
        <w:tc>
          <w:tcPr>
            <w:tcW w:w="1285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40AC62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Bonferroni-adjusted p</w:t>
            </w:r>
          </w:p>
        </w:tc>
        <w:tc>
          <w:tcPr>
            <w:tcW w:w="828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79666C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Peak F</w:t>
            </w:r>
          </w:p>
        </w:tc>
        <w:tc>
          <w:tcPr>
            <w:tcW w:w="1197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6BB6F2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Peak MNI [x,y,z]</w:t>
            </w:r>
          </w:p>
        </w:tc>
        <w:tc>
          <w:tcPr>
            <w:tcW w:w="1205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8EEE014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Inference</w:t>
            </w:r>
          </w:p>
        </w:tc>
      </w:tr>
      <w:tr w14:paraId="2727E6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7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7AD62D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All 3 T</w:t>
            </w:r>
          </w:p>
        </w:tc>
        <w:tc>
          <w:tcPr>
            <w:tcW w:w="533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4DAAC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930</w:t>
            </w:r>
          </w:p>
        </w:tc>
        <w:tc>
          <w:tcPr>
            <w:tcW w:w="147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AC61BD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Hyposmia vs PD (F)</w:t>
            </w:r>
          </w:p>
        </w:tc>
        <w:tc>
          <w:tcPr>
            <w:tcW w:w="551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2D146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3907</w:t>
            </w:r>
          </w:p>
        </w:tc>
        <w:tc>
          <w:tcPr>
            <w:tcW w:w="9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274550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1.47 x 10^-6</w:t>
            </w:r>
          </w:p>
        </w:tc>
        <w:tc>
          <w:tcPr>
            <w:tcW w:w="128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F8948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2.94 x 10^-6</w:t>
            </w:r>
          </w:p>
        </w:tc>
        <w:tc>
          <w:tcPr>
            <w:tcW w:w="8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42B56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F=25.64</w:t>
            </w:r>
          </w:p>
        </w:tc>
        <w:tc>
          <w:tcPr>
            <w:tcW w:w="1197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D7A7B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[1.5, -79.5, 10.5]</w:t>
            </w:r>
          </w:p>
        </w:tc>
        <w:tc>
          <w:tcPr>
            <w:tcW w:w="120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AF1D96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Significant</w:t>
            </w:r>
          </w:p>
        </w:tc>
      </w:tr>
      <w:tr w14:paraId="7DEA581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7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7FD970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All 3 T</w:t>
            </w:r>
          </w:p>
        </w:tc>
        <w:tc>
          <w:tcPr>
            <w:tcW w:w="53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3C817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930</w:t>
            </w:r>
          </w:p>
        </w:tc>
        <w:tc>
          <w:tcPr>
            <w:tcW w:w="1478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FF6F1D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RBD vs PD (F)</w:t>
            </w:r>
          </w:p>
        </w:tc>
        <w:tc>
          <w:tcPr>
            <w:tcW w:w="551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4193604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368</w:t>
            </w:r>
          </w:p>
        </w:tc>
        <w:tc>
          <w:tcPr>
            <w:tcW w:w="990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3216E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0.28</w:t>
            </w:r>
          </w:p>
        </w:tc>
        <w:tc>
          <w:tcPr>
            <w:tcW w:w="128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5190C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0.56</w:t>
            </w:r>
          </w:p>
        </w:tc>
        <w:tc>
          <w:tcPr>
            <w:tcW w:w="828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28F1820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F=17.04</w:t>
            </w:r>
          </w:p>
        </w:tc>
        <w:tc>
          <w:tcPr>
            <w:tcW w:w="1197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25A84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[-24, -7.5, 0]</w:t>
            </w:r>
          </w:p>
        </w:tc>
        <w:tc>
          <w:tcPr>
            <w:tcW w:w="120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43B5F8D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Not significant</w:t>
            </w:r>
          </w:p>
        </w:tc>
      </w:tr>
      <w:tr w14:paraId="440BDDC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7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2AD55D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Scanner common support</w:t>
            </w:r>
          </w:p>
        </w:tc>
        <w:tc>
          <w:tcPr>
            <w:tcW w:w="533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F97AD7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683</w:t>
            </w:r>
          </w:p>
        </w:tc>
        <w:tc>
          <w:tcPr>
            <w:tcW w:w="147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9AA914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Hyposmia vs PD (F)</w:t>
            </w:r>
          </w:p>
        </w:tc>
        <w:tc>
          <w:tcPr>
            <w:tcW w:w="551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7360D8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3283</w:t>
            </w:r>
          </w:p>
        </w:tc>
        <w:tc>
          <w:tcPr>
            <w:tcW w:w="9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6E061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1.11 x 10^-5</w:t>
            </w:r>
          </w:p>
        </w:tc>
        <w:tc>
          <w:tcPr>
            <w:tcW w:w="128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D7E0C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2.22 x 10^-5</w:t>
            </w:r>
          </w:p>
        </w:tc>
        <w:tc>
          <w:tcPr>
            <w:tcW w:w="8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96D7D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F=21.18</w:t>
            </w:r>
          </w:p>
        </w:tc>
        <w:tc>
          <w:tcPr>
            <w:tcW w:w="1197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C0A8C6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[0, -90, 12]</w:t>
            </w:r>
          </w:p>
        </w:tc>
        <w:tc>
          <w:tcPr>
            <w:tcW w:w="120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11780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Significant</w:t>
            </w:r>
          </w:p>
        </w:tc>
      </w:tr>
      <w:tr w14:paraId="069A099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7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BA715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Scanner common support</w:t>
            </w:r>
          </w:p>
        </w:tc>
        <w:tc>
          <w:tcPr>
            <w:tcW w:w="533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3E910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683</w:t>
            </w:r>
          </w:p>
        </w:tc>
        <w:tc>
          <w:tcPr>
            <w:tcW w:w="147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669F1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RBD vs PD (F)</w:t>
            </w:r>
          </w:p>
        </w:tc>
        <w:tc>
          <w:tcPr>
            <w:tcW w:w="551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C5CC1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1344</w:t>
            </w:r>
          </w:p>
        </w:tc>
        <w:tc>
          <w:tcPr>
            <w:tcW w:w="9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C94B1ED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0.0047</w:t>
            </w:r>
          </w:p>
        </w:tc>
        <w:tc>
          <w:tcPr>
            <w:tcW w:w="128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601E60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0.0094</w:t>
            </w:r>
          </w:p>
        </w:tc>
        <w:tc>
          <w:tcPr>
            <w:tcW w:w="8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2C5465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F=20.44</w:t>
            </w:r>
          </w:p>
        </w:tc>
        <w:tc>
          <w:tcPr>
            <w:tcW w:w="1197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E3325D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[-24, -7.5, 0]</w:t>
            </w:r>
          </w:p>
        </w:tc>
        <w:tc>
          <w:tcPr>
            <w:tcW w:w="120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0C059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Significant</w:t>
            </w:r>
          </w:p>
        </w:tc>
      </w:tr>
      <w:tr w14:paraId="17C337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7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2112D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 PRISMA/SKYRA</w:t>
            </w:r>
          </w:p>
        </w:tc>
        <w:tc>
          <w:tcPr>
            <w:tcW w:w="533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91E54E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584</w:t>
            </w:r>
          </w:p>
        </w:tc>
        <w:tc>
          <w:tcPr>
            <w:tcW w:w="147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DBFA1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Hyposmia vs PD (F)</w:t>
            </w:r>
          </w:p>
        </w:tc>
        <w:tc>
          <w:tcPr>
            <w:tcW w:w="551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96050D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1954</w:t>
            </w:r>
          </w:p>
        </w:tc>
        <w:tc>
          <w:tcPr>
            <w:tcW w:w="9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5BBB4E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5.66 x 10^-4</w:t>
            </w:r>
          </w:p>
        </w:tc>
        <w:tc>
          <w:tcPr>
            <w:tcW w:w="128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D34EB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0.0011</w:t>
            </w:r>
          </w:p>
        </w:tc>
        <w:tc>
          <w:tcPr>
            <w:tcW w:w="8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B811CA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F=17.83</w:t>
            </w:r>
          </w:p>
        </w:tc>
        <w:tc>
          <w:tcPr>
            <w:tcW w:w="1197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7DC99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[0, -87, 12]</w:t>
            </w:r>
          </w:p>
        </w:tc>
        <w:tc>
          <w:tcPr>
            <w:tcW w:w="120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93CDC2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Significant</w:t>
            </w:r>
          </w:p>
        </w:tc>
      </w:tr>
      <w:tr w14:paraId="74F4366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7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989E5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Siemens PRISMA/SKYRA</w:t>
            </w:r>
          </w:p>
        </w:tc>
        <w:tc>
          <w:tcPr>
            <w:tcW w:w="533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DAA66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584</w:t>
            </w:r>
          </w:p>
        </w:tc>
        <w:tc>
          <w:tcPr>
            <w:tcW w:w="1478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CACC42E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RBD vs PD (F)</w:t>
            </w:r>
          </w:p>
        </w:tc>
        <w:tc>
          <w:tcPr>
            <w:tcW w:w="551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B303C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626</w:t>
            </w:r>
          </w:p>
        </w:tc>
        <w:tc>
          <w:tcPr>
            <w:tcW w:w="990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D9514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0.088</w:t>
            </w:r>
          </w:p>
        </w:tc>
        <w:tc>
          <w:tcPr>
            <w:tcW w:w="1285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022A6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0.176</w:t>
            </w:r>
          </w:p>
        </w:tc>
        <w:tc>
          <w:tcPr>
            <w:tcW w:w="828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93771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F=21.31</w:t>
            </w:r>
          </w:p>
        </w:tc>
        <w:tc>
          <w:tcPr>
            <w:tcW w:w="1197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04022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[15, 6, 55.5]</w:t>
            </w:r>
          </w:p>
        </w:tc>
        <w:tc>
          <w:tcPr>
            <w:tcW w:w="1205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4B63744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Not significant</w:t>
            </w:r>
          </w:p>
        </w:tc>
      </w:tr>
    </w:tbl>
    <w:p w14:paraId="2161E2BB">
      <w:pPr>
        <w:pStyle w:val="58"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Note: The disease-context inferential family comprised Hyposmia-only vs PD and RBD-only vs PD F contrasts. Bonferroni adjustment was applied across these two contrasts; Bonferroni-adjusted p&lt;0.05 (equivalently, raw cluster p_FWE&lt;0.025) was treated as significant. For nonsignificant contrasts, the row shows the cluster with the smallest cluster-level pFWE to document attenuation rather than imply absence of any suprathreshold voxels.</w:t>
      </w:r>
    </w:p>
    <w:p w14:paraId="0F7CAB05">
      <w:pPr>
        <w:pStyle w:val="56"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sz w:val="20"/>
        </w:rPr>
        <w:t>Table S3. Structural MRI quality-control criteria and cohort flow.</w:t>
      </w:r>
    </w:p>
    <w:p w14:paraId="6A6B07C8">
      <w:pPr>
        <w:pStyle w:val="47"/>
        <w:spacing w:before="4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19"/>
        </w:rPr>
        <w:t>Panel A. Cohort flow</w:t>
      </w:r>
    </w:p>
    <w:tbl>
      <w:tblPr>
        <w:tblStyle w:val="80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8"/>
        <w:gridCol w:w="1008"/>
        <w:gridCol w:w="3456"/>
      </w:tblGrid>
      <w:tr w14:paraId="628203B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608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AAB30BE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Stage</w:t>
            </w:r>
          </w:p>
        </w:tc>
        <w:tc>
          <w:tcPr>
            <w:tcW w:w="1008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B25C248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N</w:t>
            </w:r>
          </w:p>
        </w:tc>
        <w:tc>
          <w:tcPr>
            <w:tcW w:w="3456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A231546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Source</w:t>
            </w:r>
          </w:p>
        </w:tc>
      </w:tr>
      <w:tr w14:paraId="5CAA8D8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6B8F69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Candidate baseline T1 examinations</w:t>
            </w:r>
          </w:p>
        </w:tc>
        <w:tc>
          <w:tcPr>
            <w:tcW w:w="10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A6C551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1236</w:t>
            </w:r>
          </w:p>
        </w:tc>
        <w:tc>
          <w:tcPr>
            <w:tcW w:w="34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BAAC2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Frozen manuscript flow</w:t>
            </w:r>
          </w:p>
        </w:tc>
      </w:tr>
      <w:tr w14:paraId="385261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6B828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Matched to clinical analysis table</w:t>
            </w:r>
          </w:p>
        </w:tc>
        <w:tc>
          <w:tcPr>
            <w:tcW w:w="10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EB436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1230</w:t>
            </w:r>
          </w:p>
        </w:tc>
        <w:tc>
          <w:tcPr>
            <w:tcW w:w="34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047650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Frozen manuscript flow</w:t>
            </w:r>
          </w:p>
        </w:tc>
      </w:tr>
      <w:tr w14:paraId="58FC65E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6E3AA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CAT12 quality criterion failures</w:t>
            </w:r>
          </w:p>
        </w:tc>
        <w:tc>
          <w:tcPr>
            <w:tcW w:w="10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6CEB01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17</w:t>
            </w:r>
          </w:p>
        </w:tc>
        <w:tc>
          <w:tcPr>
            <w:tcW w:w="34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9C7C011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BL_review_list / frozen audit</w:t>
            </w:r>
          </w:p>
        </w:tc>
      </w:tr>
      <w:tr w14:paraId="6E86C8D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D1B4E09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Tissue-volume QC exclusions</w:t>
            </w:r>
          </w:p>
        </w:tc>
        <w:tc>
          <w:tcPr>
            <w:tcW w:w="10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FFB97E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46</w:t>
            </w:r>
          </w:p>
        </w:tc>
        <w:tc>
          <w:tcPr>
            <w:tcW w:w="34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777B8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BL_review_list / frozen audit</w:t>
            </w:r>
          </w:p>
        </w:tc>
      </w:tr>
      <w:tr w14:paraId="75C645B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822CBD4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Overlap: CAT12 + tissue-volume</w:t>
            </w:r>
          </w:p>
        </w:tc>
        <w:tc>
          <w:tcPr>
            <w:tcW w:w="10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ACB20D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9</w:t>
            </w:r>
          </w:p>
        </w:tc>
        <w:tc>
          <w:tcPr>
            <w:tcW w:w="34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843CB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BL_review_list / frozen audit</w:t>
            </w:r>
          </w:p>
        </w:tc>
      </w:tr>
      <w:tr w14:paraId="75665C8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9A3863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Unique QC exclusions</w:t>
            </w:r>
          </w:p>
        </w:tc>
        <w:tc>
          <w:tcPr>
            <w:tcW w:w="10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4A7ED4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54</w:t>
            </w:r>
          </w:p>
        </w:tc>
        <w:tc>
          <w:tcPr>
            <w:tcW w:w="345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DB801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BL_review_list / frozen audit</w:t>
            </w:r>
          </w:p>
        </w:tc>
      </w:tr>
      <w:tr w14:paraId="6053510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E2106F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Final QC-passed source cohort</w:t>
            </w:r>
          </w:p>
        </w:tc>
        <w:tc>
          <w:tcPr>
            <w:tcW w:w="1008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020E0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1176</w:t>
            </w:r>
          </w:p>
        </w:tc>
        <w:tc>
          <w:tcPr>
            <w:tcW w:w="3456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769B1E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Frozen manuscript flow</w:t>
            </w:r>
          </w:p>
        </w:tc>
      </w:tr>
    </w:tbl>
    <w:p w14:paraId="58612C53">
      <w:pPr>
        <w:pStyle w:val="47"/>
        <w:spacing w:before="4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19"/>
        </w:rPr>
        <w:t>Panel B. QC criteria</w:t>
      </w:r>
    </w:p>
    <w:tbl>
      <w:tblPr>
        <w:tblStyle w:val="80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8"/>
        <w:gridCol w:w="4257"/>
        <w:gridCol w:w="2989"/>
      </w:tblGrid>
      <w:tr w14:paraId="11C80D8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48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F588558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QC component</w:t>
            </w:r>
          </w:p>
        </w:tc>
        <w:tc>
          <w:tcPr>
            <w:tcW w:w="4320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0EE86F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Criterion</w:t>
            </w:r>
          </w:p>
        </w:tc>
        <w:tc>
          <w:tcPr>
            <w:tcW w:w="3024" w:type="dxa"/>
            <w:tcBorders>
              <w:top w:val="single" w:color="000000" w:sz="10" w:space="0"/>
              <w:bottom w:val="single" w:color="000000" w:sz="10" w:space="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EC50EB">
            <w:pPr>
              <w:pStyle w:val="57"/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Purpose / interpretation</w:t>
            </w:r>
          </w:p>
        </w:tc>
      </w:tr>
      <w:tr w14:paraId="5184A2A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DB691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CAT12 image quality</w:t>
            </w:r>
          </w:p>
        </w:tc>
        <w:tc>
          <w:tcPr>
            <w:tcW w:w="43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C68E04D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IQR &lt; 80% or unavailable quality information</w:t>
            </w:r>
          </w:p>
        </w:tc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26567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Exclude low-quality or unavailable CAT12 quality assessments.</w:t>
            </w:r>
          </w:p>
        </w:tc>
      </w:tr>
      <w:tr w14:paraId="6E4F539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A5F8CB9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Raw tissue volumes</w:t>
            </w:r>
          </w:p>
        </w:tc>
        <w:tc>
          <w:tcPr>
            <w:tcW w:w="43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52AC2E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TIV, GM, WM, CSF</w:t>
            </w:r>
          </w:p>
        </w:tc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B5D0E2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Screen global tissue-volume plausibility.</w:t>
            </w:r>
          </w:p>
        </w:tc>
      </w:tr>
      <w:tr w14:paraId="0BCA0F3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E389E00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Ratio metrics</w:t>
            </w:r>
          </w:p>
        </w:tc>
        <w:tc>
          <w:tcPr>
            <w:tcW w:w="43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E4629B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GM/TIV, WM/TIV, CSF/TIV, GM/WM</w:t>
            </w:r>
          </w:p>
        </w:tc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BB7C50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Detect disproportionate tissue segmentation or normalization patterns.</w:t>
            </w:r>
          </w:p>
        </w:tc>
      </w:tr>
      <w:tr w14:paraId="4F8FA29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C13D9E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Global z-score flag</w:t>
            </w:r>
          </w:p>
        </w:tc>
        <w:tc>
          <w:tcPr>
            <w:tcW w:w="43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C9ED67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absolute z &gt; 3 for each volume and ratio</w:t>
            </w:r>
          </w:p>
        </w:tc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2905B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Identify extreme cohort-level values.</w:t>
            </w:r>
          </w:p>
        </w:tc>
      </w:tr>
      <w:tr w14:paraId="70A1E6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A1D43A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MAD modified-z flag</w:t>
            </w:r>
          </w:p>
        </w:tc>
        <w:tc>
          <w:tcPr>
            <w:tcW w:w="43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4C63BD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absolute modified z &gt; 3.5 for each volume and ratio</w:t>
            </w:r>
          </w:p>
        </w:tc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CD4CD8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Provide a robust outlier screen less sensitive to extreme observations.</w:t>
            </w:r>
          </w:p>
        </w:tc>
      </w:tr>
      <w:tr w14:paraId="16F5F4B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D7FF0F5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IQR flag</w:t>
            </w:r>
          </w:p>
        </w:tc>
        <w:tc>
          <w:tcPr>
            <w:tcW w:w="43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D4044F9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outside Q1 - 3*IQR or Q3 + 3*IQR</w:t>
            </w:r>
          </w:p>
        </w:tc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9CECB46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Identify extreme values using a conservative 3 x IQR rule.</w:t>
            </w:r>
          </w:p>
        </w:tc>
      </w:tr>
      <w:tr w14:paraId="3BAAD03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0096A2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Sex-specific z-score flag</w:t>
            </w:r>
          </w:p>
        </w:tc>
        <w:tc>
          <w:tcPr>
            <w:tcW w:w="43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E972AFA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absolute z &gt; 3 within sex for TIV, GM, WM, CSF</w:t>
            </w:r>
          </w:p>
        </w:tc>
        <w:tc>
          <w:tcPr>
            <w:tcW w:w="302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685F7E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Detect extreme tissue volumes relative to sex-specific distributions.</w:t>
            </w:r>
          </w:p>
        </w:tc>
      </w:tr>
      <w:tr w14:paraId="09B94EF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6B06E8B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Final decision</w:t>
            </w:r>
          </w:p>
        </w:tc>
        <w:tc>
          <w:tcPr>
            <w:tcW w:w="4320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7C06DC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Automatically flagged cases were reviewed; 46 were excluded by tissue-volume QC</w:t>
            </w:r>
          </w:p>
        </w:tc>
        <w:tc>
          <w:tcPr>
            <w:tcW w:w="3024" w:type="dxa"/>
            <w:tcBorders>
              <w:bottom w:val="single" w:color="000000" w:sz="10" w:space="0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790DD3">
            <w:pPr>
              <w:pStyle w:val="57"/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7"/>
              </w:rPr>
              <w:t>Flags generated candidates for review; they were not automatic exclusion decisions.</w:t>
            </w:r>
          </w:p>
        </w:tc>
      </w:tr>
    </w:tbl>
    <w:p w14:paraId="28744A73">
      <w:pPr>
        <w:pStyle w:val="58"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Note: Tissue-volume screening evaluated TIV, GM, WM, CSF and GM/TIV, WM/TIV, CSF/TIV, and GM/WM ratios. The QC audit yielded 17 CAT12 quality failures, 46 tissue-volume exclusions, and 9 overlapping cases, corresponding to 54 unique exclusions and a final QC-passed source cohort of 1,176. Flagged tissue-volume cases were reviewed; the automated screen generated review candidates rather than automatic exclusions.</w:t>
      </w:r>
    </w:p>
    <w:p w14:paraId="7C75D992">
      <w:pPr>
        <w:pStyle w:val="84"/>
        <w:keepNext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</w:rPr>
        <w:t>Table S4. Post hoc sex- and scanner-family-matched whole-brain VBM sensitivity (123 pairs).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1495"/>
        <w:gridCol w:w="1495"/>
        <w:gridCol w:w="1495"/>
        <w:gridCol w:w="1495"/>
        <w:gridCol w:w="1495"/>
        <w:gridCol w:w="1495"/>
      </w:tblGrid>
      <w:tr w14:paraId="02AF0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495" w:type="dxa"/>
            <w:vAlign w:val="center"/>
          </w:tcPr>
          <w:p w14:paraId="57D20D38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Test</w:t>
            </w:r>
          </w:p>
        </w:tc>
        <w:tc>
          <w:tcPr>
            <w:tcW w:w="1495" w:type="dxa"/>
            <w:vAlign w:val="center"/>
          </w:tcPr>
          <w:p w14:paraId="7FCD5D99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N (pairs)</w:t>
            </w:r>
          </w:p>
        </w:tc>
        <w:tc>
          <w:tcPr>
            <w:tcW w:w="1495" w:type="dxa"/>
            <w:vAlign w:val="center"/>
          </w:tcPr>
          <w:p w14:paraId="3B776EBC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k (voxels)</w:t>
            </w:r>
          </w:p>
        </w:tc>
        <w:tc>
          <w:tcPr>
            <w:tcW w:w="1495" w:type="dxa"/>
            <w:vAlign w:val="center"/>
          </w:tcPr>
          <w:p w14:paraId="000ADCCC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Cluster pFWE</w:t>
            </w:r>
          </w:p>
        </w:tc>
        <w:tc>
          <w:tcPr>
            <w:tcW w:w="1495" w:type="dxa"/>
            <w:vAlign w:val="center"/>
          </w:tcPr>
          <w:p w14:paraId="16A5FFBC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Peak statistic</w:t>
            </w:r>
          </w:p>
        </w:tc>
        <w:tc>
          <w:tcPr>
            <w:tcW w:w="1495" w:type="dxa"/>
            <w:vAlign w:val="center"/>
          </w:tcPr>
          <w:p w14:paraId="54EE4CE8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MNI [x,y,z]</w:t>
            </w:r>
          </w:p>
        </w:tc>
        <w:tc>
          <w:tcPr>
            <w:tcW w:w="1495" w:type="dxa"/>
            <w:vAlign w:val="center"/>
          </w:tcPr>
          <w:p w14:paraId="049814C5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Inference</w:t>
            </w:r>
          </w:p>
        </w:tc>
      </w:tr>
      <w:tr w14:paraId="17A65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95" w:type="dxa"/>
            <w:vAlign w:val="center"/>
          </w:tcPr>
          <w:p w14:paraId="2D045262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Direction-independent phenotype F</w:t>
            </w:r>
          </w:p>
        </w:tc>
        <w:tc>
          <w:tcPr>
            <w:tcW w:w="1495" w:type="dxa"/>
            <w:vAlign w:val="center"/>
          </w:tcPr>
          <w:p w14:paraId="2792B797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246 (123)</w:t>
            </w:r>
          </w:p>
        </w:tc>
        <w:tc>
          <w:tcPr>
            <w:tcW w:w="1495" w:type="dxa"/>
            <w:vAlign w:val="center"/>
          </w:tcPr>
          <w:p w14:paraId="31067FC2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304</w:t>
            </w:r>
          </w:p>
        </w:tc>
        <w:tc>
          <w:tcPr>
            <w:tcW w:w="1495" w:type="dxa"/>
            <w:vAlign w:val="center"/>
          </w:tcPr>
          <w:p w14:paraId="20E08960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0.37954</w:t>
            </w:r>
          </w:p>
        </w:tc>
        <w:tc>
          <w:tcPr>
            <w:tcW w:w="1495" w:type="dxa"/>
            <w:vAlign w:val="center"/>
          </w:tcPr>
          <w:p w14:paraId="0F4F9C88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F=18.06</w:t>
            </w:r>
          </w:p>
        </w:tc>
        <w:tc>
          <w:tcPr>
            <w:tcW w:w="1495" w:type="dxa"/>
            <w:vAlign w:val="center"/>
          </w:tcPr>
          <w:p w14:paraId="79D1B9BA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[3, −85.5, −6]</w:t>
            </w:r>
          </w:p>
        </w:tc>
        <w:tc>
          <w:tcPr>
            <w:tcW w:w="1495" w:type="dxa"/>
            <w:vAlign w:val="center"/>
          </w:tcPr>
          <w:p w14:paraId="52E07FB2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Not FWE-significant</w:t>
            </w:r>
          </w:p>
        </w:tc>
      </w:tr>
      <w:tr w14:paraId="70D99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95" w:type="dxa"/>
            <w:vAlign w:val="center"/>
          </w:tcPr>
          <w:p w14:paraId="12F83416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Hyposmia &gt; RBD T</w:t>
            </w:r>
          </w:p>
        </w:tc>
        <w:tc>
          <w:tcPr>
            <w:tcW w:w="1495" w:type="dxa"/>
            <w:vAlign w:val="center"/>
          </w:tcPr>
          <w:p w14:paraId="52414AC5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246 (123)</w:t>
            </w:r>
          </w:p>
        </w:tc>
        <w:tc>
          <w:tcPr>
            <w:tcW w:w="1495" w:type="dxa"/>
            <w:vAlign w:val="center"/>
          </w:tcPr>
          <w:p w14:paraId="757099BB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996</w:t>
            </w:r>
          </w:p>
        </w:tc>
        <w:tc>
          <w:tcPr>
            <w:tcW w:w="1495" w:type="dxa"/>
            <w:vAlign w:val="center"/>
          </w:tcPr>
          <w:p w14:paraId="227CF9A8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0.02660</w:t>
            </w:r>
          </w:p>
        </w:tc>
        <w:tc>
          <w:tcPr>
            <w:tcW w:w="1495" w:type="dxa"/>
            <w:vAlign w:val="center"/>
          </w:tcPr>
          <w:p w14:paraId="2441C39B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T=4.18</w:t>
            </w:r>
          </w:p>
        </w:tc>
        <w:tc>
          <w:tcPr>
            <w:tcW w:w="1495" w:type="dxa"/>
            <w:vAlign w:val="center"/>
          </w:tcPr>
          <w:p w14:paraId="5CB4476C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[−28.5, −103.5, 12]</w:t>
            </w:r>
          </w:p>
        </w:tc>
        <w:tc>
          <w:tcPr>
            <w:tcW w:w="1495" w:type="dxa"/>
            <w:vAlign w:val="center"/>
          </w:tcPr>
          <w:p w14:paraId="5284867B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FWE-significant</w:t>
            </w:r>
          </w:p>
        </w:tc>
      </w:tr>
      <w:tr w14:paraId="2B3EB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95" w:type="dxa"/>
            <w:vAlign w:val="center"/>
          </w:tcPr>
          <w:p w14:paraId="60759592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RBD &gt; Hyposmia T</w:t>
            </w:r>
          </w:p>
        </w:tc>
        <w:tc>
          <w:tcPr>
            <w:tcW w:w="1495" w:type="dxa"/>
            <w:vAlign w:val="center"/>
          </w:tcPr>
          <w:p w14:paraId="3185382C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246 (123)</w:t>
            </w:r>
          </w:p>
        </w:tc>
        <w:tc>
          <w:tcPr>
            <w:tcW w:w="1495" w:type="dxa"/>
            <w:vAlign w:val="center"/>
          </w:tcPr>
          <w:p w14:paraId="18EE94D1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—</w:t>
            </w:r>
          </w:p>
        </w:tc>
        <w:tc>
          <w:tcPr>
            <w:tcW w:w="1495" w:type="dxa"/>
            <w:vAlign w:val="center"/>
          </w:tcPr>
          <w:p w14:paraId="3ADB9F16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0.98960 (minimum)</w:t>
            </w:r>
          </w:p>
        </w:tc>
        <w:tc>
          <w:tcPr>
            <w:tcW w:w="1495" w:type="dxa"/>
            <w:vAlign w:val="center"/>
          </w:tcPr>
          <w:p w14:paraId="19809414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—</w:t>
            </w:r>
          </w:p>
        </w:tc>
        <w:tc>
          <w:tcPr>
            <w:tcW w:w="1495" w:type="dxa"/>
            <w:vAlign w:val="center"/>
          </w:tcPr>
          <w:p w14:paraId="23DF9608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—</w:t>
            </w:r>
          </w:p>
        </w:tc>
        <w:tc>
          <w:tcPr>
            <w:tcW w:w="1495" w:type="dxa"/>
            <w:vAlign w:val="center"/>
          </w:tcPr>
          <w:p w14:paraId="6C3E0B35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Not FWE-significant</w:t>
            </w:r>
          </w:p>
        </w:tc>
      </w:tr>
    </w:tbl>
    <w:p w14:paraId="17D6D07C">
      <w:pPr>
        <w:spacing w:before="0" w:after="100"/>
        <w:ind w:left="0" w:right="0"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9"/>
        </w:rPr>
        <w:t>The matched F contrast was primary; each row reports the lowest cluster-FWE P for its map, not a common F/T mask. Exact sex/scanner-family matching gave mean absolute age difference 0.626 y (maximum 10). SPM25 model: phenotype + pair fixed effects + age + TIV; 246 observations, 127 columns, rank 126, residual df 120. A single dependent column does not in itself invalidate the phenotype contrast; its estimability was checked in STEP11. Voxel P&lt;0.001 uncorrected; cluster FWE P&lt;0.05; GM mask 0.05. The matched sample overlaps the primary cohort and is not independent replication.</w:t>
      </w:r>
    </w:p>
    <w:p w14:paraId="2C75A12B">
      <w:pPr>
        <w:pStyle w:val="84"/>
        <w:keepNext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</w:rPr>
        <w:t>Table S5. Clinical scale comparisons and month-precision MRI timing audit.</w:t>
      </w:r>
    </w:p>
    <w:p w14:paraId="45F26E6F">
      <w:pPr>
        <w:keepNext/>
        <w:spacing w:before="4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9"/>
        </w:rPr>
        <w:t>Panel A. Visit-filtered clinical questionnaire results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093"/>
        <w:gridCol w:w="2093"/>
        <w:gridCol w:w="2093"/>
        <w:gridCol w:w="2093"/>
      </w:tblGrid>
      <w:tr w14:paraId="386B0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093" w:type="dxa"/>
            <w:vAlign w:val="center"/>
          </w:tcPr>
          <w:p w14:paraId="06A20F7A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Cohort / Scale</w:t>
            </w:r>
          </w:p>
        </w:tc>
        <w:tc>
          <w:tcPr>
            <w:tcW w:w="2093" w:type="dxa"/>
            <w:vAlign w:val="center"/>
          </w:tcPr>
          <w:p w14:paraId="2557990C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H n, mean ± SD</w:t>
            </w:r>
          </w:p>
        </w:tc>
        <w:tc>
          <w:tcPr>
            <w:tcW w:w="2093" w:type="dxa"/>
            <w:vAlign w:val="center"/>
          </w:tcPr>
          <w:p w14:paraId="267D9322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RBD n, mean ± SD</w:t>
            </w:r>
          </w:p>
        </w:tc>
        <w:tc>
          <w:tcPr>
            <w:tcW w:w="2093" w:type="dxa"/>
            <w:vAlign w:val="center"/>
          </w:tcPr>
          <w:p w14:paraId="5D889C11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Adjusted H−RBD difference (95% CI)</w:t>
            </w:r>
          </w:p>
        </w:tc>
        <w:tc>
          <w:tcPr>
            <w:tcW w:w="2093" w:type="dxa"/>
            <w:vAlign w:val="center"/>
          </w:tcPr>
          <w:p w14:paraId="6090618B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FDR q</w:t>
            </w:r>
          </w:p>
        </w:tc>
      </w:tr>
      <w:tr w14:paraId="67776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18FB0061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N=614 / UPSIT-SC</w:t>
            </w:r>
          </w:p>
        </w:tc>
        <w:tc>
          <w:tcPr>
            <w:tcW w:w="2093" w:type="dxa"/>
            <w:vAlign w:val="center"/>
          </w:tcPr>
          <w:p w14:paraId="39FE3737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465; 22.30 ± 7.39</w:t>
            </w:r>
          </w:p>
        </w:tc>
        <w:tc>
          <w:tcPr>
            <w:tcW w:w="2093" w:type="dxa"/>
            <w:vAlign w:val="center"/>
          </w:tcPr>
          <w:p w14:paraId="5A0EBCE1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146; 24.47 ± 8.39</w:t>
            </w:r>
          </w:p>
        </w:tc>
        <w:tc>
          <w:tcPr>
            <w:tcW w:w="2093" w:type="dxa"/>
            <w:vAlign w:val="center"/>
          </w:tcPr>
          <w:p w14:paraId="460FC7AA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−4.00 (−5.64, −2.35)</w:t>
            </w:r>
          </w:p>
        </w:tc>
        <w:tc>
          <w:tcPr>
            <w:tcW w:w="2093" w:type="dxa"/>
            <w:vAlign w:val="center"/>
          </w:tcPr>
          <w:p w14:paraId="13D4BF59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2.32×10⁻⁶</w:t>
            </w:r>
          </w:p>
        </w:tc>
      </w:tr>
      <w:tr w14:paraId="1A095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4CD4A570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N=614 / RBDSQ-BL</w:t>
            </w:r>
          </w:p>
        </w:tc>
        <w:tc>
          <w:tcPr>
            <w:tcW w:w="2093" w:type="dxa"/>
            <w:vAlign w:val="center"/>
          </w:tcPr>
          <w:p w14:paraId="3E252329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465; 4.54 ± 3.73</w:t>
            </w:r>
          </w:p>
        </w:tc>
        <w:tc>
          <w:tcPr>
            <w:tcW w:w="2093" w:type="dxa"/>
            <w:vAlign w:val="center"/>
          </w:tcPr>
          <w:p w14:paraId="0A76C36E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148; 9.76 ± 2.47</w:t>
            </w:r>
          </w:p>
        </w:tc>
        <w:tc>
          <w:tcPr>
            <w:tcW w:w="2093" w:type="dxa"/>
            <w:vAlign w:val="center"/>
          </w:tcPr>
          <w:p w14:paraId="5CA7772D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−4.58 (−5.26, −3.91)</w:t>
            </w:r>
          </w:p>
        </w:tc>
        <w:tc>
          <w:tcPr>
            <w:tcW w:w="2093" w:type="dxa"/>
            <w:vAlign w:val="center"/>
          </w:tcPr>
          <w:p w14:paraId="6876FD9E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1.29×10⁻³⁵</w:t>
            </w:r>
          </w:p>
        </w:tc>
      </w:tr>
      <w:tr w14:paraId="3FEC8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0E15E830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123 pairs / UPSIT-SC</w:t>
            </w:r>
          </w:p>
        </w:tc>
        <w:tc>
          <w:tcPr>
            <w:tcW w:w="2093" w:type="dxa"/>
            <w:vAlign w:val="center"/>
          </w:tcPr>
          <w:p w14:paraId="364877B0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121 complete pairs</w:t>
            </w:r>
          </w:p>
        </w:tc>
        <w:tc>
          <w:tcPr>
            <w:tcW w:w="2093" w:type="dxa"/>
            <w:vAlign w:val="center"/>
          </w:tcPr>
          <w:p w14:paraId="43870EB8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121 complete pairs</w:t>
            </w:r>
          </w:p>
        </w:tc>
        <w:tc>
          <w:tcPr>
            <w:tcW w:w="2093" w:type="dxa"/>
            <w:vAlign w:val="center"/>
          </w:tcPr>
          <w:p w14:paraId="7E6939D9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−4.93 (−6.63, −3.22)</w:t>
            </w:r>
          </w:p>
        </w:tc>
        <w:tc>
          <w:tcPr>
            <w:tcW w:w="2093" w:type="dxa"/>
            <w:vAlign w:val="center"/>
          </w:tcPr>
          <w:p w14:paraId="30CBC062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7.84×10⁻⁸</w:t>
            </w:r>
          </w:p>
        </w:tc>
      </w:tr>
      <w:tr w14:paraId="52F82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05675512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123 pairs / RBDSQ-BL</w:t>
            </w:r>
          </w:p>
        </w:tc>
        <w:tc>
          <w:tcPr>
            <w:tcW w:w="2093" w:type="dxa"/>
            <w:vAlign w:val="center"/>
          </w:tcPr>
          <w:p w14:paraId="1E3EE3B8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122 complete pairs</w:t>
            </w:r>
          </w:p>
        </w:tc>
        <w:tc>
          <w:tcPr>
            <w:tcW w:w="2093" w:type="dxa"/>
            <w:vAlign w:val="center"/>
          </w:tcPr>
          <w:p w14:paraId="22A976C7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122 complete pairs</w:t>
            </w:r>
          </w:p>
        </w:tc>
        <w:tc>
          <w:tcPr>
            <w:tcW w:w="2093" w:type="dxa"/>
            <w:vAlign w:val="center"/>
          </w:tcPr>
          <w:p w14:paraId="4E39CC40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−4.28 (−5.09, −3.47)</w:t>
            </w:r>
          </w:p>
        </w:tc>
        <w:tc>
          <w:tcPr>
            <w:tcW w:w="2093" w:type="dxa"/>
            <w:vAlign w:val="center"/>
          </w:tcPr>
          <w:p w14:paraId="77672219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2.54×10⁻¹⁸</w:t>
            </w:r>
          </w:p>
        </w:tc>
      </w:tr>
    </w:tbl>
    <w:p w14:paraId="51CC9F6A">
      <w:pPr>
        <w:spacing w:before="0" w:after="100"/>
        <w:ind w:left="0" w:right="0"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9"/>
        </w:rPr>
        <w:t>Primary models adjusted for age, sex, and scanner family (HC3 SE); matched models used paired differences and age adjustment. BH-FDR covered two scales separately by cohort. Paired counts differed by scale; scores describe enrollment phenotypes, not independent validation.</w:t>
      </w:r>
    </w:p>
    <w:p w14:paraId="60791D39">
      <w:pPr>
        <w:keepNext/>
        <w:pageBreakBefore/>
        <w:spacing w:before="4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9"/>
        </w:rPr>
        <w:t>Panel B. MRI ±90-day timing classification from month-year INFODT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093"/>
        <w:gridCol w:w="2093"/>
        <w:gridCol w:w="2093"/>
        <w:gridCol w:w="2093"/>
      </w:tblGrid>
      <w:tr w14:paraId="7B849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093" w:type="dxa"/>
            <w:vAlign w:val="center"/>
          </w:tcPr>
          <w:p w14:paraId="0560B68F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Phenotype / scale (required visit)</w:t>
            </w:r>
          </w:p>
        </w:tc>
        <w:tc>
          <w:tcPr>
            <w:tcW w:w="2093" w:type="dxa"/>
            <w:vAlign w:val="center"/>
          </w:tcPr>
          <w:p w14:paraId="566AF6E6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With visit + date</w:t>
            </w:r>
          </w:p>
        </w:tc>
        <w:tc>
          <w:tcPr>
            <w:tcW w:w="2093" w:type="dxa"/>
            <w:vAlign w:val="center"/>
          </w:tcPr>
          <w:p w14:paraId="27164137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Certainly within 90 d</w:t>
            </w:r>
          </w:p>
        </w:tc>
        <w:tc>
          <w:tcPr>
            <w:tcW w:w="2093" w:type="dxa"/>
            <w:vAlign w:val="center"/>
          </w:tcPr>
          <w:p w14:paraId="117E7F5D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Indeterminate</w:t>
            </w:r>
          </w:p>
        </w:tc>
        <w:tc>
          <w:tcPr>
            <w:tcW w:w="2093" w:type="dxa"/>
            <w:vAlign w:val="center"/>
          </w:tcPr>
          <w:p w14:paraId="78254C06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Certainly outside</w:t>
            </w:r>
          </w:p>
        </w:tc>
      </w:tr>
      <w:tr w14:paraId="3903B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2B4BFE6F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H / UPSIT-SC</w:t>
            </w:r>
          </w:p>
        </w:tc>
        <w:tc>
          <w:tcPr>
            <w:tcW w:w="2093" w:type="dxa"/>
            <w:vAlign w:val="center"/>
          </w:tcPr>
          <w:p w14:paraId="7734FD5D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465</w:t>
            </w:r>
          </w:p>
        </w:tc>
        <w:tc>
          <w:tcPr>
            <w:tcW w:w="2093" w:type="dxa"/>
            <w:vAlign w:val="center"/>
          </w:tcPr>
          <w:p w14:paraId="637951BC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19</w:t>
            </w:r>
          </w:p>
        </w:tc>
        <w:tc>
          <w:tcPr>
            <w:tcW w:w="2093" w:type="dxa"/>
            <w:vAlign w:val="center"/>
          </w:tcPr>
          <w:p w14:paraId="5B00EEF2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20</w:t>
            </w:r>
          </w:p>
        </w:tc>
        <w:tc>
          <w:tcPr>
            <w:tcW w:w="2093" w:type="dxa"/>
            <w:vAlign w:val="center"/>
          </w:tcPr>
          <w:p w14:paraId="43E759F0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426</w:t>
            </w:r>
          </w:p>
        </w:tc>
      </w:tr>
      <w:tr w14:paraId="41BC8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0A3B2683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RBD / UPSIT-SC</w:t>
            </w:r>
          </w:p>
        </w:tc>
        <w:tc>
          <w:tcPr>
            <w:tcW w:w="2093" w:type="dxa"/>
            <w:vAlign w:val="center"/>
          </w:tcPr>
          <w:p w14:paraId="6B1EB4D1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146</w:t>
            </w:r>
          </w:p>
        </w:tc>
        <w:tc>
          <w:tcPr>
            <w:tcW w:w="2093" w:type="dxa"/>
            <w:vAlign w:val="center"/>
          </w:tcPr>
          <w:p w14:paraId="6AC4AB4F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109</w:t>
            </w:r>
          </w:p>
        </w:tc>
        <w:tc>
          <w:tcPr>
            <w:tcW w:w="2093" w:type="dxa"/>
            <w:vAlign w:val="center"/>
          </w:tcPr>
          <w:p w14:paraId="1864BC35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12</w:t>
            </w:r>
          </w:p>
        </w:tc>
        <w:tc>
          <w:tcPr>
            <w:tcW w:w="2093" w:type="dxa"/>
            <w:vAlign w:val="center"/>
          </w:tcPr>
          <w:p w14:paraId="636C4322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25</w:t>
            </w:r>
          </w:p>
        </w:tc>
      </w:tr>
      <w:tr w14:paraId="0AE92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79EB7A79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H / RBDSQ-BL</w:t>
            </w:r>
          </w:p>
        </w:tc>
        <w:tc>
          <w:tcPr>
            <w:tcW w:w="2093" w:type="dxa"/>
            <w:vAlign w:val="center"/>
          </w:tcPr>
          <w:p w14:paraId="0EA0DB89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465</w:t>
            </w:r>
          </w:p>
        </w:tc>
        <w:tc>
          <w:tcPr>
            <w:tcW w:w="2093" w:type="dxa"/>
            <w:vAlign w:val="center"/>
          </w:tcPr>
          <w:p w14:paraId="24964E5F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462</w:t>
            </w:r>
          </w:p>
        </w:tc>
        <w:tc>
          <w:tcPr>
            <w:tcW w:w="2093" w:type="dxa"/>
            <w:vAlign w:val="center"/>
          </w:tcPr>
          <w:p w14:paraId="4A01C3BC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</w:t>
            </w:r>
          </w:p>
        </w:tc>
        <w:tc>
          <w:tcPr>
            <w:tcW w:w="2093" w:type="dxa"/>
            <w:vAlign w:val="center"/>
          </w:tcPr>
          <w:p w14:paraId="0590AE59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2</w:t>
            </w:r>
          </w:p>
        </w:tc>
      </w:tr>
      <w:tr w14:paraId="2FBFB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6E0043E5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RBD / RBDSQ-BL</w:t>
            </w:r>
          </w:p>
        </w:tc>
        <w:tc>
          <w:tcPr>
            <w:tcW w:w="2093" w:type="dxa"/>
            <w:vAlign w:val="center"/>
          </w:tcPr>
          <w:p w14:paraId="0B6C5B62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148</w:t>
            </w:r>
          </w:p>
        </w:tc>
        <w:tc>
          <w:tcPr>
            <w:tcW w:w="2093" w:type="dxa"/>
            <w:vAlign w:val="center"/>
          </w:tcPr>
          <w:p w14:paraId="45395CD1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144</w:t>
            </w:r>
          </w:p>
        </w:tc>
        <w:tc>
          <w:tcPr>
            <w:tcW w:w="2093" w:type="dxa"/>
            <w:vAlign w:val="center"/>
          </w:tcPr>
          <w:p w14:paraId="59D88C61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</w:t>
            </w:r>
          </w:p>
        </w:tc>
        <w:tc>
          <w:tcPr>
            <w:tcW w:w="2093" w:type="dxa"/>
            <w:vAlign w:val="center"/>
          </w:tcPr>
          <w:p w14:paraId="637E2ECF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3</w:t>
            </w:r>
          </w:p>
        </w:tc>
      </w:tr>
    </w:tbl>
    <w:p w14:paraId="026D90ED">
      <w:pPr>
        <w:spacing w:before="0" w:after="100"/>
        <w:ind w:left="0" w:right="0"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9"/>
        </w:rPr>
        <w:t>The entire possible clinical measurement month had to lie within ±90 days of the MRI acquisition date for "certainly within" classification. Day 1 in a month/year source field was not considered an observed day. For the matched 123 pairs, 7 pairs had both UPSIT assessments certainly within ±90 days, versus 117 pairs for RBDSQ.</w:t>
      </w:r>
    </w:p>
    <w:p w14:paraId="2C1D9667">
      <w:pPr>
        <w:keepNext/>
        <w:spacing w:before="4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9"/>
        </w:rPr>
        <w:t>Panel C. Exploratory within-phenotype UPSIT–RBDSQ associations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093"/>
        <w:gridCol w:w="2093"/>
        <w:gridCol w:w="2093"/>
        <w:gridCol w:w="2093"/>
      </w:tblGrid>
      <w:tr w14:paraId="08F6C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093" w:type="dxa"/>
            <w:vAlign w:val="center"/>
          </w:tcPr>
          <w:p w14:paraId="673F8EBC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Phenotype</w:t>
            </w:r>
          </w:p>
        </w:tc>
        <w:tc>
          <w:tcPr>
            <w:tcW w:w="2093" w:type="dxa"/>
            <w:vAlign w:val="center"/>
          </w:tcPr>
          <w:p w14:paraId="715F1D3D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n</w:t>
            </w:r>
          </w:p>
        </w:tc>
        <w:tc>
          <w:tcPr>
            <w:tcW w:w="2093" w:type="dxa"/>
            <w:vAlign w:val="center"/>
          </w:tcPr>
          <w:p w14:paraId="0A8568E5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Partial Spearman ρ</w:t>
            </w:r>
          </w:p>
        </w:tc>
        <w:tc>
          <w:tcPr>
            <w:tcW w:w="2093" w:type="dxa"/>
            <w:vAlign w:val="center"/>
          </w:tcPr>
          <w:p w14:paraId="15D3E5DA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Approximate 95% CI</w:t>
            </w:r>
          </w:p>
        </w:tc>
        <w:tc>
          <w:tcPr>
            <w:tcW w:w="2093" w:type="dxa"/>
            <w:vAlign w:val="center"/>
          </w:tcPr>
          <w:p w14:paraId="6323F716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FDR q</w:t>
            </w:r>
          </w:p>
        </w:tc>
      </w:tr>
      <w:tr w14:paraId="64E86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5B187CFA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Hyposmia-only</w:t>
            </w:r>
          </w:p>
        </w:tc>
        <w:tc>
          <w:tcPr>
            <w:tcW w:w="2093" w:type="dxa"/>
            <w:vAlign w:val="center"/>
          </w:tcPr>
          <w:p w14:paraId="33DEAA5E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465</w:t>
            </w:r>
          </w:p>
        </w:tc>
        <w:tc>
          <w:tcPr>
            <w:tcW w:w="2093" w:type="dxa"/>
            <w:vAlign w:val="center"/>
          </w:tcPr>
          <w:p w14:paraId="5B445FDD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−0.120</w:t>
            </w:r>
          </w:p>
        </w:tc>
        <w:tc>
          <w:tcPr>
            <w:tcW w:w="2093" w:type="dxa"/>
            <w:vAlign w:val="center"/>
          </w:tcPr>
          <w:p w14:paraId="5955A04B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−0.209 to −0.029</w:t>
            </w:r>
          </w:p>
        </w:tc>
        <w:tc>
          <w:tcPr>
            <w:tcW w:w="2093" w:type="dxa"/>
            <w:vAlign w:val="center"/>
          </w:tcPr>
          <w:p w14:paraId="6BBB5F7B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0.0205</w:t>
            </w:r>
          </w:p>
        </w:tc>
      </w:tr>
      <w:tr w14:paraId="01B67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3D380DCF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RBD-only</w:t>
            </w:r>
          </w:p>
        </w:tc>
        <w:tc>
          <w:tcPr>
            <w:tcW w:w="2093" w:type="dxa"/>
            <w:vAlign w:val="center"/>
          </w:tcPr>
          <w:p w14:paraId="09DA1646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145</w:t>
            </w:r>
          </w:p>
        </w:tc>
        <w:tc>
          <w:tcPr>
            <w:tcW w:w="2093" w:type="dxa"/>
            <w:vAlign w:val="center"/>
          </w:tcPr>
          <w:p w14:paraId="240A0CA2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−0.108</w:t>
            </w:r>
          </w:p>
        </w:tc>
        <w:tc>
          <w:tcPr>
            <w:tcW w:w="2093" w:type="dxa"/>
            <w:vAlign w:val="center"/>
          </w:tcPr>
          <w:p w14:paraId="1F4979D0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−0.271 to +0.061</w:t>
            </w:r>
          </w:p>
        </w:tc>
        <w:tc>
          <w:tcPr>
            <w:tcW w:w="2093" w:type="dxa"/>
            <w:vAlign w:val="center"/>
          </w:tcPr>
          <w:p w14:paraId="3F12A037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0.209</w:t>
            </w:r>
          </w:p>
        </w:tc>
      </w:tr>
    </w:tbl>
    <w:p w14:paraId="1706FCCB">
      <w:pPr>
        <w:spacing w:before="0" w:after="100"/>
        <w:ind w:left="0" w:right="0"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9"/>
        </w:rPr>
        <w:t>Rank-residualized scores adjusted for age, sex, and scanner family. A significant correlation in one subgroup and nonsignificant correlation in the other does not establish a between-group difference in correlation strength.</w:t>
      </w:r>
    </w:p>
    <w:p w14:paraId="05BF835E">
      <w:pPr>
        <w:pStyle w:val="84"/>
        <w:keepNext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</w:rPr>
        <w:t>Table S6. Exploratory atlas-integrated GM contrasts in parent and matched cohorts.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093"/>
        <w:gridCol w:w="2093"/>
        <w:gridCol w:w="2093"/>
        <w:gridCol w:w="2093"/>
      </w:tblGrid>
      <w:tr w14:paraId="064E4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093" w:type="dxa"/>
            <w:vAlign w:val="center"/>
          </w:tcPr>
          <w:p w14:paraId="3E651F4B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ROI</w:t>
            </w:r>
          </w:p>
        </w:tc>
        <w:tc>
          <w:tcPr>
            <w:tcW w:w="2093" w:type="dxa"/>
            <w:vAlign w:val="center"/>
          </w:tcPr>
          <w:p w14:paraId="0FC5540A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Cohort</w:t>
            </w:r>
          </w:p>
        </w:tc>
        <w:tc>
          <w:tcPr>
            <w:tcW w:w="2093" w:type="dxa"/>
            <w:vAlign w:val="center"/>
          </w:tcPr>
          <w:p w14:paraId="4C63C1E0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Adjusted H−RBD mL (95% CI)</w:t>
            </w:r>
          </w:p>
        </w:tc>
        <w:tc>
          <w:tcPr>
            <w:tcW w:w="2093" w:type="dxa"/>
            <w:vAlign w:val="center"/>
          </w:tcPr>
          <w:p w14:paraId="241983E0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Approx. standardized effect</w:t>
            </w:r>
          </w:p>
        </w:tc>
        <w:tc>
          <w:tcPr>
            <w:tcW w:w="2093" w:type="dxa"/>
            <w:vAlign w:val="center"/>
          </w:tcPr>
          <w:p w14:paraId="6D9A2BD6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FDR q</w:t>
            </w:r>
          </w:p>
        </w:tc>
      </w:tr>
      <w:tr w14:paraId="0B002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103CDD6C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Bilateral cuneus</w:t>
            </w:r>
          </w:p>
        </w:tc>
        <w:tc>
          <w:tcPr>
            <w:tcW w:w="2093" w:type="dxa"/>
            <w:vAlign w:val="center"/>
          </w:tcPr>
          <w:p w14:paraId="52EEC1C8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Primary N=614</w:t>
            </w:r>
          </w:p>
        </w:tc>
        <w:tc>
          <w:tcPr>
            <w:tcW w:w="2093" w:type="dxa"/>
            <w:vAlign w:val="center"/>
          </w:tcPr>
          <w:p w14:paraId="64D3A685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+0.211 (+0.095, +0.327)</w:t>
            </w:r>
          </w:p>
        </w:tc>
        <w:tc>
          <w:tcPr>
            <w:tcW w:w="2093" w:type="dxa"/>
            <w:vAlign w:val="center"/>
          </w:tcPr>
          <w:p w14:paraId="5E7E309B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0.420</w:t>
            </w:r>
          </w:p>
        </w:tc>
        <w:tc>
          <w:tcPr>
            <w:tcW w:w="2093" w:type="dxa"/>
            <w:vAlign w:val="center"/>
          </w:tcPr>
          <w:p w14:paraId="2D9FFECD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0.000742</w:t>
            </w:r>
          </w:p>
        </w:tc>
      </w:tr>
      <w:tr w14:paraId="0966C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75242399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Bilateral calcarine</w:t>
            </w:r>
          </w:p>
        </w:tc>
        <w:tc>
          <w:tcPr>
            <w:tcW w:w="2093" w:type="dxa"/>
            <w:vAlign w:val="center"/>
          </w:tcPr>
          <w:p w14:paraId="666A6547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Primary N=614</w:t>
            </w:r>
          </w:p>
        </w:tc>
        <w:tc>
          <w:tcPr>
            <w:tcW w:w="2093" w:type="dxa"/>
            <w:vAlign w:val="center"/>
          </w:tcPr>
          <w:p w14:paraId="3CE0DBAD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+0.165 (+0.068, +0.262)</w:t>
            </w:r>
          </w:p>
        </w:tc>
        <w:tc>
          <w:tcPr>
            <w:tcW w:w="2093" w:type="dxa"/>
            <w:vAlign w:val="center"/>
          </w:tcPr>
          <w:p w14:paraId="402CD9A6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0.388</w:t>
            </w:r>
          </w:p>
        </w:tc>
        <w:tc>
          <w:tcPr>
            <w:tcW w:w="2093" w:type="dxa"/>
            <w:vAlign w:val="center"/>
          </w:tcPr>
          <w:p w14:paraId="6B02A882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0.000907</w:t>
            </w:r>
          </w:p>
        </w:tc>
      </w:tr>
      <w:tr w14:paraId="451C6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126DA42E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Bilateral cuneus</w:t>
            </w:r>
          </w:p>
        </w:tc>
        <w:tc>
          <w:tcPr>
            <w:tcW w:w="2093" w:type="dxa"/>
            <w:vAlign w:val="center"/>
          </w:tcPr>
          <w:p w14:paraId="11BAECD1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Matched 123 pairs</w:t>
            </w:r>
          </w:p>
        </w:tc>
        <w:tc>
          <w:tcPr>
            <w:tcW w:w="2093" w:type="dxa"/>
            <w:vAlign w:val="center"/>
          </w:tcPr>
          <w:p w14:paraId="5D9BEA47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+0.187 (+0.041, +0.333)</w:t>
            </w:r>
          </w:p>
        </w:tc>
        <w:tc>
          <w:tcPr>
            <w:tcW w:w="2093" w:type="dxa"/>
            <w:vAlign w:val="center"/>
          </w:tcPr>
          <w:p w14:paraId="7F3F63CB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0.201</w:t>
            </w:r>
          </w:p>
        </w:tc>
        <w:tc>
          <w:tcPr>
            <w:tcW w:w="2093" w:type="dxa"/>
            <w:vAlign w:val="center"/>
          </w:tcPr>
          <w:p w14:paraId="10FBCC95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0.0253</w:t>
            </w:r>
          </w:p>
        </w:tc>
      </w:tr>
      <w:tr w14:paraId="17FF0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5E22F94E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Bilateral calcarine</w:t>
            </w:r>
          </w:p>
        </w:tc>
        <w:tc>
          <w:tcPr>
            <w:tcW w:w="2093" w:type="dxa"/>
            <w:vAlign w:val="center"/>
          </w:tcPr>
          <w:p w14:paraId="0A445C29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Matched 123 pairs</w:t>
            </w:r>
          </w:p>
        </w:tc>
        <w:tc>
          <w:tcPr>
            <w:tcW w:w="2093" w:type="dxa"/>
            <w:vAlign w:val="center"/>
          </w:tcPr>
          <w:p w14:paraId="5559A47C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+0.110 (−0.022, +0.242)</w:t>
            </w:r>
          </w:p>
        </w:tc>
        <w:tc>
          <w:tcPr>
            <w:tcW w:w="2093" w:type="dxa"/>
            <w:vAlign w:val="center"/>
          </w:tcPr>
          <w:p w14:paraId="414B1567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0.160</w:t>
            </w:r>
          </w:p>
        </w:tc>
        <w:tc>
          <w:tcPr>
            <w:tcW w:w="2093" w:type="dxa"/>
            <w:vAlign w:val="center"/>
          </w:tcPr>
          <w:p w14:paraId="4E10C7F0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0.101</w:t>
            </w:r>
          </w:p>
        </w:tc>
      </w:tr>
    </w:tbl>
    <w:p w14:paraId="054C76B4">
      <w:pPr>
        <w:spacing w:before="0" w:after="100"/>
        <w:ind w:left="0" w:right="0"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9"/>
        </w:rPr>
        <w:t>SPM Neuromorphometrics atlas: bilateral calcarine labels 108+109; bilateral cuneus labels 114+115. Atlas-integrated smoothed modulated GM signal (nominal mL) is not native-space tissue volume. Full-cohort adjusted effects were scaled by residual SD for standardization, whereas the paired exploratory descriptive standardized effect used the unadjusted SD of paired ROI differences; those standardized numbers are not directly interchangeable. Analyses use HC3 robust SE and separate two-ROI BH-FDR families. Matched sample is nested in the parent cohort; ROI selection follows whole-brain posterior findings.</w:t>
      </w:r>
    </w:p>
    <w:p w14:paraId="3D7BF683">
      <w:pPr>
        <w:pStyle w:val="84"/>
        <w:keepNext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</w:rPr>
        <w:t>Table S7. Exploratory MRI-proximal RBDSQ–regional GMV associations.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093"/>
        <w:gridCol w:w="2093"/>
        <w:gridCol w:w="2093"/>
        <w:gridCol w:w="2093"/>
      </w:tblGrid>
      <w:tr w14:paraId="3A13F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093" w:type="dxa"/>
            <w:vAlign w:val="center"/>
          </w:tcPr>
          <w:p w14:paraId="68348F90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ROI</w:t>
            </w:r>
          </w:p>
        </w:tc>
        <w:tc>
          <w:tcPr>
            <w:tcW w:w="2093" w:type="dxa"/>
            <w:vAlign w:val="center"/>
          </w:tcPr>
          <w:p w14:paraId="176D6F9A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Test</w:t>
            </w:r>
          </w:p>
        </w:tc>
        <w:tc>
          <w:tcPr>
            <w:tcW w:w="2093" w:type="dxa"/>
            <w:vAlign w:val="center"/>
          </w:tcPr>
          <w:p w14:paraId="380743D2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N</w:t>
            </w:r>
          </w:p>
        </w:tc>
        <w:tc>
          <w:tcPr>
            <w:tcW w:w="2093" w:type="dxa"/>
            <w:vAlign w:val="center"/>
          </w:tcPr>
          <w:p w14:paraId="0F9FEDD6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Estimated slope/difference (95% CI), mL/point</w:t>
            </w:r>
          </w:p>
        </w:tc>
        <w:tc>
          <w:tcPr>
            <w:tcW w:w="2093" w:type="dxa"/>
            <w:vAlign w:val="center"/>
          </w:tcPr>
          <w:p w14:paraId="6624E049">
            <w:pPr>
              <w:spacing w:before="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FDR q</w:t>
            </w:r>
          </w:p>
        </w:tc>
      </w:tr>
      <w:tr w14:paraId="238C3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178AFA9A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Cuneus</w:t>
            </w:r>
          </w:p>
        </w:tc>
        <w:tc>
          <w:tcPr>
            <w:tcW w:w="2093" w:type="dxa"/>
            <w:vAlign w:val="center"/>
          </w:tcPr>
          <w:p w14:paraId="029A4950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Pooled RBDSQ slope</w:t>
            </w:r>
          </w:p>
        </w:tc>
        <w:tc>
          <w:tcPr>
            <w:tcW w:w="2093" w:type="dxa"/>
            <w:vAlign w:val="center"/>
          </w:tcPr>
          <w:p w14:paraId="58946649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606</w:t>
            </w:r>
          </w:p>
        </w:tc>
        <w:tc>
          <w:tcPr>
            <w:tcW w:w="2093" w:type="dxa"/>
            <w:vAlign w:val="center"/>
          </w:tcPr>
          <w:p w14:paraId="79A8FF2C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−0.00338 (−0.01558, +0.00882)</w:t>
            </w:r>
          </w:p>
        </w:tc>
        <w:tc>
          <w:tcPr>
            <w:tcW w:w="2093" w:type="dxa"/>
            <w:vAlign w:val="center"/>
          </w:tcPr>
          <w:p w14:paraId="2304178F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0.586</w:t>
            </w:r>
          </w:p>
        </w:tc>
      </w:tr>
      <w:tr w14:paraId="5CEE5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08B1F274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Calcarine</w:t>
            </w:r>
          </w:p>
        </w:tc>
        <w:tc>
          <w:tcPr>
            <w:tcW w:w="2093" w:type="dxa"/>
            <w:vAlign w:val="center"/>
          </w:tcPr>
          <w:p w14:paraId="3CAE4483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Pooled RBDSQ slope</w:t>
            </w:r>
          </w:p>
        </w:tc>
        <w:tc>
          <w:tcPr>
            <w:tcW w:w="2093" w:type="dxa"/>
            <w:vAlign w:val="center"/>
          </w:tcPr>
          <w:p w14:paraId="7E0945E0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606</w:t>
            </w:r>
          </w:p>
        </w:tc>
        <w:tc>
          <w:tcPr>
            <w:tcW w:w="2093" w:type="dxa"/>
            <w:vAlign w:val="center"/>
          </w:tcPr>
          <w:p w14:paraId="684856B8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−0.00743 (−0.01823, +0.00336)</w:t>
            </w:r>
          </w:p>
        </w:tc>
        <w:tc>
          <w:tcPr>
            <w:tcW w:w="2093" w:type="dxa"/>
            <w:vAlign w:val="center"/>
          </w:tcPr>
          <w:p w14:paraId="25CBCD5E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0.353</w:t>
            </w:r>
          </w:p>
        </w:tc>
      </w:tr>
      <w:tr w14:paraId="32384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5987AE9F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Cuneus</w:t>
            </w:r>
          </w:p>
        </w:tc>
        <w:tc>
          <w:tcPr>
            <w:tcW w:w="2093" w:type="dxa"/>
            <w:vAlign w:val="center"/>
          </w:tcPr>
          <w:p w14:paraId="0ADBBE21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Phenotype × RBDSQ</w:t>
            </w:r>
          </w:p>
        </w:tc>
        <w:tc>
          <w:tcPr>
            <w:tcW w:w="2093" w:type="dxa"/>
            <w:vAlign w:val="center"/>
          </w:tcPr>
          <w:p w14:paraId="49157584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606</w:t>
            </w:r>
          </w:p>
        </w:tc>
        <w:tc>
          <w:tcPr>
            <w:tcW w:w="2093" w:type="dxa"/>
            <w:vAlign w:val="center"/>
          </w:tcPr>
          <w:p w14:paraId="33832842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+0.01102 (−0.02468, +0.04672)</w:t>
            </w:r>
          </w:p>
        </w:tc>
        <w:tc>
          <w:tcPr>
            <w:tcW w:w="2093" w:type="dxa"/>
            <w:vAlign w:val="center"/>
          </w:tcPr>
          <w:p w14:paraId="3813F9EA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0.724</w:t>
            </w:r>
          </w:p>
        </w:tc>
      </w:tr>
      <w:tr w14:paraId="6BD5B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vAlign w:val="center"/>
          </w:tcPr>
          <w:p w14:paraId="57D1BB41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Calcarine</w:t>
            </w:r>
          </w:p>
        </w:tc>
        <w:tc>
          <w:tcPr>
            <w:tcW w:w="2093" w:type="dxa"/>
            <w:vAlign w:val="center"/>
          </w:tcPr>
          <w:p w14:paraId="18F90C37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Phenotype × RBDSQ</w:t>
            </w:r>
          </w:p>
        </w:tc>
        <w:tc>
          <w:tcPr>
            <w:tcW w:w="2093" w:type="dxa"/>
            <w:vAlign w:val="center"/>
          </w:tcPr>
          <w:p w14:paraId="3C3FD4A2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606</w:t>
            </w:r>
          </w:p>
        </w:tc>
        <w:tc>
          <w:tcPr>
            <w:tcW w:w="2093" w:type="dxa"/>
            <w:vAlign w:val="center"/>
          </w:tcPr>
          <w:p w14:paraId="0DCAE1A0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+0.00564 (−0.02566, +0.03693)</w:t>
            </w:r>
          </w:p>
        </w:tc>
        <w:tc>
          <w:tcPr>
            <w:tcW w:w="2093" w:type="dxa"/>
            <w:vAlign w:val="center"/>
          </w:tcPr>
          <w:p w14:paraId="2C2BC2A6">
            <w:pPr>
              <w:spacing w:before="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0.724</w:t>
            </w:r>
          </w:p>
        </w:tc>
      </w:tr>
    </w:tbl>
    <w:p w14:paraId="2A79F35D">
      <w:pPr>
        <w:spacing w:before="0" w:after="100"/>
        <w:ind w:left="0" w:right="0"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9"/>
        </w:rPr>
        <w:t>Only RBDSQ-BL assessments certainly within ±90 days of MRI were used in the primary association analyses (H n=462; RBD n=144). Models adjusted for phenotype, age, sex, TIV, and scanner family, with HC3 robust SE. Additional within-phenotype slopes (four tests) and an all-dated-BL timing sensitivity (n=613) were also nonsignificant after FDR correction. These null results neither prove equivalence nor identify biological mechanisms; RBD recruitment criteria may have restricted symptom-score variation.</w:t>
      </w:r>
    </w:p>
    <w:p w14:paraId="54782811">
      <w:pPr>
        <w:pStyle w:val="84"/>
        <w:keepNext/>
        <w:pageBreakBefore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</w:rPr>
        <w:t>Table S8. Nonparametric whole-brain PALM inference in the original N=614 phenotype cohort.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093"/>
        <w:gridCol w:w="2093"/>
        <w:gridCol w:w="2093"/>
        <w:gridCol w:w="2093"/>
      </w:tblGrid>
      <w:tr w14:paraId="1F92F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B4C5F">
            <w:pPr>
              <w:keepNext w:val="0"/>
              <w:spacing w:before="4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PALM corrected method</w:t>
            </w:r>
          </w:p>
        </w:tc>
        <w:tc>
          <w:tcPr>
            <w:tcW w:w="150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2724B">
            <w:pPr>
              <w:keepNext w:val="0"/>
              <w:spacing w:before="4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Minimum FWE P</w:t>
            </w:r>
          </w:p>
        </w:tc>
        <w:tc>
          <w:tcPr>
            <w:tcW w:w="181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232A0">
            <w:pPr>
              <w:keepNext w:val="0"/>
              <w:spacing w:before="4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Significant voxels</w:t>
            </w:r>
          </w:p>
        </w:tc>
        <w:tc>
          <w:tcPr>
            <w:tcW w:w="2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22EAC">
            <w:pPr>
              <w:keepNext w:val="0"/>
              <w:spacing w:before="4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Minimum-P MNI [x, y, z]</w:t>
            </w:r>
          </w:p>
        </w:tc>
        <w:tc>
          <w:tcPr>
            <w:tcW w:w="206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64C6F">
            <w:pPr>
              <w:keepNext w:val="0"/>
              <w:spacing w:before="4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Interpretation</w:t>
            </w:r>
          </w:p>
        </w:tc>
      </w:tr>
      <w:tr w14:paraId="6D11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59886">
            <w:pPr>
              <w:keepNext w:val="0"/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TFCE (primary)</w:t>
            </w:r>
          </w:p>
        </w:tc>
        <w:tc>
          <w:tcPr>
            <w:tcW w:w="150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BB212">
            <w:pPr>
              <w:keepNext w:val="0"/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0.0027</w:t>
            </w:r>
          </w:p>
        </w:tc>
        <w:tc>
          <w:tcPr>
            <w:tcW w:w="181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C7B85">
            <w:pPr>
              <w:keepNext w:val="0"/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8,967</w:t>
            </w:r>
          </w:p>
        </w:tc>
        <w:tc>
          <w:tcPr>
            <w:tcW w:w="2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F65BE">
            <w:pPr>
              <w:keepNext w:val="0"/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[1.5, −90, 21]</w:t>
            </w:r>
          </w:p>
        </w:tc>
        <w:tc>
          <w:tcPr>
            <w:tcW w:w="206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F1AE">
            <w:pPr>
              <w:keepNext w:val="0"/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Whole-brain significant</w:t>
            </w:r>
          </w:p>
        </w:tc>
      </w:tr>
      <w:tr w14:paraId="719FC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185AB">
            <w:pPr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Voxel maximum statistic</w:t>
            </w:r>
          </w:p>
        </w:tc>
        <w:tc>
          <w:tcPr>
            <w:tcW w:w="150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7AA65">
            <w:pPr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0.0277</w:t>
            </w:r>
          </w:p>
        </w:tc>
        <w:tc>
          <w:tcPr>
            <w:tcW w:w="181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54F42">
            <w:pPr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50</w:t>
            </w:r>
          </w:p>
        </w:tc>
        <w:tc>
          <w:tcPr>
            <w:tcW w:w="2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ECE8A">
            <w:pPr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[0, −91.5, 24]</w:t>
            </w:r>
          </w:p>
        </w:tc>
        <w:tc>
          <w:tcPr>
            <w:tcW w:w="206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A3F5A">
            <w:pPr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Whole-brain significant</w:t>
            </w:r>
          </w:p>
        </w:tc>
      </w:tr>
      <w:tr w14:paraId="5BAFF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E7694">
            <w:pPr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Cluster extent</w:t>
            </w:r>
          </w:p>
        </w:tc>
        <w:tc>
          <w:tcPr>
            <w:tcW w:w="150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756F2">
            <w:pPr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0.0021</w:t>
            </w:r>
          </w:p>
        </w:tc>
        <w:tc>
          <w:tcPr>
            <w:tcW w:w="181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4B8FA">
            <w:pPr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3,562</w:t>
            </w:r>
          </w:p>
        </w:tc>
        <w:tc>
          <w:tcPr>
            <w:tcW w:w="2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059CB">
            <w:pPr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[9, −88.5, −12]</w:t>
            </w:r>
          </w:p>
        </w:tc>
        <w:tc>
          <w:tcPr>
            <w:tcW w:w="206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0A903">
            <w:pPr>
              <w:spacing w:before="4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Whole-brain significant</w:t>
            </w:r>
          </w:p>
        </w:tc>
      </w:tr>
    </w:tbl>
    <w:p w14:paraId="3115FFD0">
      <w:pPr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Note: PALM reused the frozen 614-person SPM images, design, contrast, and mask. Two-sided 10,000-sign-flip inference used Freedman–Lane nuisance adjustment and phenotype-specific variance groups. TFCE was primary; voxel maximum and cluster extent (forming z=3.2905) were secondary. FWER P maps were encoded as −log10(P). Counts denote significant voxels across a map, not single-cluster extents. Two-sided P maps do not themselves show effect direction; this was evaluated separately against the signed original SPM contrast image (Table S9). Sign flipping presumes independent, approximately symmetric residual errors.</w:t>
      </w:r>
    </w:p>
    <w:p w14:paraId="43E05E7C">
      <w:pPr>
        <w:pStyle w:val="84"/>
        <w:keepNext/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</w:rPr>
        <w:t>Table S9. Post hoc direction and spatial correspondence of PALM-significant voxels with the original parametric SPM contrast.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6"/>
        <w:gridCol w:w="2616"/>
        <w:gridCol w:w="2616"/>
        <w:gridCol w:w="2616"/>
      </w:tblGrid>
      <w:tr w14:paraId="58315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714" w:type="dxa"/>
            <w:vAlign w:val="center"/>
          </w:tcPr>
          <w:p w14:paraId="4C0EE98F">
            <w:pPr>
              <w:spacing w:before="2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Corrected PALM map</w:t>
            </w:r>
          </w:p>
        </w:tc>
        <w:tc>
          <w:tcPr>
            <w:tcW w:w="2088" w:type="dxa"/>
            <w:vAlign w:val="center"/>
          </w:tcPr>
          <w:p w14:paraId="5DEBD1D5">
            <w:pPr>
              <w:spacing w:before="2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H&gt;RBD / RBD&gt;H in original SPM contrast</w:t>
            </w:r>
          </w:p>
        </w:tc>
        <w:tc>
          <w:tcPr>
            <w:tcW w:w="3398" w:type="dxa"/>
            <w:vAlign w:val="center"/>
          </w:tcPr>
          <w:p w14:paraId="7D0FDAAF">
            <w:pPr>
              <w:spacing w:before="2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PALM voxels also positive at SPM T voxel P&lt;0.001, n (%)</w:t>
            </w:r>
          </w:p>
        </w:tc>
        <w:tc>
          <w:tcPr>
            <w:tcW w:w="1656" w:type="dxa"/>
            <w:vAlign w:val="center"/>
          </w:tcPr>
          <w:p w14:paraId="585175E7">
            <w:pPr>
              <w:spacing w:before="20" w:after="20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7"/>
              </w:rPr>
              <w:t>Distance to parent SPM peak, mm</w:t>
            </w:r>
          </w:p>
        </w:tc>
      </w:tr>
      <w:tr w14:paraId="63B7C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4" w:type="dxa"/>
            <w:vAlign w:val="center"/>
          </w:tcPr>
          <w:p w14:paraId="39E96685">
            <w:pPr>
              <w:spacing w:before="2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TFCE-FWE (primary)</w:t>
            </w:r>
          </w:p>
        </w:tc>
        <w:tc>
          <w:tcPr>
            <w:tcW w:w="2088" w:type="dxa"/>
            <w:vAlign w:val="center"/>
          </w:tcPr>
          <w:p w14:paraId="3DD010CE">
            <w:pPr>
              <w:spacing w:before="2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8,967 / 0</w:t>
            </w:r>
          </w:p>
        </w:tc>
        <w:tc>
          <w:tcPr>
            <w:tcW w:w="3398" w:type="dxa"/>
            <w:vAlign w:val="center"/>
          </w:tcPr>
          <w:p w14:paraId="452C0010">
            <w:pPr>
              <w:spacing w:before="2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6,382 (71.2%)</w:t>
            </w:r>
          </w:p>
        </w:tc>
        <w:tc>
          <w:tcPr>
            <w:tcW w:w="1656" w:type="dxa"/>
            <w:vAlign w:val="center"/>
          </w:tcPr>
          <w:p w14:paraId="0A880BCC">
            <w:pPr>
              <w:spacing w:before="2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2.60</w:t>
            </w:r>
          </w:p>
        </w:tc>
      </w:tr>
      <w:tr w14:paraId="61F10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4" w:type="dxa"/>
            <w:vAlign w:val="center"/>
          </w:tcPr>
          <w:p w14:paraId="6A4A09FF">
            <w:pPr>
              <w:spacing w:before="2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Voxel maximum-statistic FWE</w:t>
            </w:r>
          </w:p>
        </w:tc>
        <w:tc>
          <w:tcPr>
            <w:tcW w:w="2088" w:type="dxa"/>
            <w:vAlign w:val="center"/>
          </w:tcPr>
          <w:p w14:paraId="248D95AC">
            <w:pPr>
              <w:spacing w:before="2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50 / 0</w:t>
            </w:r>
          </w:p>
        </w:tc>
        <w:tc>
          <w:tcPr>
            <w:tcW w:w="3398" w:type="dxa"/>
            <w:vAlign w:val="center"/>
          </w:tcPr>
          <w:p w14:paraId="7BAB8726">
            <w:pPr>
              <w:spacing w:before="2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50 (100%)</w:t>
            </w:r>
          </w:p>
        </w:tc>
        <w:tc>
          <w:tcPr>
            <w:tcW w:w="1656" w:type="dxa"/>
            <w:vAlign w:val="center"/>
          </w:tcPr>
          <w:p w14:paraId="32F5CBE5">
            <w:pPr>
              <w:spacing w:before="2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1.50</w:t>
            </w:r>
          </w:p>
        </w:tc>
      </w:tr>
      <w:tr w14:paraId="1DFD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4" w:type="dxa"/>
            <w:vAlign w:val="center"/>
          </w:tcPr>
          <w:p w14:paraId="5A514C99">
            <w:pPr>
              <w:spacing w:before="2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Cluster-extent FWE</w:t>
            </w:r>
          </w:p>
        </w:tc>
        <w:tc>
          <w:tcPr>
            <w:tcW w:w="2088" w:type="dxa"/>
            <w:vAlign w:val="center"/>
          </w:tcPr>
          <w:p w14:paraId="1AB09D15">
            <w:pPr>
              <w:spacing w:before="2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3,562 / 0</w:t>
            </w:r>
          </w:p>
        </w:tc>
        <w:tc>
          <w:tcPr>
            <w:tcW w:w="3398" w:type="dxa"/>
            <w:vAlign w:val="center"/>
          </w:tcPr>
          <w:p w14:paraId="6007C18A">
            <w:pPr>
              <w:spacing w:before="2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3,562 (100%)</w:t>
            </w:r>
          </w:p>
        </w:tc>
        <w:tc>
          <w:tcPr>
            <w:tcW w:w="1656" w:type="dxa"/>
            <w:vAlign w:val="center"/>
          </w:tcPr>
          <w:p w14:paraId="5BCD3B54">
            <w:pPr>
              <w:spacing w:before="20" w:after="20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7"/>
              </w:rPr>
              <w:t>35.78</w:t>
            </w:r>
          </w:p>
        </w:tc>
      </w:tr>
    </w:tbl>
    <w:p w14:paraId="60BB57B6">
      <w:pPr>
        <w:spacing w:before="0" w:after="100"/>
        <w:ind w:left="0" w:right="0"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Note: STEP16B made no new permutations or subject-level analyses. PALM significance was based on two-sided whole-brain FWER P&lt;0.05. Effect direction was determined from the ORIGINAL signed SPM Hyposmia-minus-RBD contrast on the identical spatial grid: positive means Hyposmia-only &gt; RBD-only. The overlap column counts PALM FWER-significant voxels also exceeding the positive SPM T voxel threshold of P&lt;0.001 uncorrected; these are NOT overlaps between two FWER-corrected masks and should not be presented as independent replication. Distances refer to the PALM minimum-P coordinate and the original SPM H&gt;RBD maximum [0, −91.5, 22.5] mm. FWE-significant voxel totals are not cluster extents.</w:t>
      </w:r>
    </w:p>
    <w:p w14:paraId="6EB92AB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7BD76CE9">
      <w:pPr>
        <w:pStyle w:val="8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Supplementary Figure S1</w:t>
      </w:r>
    </w:p>
    <w:p w14:paraId="6F887D11">
      <w:pPr>
        <w:keepNext/>
        <w:keepLines/>
        <w:spacing w:after="16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309360" cy="3320415"/>
            <wp:effectExtent l="0" t="0" r="571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32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7AC47">
      <w:pPr>
        <w:keepNext w:val="0"/>
        <w:keepLines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Supplementary Figure S1. Scanner-family and gray-matter mask sensitivity of the posterior phenotype contrast. Directional Hyposmia-only &gt; RBD-only T-statistic maps are shown for (A) the primary phenotype cohort (N = 614; absolute GM mask 0.05), (B) the scanner common-support cohort (N = 427), (C) the Siemens PRISMA/SKYRA-restricted cohort (N = 360), and (D) the primary cohort with an absolute GM mask of 0.10 (N = 614). All panels reproduce the original maps; these sensitivity analyses are not independent cohorts. Displayed suprathreshold regions should be interpreted together with their exact cluster-level FWE results in Supplementary Table S2.</w:t>
      </w:r>
    </w:p>
    <w:p w14:paraId="4563E1A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7D96D33E">
      <w:pPr>
        <w:pStyle w:val="8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Supplementary Figure S2</w:t>
      </w:r>
    </w:p>
    <w:p w14:paraId="4625A455">
      <w:pPr>
        <w:keepNext/>
        <w:keepLines/>
        <w:spacing w:after="16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843530" cy="4206240"/>
            <wp:effectExtent l="0" t="0" r="4445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44003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84A4A">
      <w:pPr>
        <w:keepNext w:val="0"/>
        <w:keepLines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Supplementary Figure S2. Disease-context voxel-based morphometry analyses involving manifest Parkinson disease (PD). Hyposmia-only versus PD showed posterior cortical differences in the full all-3T post-2020 sample (N = 930) and scanner-restricted subsets. RBD-only versus PD results were less stable across scanner restrictions: a corrected left striatal-region finding was observed in the scanner common-support subset (N = 683), but not in the full N = 930 comparison. Refer to Supplementary Tables S1 and S2 for cohort composition, cluster statistics, and multiplicity adjustment. These disease-context analyses are secondary and do not establish a progression trajectory.</w:t>
      </w: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52" w:right="1181" w:bottom="1080" w:left="1181" w:header="720" w:footer="612" w:gutter="0"/>
      <w:pgNumType w:fmt="decimal" w:start="1"/>
      <w:cols w:space="720" w:num="1"/>
      <w:formProt w:val="0"/>
      <w:titlePg/>
      <w:bidi/>
      <w:docGrid w:type="lines" w:linePitch="326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ohit Devanagar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Noto Sans CJK SC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rdia New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2E02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8AE0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CB3F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41B7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7A60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34B2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1"/>
      <w:numFmt w:val="decimal"/>
      <w:pStyle w:val="77"/>
      <w:lvlText w:val="%1."/>
      <w:lvlJc w:val="left"/>
      <w:pPr>
        <w:tabs>
          <w:tab w:val="left" w:pos="0"/>
        </w:tabs>
        <w:ind w:left="425" w:hanging="425"/>
      </w:pPr>
      <w:rPr>
        <w:vertAlign w:val="superscript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404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4768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5488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620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6928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7648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836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9088" w:hanging="360"/>
      </w:pPr>
      <w:rPr>
        <w:rFonts w:hint="default" w:ascii="Wingdings" w:hAnsi="Wingdings" w:cs="Wingdings"/>
      </w:rPr>
    </w:lvl>
  </w:abstractNum>
  <w:abstractNum w:abstractNumId="1">
    <w:nsid w:val="CF092B84"/>
    <w:multiLevelType w:val="multilevel"/>
    <w:tmpl w:val="CF092B84"/>
    <w:lvl w:ilvl="0" w:tentative="0">
      <w:start w:val="1"/>
      <w:numFmt w:val="bullet"/>
      <w:pStyle w:val="53"/>
      <w:lvlText w:val=""/>
      <w:lvlJc w:val="left"/>
      <w:pPr>
        <w:tabs>
          <w:tab w:val="left" w:pos="0"/>
        </w:tabs>
        <w:ind w:left="3033" w:hanging="425"/>
      </w:pPr>
      <w:rPr>
        <w:rFonts w:hint="default" w:ascii="Symbol" w:hAnsi="Symbol" w:cs="Symbol"/>
        <w:b w:val="0"/>
        <w:i w:val="0"/>
        <w:position w:val="0"/>
        <w:sz w:val="20"/>
        <w:vertAlign w:val="baseline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404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4768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5488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620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6928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7648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836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9088" w:hanging="360"/>
      </w:pPr>
      <w:rPr>
        <w:rFonts w:hint="default" w:ascii="Wingdings" w:hAnsi="Wingdings" w:cs="Wingdings"/>
      </w:rPr>
    </w:lvl>
  </w:abstractNum>
  <w:abstractNum w:abstractNumId="2">
    <w:nsid w:val="0053208E"/>
    <w:multiLevelType w:val="multilevel"/>
    <w:tmpl w:val="0053208E"/>
    <w:lvl w:ilvl="0" w:tentative="0">
      <w:start w:val="1"/>
      <w:numFmt w:val="decimal"/>
      <w:pStyle w:val="52"/>
      <w:lvlText w:val="%1."/>
      <w:lvlJc w:val="left"/>
      <w:pPr>
        <w:tabs>
          <w:tab w:val="left" w:pos="0"/>
        </w:tabs>
        <w:ind w:left="3033" w:hanging="425"/>
      </w:pPr>
      <w:rPr>
        <w:b w:val="0"/>
        <w:i w:val="0"/>
        <w:position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">
    <w:nsid w:val="59ADCABA"/>
    <w:multiLevelType w:val="multilevel"/>
    <w:tmpl w:val="59ADCABA"/>
    <w:lvl w:ilvl="0" w:tentative="0">
      <w:start w:val="1"/>
      <w:numFmt w:val="decimal"/>
      <w:pStyle w:val="64"/>
      <w:lvlText w:val="%1."/>
      <w:lvlJc w:val="left"/>
      <w:pPr>
        <w:tabs>
          <w:tab w:val="left" w:pos="0"/>
        </w:tabs>
        <w:ind w:left="425" w:hanging="425"/>
      </w:pPr>
      <w:rPr>
        <w:b w:val="0"/>
        <w:i w:val="0"/>
        <w:position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510"/>
  <w:autoHyphenation/>
  <w:hyphenationZone w:val="360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81A1374"/>
    <w:rsid w:val="5A7336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qFormat="1" w:unhideWhenUsed="0" w:uiPriority="99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0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80" w:line="280" w:lineRule="atLeast"/>
      <w:jc w:val="both"/>
    </w:pPr>
    <w:rPr>
      <w:rFonts w:ascii="Times New Roman" w:hAnsi="Times New Roman" w:eastAsia="宋体" w:cs="Times New Roman"/>
      <w:color w:val="000000"/>
      <w:kern w:val="0"/>
      <w:sz w:val="20"/>
      <w:szCs w:val="20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3">
    <w:name w:val="annotation text"/>
    <w:basedOn w:val="1"/>
    <w:link w:val="30"/>
    <w:qFormat/>
    <w:uiPriority w:val="0"/>
  </w:style>
  <w:style w:type="paragraph" w:styleId="4">
    <w:name w:val="Body Text"/>
    <w:link w:val="29"/>
    <w:qFormat/>
    <w:uiPriority w:val="0"/>
    <w:pPr>
      <w:widowControl/>
      <w:suppressAutoHyphens/>
      <w:bidi w:val="0"/>
      <w:spacing w:before="0" w:after="120" w:line="340" w:lineRule="atLeast"/>
      <w:jc w:val="both"/>
    </w:pPr>
    <w:rPr>
      <w:rFonts w:ascii="Palatino Linotype" w:hAnsi="Palatino Linotype" w:eastAsia="宋体" w:cs="Times New Roman"/>
      <w:color w:val="000000"/>
      <w:kern w:val="0"/>
      <w:sz w:val="24"/>
      <w:szCs w:val="20"/>
      <w:lang w:val="en-US" w:eastAsia="de-DE" w:bidi="ar-SA"/>
    </w:rPr>
  </w:style>
  <w:style w:type="paragraph" w:styleId="5">
    <w:name w:val="endnote text"/>
    <w:basedOn w:val="1"/>
    <w:link w:val="33"/>
    <w:semiHidden/>
    <w:unhideWhenUsed/>
    <w:qFormat/>
    <w:uiPriority w:val="0"/>
    <w:pPr>
      <w:spacing w:line="240" w:lineRule="auto"/>
    </w:pPr>
  </w:style>
  <w:style w:type="paragraph" w:styleId="6">
    <w:name w:val="Balloon Text"/>
    <w:basedOn w:val="1"/>
    <w:link w:val="25"/>
    <w:qFormat/>
    <w:uiPriority w:val="99"/>
    <w:rPr>
      <w:rFonts w:cs="Tahoma"/>
      <w:szCs w:val="18"/>
    </w:rPr>
  </w:style>
  <w:style w:type="paragraph" w:styleId="7">
    <w:name w:val="footer"/>
    <w:basedOn w:val="1"/>
    <w:link w:val="27"/>
    <w:qFormat/>
    <w:uiPriority w:val="99"/>
    <w:pPr>
      <w:suppressLineNumbers/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paragraph" w:styleId="8">
    <w:name w:val="header"/>
    <w:basedOn w:val="1"/>
    <w:link w:val="24"/>
    <w:qFormat/>
    <w:uiPriority w:val="99"/>
    <w:pPr>
      <w:suppressLineNumbers/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paragraph" w:styleId="9">
    <w:name w:val="List"/>
    <w:basedOn w:val="4"/>
    <w:qFormat/>
    <w:uiPriority w:val="0"/>
    <w:rPr>
      <w:rFonts w:cs="Lohit Devanagari"/>
    </w:rPr>
  </w:style>
  <w:style w:type="paragraph" w:styleId="10">
    <w:name w:val="footnote text"/>
    <w:basedOn w:val="1"/>
    <w:link w:val="34"/>
    <w:semiHidden/>
    <w:unhideWhenUsed/>
    <w:qFormat/>
    <w:uiPriority w:val="0"/>
    <w:pPr>
      <w:spacing w:line="240" w:lineRule="auto"/>
    </w:pPr>
  </w:style>
  <w:style w:type="paragraph" w:styleId="11">
    <w:name w:val="Normal (Web)"/>
    <w:basedOn w:val="1"/>
    <w:qFormat/>
    <w:uiPriority w:val="99"/>
    <w:rPr>
      <w:szCs w:val="24"/>
    </w:rPr>
  </w:style>
  <w:style w:type="paragraph" w:styleId="12">
    <w:name w:val="annotation subject"/>
    <w:basedOn w:val="3"/>
    <w:next w:val="3"/>
    <w:link w:val="31"/>
    <w:qFormat/>
    <w:uiPriority w:val="0"/>
    <w:rPr>
      <w:b/>
      <w:bCs/>
    </w:rPr>
  </w:style>
  <w:style w:type="table" w:styleId="14">
    <w:name w:val="Table Grid"/>
    <w:basedOn w:val="13"/>
    <w:qFormat/>
    <w:uiPriority w:val="59"/>
    <w:pPr>
      <w:spacing w:line="260" w:lineRule="atLeast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endnote reference"/>
    <w:qFormat/>
    <w:uiPriority w:val="0"/>
    <w:rPr>
      <w:vertAlign w:val="superscript"/>
    </w:rPr>
  </w:style>
  <w:style w:type="character" w:styleId="18">
    <w:name w:val="page number"/>
    <w:qFormat/>
    <w:uiPriority w:val="0"/>
  </w:style>
  <w:style w:type="character" w:styleId="19">
    <w:name w:val="FollowedHyperlink"/>
    <w:qFormat/>
    <w:uiPriority w:val="0"/>
    <w:rPr>
      <w:color w:val="954F72"/>
      <w:u w:val="single"/>
    </w:rPr>
  </w:style>
  <w:style w:type="character" w:styleId="20">
    <w:name w:val="Emphasis"/>
    <w:qFormat/>
    <w:uiPriority w:val="20"/>
    <w:rPr>
      <w:i/>
      <w:iCs/>
    </w:rPr>
  </w:style>
  <w:style w:type="character" w:styleId="21">
    <w:name w:val="line number"/>
    <w:qFormat/>
    <w:uiPriority w:val="99"/>
    <w:rPr>
      <w:rFonts w:ascii="Palatino Linotype" w:hAnsi="Palatino Linotype"/>
      <w:sz w:val="16"/>
    </w:rPr>
  </w:style>
  <w:style w:type="character" w:styleId="22">
    <w:name w:val="Hyperlink"/>
    <w:qFormat/>
    <w:uiPriority w:val="99"/>
    <w:rPr>
      <w:color w:val="0000FF"/>
      <w:u w:val="single"/>
    </w:rPr>
  </w:style>
  <w:style w:type="character" w:styleId="23">
    <w:name w:val="annotation reference"/>
    <w:qFormat/>
    <w:uiPriority w:val="0"/>
    <w:rPr>
      <w:sz w:val="21"/>
      <w:szCs w:val="21"/>
    </w:rPr>
  </w:style>
  <w:style w:type="character" w:customStyle="1" w:styleId="24">
    <w:name w:val="Header Char"/>
    <w:link w:val="8"/>
    <w:qFormat/>
    <w:uiPriority w:val="99"/>
    <w:rPr>
      <w:rFonts w:ascii="Palatino Linotype" w:hAnsi="Palatino Linotype"/>
      <w:color w:val="000000"/>
      <w:szCs w:val="18"/>
    </w:rPr>
  </w:style>
  <w:style w:type="character" w:customStyle="1" w:styleId="25">
    <w:name w:val="Balloon Text Char"/>
    <w:link w:val="6"/>
    <w:qFormat/>
    <w:uiPriority w:val="99"/>
    <w:rPr>
      <w:rFonts w:ascii="Palatino Linotype" w:hAnsi="Palatino Linotype" w:cs="Tahoma"/>
      <w:color w:val="000000"/>
      <w:szCs w:val="18"/>
    </w:rPr>
  </w:style>
  <w:style w:type="character" w:customStyle="1" w:styleId="26">
    <w:name w:val="Unresolved Mention"/>
    <w:semiHidden/>
    <w:unhideWhenUsed/>
    <w:qFormat/>
    <w:uiPriority w:val="99"/>
    <w:rPr>
      <w:color w:val="605E5C"/>
      <w:shd w:val="clear" w:fill="E1DFDD"/>
    </w:rPr>
  </w:style>
  <w:style w:type="character" w:customStyle="1" w:styleId="27">
    <w:name w:val="Footer Char"/>
    <w:link w:val="7"/>
    <w:qFormat/>
    <w:uiPriority w:val="99"/>
    <w:rPr>
      <w:rFonts w:ascii="Palatino Linotype" w:hAnsi="Palatino Linotype"/>
      <w:color w:val="000000"/>
      <w:szCs w:val="18"/>
    </w:rPr>
  </w:style>
  <w:style w:type="character" w:customStyle="1" w:styleId="28">
    <w:name w:val="apple-converted-space"/>
    <w:qFormat/>
    <w:uiPriority w:val="0"/>
  </w:style>
  <w:style w:type="character" w:customStyle="1" w:styleId="29">
    <w:name w:val="Body Text Char"/>
    <w:link w:val="4"/>
    <w:qFormat/>
    <w:uiPriority w:val="0"/>
    <w:rPr>
      <w:rFonts w:ascii="Palatino Linotype" w:hAnsi="Palatino Linotype"/>
      <w:color w:val="000000"/>
      <w:sz w:val="24"/>
      <w:lang w:eastAsia="de-DE"/>
    </w:rPr>
  </w:style>
  <w:style w:type="character" w:customStyle="1" w:styleId="30">
    <w:name w:val="Comment Text Char"/>
    <w:link w:val="3"/>
    <w:qFormat/>
    <w:uiPriority w:val="0"/>
    <w:rPr>
      <w:rFonts w:ascii="Palatino Linotype" w:hAnsi="Palatino Linotype"/>
      <w:color w:val="000000"/>
    </w:rPr>
  </w:style>
  <w:style w:type="character" w:customStyle="1" w:styleId="31">
    <w:name w:val="Comment Subject Char"/>
    <w:link w:val="12"/>
    <w:qFormat/>
    <w:uiPriority w:val="0"/>
    <w:rPr>
      <w:rFonts w:ascii="Palatino Linotype" w:hAnsi="Palatino Linotype"/>
      <w:b/>
      <w:bCs/>
      <w:color w:val="000000"/>
    </w:rPr>
  </w:style>
  <w:style w:type="character" w:customStyle="1" w:styleId="32">
    <w:name w:val="Endnote Characters"/>
    <w:qFormat/>
    <w:uiPriority w:val="0"/>
    <w:rPr>
      <w:vertAlign w:val="superscript"/>
    </w:rPr>
  </w:style>
  <w:style w:type="character" w:customStyle="1" w:styleId="33">
    <w:name w:val="Endnote Text Char"/>
    <w:link w:val="5"/>
    <w:semiHidden/>
    <w:qFormat/>
    <w:uiPriority w:val="0"/>
    <w:rPr>
      <w:rFonts w:ascii="Palatino Linotype" w:hAnsi="Palatino Linotype"/>
      <w:color w:val="000000"/>
    </w:rPr>
  </w:style>
  <w:style w:type="character" w:customStyle="1" w:styleId="34">
    <w:name w:val="Footnote Text Char"/>
    <w:link w:val="10"/>
    <w:semiHidden/>
    <w:qFormat/>
    <w:uiPriority w:val="0"/>
    <w:rPr>
      <w:rFonts w:ascii="Palatino Linotype" w:hAnsi="Palatino Linotype"/>
      <w:color w:val="000000"/>
    </w:rPr>
  </w:style>
  <w:style w:type="character" w:styleId="35">
    <w:name w:val="Placeholder Text"/>
    <w:semiHidden/>
    <w:qFormat/>
    <w:uiPriority w:val="99"/>
    <w:rPr>
      <w:color w:val="808080"/>
    </w:rPr>
  </w:style>
  <w:style w:type="paragraph" w:customStyle="1" w:styleId="36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37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38">
    <w:name w:val="MDPI_1.1_article_type"/>
    <w:next w:val="1"/>
    <w:qFormat/>
    <w:uiPriority w:val="0"/>
    <w:pPr>
      <w:widowControl/>
      <w:suppressAutoHyphens/>
      <w:bidi w:val="0"/>
      <w:snapToGrid w:val="0"/>
      <w:spacing w:before="240" w:after="0"/>
      <w:jc w:val="left"/>
    </w:pPr>
    <w:rPr>
      <w:rFonts w:ascii="Palatino Linotype" w:hAnsi="Palatino Linotype" w:eastAsia="Times New Roman" w:cs="Times New Roman"/>
      <w:i/>
      <w:color w:val="000000"/>
      <w:kern w:val="0"/>
      <w:sz w:val="20"/>
      <w:szCs w:val="22"/>
      <w:lang w:val="en-US" w:eastAsia="de-DE" w:bidi="en-US"/>
    </w:rPr>
  </w:style>
  <w:style w:type="paragraph" w:customStyle="1" w:styleId="39">
    <w:name w:val="MDPI_1.2_title"/>
    <w:next w:val="1"/>
    <w:qFormat/>
    <w:uiPriority w:val="0"/>
    <w:pPr>
      <w:widowControl/>
      <w:suppressAutoHyphens/>
      <w:bidi w:val="0"/>
      <w:snapToGrid w:val="0"/>
      <w:spacing w:before="0" w:after="240" w:line="240" w:lineRule="atLeast"/>
      <w:jc w:val="left"/>
    </w:pPr>
    <w:rPr>
      <w:rFonts w:ascii="Palatino Linotype" w:hAnsi="Palatino Linotype" w:eastAsia="Times New Roman" w:cs="Times New Roman"/>
      <w:b/>
      <w:color w:val="000000"/>
      <w:kern w:val="0"/>
      <w:sz w:val="36"/>
      <w:szCs w:val="20"/>
      <w:lang w:val="en-US" w:eastAsia="de-DE" w:bidi="en-US"/>
    </w:rPr>
  </w:style>
  <w:style w:type="paragraph" w:customStyle="1" w:styleId="40">
    <w:name w:val="MDPI_1.3_authornames"/>
    <w:next w:val="1"/>
    <w:qFormat/>
    <w:uiPriority w:val="0"/>
    <w:pPr>
      <w:widowControl/>
      <w:suppressAutoHyphens/>
      <w:bidi w:val="0"/>
      <w:snapToGrid w:val="0"/>
      <w:spacing w:before="0" w:after="360" w:line="260" w:lineRule="atLeast"/>
      <w:jc w:val="left"/>
    </w:pPr>
    <w:rPr>
      <w:rFonts w:ascii="Palatino Linotype" w:hAnsi="Palatino Linotype" w:eastAsia="Times New Roman" w:cs="Times New Roman"/>
      <w:b/>
      <w:color w:val="000000"/>
      <w:kern w:val="0"/>
      <w:sz w:val="20"/>
      <w:szCs w:val="22"/>
      <w:lang w:val="en-US" w:eastAsia="de-DE" w:bidi="en-US"/>
    </w:rPr>
  </w:style>
  <w:style w:type="paragraph" w:customStyle="1" w:styleId="41">
    <w:name w:val="MDPI_1.4_history"/>
    <w:basedOn w:val="1"/>
    <w:next w:val="1"/>
    <w:qFormat/>
    <w:uiPriority w:val="0"/>
    <w:pPr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42">
    <w:name w:val="MDPI_1.6_affiliation"/>
    <w:qFormat/>
    <w:uiPriority w:val="0"/>
    <w:pPr>
      <w:widowControl/>
      <w:suppressAutoHyphens/>
      <w:bidi w:val="0"/>
      <w:snapToGrid w:val="0"/>
      <w:spacing w:before="0" w:after="0" w:line="200" w:lineRule="atLeast"/>
      <w:ind w:left="2806" w:hanging="198"/>
      <w:jc w:val="left"/>
    </w:pPr>
    <w:rPr>
      <w:rFonts w:ascii="Palatino Linotype" w:hAnsi="Palatino Linotype" w:eastAsia="Times New Roman" w:cs="Times New Roman"/>
      <w:color w:val="000000"/>
      <w:kern w:val="0"/>
      <w:sz w:val="16"/>
      <w:szCs w:val="18"/>
      <w:lang w:val="en-US" w:eastAsia="de-DE" w:bidi="en-US"/>
    </w:rPr>
  </w:style>
  <w:style w:type="paragraph" w:customStyle="1" w:styleId="43">
    <w:name w:val="MDPI_1.7_abstract"/>
    <w:next w:val="1"/>
    <w:qFormat/>
    <w:uiPriority w:val="0"/>
    <w:pPr>
      <w:widowControl/>
      <w:suppressAutoHyphens/>
      <w:bidi w:val="0"/>
      <w:snapToGrid w:val="0"/>
      <w:spacing w:before="240" w:after="12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44">
    <w:name w:val="MDPI_1.8_keywords"/>
    <w:next w:val="1"/>
    <w:qFormat/>
    <w:uiPriority w:val="0"/>
    <w:pPr>
      <w:widowControl/>
      <w:suppressAutoHyphens/>
      <w:bidi w:val="0"/>
      <w:snapToGrid w:val="0"/>
      <w:spacing w:before="240" w:after="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45">
    <w:name w:val="MDPI_1.9_line"/>
    <w:qFormat/>
    <w:uiPriority w:val="0"/>
    <w:pPr>
      <w:widowControl/>
      <w:pBdr>
        <w:bottom w:val="single" w:color="000000" w:sz="6" w:space="1"/>
      </w:pBdr>
      <w:suppressAutoHyphens/>
      <w:bidi w:val="0"/>
      <w:snapToGrid w:val="0"/>
      <w:spacing w:before="0" w:after="480"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kern w:val="0"/>
      <w:sz w:val="20"/>
      <w:szCs w:val="24"/>
      <w:lang w:val="en-US" w:eastAsia="de-DE" w:bidi="en-US"/>
    </w:rPr>
  </w:style>
  <w:style w:type="paragraph" w:customStyle="1" w:styleId="46">
    <w:name w:val="Header and Footer"/>
    <w:basedOn w:val="1"/>
    <w:qFormat/>
    <w:uiPriority w:val="0"/>
  </w:style>
  <w:style w:type="paragraph" w:customStyle="1" w:styleId="47">
    <w:name w:val="MDPI_3.2_text_no_indent"/>
    <w:basedOn w:val="48"/>
    <w:qFormat/>
    <w:uiPriority w:val="0"/>
    <w:pPr>
      <w:ind w:firstLine="0"/>
    </w:pPr>
  </w:style>
  <w:style w:type="paragraph" w:customStyle="1" w:styleId="48">
    <w:name w:val="MDPI_3.1_text"/>
    <w:qFormat/>
    <w:uiPriority w:val="0"/>
    <w:pPr>
      <w:widowControl/>
      <w:suppressAutoHyphens/>
      <w:bidi w:val="0"/>
      <w:snapToGrid w:val="0"/>
      <w:spacing w:before="0" w:after="0" w:line="280" w:lineRule="atLeast"/>
      <w:ind w:left="2608" w:firstLine="425"/>
      <w:jc w:val="both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49">
    <w:name w:val="MDPI_3.3_text_space_after"/>
    <w:qFormat/>
    <w:uiPriority w:val="0"/>
    <w:pPr>
      <w:widowControl/>
      <w:suppressAutoHyphens/>
      <w:bidi w:val="0"/>
      <w:snapToGrid w:val="0"/>
      <w:spacing w:before="0" w:after="24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50">
    <w:name w:val="MDPI_3.5_text_before_list"/>
    <w:qFormat/>
    <w:uiPriority w:val="0"/>
    <w:pPr>
      <w:widowControl/>
      <w:suppressAutoHyphens/>
      <w:bidi w:val="0"/>
      <w:snapToGrid w:val="0"/>
      <w:spacing w:before="0" w:after="0" w:line="280" w:lineRule="atLeast"/>
      <w:ind w:left="2608" w:firstLine="425"/>
      <w:jc w:val="both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51">
    <w:name w:val="MDPI_3.6_text_after_list"/>
    <w:qFormat/>
    <w:uiPriority w:val="0"/>
    <w:pPr>
      <w:widowControl/>
      <w:suppressAutoHyphens/>
      <w:bidi w:val="0"/>
      <w:snapToGrid w:val="0"/>
      <w:spacing w:before="120" w:after="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52">
    <w:name w:val="MDPI_3.7_itemize"/>
    <w:qFormat/>
    <w:uiPriority w:val="0"/>
    <w:pPr>
      <w:widowControl/>
      <w:numPr>
        <w:ilvl w:val="0"/>
        <w:numId w:val="1"/>
      </w:numPr>
      <w:suppressAutoHyphens/>
      <w:bidi w:val="0"/>
      <w:snapToGrid w:val="0"/>
      <w:spacing w:before="0" w:after="0" w:line="280" w:lineRule="atLeast"/>
      <w:jc w:val="both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53">
    <w:name w:val="MDPI_3.8_bullet"/>
    <w:qFormat/>
    <w:uiPriority w:val="0"/>
    <w:pPr>
      <w:widowControl/>
      <w:numPr>
        <w:ilvl w:val="0"/>
        <w:numId w:val="2"/>
      </w:numPr>
      <w:suppressAutoHyphens/>
      <w:bidi w:val="0"/>
      <w:snapToGrid w:val="0"/>
      <w:spacing w:before="0" w:after="0" w:line="280" w:lineRule="atLeast"/>
      <w:jc w:val="both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54">
    <w:name w:val="MDPI_3.9_equation"/>
    <w:qFormat/>
    <w:uiPriority w:val="0"/>
    <w:pPr>
      <w:widowControl/>
      <w:suppressAutoHyphens/>
      <w:bidi w:val="0"/>
      <w:snapToGrid w:val="0"/>
      <w:spacing w:before="120" w:after="120" w:line="280" w:lineRule="atLeast"/>
      <w:ind w:left="709"/>
      <w:jc w:val="center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55">
    <w:name w:val="MDPI_3.a_equation_number"/>
    <w:qFormat/>
    <w:uiPriority w:val="0"/>
    <w:pPr>
      <w:widowControl/>
      <w:suppressAutoHyphens/>
      <w:bidi w:val="0"/>
      <w:spacing w:before="120" w:after="120" w:line="280" w:lineRule="atLeast"/>
      <w:jc w:val="right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56">
    <w:name w:val="MDPI_4.1_table_caption"/>
    <w:qFormat/>
    <w:uiPriority w:val="0"/>
    <w:pPr>
      <w:widowControl/>
      <w:suppressAutoHyphens/>
      <w:bidi w:val="0"/>
      <w:snapToGrid w:val="0"/>
      <w:spacing w:before="240" w:after="120"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kern w:val="0"/>
      <w:sz w:val="18"/>
      <w:szCs w:val="22"/>
      <w:lang w:val="en-US" w:eastAsia="de-DE" w:bidi="en-US"/>
    </w:rPr>
  </w:style>
  <w:style w:type="paragraph" w:customStyle="1" w:styleId="57">
    <w:name w:val="MDPI_4.2_table_body"/>
    <w:qFormat/>
    <w:uiPriority w:val="0"/>
    <w:pPr>
      <w:widowControl/>
      <w:suppressAutoHyphens/>
      <w:bidi w:val="0"/>
      <w:snapToGrid w:val="0"/>
      <w:spacing w:before="0" w:after="0" w:line="260" w:lineRule="atLeast"/>
      <w:jc w:val="center"/>
    </w:pPr>
    <w:rPr>
      <w:rFonts w:ascii="Palatino Linotype" w:hAnsi="Palatino Linotype" w:eastAsia="Times New Roman" w:cs="Times New Roman"/>
      <w:color w:val="000000"/>
      <w:kern w:val="0"/>
      <w:sz w:val="20"/>
      <w:szCs w:val="20"/>
      <w:lang w:val="en-US" w:eastAsia="de-DE" w:bidi="en-US"/>
    </w:rPr>
  </w:style>
  <w:style w:type="paragraph" w:customStyle="1" w:styleId="58">
    <w:name w:val="MDPI_4.3_table_footer"/>
    <w:next w:val="48"/>
    <w:qFormat/>
    <w:uiPriority w:val="0"/>
    <w:pPr>
      <w:widowControl/>
      <w:suppressAutoHyphens/>
      <w:bidi w:val="0"/>
      <w:snapToGrid w:val="0"/>
      <w:spacing w:before="0" w:after="0"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kern w:val="0"/>
      <w:sz w:val="18"/>
      <w:szCs w:val="22"/>
      <w:lang w:val="en-US" w:eastAsia="de-DE" w:bidi="en-US"/>
    </w:rPr>
  </w:style>
  <w:style w:type="paragraph" w:customStyle="1" w:styleId="59">
    <w:name w:val="MDPI_5.1_figure_caption"/>
    <w:qFormat/>
    <w:uiPriority w:val="0"/>
    <w:pPr>
      <w:widowControl/>
      <w:suppressAutoHyphens/>
      <w:bidi w:val="0"/>
      <w:snapToGrid w:val="0"/>
      <w:spacing w:before="120" w:after="24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kern w:val="0"/>
      <w:sz w:val="18"/>
      <w:szCs w:val="20"/>
      <w:lang w:val="en-US" w:eastAsia="de-DE" w:bidi="en-US"/>
    </w:rPr>
  </w:style>
  <w:style w:type="paragraph" w:customStyle="1" w:styleId="60">
    <w:name w:val="MDPI_5.2_figure"/>
    <w:qFormat/>
    <w:uiPriority w:val="0"/>
    <w:pPr>
      <w:widowControl/>
      <w:suppressAutoHyphens/>
      <w:bidi w:val="0"/>
      <w:snapToGrid w:val="0"/>
      <w:spacing w:before="240" w:after="120"/>
      <w:jc w:val="center"/>
    </w:pPr>
    <w:rPr>
      <w:rFonts w:ascii="Palatino Linotype" w:hAnsi="Palatino Linotype" w:eastAsia="Times New Roman" w:cs="Times New Roman"/>
      <w:color w:val="000000"/>
      <w:kern w:val="0"/>
      <w:sz w:val="20"/>
      <w:szCs w:val="20"/>
      <w:lang w:val="en-US" w:eastAsia="de-DE" w:bidi="en-US"/>
    </w:rPr>
  </w:style>
  <w:style w:type="paragraph" w:customStyle="1" w:styleId="61">
    <w:name w:val="MDPI_2.3_heading3"/>
    <w:qFormat/>
    <w:uiPriority w:val="0"/>
    <w:pPr>
      <w:widowControl/>
      <w:suppressAutoHyphens/>
      <w:bidi w:val="0"/>
      <w:snapToGrid w:val="0"/>
      <w:spacing w:before="60" w:after="60" w:line="280" w:lineRule="atLeast"/>
      <w:ind w:left="2608"/>
      <w:jc w:val="left"/>
      <w:outlineLvl w:val="2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62">
    <w:name w:val="MDPI_2.1_heading1"/>
    <w:qFormat/>
    <w:uiPriority w:val="0"/>
    <w:pPr>
      <w:widowControl/>
      <w:suppressAutoHyphens/>
      <w:bidi w:val="0"/>
      <w:snapToGrid w:val="0"/>
      <w:spacing w:before="240" w:after="60" w:line="280" w:lineRule="atLeast"/>
      <w:ind w:left="2608"/>
      <w:jc w:val="left"/>
      <w:outlineLvl w:val="0"/>
    </w:pPr>
    <w:rPr>
      <w:rFonts w:ascii="Palatino Linotype" w:hAnsi="Palatino Linotype" w:eastAsia="Times New Roman" w:cs="Times New Roman"/>
      <w:b/>
      <w:color w:val="000000"/>
      <w:kern w:val="0"/>
      <w:sz w:val="24"/>
      <w:szCs w:val="22"/>
      <w:lang w:val="en-US" w:eastAsia="de-DE" w:bidi="en-US"/>
    </w:rPr>
  </w:style>
  <w:style w:type="paragraph" w:customStyle="1" w:styleId="63">
    <w:name w:val="MDPI_2.2_heading2"/>
    <w:qFormat/>
    <w:uiPriority w:val="0"/>
    <w:pPr>
      <w:widowControl/>
      <w:suppressAutoHyphens/>
      <w:bidi w:val="0"/>
      <w:snapToGrid w:val="0"/>
      <w:spacing w:before="60" w:after="60" w:line="280" w:lineRule="atLeast"/>
      <w:ind w:left="2608"/>
      <w:jc w:val="left"/>
      <w:outlineLvl w:val="1"/>
    </w:pPr>
    <w:rPr>
      <w:rFonts w:ascii="Palatino Linotype" w:hAnsi="Palatino Linotype" w:eastAsia="Times New Roman" w:cs="Times New Roman"/>
      <w:i/>
      <w:color w:val="000000"/>
      <w:kern w:val="0"/>
      <w:sz w:val="20"/>
      <w:szCs w:val="22"/>
      <w:lang w:val="en-US" w:eastAsia="de-DE" w:bidi="en-US"/>
    </w:rPr>
  </w:style>
  <w:style w:type="paragraph" w:customStyle="1" w:styleId="64">
    <w:name w:val="MDPI_8.1_references"/>
    <w:qFormat/>
    <w:uiPriority w:val="0"/>
    <w:pPr>
      <w:widowControl/>
      <w:numPr>
        <w:ilvl w:val="0"/>
        <w:numId w:val="3"/>
      </w:numPr>
      <w:suppressAutoHyphens/>
      <w:bidi w:val="0"/>
      <w:snapToGrid w:val="0"/>
      <w:spacing w:before="0" w:after="0" w:line="280" w:lineRule="atLeast"/>
      <w:jc w:val="both"/>
    </w:pPr>
    <w:rPr>
      <w:rFonts w:ascii="Palatino Linotype" w:hAnsi="Palatino Linotype" w:eastAsia="Times New Roman" w:cs="Times New Roman"/>
      <w:color w:val="000000"/>
      <w:kern w:val="0"/>
      <w:sz w:val="18"/>
      <w:szCs w:val="20"/>
      <w:lang w:val="en-US" w:eastAsia="de-DE" w:bidi="en-US"/>
    </w:rPr>
  </w:style>
  <w:style w:type="paragraph" w:customStyle="1" w:styleId="65">
    <w:name w:val="MDPI_3.4_text_space_before"/>
    <w:qFormat/>
    <w:uiPriority w:val="0"/>
    <w:pPr>
      <w:widowControl/>
      <w:suppressAutoHyphens/>
      <w:bidi w:val="0"/>
      <w:snapToGrid w:val="0"/>
      <w:spacing w:before="240" w:after="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66">
    <w:name w:val="MDPI_8.2_theorem"/>
    <w:qFormat/>
    <w:uiPriority w:val="0"/>
    <w:pPr>
      <w:widowControl/>
      <w:suppressAutoHyphens/>
      <w:bidi w:val="0"/>
      <w:snapToGrid w:val="0"/>
      <w:spacing w:before="0" w:after="0" w:line="280" w:lineRule="atLeast"/>
      <w:ind w:left="2608"/>
      <w:jc w:val="both"/>
    </w:pPr>
    <w:rPr>
      <w:rFonts w:ascii="Palatino Linotype" w:hAnsi="Palatino Linotype" w:eastAsia="Times New Roman" w:cs="Times New Roman"/>
      <w:i/>
      <w:color w:val="000000"/>
      <w:kern w:val="0"/>
      <w:sz w:val="20"/>
      <w:szCs w:val="22"/>
      <w:lang w:val="en-US" w:eastAsia="de-DE" w:bidi="en-US"/>
    </w:rPr>
  </w:style>
  <w:style w:type="paragraph" w:customStyle="1" w:styleId="67">
    <w:name w:val="MDPI_8.3_proof"/>
    <w:qFormat/>
    <w:uiPriority w:val="0"/>
    <w:pPr>
      <w:widowControl/>
      <w:suppressAutoHyphens/>
      <w:bidi w:val="0"/>
      <w:snapToGrid w:val="0"/>
      <w:spacing w:before="0" w:after="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68">
    <w:name w:val="MDPI_6.1_citation"/>
    <w:qFormat/>
    <w:uiPriority w:val="0"/>
    <w:pPr>
      <w:widowControl/>
      <w:suppressAutoHyphens/>
      <w:bidi w:val="0"/>
      <w:snapToGrid w:val="0"/>
      <w:spacing w:before="120" w:after="120" w:line="240" w:lineRule="atLeast"/>
      <w:ind w:right="113"/>
      <w:jc w:val="left"/>
    </w:pPr>
    <w:rPr>
      <w:rFonts w:ascii="Palatino Linotype" w:hAnsi="Palatino Linotype" w:eastAsia="宋体" w:cs="Cordia New"/>
      <w:color w:val="auto"/>
      <w:kern w:val="0"/>
      <w:sz w:val="14"/>
      <w:szCs w:val="22"/>
      <w:lang w:val="en-US" w:eastAsia="zh-CN" w:bidi="ar-SA"/>
    </w:rPr>
  </w:style>
  <w:style w:type="paragraph" w:customStyle="1" w:styleId="69">
    <w:name w:val="MDPI_6.2_back_matter"/>
    <w:qFormat/>
    <w:uiPriority w:val="0"/>
    <w:pPr>
      <w:widowControl/>
      <w:suppressAutoHyphens/>
      <w:bidi w:val="0"/>
      <w:snapToGrid w:val="0"/>
      <w:spacing w:before="0" w:after="12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kern w:val="0"/>
      <w:sz w:val="18"/>
      <w:szCs w:val="20"/>
      <w:lang w:val="en-US" w:eastAsia="en-US" w:bidi="en-US"/>
    </w:rPr>
  </w:style>
  <w:style w:type="paragraph" w:customStyle="1" w:styleId="70">
    <w:name w:val="MDPI_6.3_notes"/>
    <w:qFormat/>
    <w:uiPriority w:val="0"/>
    <w:pPr>
      <w:widowControl/>
      <w:suppressAutoHyphens/>
      <w:bidi w:val="0"/>
      <w:snapToGrid w:val="0"/>
      <w:spacing w:before="240" w:after="0" w:line="280" w:lineRule="atLeast"/>
      <w:jc w:val="both"/>
    </w:pPr>
    <w:rPr>
      <w:rFonts w:ascii="Palatino Linotype" w:hAnsi="Palatino Linotype" w:eastAsia="宋体" w:cs="Times New Roman"/>
      <w:color w:val="000000"/>
      <w:kern w:val="0"/>
      <w:sz w:val="18"/>
      <w:szCs w:val="20"/>
      <w:lang w:val="en-US" w:eastAsia="en-US" w:bidi="en-US"/>
    </w:rPr>
  </w:style>
  <w:style w:type="paragraph" w:customStyle="1" w:styleId="71">
    <w:name w:val="MDPI_1.5_academic_editor"/>
    <w:qFormat/>
    <w:uiPriority w:val="0"/>
    <w:pPr>
      <w:widowControl/>
      <w:suppressAutoHyphens/>
      <w:bidi w:val="0"/>
      <w:snapToGrid w:val="0"/>
      <w:spacing w:before="120" w:after="0" w:line="240" w:lineRule="atLeast"/>
      <w:ind w:right="113"/>
      <w:jc w:val="left"/>
    </w:pPr>
    <w:rPr>
      <w:rFonts w:ascii="Palatino Linotype" w:hAnsi="Palatino Linotype" w:eastAsia="Times New Roman" w:cs="Times New Roman"/>
      <w:color w:val="000000"/>
      <w:kern w:val="0"/>
      <w:sz w:val="14"/>
      <w:szCs w:val="22"/>
      <w:lang w:val="en-US" w:eastAsia="de-DE" w:bidi="en-US"/>
    </w:rPr>
  </w:style>
  <w:style w:type="paragraph" w:customStyle="1" w:styleId="72">
    <w:name w:val="MDPI_4.1.1_one_table_caption"/>
    <w:qFormat/>
    <w:uiPriority w:val="0"/>
    <w:pPr>
      <w:widowControl/>
      <w:suppressAutoHyphens/>
      <w:bidi w:val="0"/>
      <w:snapToGrid w:val="0"/>
      <w:spacing w:before="240" w:after="120" w:line="280" w:lineRule="atLeast"/>
      <w:jc w:val="center"/>
    </w:pPr>
    <w:rPr>
      <w:rFonts w:ascii="Palatino Linotype" w:hAnsi="Palatino Linotype" w:eastAsia="宋体" w:cs="Cordia New"/>
      <w:color w:val="000000"/>
      <w:kern w:val="0"/>
      <w:sz w:val="18"/>
      <w:szCs w:val="22"/>
      <w:lang w:val="en-US" w:eastAsia="zh-CN" w:bidi="en-US"/>
    </w:rPr>
  </w:style>
  <w:style w:type="paragraph" w:customStyle="1" w:styleId="73">
    <w:name w:val="MDPI_5.1.1_one_figure_caption"/>
    <w:qFormat/>
    <w:uiPriority w:val="0"/>
    <w:pPr>
      <w:widowControl/>
      <w:suppressAutoHyphens/>
      <w:bidi w:val="0"/>
      <w:snapToGrid w:val="0"/>
      <w:spacing w:before="240" w:after="120" w:line="280" w:lineRule="atLeast"/>
      <w:jc w:val="center"/>
    </w:pPr>
    <w:rPr>
      <w:rFonts w:ascii="Palatino Linotype" w:hAnsi="Palatino Linotype" w:eastAsia="宋体" w:cs="Times New Roman"/>
      <w:color w:val="000000"/>
      <w:kern w:val="0"/>
      <w:sz w:val="18"/>
      <w:szCs w:val="20"/>
      <w:lang w:val="en-US" w:eastAsia="zh-CN" w:bidi="en-US"/>
    </w:rPr>
  </w:style>
  <w:style w:type="paragraph" w:customStyle="1" w:styleId="74">
    <w:name w:val="MDPI_7.2_copyright"/>
    <w:qFormat/>
    <w:uiPriority w:val="0"/>
    <w:pPr>
      <w:widowControl/>
      <w:suppressAutoHyphens/>
      <w:bidi w:val="0"/>
      <w:snapToGrid w:val="0"/>
      <w:spacing w:before="120" w:after="0" w:line="240" w:lineRule="atLeast"/>
      <w:ind w:right="113"/>
      <w:jc w:val="left"/>
    </w:pPr>
    <w:rPr>
      <w:rFonts w:ascii="Palatino Linotype" w:hAnsi="Palatino Linotype" w:eastAsia="Times New Roman" w:cs="Times New Roman"/>
      <w:color w:val="000000"/>
      <w:kern w:val="0"/>
      <w:sz w:val="14"/>
      <w:szCs w:val="20"/>
      <w:lang w:val="en-GB" w:eastAsia="en-GB" w:bidi="ar-SA"/>
    </w:rPr>
  </w:style>
  <w:style w:type="paragraph" w:customStyle="1" w:styleId="75">
    <w:name w:val="Bibliography"/>
    <w:basedOn w:val="1"/>
    <w:next w:val="1"/>
    <w:semiHidden/>
    <w:unhideWhenUsed/>
    <w:qFormat/>
    <w:uiPriority w:val="37"/>
  </w:style>
  <w:style w:type="paragraph" w:customStyle="1" w:styleId="76">
    <w:name w:val="MsoFootnoteText"/>
    <w:basedOn w:val="11"/>
    <w:qFormat/>
    <w:uiPriority w:val="0"/>
    <w:rPr>
      <w:rFonts w:ascii="Times New Roman" w:hAnsi="Times New Roman"/>
    </w:rPr>
  </w:style>
  <w:style w:type="paragraph" w:customStyle="1" w:styleId="77">
    <w:name w:val="MDPI_7.1_footnotes"/>
    <w:qFormat/>
    <w:uiPriority w:val="0"/>
    <w:pPr>
      <w:widowControl/>
      <w:numPr>
        <w:ilvl w:val="0"/>
        <w:numId w:val="4"/>
      </w:numPr>
      <w:suppressAutoHyphens/>
      <w:bidi w:val="0"/>
      <w:snapToGrid w:val="0"/>
      <w:spacing w:before="0" w:after="0" w:line="280" w:lineRule="atLeast"/>
      <w:jc w:val="left"/>
    </w:pPr>
    <w:rPr>
      <w:rFonts w:ascii="Palatino Linotype" w:hAnsi="Palatino Linotype" w:cs="Times New Roman" w:eastAsiaTheme="minorEastAsia"/>
      <w:color w:val="000000"/>
      <w:kern w:val="0"/>
      <w:sz w:val="18"/>
      <w:szCs w:val="20"/>
      <w:lang w:val="en-US" w:eastAsia="zh-CN" w:bidi="ar-SA"/>
    </w:rPr>
  </w:style>
  <w:style w:type="paragraph" w:customStyle="1" w:styleId="78">
    <w:name w:val="Frame Contents"/>
    <w:basedOn w:val="1"/>
    <w:qFormat/>
    <w:uiPriority w:val="0"/>
  </w:style>
  <w:style w:type="table" w:customStyle="1" w:styleId="79">
    <w:name w:val="M_deck_5_table_body_three_lines"/>
    <w:basedOn w:val="13"/>
    <w:qFormat/>
    <w:uiPriority w:val="99"/>
    <w:pPr>
      <w:snapToGrid w:val="0"/>
      <w:spacing w:line="300" w:lineRule="exact"/>
      <w:jc w:val="center"/>
    </w:pPr>
    <w:rPr>
      <w:lang w:val="de-DE" w:eastAsia="de-DE"/>
    </w:rPr>
    <w:tblPr>
      <w:tblBorders>
        <w:bottom w:val="single" w:color="auto" w:sz="8" w:space="0"/>
      </w:tblBorders>
    </w:tblPr>
    <w:tcPr>
      <w:vAlign w:val="center"/>
    </w:tcPr>
    <w:tblStylePr w:type="firstRow">
      <w:pPr>
        <w:wordWrap/>
        <w:snapToGrid w:val="0"/>
        <w:spacing w:beforeLines="0" w:afterLines="0" w:line="300" w:lineRule="exact"/>
        <w:ind w:right="0" w:rightChars="0"/>
        <w:jc w:val="center"/>
      </w:pPr>
      <w:rPr>
        <w:b w:val="0"/>
        <w:i w:val="0"/>
        <w:sz w:val="22"/>
      </w:rPr>
      <w:tcPr>
        <w:tcBorders>
          <w:top w:val="single" w:color="auto" w:sz="8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0">
    <w:name w:val="MDPI_4.1_three_line_table"/>
    <w:basedOn w:val="13"/>
    <w:qFormat/>
    <w:uiPriority w:val="99"/>
    <w:pPr>
      <w:snapToGrid w:val="0"/>
      <w:spacing w:line="280" w:lineRule="atLeast"/>
      <w:jc w:val="center"/>
    </w:pPr>
    <w:tblPr>
      <w:tblBorders>
        <w:top w:val="single" w:color="auto" w:sz="8" w:space="0"/>
        <w:bottom w:val="single" w:color="auto" w:sz="8" w:space="0"/>
      </w:tblBorders>
    </w:tblPr>
    <w:tcPr>
      <w:vAlign w:val="center"/>
    </w:tcPr>
    <w:tblStylePr w:type="firstRow">
      <w:rPr>
        <w:b/>
        <w:i w:val="0"/>
        <w:sz w:val="20"/>
      </w:rPr>
      <w:tcPr>
        <w:tcBorders>
          <w:bottom w:val="single" w:color="auto" w:sz="4" w:space="0"/>
        </w:tcBorders>
      </w:tcPr>
    </w:tblStylePr>
  </w:style>
  <w:style w:type="table" w:customStyle="1" w:styleId="81">
    <w:name w:val="Plain Table 4"/>
    <w:basedOn w:val="13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</w:style>
  <w:style w:type="table" w:customStyle="1" w:styleId="82">
    <w:name w:val="MDPI_table"/>
    <w:basedOn w:val="13"/>
    <w:qFormat/>
    <w:uiPriority w:val="99"/>
    <w:rPr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83">
    <w:name w:val="heading 1"/>
    <w:qFormat/>
    <w:uiPriority w:val="0"/>
    <w:pPr>
      <w:suppressAutoHyphens/>
      <w:spacing w:after="80"/>
    </w:pPr>
    <w:rPr>
      <w:rFonts w:ascii="Times New Roman" w:hAnsi="Times New Roman" w:eastAsia="宋体" w:cs="Times New Roman"/>
      <w:sz w:val="22"/>
      <w:lang w:val="en-US" w:eastAsia="zh-CN" w:bidi="ar-SA"/>
    </w:rPr>
  </w:style>
  <w:style w:type="paragraph" w:customStyle="1" w:styleId="84">
    <w:name w:val="heading 2"/>
    <w:qFormat/>
    <w:uiPriority w:val="0"/>
    <w:pPr>
      <w:suppressAutoHyphens/>
      <w:spacing w:after="80"/>
    </w:pPr>
    <w:rPr>
      <w:rFonts w:ascii="Times New Roman" w:hAnsi="Times New Roman" w:eastAsia="宋体" w:cs="Times New Roman"/>
      <w:sz w:val="22"/>
      <w:lang w:val="en-US" w:eastAsia="zh-CN" w:bidi="ar-SA"/>
    </w:rPr>
  </w:style>
  <w:style w:type="paragraph" w:customStyle="1" w:styleId="85">
    <w:name w:val="heading 3"/>
    <w:qFormat/>
    <w:uiPriority w:val="0"/>
    <w:pPr>
      <w:suppressAutoHyphens/>
    </w:pPr>
    <w:rPr>
      <w:rFonts w:ascii="Calibri" w:hAnsi="Calibri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brainsci-template.dot</Template>
  <Pages>9</Pages>
  <Words>2370</Words>
  <Characters>14065</Characters>
  <Paragraphs>32</Paragraphs>
  <TotalTime>1</TotalTime>
  <ScaleCrop>false</ScaleCrop>
  <LinksUpToDate>false</LinksUpToDate>
  <CharactersWithSpaces>15917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2025-08-12T07:50:00Z</dcterms:created>
  <dc:creator>MDPI</dc:creator>
  <cp:lastModifiedBy>北雨</cp:lastModifiedBy>
  <dcterms:modified xsi:type="dcterms:W3CDTF">2026-10-12T17:31:19Z</dcterms:modified>
  <dc:title>Supplementary Tables S1–S9: Posterior gray matter heterogeneity in prodromal PPMI phenotypes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eyJoZGlkIjoiZDk4YTMzODNmM2EzYzUxYWNlY2Q0MTJkNDAyMTU5OWIiLCJ1c2VySWQiOiI2OTA1NzYwNzIifQ==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7C9116D4461E47E48E59B3A72346795D_12</vt:lpwstr>
  </property>
</Properties>
</file>