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5DF7F" w14:textId="77777777" w:rsidR="00474208" w:rsidRDefault="00474208" w:rsidP="00474208">
      <w:pPr>
        <w:jc w:val="center"/>
      </w:pPr>
      <w:r>
        <w:rPr>
          <w:b/>
          <w:sz w:val="36"/>
        </w:rPr>
        <w:t>Supplementary Material</w:t>
      </w:r>
    </w:p>
    <w:p w14:paraId="106BC37C" w14:textId="77777777" w:rsidR="00474208" w:rsidRDefault="00474208" w:rsidP="00474208">
      <w:pPr>
        <w:jc w:val="center"/>
      </w:pPr>
      <w:r>
        <w:rPr>
          <w:b/>
          <w:sz w:val="26"/>
        </w:rPr>
        <w:t>Economic and Financial Burden of Traumatic Brain Injury Care in Low- and Middle-Income Countries: A Scoping Review</w:t>
      </w:r>
    </w:p>
    <w:p w14:paraId="7CE9B308" w14:textId="5B0C5641" w:rsidR="00DD7563" w:rsidRDefault="00DD7563"/>
    <w:p w14:paraId="385A79DB" w14:textId="5589D9E1" w:rsidR="001152E6" w:rsidRDefault="001152E6" w:rsidP="001152E6">
      <w:pPr>
        <w:pStyle w:val="Heading1"/>
        <w:rPr>
          <w:rFonts w:ascii="Times New Roman" w:hAnsi="Times New Roman" w:cs="Times New Roman"/>
          <w:b/>
          <w:bCs/>
          <w:color w:val="auto"/>
          <w:sz w:val="24"/>
          <w:szCs w:val="24"/>
        </w:rPr>
      </w:pPr>
      <w:r w:rsidRPr="001152E6">
        <w:rPr>
          <w:rFonts w:ascii="Times New Roman" w:hAnsi="Times New Roman" w:cs="Times New Roman"/>
          <w:b/>
          <w:bCs/>
          <w:color w:val="auto"/>
          <w:sz w:val="24"/>
          <w:szCs w:val="24"/>
        </w:rPr>
        <w:t>Supplementary Table S1. Database search strategies and search documentation</w:t>
      </w:r>
      <w:r>
        <w:rPr>
          <w:rFonts w:ascii="Times New Roman" w:hAnsi="Times New Roman" w:cs="Times New Roman"/>
          <w:b/>
          <w:bCs/>
          <w:color w:val="auto"/>
          <w:sz w:val="24"/>
          <w:szCs w:val="24"/>
        </w:rPr>
        <w:t>.</w:t>
      </w:r>
    </w:p>
    <w:tbl>
      <w:tblPr>
        <w:tblStyle w:val="GridTable1Light"/>
        <w:tblW w:w="0" w:type="auto"/>
        <w:tblLook w:val="04A0" w:firstRow="1" w:lastRow="0" w:firstColumn="1" w:lastColumn="0" w:noHBand="0" w:noVBand="1"/>
      </w:tblPr>
      <w:tblGrid>
        <w:gridCol w:w="2708"/>
        <w:gridCol w:w="1657"/>
        <w:gridCol w:w="1403"/>
        <w:gridCol w:w="2862"/>
      </w:tblGrid>
      <w:tr w:rsidR="00163892" w:rsidRPr="001152E6" w14:paraId="2220E79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CD4B79" w14:textId="77777777" w:rsidR="00163892" w:rsidRPr="001152E6" w:rsidRDefault="00163892">
            <w:pPr>
              <w:rPr>
                <w:rFonts w:ascii="Times New Roman" w:hAnsi="Times New Roman" w:cs="Times New Roman"/>
              </w:rPr>
            </w:pPr>
            <w:r w:rsidRPr="001152E6">
              <w:rPr>
                <w:rFonts w:ascii="Times New Roman" w:hAnsi="Times New Roman" w:cs="Times New Roman"/>
                <w:sz w:val="16"/>
              </w:rPr>
              <w:t>Source</w:t>
            </w:r>
          </w:p>
        </w:tc>
        <w:tc>
          <w:tcPr>
            <w:tcW w:w="0" w:type="auto"/>
          </w:tcPr>
          <w:p w14:paraId="6915A32F" w14:textId="3CF4D023" w:rsidR="00163892" w:rsidRPr="00163892" w:rsidRDefault="00163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6"/>
              </w:rPr>
            </w:pPr>
            <w:r>
              <w:rPr>
                <w:rFonts w:ascii="Times New Roman" w:hAnsi="Times New Roman" w:cs="Times New Roman"/>
                <w:bCs w:val="0"/>
                <w:sz w:val="16"/>
              </w:rPr>
              <w:t>S</w:t>
            </w:r>
            <w:r w:rsidRPr="00163892">
              <w:rPr>
                <w:rFonts w:ascii="Times New Roman" w:hAnsi="Times New Roman" w:cs="Times New Roman"/>
                <w:bCs w:val="0"/>
                <w:sz w:val="16"/>
              </w:rPr>
              <w:t>earch date</w:t>
            </w:r>
          </w:p>
        </w:tc>
        <w:tc>
          <w:tcPr>
            <w:tcW w:w="0" w:type="auto"/>
          </w:tcPr>
          <w:p w14:paraId="191CA6B6" w14:textId="7A9CB696" w:rsidR="00163892" w:rsidRPr="001152E6" w:rsidRDefault="00163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152E6">
              <w:rPr>
                <w:rFonts w:ascii="Times New Roman" w:hAnsi="Times New Roman" w:cs="Times New Roman"/>
                <w:sz w:val="16"/>
              </w:rPr>
              <w:t>Records retrieved</w:t>
            </w:r>
          </w:p>
        </w:tc>
        <w:tc>
          <w:tcPr>
            <w:tcW w:w="0" w:type="auto"/>
          </w:tcPr>
          <w:p w14:paraId="7B345800" w14:textId="77777777" w:rsidR="00163892" w:rsidRPr="001152E6" w:rsidRDefault="0016389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152E6">
              <w:rPr>
                <w:rFonts w:ascii="Times New Roman" w:hAnsi="Times New Roman" w:cs="Times New Roman"/>
                <w:sz w:val="16"/>
              </w:rPr>
              <w:t>Strategy documentation in supplied files</w:t>
            </w:r>
          </w:p>
        </w:tc>
      </w:tr>
      <w:tr w:rsidR="00163892" w:rsidRPr="001152E6" w14:paraId="4D84168D" w14:textId="77777777">
        <w:tc>
          <w:tcPr>
            <w:cnfStyle w:val="001000000000" w:firstRow="0" w:lastRow="0" w:firstColumn="1" w:lastColumn="0" w:oddVBand="0" w:evenVBand="0" w:oddHBand="0" w:evenHBand="0" w:firstRowFirstColumn="0" w:firstRowLastColumn="0" w:lastRowFirstColumn="0" w:lastRowLastColumn="0"/>
            <w:tcW w:w="0" w:type="auto"/>
          </w:tcPr>
          <w:p w14:paraId="0F44F313" w14:textId="51DA5F40" w:rsidR="00163892" w:rsidRPr="001152E6" w:rsidRDefault="00163892" w:rsidP="0062416E">
            <w:pPr>
              <w:rPr>
                <w:rFonts w:ascii="Times New Roman" w:hAnsi="Times New Roman" w:cs="Times New Roman"/>
                <w:b w:val="0"/>
                <w:sz w:val="16"/>
              </w:rPr>
            </w:pPr>
            <w:r w:rsidRPr="001152E6">
              <w:rPr>
                <w:rFonts w:ascii="Times New Roman" w:hAnsi="Times New Roman" w:cs="Times New Roman"/>
                <w:sz w:val="16"/>
              </w:rPr>
              <w:t>Google Scholar</w:t>
            </w:r>
          </w:p>
        </w:tc>
        <w:tc>
          <w:tcPr>
            <w:tcW w:w="0" w:type="auto"/>
          </w:tcPr>
          <w:p w14:paraId="7ED7A331" w14:textId="7CDDCD63"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163892">
              <w:rPr>
                <w:rFonts w:ascii="Times New Roman" w:hAnsi="Times New Roman" w:cs="Times New Roman"/>
                <w:b/>
                <w:sz w:val="16"/>
              </w:rPr>
              <w:t>5 September 2026</w:t>
            </w:r>
          </w:p>
        </w:tc>
        <w:tc>
          <w:tcPr>
            <w:tcW w:w="0" w:type="auto"/>
          </w:tcPr>
          <w:p w14:paraId="632DD673" w14:textId="7E22244D"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Pr>
                <w:rFonts w:ascii="Times New Roman" w:hAnsi="Times New Roman" w:cs="Times New Roman"/>
                <w:b/>
                <w:sz w:val="16"/>
              </w:rPr>
              <w:t>369</w:t>
            </w:r>
          </w:p>
        </w:tc>
        <w:tc>
          <w:tcPr>
            <w:tcW w:w="0" w:type="auto"/>
          </w:tcPr>
          <w:p w14:paraId="7088DC9B" w14:textId="2771E70D"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6"/>
              </w:rPr>
            </w:pPr>
            <w:r w:rsidRPr="001152E6">
              <w:rPr>
                <w:rFonts w:ascii="Times New Roman" w:hAnsi="Times New Roman" w:cs="Times New Roman"/>
                <w:sz w:val="16"/>
              </w:rPr>
              <w:t>Verbatim strategy available</w:t>
            </w:r>
          </w:p>
        </w:tc>
      </w:tr>
      <w:tr w:rsidR="00163892" w:rsidRPr="001152E6" w14:paraId="5172BF49" w14:textId="77777777">
        <w:tc>
          <w:tcPr>
            <w:cnfStyle w:val="001000000000" w:firstRow="0" w:lastRow="0" w:firstColumn="1" w:lastColumn="0" w:oddVBand="0" w:evenVBand="0" w:oddHBand="0" w:evenHBand="0" w:firstRowFirstColumn="0" w:firstRowLastColumn="0" w:lastRowFirstColumn="0" w:lastRowLastColumn="0"/>
            <w:tcW w:w="0" w:type="auto"/>
          </w:tcPr>
          <w:p w14:paraId="63609159" w14:textId="77777777" w:rsidR="00163892" w:rsidRPr="001152E6" w:rsidRDefault="00163892" w:rsidP="0062416E">
            <w:pPr>
              <w:rPr>
                <w:rFonts w:ascii="Times New Roman" w:hAnsi="Times New Roman" w:cs="Times New Roman"/>
              </w:rPr>
            </w:pPr>
            <w:r w:rsidRPr="001152E6">
              <w:rPr>
                <w:rFonts w:ascii="Times New Roman" w:hAnsi="Times New Roman" w:cs="Times New Roman"/>
                <w:sz w:val="16"/>
              </w:rPr>
              <w:t>MEDLINE/PubMed</w:t>
            </w:r>
          </w:p>
        </w:tc>
        <w:tc>
          <w:tcPr>
            <w:tcW w:w="0" w:type="auto"/>
          </w:tcPr>
          <w:p w14:paraId="5DED6DB2" w14:textId="4C3D7ACA"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3892">
              <w:rPr>
                <w:rFonts w:ascii="Times New Roman" w:hAnsi="Times New Roman" w:cs="Times New Roman"/>
              </w:rPr>
              <w:t>15 July 2026</w:t>
            </w:r>
          </w:p>
        </w:tc>
        <w:tc>
          <w:tcPr>
            <w:tcW w:w="0" w:type="auto"/>
          </w:tcPr>
          <w:p w14:paraId="57AF917E" w14:textId="319C8D81"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261</w:t>
            </w:r>
          </w:p>
        </w:tc>
        <w:tc>
          <w:tcPr>
            <w:tcW w:w="0" w:type="auto"/>
          </w:tcPr>
          <w:p w14:paraId="056D6971" w14:textId="77777777"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52E6">
              <w:rPr>
                <w:rFonts w:ascii="Times New Roman" w:hAnsi="Times New Roman" w:cs="Times New Roman"/>
                <w:sz w:val="16"/>
              </w:rPr>
              <w:t>Verbatim strategy available</w:t>
            </w:r>
          </w:p>
        </w:tc>
      </w:tr>
      <w:tr w:rsidR="00163892" w:rsidRPr="001152E6" w14:paraId="2869FF3A" w14:textId="77777777">
        <w:tc>
          <w:tcPr>
            <w:cnfStyle w:val="001000000000" w:firstRow="0" w:lastRow="0" w:firstColumn="1" w:lastColumn="0" w:oddVBand="0" w:evenVBand="0" w:oddHBand="0" w:evenHBand="0" w:firstRowFirstColumn="0" w:firstRowLastColumn="0" w:lastRowFirstColumn="0" w:lastRowLastColumn="0"/>
            <w:tcW w:w="0" w:type="auto"/>
          </w:tcPr>
          <w:p w14:paraId="05317772" w14:textId="7F9DAB6C" w:rsidR="00163892" w:rsidRPr="001152E6" w:rsidRDefault="00163892" w:rsidP="0062416E">
            <w:pPr>
              <w:rPr>
                <w:rFonts w:ascii="Times New Roman" w:hAnsi="Times New Roman" w:cs="Times New Roman"/>
                <w:sz w:val="16"/>
              </w:rPr>
            </w:pPr>
            <w:r w:rsidRPr="001152E6">
              <w:rPr>
                <w:rFonts w:ascii="Times New Roman" w:hAnsi="Times New Roman" w:cs="Times New Roman"/>
                <w:sz w:val="16"/>
              </w:rPr>
              <w:t>Scopus</w:t>
            </w:r>
          </w:p>
        </w:tc>
        <w:tc>
          <w:tcPr>
            <w:tcW w:w="0" w:type="auto"/>
          </w:tcPr>
          <w:p w14:paraId="3417F475" w14:textId="18780A70"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3892">
              <w:rPr>
                <w:rFonts w:ascii="Times New Roman" w:hAnsi="Times New Roman" w:cs="Times New Roman"/>
              </w:rPr>
              <w:t>15 august 2026</w:t>
            </w:r>
          </w:p>
        </w:tc>
        <w:tc>
          <w:tcPr>
            <w:tcW w:w="0" w:type="auto"/>
          </w:tcPr>
          <w:p w14:paraId="55BFF5F4" w14:textId="78962BB7"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108</w:t>
            </w:r>
          </w:p>
        </w:tc>
        <w:tc>
          <w:tcPr>
            <w:tcW w:w="0" w:type="auto"/>
          </w:tcPr>
          <w:p w14:paraId="404B6B8E" w14:textId="7768BFB1"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152E6">
              <w:rPr>
                <w:rFonts w:ascii="Times New Roman" w:hAnsi="Times New Roman" w:cs="Times New Roman"/>
                <w:sz w:val="16"/>
              </w:rPr>
              <w:t>Verbatim strategy available</w:t>
            </w:r>
          </w:p>
        </w:tc>
      </w:tr>
      <w:tr w:rsidR="00163892" w:rsidRPr="001152E6" w14:paraId="57F7115A" w14:textId="77777777">
        <w:tc>
          <w:tcPr>
            <w:cnfStyle w:val="001000000000" w:firstRow="0" w:lastRow="0" w:firstColumn="1" w:lastColumn="0" w:oddVBand="0" w:evenVBand="0" w:oddHBand="0" w:evenHBand="0" w:firstRowFirstColumn="0" w:firstRowLastColumn="0" w:lastRowFirstColumn="0" w:lastRowLastColumn="0"/>
            <w:tcW w:w="0" w:type="auto"/>
          </w:tcPr>
          <w:p w14:paraId="3A2125F1" w14:textId="77777777" w:rsidR="00163892" w:rsidRPr="001152E6" w:rsidRDefault="00163892" w:rsidP="0062416E">
            <w:pPr>
              <w:rPr>
                <w:rFonts w:ascii="Times New Roman" w:hAnsi="Times New Roman" w:cs="Times New Roman"/>
              </w:rPr>
            </w:pPr>
            <w:r w:rsidRPr="001152E6">
              <w:rPr>
                <w:rFonts w:ascii="Times New Roman" w:hAnsi="Times New Roman" w:cs="Times New Roman"/>
                <w:sz w:val="16"/>
              </w:rPr>
              <w:t>Embase</w:t>
            </w:r>
          </w:p>
        </w:tc>
        <w:tc>
          <w:tcPr>
            <w:tcW w:w="0" w:type="auto"/>
          </w:tcPr>
          <w:p w14:paraId="16A5920B" w14:textId="50C78AAC"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63892">
              <w:rPr>
                <w:rFonts w:ascii="Times New Roman" w:hAnsi="Times New Roman" w:cs="Times New Roman"/>
              </w:rPr>
              <w:t>30 July 2026</w:t>
            </w:r>
          </w:p>
        </w:tc>
        <w:tc>
          <w:tcPr>
            <w:tcW w:w="0" w:type="auto"/>
          </w:tcPr>
          <w:p w14:paraId="76C722EE" w14:textId="1609F26A"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97</w:t>
            </w:r>
          </w:p>
        </w:tc>
        <w:tc>
          <w:tcPr>
            <w:tcW w:w="0" w:type="auto"/>
          </w:tcPr>
          <w:p w14:paraId="5093FA53" w14:textId="77777777"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52E6">
              <w:rPr>
                <w:rFonts w:ascii="Times New Roman" w:hAnsi="Times New Roman" w:cs="Times New Roman"/>
                <w:sz w:val="16"/>
              </w:rPr>
              <w:t>Verbatim strategy available</w:t>
            </w:r>
          </w:p>
        </w:tc>
      </w:tr>
      <w:tr w:rsidR="00163892" w:rsidRPr="001152E6" w14:paraId="7E733873" w14:textId="77777777">
        <w:tc>
          <w:tcPr>
            <w:cnfStyle w:val="001000000000" w:firstRow="0" w:lastRow="0" w:firstColumn="1" w:lastColumn="0" w:oddVBand="0" w:evenVBand="0" w:oddHBand="0" w:evenHBand="0" w:firstRowFirstColumn="0" w:firstRowLastColumn="0" w:lastRowFirstColumn="0" w:lastRowLastColumn="0"/>
            <w:tcW w:w="0" w:type="auto"/>
          </w:tcPr>
          <w:p w14:paraId="0C360AA7" w14:textId="142DA0C4" w:rsidR="00163892" w:rsidRPr="001152E6" w:rsidRDefault="00163892" w:rsidP="0062416E">
            <w:pPr>
              <w:rPr>
                <w:rFonts w:ascii="Times New Roman" w:hAnsi="Times New Roman" w:cs="Times New Roman"/>
                <w:sz w:val="16"/>
              </w:rPr>
            </w:pPr>
            <w:r>
              <w:rPr>
                <w:rFonts w:ascii="Times New Roman" w:hAnsi="Times New Roman" w:cs="Times New Roman"/>
                <w:sz w:val="16"/>
              </w:rPr>
              <w:t>Subtotal</w:t>
            </w:r>
          </w:p>
        </w:tc>
        <w:tc>
          <w:tcPr>
            <w:tcW w:w="0" w:type="auto"/>
          </w:tcPr>
          <w:p w14:paraId="10436510" w14:textId="77777777" w:rsidR="00163892" w:rsidRP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tcPr>
          <w:p w14:paraId="0488D9BA" w14:textId="4ED46B86" w:rsidR="00163892"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835</w:t>
            </w:r>
          </w:p>
        </w:tc>
        <w:tc>
          <w:tcPr>
            <w:tcW w:w="0" w:type="auto"/>
          </w:tcPr>
          <w:p w14:paraId="11156FEB" w14:textId="77777777" w:rsidR="00163892" w:rsidRPr="001152E6" w:rsidRDefault="00163892" w:rsidP="0062416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r>
      <w:tr w:rsidR="00163892" w:rsidRPr="001152E6" w14:paraId="355A0C3F" w14:textId="77777777">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48F68BB2" w14:textId="168346FB" w:rsidR="00163892" w:rsidRPr="00163892" w:rsidRDefault="00163892" w:rsidP="00163892">
            <w:pPr>
              <w:rPr>
                <w:rFonts w:ascii="Times New Roman" w:hAnsi="Times New Roman" w:cs="Times New Roman"/>
                <w:b w:val="0"/>
                <w:bCs w:val="0"/>
                <w:sz w:val="16"/>
                <w:szCs w:val="16"/>
              </w:rPr>
            </w:pPr>
            <w:r w:rsidRPr="00163892">
              <w:rPr>
                <w:rStyle w:val="Strong"/>
                <w:rFonts w:ascii="Times New Roman" w:hAnsi="Times New Roman" w:cs="Times New Roman"/>
                <w:b/>
                <w:bCs/>
                <w:sz w:val="16"/>
                <w:szCs w:val="16"/>
              </w:rPr>
              <w:t>Other sources</w:t>
            </w:r>
          </w:p>
        </w:tc>
      </w:tr>
      <w:tr w:rsidR="00163892" w:rsidRPr="001152E6" w14:paraId="35DA9838" w14:textId="77777777">
        <w:tc>
          <w:tcPr>
            <w:cnfStyle w:val="001000000000" w:firstRow="0" w:lastRow="0" w:firstColumn="1" w:lastColumn="0" w:oddVBand="0" w:evenVBand="0" w:oddHBand="0" w:evenHBand="0" w:firstRowFirstColumn="0" w:firstRowLastColumn="0" w:lastRowFirstColumn="0" w:lastRowLastColumn="0"/>
            <w:tcW w:w="0" w:type="auto"/>
            <w:vAlign w:val="center"/>
          </w:tcPr>
          <w:p w14:paraId="460F3167" w14:textId="59101E00" w:rsidR="00163892" w:rsidRPr="00163892" w:rsidRDefault="00163892" w:rsidP="00163892">
            <w:pPr>
              <w:rPr>
                <w:rFonts w:ascii="Times New Roman" w:hAnsi="Times New Roman" w:cs="Times New Roman"/>
                <w:sz w:val="16"/>
                <w:szCs w:val="16"/>
              </w:rPr>
            </w:pPr>
            <w:r w:rsidRPr="00163892">
              <w:rPr>
                <w:rFonts w:ascii="Times New Roman" w:hAnsi="Times New Roman" w:cs="Times New Roman"/>
                <w:sz w:val="16"/>
                <w:szCs w:val="16"/>
              </w:rPr>
              <w:t>Backward/forward citation searching</w:t>
            </w:r>
          </w:p>
        </w:tc>
        <w:tc>
          <w:tcPr>
            <w:tcW w:w="0" w:type="auto"/>
            <w:vAlign w:val="center"/>
          </w:tcPr>
          <w:p w14:paraId="4FE71B20" w14:textId="5A5BD066"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20–25 September 2026</w:t>
            </w:r>
          </w:p>
        </w:tc>
        <w:tc>
          <w:tcPr>
            <w:tcW w:w="0" w:type="auto"/>
            <w:vAlign w:val="center"/>
          </w:tcPr>
          <w:p w14:paraId="70088B3D" w14:textId="0F56B033"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54</w:t>
            </w:r>
          </w:p>
        </w:tc>
        <w:tc>
          <w:tcPr>
            <w:tcW w:w="0" w:type="auto"/>
            <w:vAlign w:val="center"/>
          </w:tcPr>
          <w:p w14:paraId="12D2A397" w14:textId="0BB25186"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Not applicable</w:t>
            </w:r>
          </w:p>
        </w:tc>
      </w:tr>
      <w:tr w:rsidR="00163892" w:rsidRPr="001152E6" w14:paraId="668C36B0" w14:textId="77777777">
        <w:tc>
          <w:tcPr>
            <w:cnfStyle w:val="001000000000" w:firstRow="0" w:lastRow="0" w:firstColumn="1" w:lastColumn="0" w:oddVBand="0" w:evenVBand="0" w:oddHBand="0" w:evenHBand="0" w:firstRowFirstColumn="0" w:firstRowLastColumn="0" w:lastRowFirstColumn="0" w:lastRowLastColumn="0"/>
            <w:tcW w:w="0" w:type="auto"/>
            <w:vAlign w:val="center"/>
          </w:tcPr>
          <w:p w14:paraId="505F4F16" w14:textId="52EE2F9C" w:rsidR="00163892" w:rsidRPr="00163892" w:rsidRDefault="00163892" w:rsidP="00163892">
            <w:pPr>
              <w:rPr>
                <w:rFonts w:ascii="Times New Roman" w:hAnsi="Times New Roman" w:cs="Times New Roman"/>
                <w:sz w:val="16"/>
                <w:szCs w:val="16"/>
              </w:rPr>
            </w:pPr>
            <w:r w:rsidRPr="00163892">
              <w:rPr>
                <w:rStyle w:val="Strong"/>
                <w:rFonts w:ascii="Times New Roman" w:hAnsi="Times New Roman" w:cs="Times New Roman"/>
                <w:b/>
                <w:bCs/>
                <w:sz w:val="16"/>
                <w:szCs w:val="16"/>
              </w:rPr>
              <w:t>Subtotal (other sources)</w:t>
            </w:r>
          </w:p>
        </w:tc>
        <w:tc>
          <w:tcPr>
            <w:tcW w:w="0" w:type="auto"/>
            <w:vAlign w:val="center"/>
          </w:tcPr>
          <w:p w14:paraId="7369CF9D" w14:textId="77777777"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vAlign w:val="center"/>
          </w:tcPr>
          <w:p w14:paraId="3D4EA4F5" w14:textId="16A55AC7"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Style w:val="Strong"/>
                <w:rFonts w:ascii="Times New Roman" w:hAnsi="Times New Roman" w:cs="Times New Roman"/>
                <w:b w:val="0"/>
                <w:bCs w:val="0"/>
                <w:sz w:val="16"/>
                <w:szCs w:val="16"/>
              </w:rPr>
              <w:t>54</w:t>
            </w:r>
          </w:p>
        </w:tc>
        <w:tc>
          <w:tcPr>
            <w:tcW w:w="0" w:type="auto"/>
            <w:vAlign w:val="center"/>
          </w:tcPr>
          <w:p w14:paraId="0D1B2CA4" w14:textId="77777777"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163892" w:rsidRPr="001152E6" w14:paraId="0A26E293" w14:textId="77777777">
        <w:tc>
          <w:tcPr>
            <w:cnfStyle w:val="001000000000" w:firstRow="0" w:lastRow="0" w:firstColumn="1" w:lastColumn="0" w:oddVBand="0" w:evenVBand="0" w:oddHBand="0" w:evenHBand="0" w:firstRowFirstColumn="0" w:firstRowLastColumn="0" w:lastRowFirstColumn="0" w:lastRowLastColumn="0"/>
            <w:tcW w:w="0" w:type="auto"/>
            <w:vAlign w:val="center"/>
          </w:tcPr>
          <w:p w14:paraId="133C992F" w14:textId="75D41244" w:rsidR="00163892" w:rsidRPr="00163892" w:rsidRDefault="00163892" w:rsidP="00163892">
            <w:pPr>
              <w:rPr>
                <w:rStyle w:val="Strong"/>
                <w:rFonts w:ascii="Times New Roman" w:hAnsi="Times New Roman" w:cs="Times New Roman"/>
                <w:b/>
                <w:bCs/>
                <w:sz w:val="16"/>
                <w:szCs w:val="16"/>
              </w:rPr>
            </w:pPr>
            <w:r w:rsidRPr="00163892">
              <w:rPr>
                <w:rStyle w:val="Strong"/>
                <w:rFonts w:ascii="Times New Roman" w:hAnsi="Times New Roman" w:cs="Times New Roman"/>
                <w:b/>
                <w:bCs/>
                <w:color w:val="0F1115"/>
                <w:sz w:val="16"/>
                <w:szCs w:val="16"/>
              </w:rPr>
              <w:t>Total records identified</w:t>
            </w:r>
          </w:p>
        </w:tc>
        <w:tc>
          <w:tcPr>
            <w:tcW w:w="0" w:type="auto"/>
            <w:vAlign w:val="center"/>
          </w:tcPr>
          <w:p w14:paraId="16CD6443" w14:textId="77777777"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0" w:type="auto"/>
            <w:vAlign w:val="center"/>
          </w:tcPr>
          <w:p w14:paraId="608C1D0E" w14:textId="63CDBE46"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Style w:val="Strong"/>
                <w:rFonts w:ascii="Times New Roman" w:hAnsi="Times New Roman" w:cs="Times New Roman"/>
                <w:b w:val="0"/>
                <w:bCs w:val="0"/>
                <w:sz w:val="16"/>
                <w:szCs w:val="16"/>
              </w:rPr>
            </w:pPr>
            <w:r w:rsidRPr="00163892">
              <w:rPr>
                <w:rStyle w:val="Strong"/>
                <w:rFonts w:ascii="Times New Roman" w:hAnsi="Times New Roman" w:cs="Times New Roman"/>
                <w:color w:val="0F1115"/>
                <w:sz w:val="16"/>
                <w:szCs w:val="16"/>
              </w:rPr>
              <w:t>889</w:t>
            </w:r>
          </w:p>
        </w:tc>
        <w:tc>
          <w:tcPr>
            <w:tcW w:w="0" w:type="auto"/>
            <w:vAlign w:val="center"/>
          </w:tcPr>
          <w:p w14:paraId="7A437D32" w14:textId="4BD168C7" w:rsidR="00163892" w:rsidRPr="00163892" w:rsidRDefault="00163892" w:rsidP="0016389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bl>
    <w:p w14:paraId="7700B5F2" w14:textId="30FC017F" w:rsidR="00BB012E" w:rsidRDefault="00B54CD2">
      <w:r>
        <w:t xml:space="preserve"> </w:t>
      </w:r>
    </w:p>
    <w:p w14:paraId="41DC5D37" w14:textId="77777777" w:rsidR="00BB012E" w:rsidRDefault="00BB012E" w:rsidP="00BB012E">
      <w:pPr>
        <w:spacing w:before="160"/>
        <w:rPr>
          <w:rFonts w:ascii="Times New Roman" w:hAnsi="Times New Roman" w:cs="Times New Roman"/>
          <w:b/>
          <w:sz w:val="24"/>
          <w:szCs w:val="24"/>
        </w:rPr>
      </w:pPr>
      <w:r w:rsidRPr="00BB012E">
        <w:rPr>
          <w:rFonts w:ascii="Times New Roman" w:hAnsi="Times New Roman" w:cs="Times New Roman"/>
          <w:b/>
          <w:sz w:val="24"/>
          <w:szCs w:val="24"/>
        </w:rPr>
        <w:t>Verbatim strategies available in the review files</w:t>
      </w:r>
    </w:p>
    <w:p w14:paraId="36718A36" w14:textId="26305C3E" w:rsidR="00163892" w:rsidRDefault="00163892" w:rsidP="00BB012E">
      <w:pPr>
        <w:spacing w:before="160"/>
        <w:rPr>
          <w:rFonts w:ascii="Times New Roman" w:hAnsi="Times New Roman" w:cs="Times New Roman"/>
          <w:b/>
          <w:bCs/>
          <w:sz w:val="24"/>
          <w:szCs w:val="24"/>
        </w:rPr>
      </w:pPr>
      <w:r w:rsidRPr="00163892">
        <w:rPr>
          <w:rFonts w:ascii="Times New Roman" w:hAnsi="Times New Roman" w:cs="Times New Roman"/>
          <w:b/>
          <w:bCs/>
          <w:sz w:val="24"/>
          <w:szCs w:val="24"/>
        </w:rPr>
        <w:t>Google Scholar.</w:t>
      </w:r>
    </w:p>
    <w:p w14:paraId="0DB5C4BB" w14:textId="4F599D9A" w:rsidR="00163892" w:rsidRPr="00163892" w:rsidRDefault="00163892" w:rsidP="00BB012E">
      <w:pPr>
        <w:spacing w:before="160"/>
        <w:rPr>
          <w:rFonts w:ascii="Times New Roman" w:hAnsi="Times New Roman" w:cs="Times New Roman"/>
          <w:i/>
          <w:iCs/>
          <w:sz w:val="18"/>
          <w:szCs w:val="18"/>
        </w:rPr>
      </w:pPr>
      <w:r w:rsidRPr="00163892">
        <w:rPr>
          <w:rFonts w:ascii="Times New Roman" w:hAnsi="Times New Roman" w:cs="Times New Roman"/>
          <w:i/>
          <w:iCs/>
          <w:sz w:val="18"/>
          <w:szCs w:val="18"/>
        </w:rPr>
        <w:t>"</w:t>
      </w:r>
      <w:proofErr w:type="gramStart"/>
      <w:r w:rsidRPr="00163892">
        <w:rPr>
          <w:rFonts w:ascii="Times New Roman" w:hAnsi="Times New Roman" w:cs="Times New Roman"/>
          <w:i/>
          <w:iCs/>
          <w:sz w:val="18"/>
          <w:szCs w:val="18"/>
        </w:rPr>
        <w:t>traumatic</w:t>
      </w:r>
      <w:proofErr w:type="gramEnd"/>
      <w:r w:rsidRPr="00163892">
        <w:rPr>
          <w:rFonts w:ascii="Times New Roman" w:hAnsi="Times New Roman" w:cs="Times New Roman"/>
          <w:i/>
          <w:iCs/>
          <w:sz w:val="18"/>
          <w:szCs w:val="18"/>
        </w:rPr>
        <w:t xml:space="preserve"> brain injury" cost OR economic OR financial LMIC OR "low- and middle-income" "head injury" cost OR burden Africa OR Asia TBI economic burden developing countries.</w:t>
      </w:r>
    </w:p>
    <w:p w14:paraId="3DF0DCB3" w14:textId="77777777" w:rsidR="00BB012E" w:rsidRPr="00BB012E" w:rsidRDefault="00BB012E" w:rsidP="00BB012E">
      <w:pPr>
        <w:keepNext/>
        <w:spacing w:before="120"/>
        <w:rPr>
          <w:rFonts w:ascii="Times New Roman" w:hAnsi="Times New Roman" w:cs="Times New Roman"/>
          <w:sz w:val="24"/>
          <w:szCs w:val="24"/>
        </w:rPr>
      </w:pPr>
      <w:r w:rsidRPr="00BB012E">
        <w:rPr>
          <w:rFonts w:ascii="Times New Roman" w:hAnsi="Times New Roman" w:cs="Times New Roman"/>
          <w:b/>
          <w:sz w:val="24"/>
          <w:szCs w:val="24"/>
        </w:rPr>
        <w:t>PubMed/MEDLINE</w:t>
      </w:r>
    </w:p>
    <w:p w14:paraId="737D5BC4" w14:textId="474112AB" w:rsidR="00BB012E" w:rsidRDefault="00BB012E" w:rsidP="00BB012E">
      <w:pPr>
        <w:spacing w:after="80"/>
        <w:ind w:left="216"/>
        <w:rPr>
          <w:rFonts w:ascii="Times New Roman" w:hAnsi="Times New Roman" w:cs="Times New Roman"/>
          <w:i/>
          <w:sz w:val="18"/>
          <w:szCs w:val="18"/>
        </w:rPr>
      </w:pPr>
      <w:r w:rsidRPr="00163892">
        <w:rPr>
          <w:rFonts w:ascii="Times New Roman" w:hAnsi="Times New Roman" w:cs="Times New Roman"/>
          <w:i/>
          <w:sz w:val="24"/>
          <w:szCs w:val="24"/>
        </w:rPr>
        <w:t>"</w:t>
      </w:r>
      <w:r w:rsidRPr="00163892">
        <w:rPr>
          <w:rFonts w:ascii="Times New Roman" w:hAnsi="Times New Roman" w:cs="Times New Roman"/>
          <w:i/>
          <w:sz w:val="18"/>
          <w:szCs w:val="18"/>
        </w:rPr>
        <w:t>Brain Injuries, Traumatic"[Mesh] OR "Craniocerebral Trauma"[Mesh] OR "traumatic brain injury"[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"traumatic brain injuries"[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TBI[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"head injury"[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"head injuries"[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"traumatic head injury"[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"traumatic head injuries"[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"brain trauma"[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"cranio-cerebral trauma"[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craniocerebral[</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AND ("Costs and Cost Analysis"[Mesh] OR "Health Expenditures"[Mesh] OR "Economics"[Mesh] OR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costing[</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economic[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expenditure*[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"financial burden"[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"financial hardship"[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"financial toxicity"[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"out-of-pocket"[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"out of pocket"[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"catastrophic health expenditure"[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"catastrophic expenditure"[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affordability[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unaffordable[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"direct medical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"direct medical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"direct non-medical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"direct non-medical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"indirect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"indirect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"productivity loss"[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"productivity losses"[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"income loss"[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"lost income"[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"wage loss"[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"lost wages"[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"household expenditure"[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"distress </w:t>
      </w:r>
      <w:r w:rsidRPr="00163892">
        <w:rPr>
          <w:rFonts w:ascii="Times New Roman" w:hAnsi="Times New Roman" w:cs="Times New Roman"/>
          <w:i/>
          <w:sz w:val="18"/>
          <w:szCs w:val="18"/>
        </w:rPr>
        <w:lastRenderedPageBreak/>
        <w:t>financing"[</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borrowing[</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"asset sale"[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"asset sales"[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"caregiver burden"[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"caregiver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"caregiver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"health system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"health system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"hospital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"hospital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"treatment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"treatment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"rehabilitation cost"[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"rehabilitation costs"[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"resource utilization"[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"resource use"[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AND ("Developing Countries"[Mesh] OR "low income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"middle income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"low- and middle-income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"low and middle income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LMIC[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LMICs[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"developing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"resource-limited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"resource constrained </w:t>
      </w:r>
      <w:proofErr w:type="spellStart"/>
      <w:r w:rsidRPr="00163892">
        <w:rPr>
          <w:rFonts w:ascii="Times New Roman" w:hAnsi="Times New Roman" w:cs="Times New Roman"/>
          <w:i/>
          <w:sz w:val="18"/>
          <w:szCs w:val="18"/>
        </w:rPr>
        <w:t>countr</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"Afghanistan"[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"Guinea-Bissau"[</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"Sierra Leone"[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"Burkina Faso"[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"Korea, Dem. People's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"North Korea"[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"Democratic People's Republic of Korea"[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"DPRK"[</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"Somalia"[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"Burundi"[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"Liberia"[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"South Sudan"[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"Central African Republic"[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"Madagascar"[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"Sudan"[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"Chad"[</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"Malawi"[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"Syrian Arab Republic"[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"Syria"[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"Congo, Dem.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"Democratic Republic of the Congo"[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"DR Congo"[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"DRC"[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"Congo-Kinshasa"[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"Mali"[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"Uganda"[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"Eritrea"[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"Mozambique"[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"Yemen,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"Yemen"[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"Ethiopia"[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"Niger"[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"Gambia, The"[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"Gambia"[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"The Gambia"[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"Rwanda"[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"Angola"[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"India"[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"Senegal"[</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"Bangladesh"[</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"Kenya"[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"Solomon Islands"[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"Benin"[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"Kiribati"[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"Tajikistan"[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"Bhutan"[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"Kyrgyz Republic"[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"Kyrgyzstan"[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"Tanzania"[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"United Republic of Tanzania"[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"Bolivia"[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"Bolivia, Plurinational State of"[</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"Lao PDR"[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"Laos"[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"Lao People's Democratic Republic"[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"Timor-Leste"[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"Cambodia"[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"Lebanon"[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"Togo"[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"Cameroon"[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"Lesotho"[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"Tunisia"[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"Comoros"[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"Mauritania"[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"Uzbekistan"[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"Congo,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"Republic of the Congo"[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"Congo-Brazzaville"[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"Morocco"[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"Vanuatu"[</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"Côte d'Ivoire"[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"Cote d'Ivoire"[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"Ivory Coast"[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"Myanmar"[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"Venezuela"[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"Venezuela, Bolivarian Republic of"[</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"Djibouti"[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"Namibia"[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"West Bank and Gaza"[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"Palestine"[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"Palestinian Territories"[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"Occupied Palestinian Territory"[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"Egypt, Arab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"Egypt"[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"Nepal"[</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"Zambia"[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"Eswatini"[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"Nicaragua"[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"Zimbabwe"[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"Ghana"[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"Nigeria"[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"Guinea"[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"Pakistan"[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"Papua New Guinea"[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"Haiti"[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"São Tomé and Principe"[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"Sao Tome and Principe"[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"Honduras"[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"Albania"[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"Gabon"[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"Montenegro"[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"Algeria"[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"Georgia"[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"North Macedonia"[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"Argentina"[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"Grenada"[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"Paraguay"[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"Armenia"[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"Guatemala"[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"Peru"[</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"Azerbaijan"[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"Indonesia"[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"Philippines"[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"Belarus"[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"Iran, Islamic Rep."[</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"Iran"[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"Islamic Republic of Iran"[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"Samoa"[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"Belize"[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"Iraq"[</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"Serbia"[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"Bosnia and Herzegovina"[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"Jamaica"[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"South Africa"[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"Botswana"[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"Jordan"[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"Sri Lanka"[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"Brazil"[</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"Kazakhstan"[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"St. Lucia"[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"Cabo Verde"[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"Kosovo"[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"St. Vincent and the Grenadines"[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"China"[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"Libya"[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"Suriname"[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"Colombia"[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"Malaysia"[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"Thailand"[</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"Cuba"[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"Maldives"[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"Tonga"[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"Dominica"[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"Marshall Islands"[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"Türkiye"[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"Turkey"[</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"Dominican Republic"[</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"Mauritius"[</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"Turkmenistan"[</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"Ecuador"[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"Mexico"[</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"Tuvalu"[</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"El Salvador"[</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xml:space="preserve">] OR "Micronesia, Fed. </w:t>
      </w:r>
      <w:proofErr w:type="spellStart"/>
      <w:r w:rsidRPr="00163892">
        <w:rPr>
          <w:rFonts w:ascii="Times New Roman" w:hAnsi="Times New Roman" w:cs="Times New Roman"/>
          <w:i/>
          <w:sz w:val="18"/>
          <w:szCs w:val="18"/>
        </w:rPr>
        <w:t>Sts</w:t>
      </w:r>
      <w:proofErr w:type="spellEnd"/>
      <w:r w:rsidRPr="00163892">
        <w:rPr>
          <w:rFonts w:ascii="Times New Roman" w:hAnsi="Times New Roman" w:cs="Times New Roman"/>
          <w:i/>
          <w:sz w:val="18"/>
          <w:szCs w:val="18"/>
        </w:rPr>
        <w:t>."[</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"Micronesia"[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"Federated States of Micronesia"[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"Ukraine"[</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"Equatorial Guinea"[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"Moldova"[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"Vietnam"[</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"Viet Nam"[</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"Fiji"[</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 OR "Mongolia"[</w:t>
      </w:r>
      <w:proofErr w:type="spellStart"/>
      <w:r w:rsidRPr="00163892">
        <w:rPr>
          <w:rFonts w:ascii="Times New Roman" w:hAnsi="Times New Roman" w:cs="Times New Roman"/>
          <w:i/>
          <w:sz w:val="18"/>
          <w:szCs w:val="18"/>
        </w:rPr>
        <w:t>tiab</w:t>
      </w:r>
      <w:proofErr w:type="spellEnd"/>
      <w:r w:rsidRPr="00163892">
        <w:rPr>
          <w:rFonts w:ascii="Times New Roman" w:hAnsi="Times New Roman" w:cs="Times New Roman"/>
          <w:i/>
          <w:sz w:val="18"/>
          <w:szCs w:val="18"/>
        </w:rPr>
        <w:t>])</w:t>
      </w:r>
      <w:r w:rsidR="005B07D0">
        <w:rPr>
          <w:rFonts w:ascii="Times New Roman" w:hAnsi="Times New Roman" w:cs="Times New Roman"/>
          <w:i/>
          <w:sz w:val="18"/>
          <w:szCs w:val="18"/>
        </w:rPr>
        <w:t>.</w:t>
      </w:r>
    </w:p>
    <w:p w14:paraId="07F081AC" w14:textId="77777777" w:rsidR="00163892" w:rsidRDefault="00163892" w:rsidP="00BB012E">
      <w:pPr>
        <w:spacing w:after="80"/>
        <w:ind w:left="216"/>
        <w:rPr>
          <w:rFonts w:ascii="Times New Roman" w:hAnsi="Times New Roman" w:cs="Times New Roman"/>
          <w:sz w:val="18"/>
          <w:szCs w:val="18"/>
        </w:rPr>
      </w:pPr>
    </w:p>
    <w:p w14:paraId="360C05DF" w14:textId="77777777" w:rsidR="00163892" w:rsidRDefault="00163892" w:rsidP="00BB012E">
      <w:pPr>
        <w:spacing w:after="80"/>
        <w:ind w:left="216"/>
        <w:rPr>
          <w:rFonts w:ascii="Times New Roman" w:hAnsi="Times New Roman" w:cs="Times New Roman"/>
          <w:sz w:val="18"/>
          <w:szCs w:val="18"/>
        </w:rPr>
      </w:pPr>
    </w:p>
    <w:p w14:paraId="60FBF779" w14:textId="77777777" w:rsidR="00163892" w:rsidRDefault="00163892" w:rsidP="00BB012E">
      <w:pPr>
        <w:spacing w:after="80"/>
        <w:ind w:left="216"/>
        <w:rPr>
          <w:rFonts w:ascii="Times New Roman" w:hAnsi="Times New Roman" w:cs="Times New Roman"/>
          <w:sz w:val="18"/>
          <w:szCs w:val="18"/>
        </w:rPr>
      </w:pPr>
    </w:p>
    <w:p w14:paraId="0459F0B7" w14:textId="77777777" w:rsidR="00163892" w:rsidRDefault="00163892" w:rsidP="00BB012E">
      <w:pPr>
        <w:spacing w:after="80"/>
        <w:ind w:left="216"/>
        <w:rPr>
          <w:rFonts w:ascii="Times New Roman" w:hAnsi="Times New Roman" w:cs="Times New Roman"/>
          <w:sz w:val="18"/>
          <w:szCs w:val="18"/>
        </w:rPr>
      </w:pPr>
    </w:p>
    <w:p w14:paraId="4D128859" w14:textId="77777777" w:rsidR="00163892" w:rsidRDefault="00163892" w:rsidP="00BB012E">
      <w:pPr>
        <w:spacing w:after="80"/>
        <w:ind w:left="216"/>
        <w:rPr>
          <w:rFonts w:ascii="Times New Roman" w:hAnsi="Times New Roman" w:cs="Times New Roman"/>
          <w:sz w:val="18"/>
          <w:szCs w:val="18"/>
        </w:rPr>
      </w:pPr>
    </w:p>
    <w:p w14:paraId="03A27F85" w14:textId="77777777" w:rsidR="00163892" w:rsidRDefault="00163892" w:rsidP="00BB012E">
      <w:pPr>
        <w:spacing w:after="80"/>
        <w:ind w:left="216"/>
        <w:rPr>
          <w:rFonts w:ascii="Times New Roman" w:hAnsi="Times New Roman" w:cs="Times New Roman"/>
          <w:sz w:val="18"/>
          <w:szCs w:val="18"/>
        </w:rPr>
      </w:pPr>
    </w:p>
    <w:p w14:paraId="158590B8" w14:textId="77777777" w:rsidR="00163892" w:rsidRPr="00163892" w:rsidRDefault="00163892" w:rsidP="00BB012E">
      <w:pPr>
        <w:spacing w:after="80"/>
        <w:ind w:left="216"/>
        <w:rPr>
          <w:rFonts w:ascii="Times New Roman" w:hAnsi="Times New Roman" w:cs="Times New Roman"/>
          <w:sz w:val="18"/>
          <w:szCs w:val="18"/>
        </w:rPr>
      </w:pPr>
    </w:p>
    <w:p w14:paraId="2B36748D" w14:textId="77777777" w:rsidR="00BB012E" w:rsidRPr="00BB012E" w:rsidRDefault="00BB012E" w:rsidP="00BB012E">
      <w:pPr>
        <w:keepNext/>
        <w:spacing w:before="120"/>
        <w:rPr>
          <w:rFonts w:ascii="Times New Roman" w:hAnsi="Times New Roman" w:cs="Times New Roman"/>
          <w:sz w:val="24"/>
          <w:szCs w:val="24"/>
        </w:rPr>
      </w:pPr>
      <w:r w:rsidRPr="00BB012E">
        <w:rPr>
          <w:rFonts w:ascii="Times New Roman" w:hAnsi="Times New Roman" w:cs="Times New Roman"/>
          <w:b/>
          <w:sz w:val="24"/>
          <w:szCs w:val="24"/>
        </w:rPr>
        <w:lastRenderedPageBreak/>
        <w:t>Embase (Elsevier)</w:t>
      </w:r>
    </w:p>
    <w:p w14:paraId="632212EC" w14:textId="77777777" w:rsidR="00BB012E" w:rsidRPr="00BB012E" w:rsidRDefault="00BB012E" w:rsidP="00BB012E">
      <w:pPr>
        <w:spacing w:after="80" w:line="240" w:lineRule="auto"/>
        <w:ind w:left="216"/>
        <w:rPr>
          <w:rFonts w:ascii="Times New Roman" w:hAnsi="Times New Roman" w:cs="Times New Roman"/>
          <w:i/>
          <w:iCs/>
          <w:sz w:val="18"/>
          <w:szCs w:val="18"/>
        </w:rPr>
      </w:pPr>
      <w:r w:rsidRPr="00BB012E">
        <w:rPr>
          <w:rFonts w:ascii="Times New Roman" w:hAnsi="Times New Roman" w:cs="Times New Roman"/>
          <w:i/>
          <w:iCs/>
          <w:sz w:val="18"/>
          <w:szCs w:val="18"/>
        </w:rPr>
        <w:t xml:space="preserve">('traumatic brain injury'/exp OR 'craniocerebral trauma'/exp OR 'traumatic brain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tbi:ti,ab,kw</w:t>
      </w:r>
      <w:proofErr w:type="spellEnd"/>
      <w:r w:rsidRPr="00BB012E">
        <w:rPr>
          <w:rFonts w:ascii="Times New Roman" w:hAnsi="Times New Roman" w:cs="Times New Roman"/>
          <w:i/>
          <w:iCs/>
          <w:sz w:val="18"/>
          <w:szCs w:val="18"/>
        </w:rPr>
        <w:t xml:space="preserve"> OR 'head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'traumatic head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'brain trauma':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AND ('health care cost'/exp OR 'cost analysis'/exp OR 'health care expenditure'/exp OR </w:t>
      </w:r>
      <w:proofErr w:type="spellStart"/>
      <w:r w:rsidRPr="00BB012E">
        <w:rPr>
          <w:rFonts w:ascii="Times New Roman" w:hAnsi="Times New Roman" w:cs="Times New Roman"/>
          <w:i/>
          <w:iCs/>
          <w:sz w:val="18"/>
          <w:szCs w:val="18"/>
        </w:rPr>
        <w:t>cost:ti,ab,kw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costs:ti,ab,kw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costing:ti,ab,kw</w:t>
      </w:r>
      <w:proofErr w:type="spellEnd"/>
      <w:r w:rsidRPr="00BB012E">
        <w:rPr>
          <w:rFonts w:ascii="Times New Roman" w:hAnsi="Times New Roman" w:cs="Times New Roman"/>
          <w:i/>
          <w:iCs/>
          <w:sz w:val="18"/>
          <w:szCs w:val="18"/>
        </w:rPr>
        <w:t xml:space="preserve"> OR economic*:</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expenditure*: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'financial burden':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'financial hardship':</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'out of pocket':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'catastrophic health expenditure':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affordability:ti,ab,kw</w:t>
      </w:r>
      <w:proofErr w:type="spellEnd"/>
      <w:r w:rsidRPr="00BB012E">
        <w:rPr>
          <w:rFonts w:ascii="Times New Roman" w:hAnsi="Times New Roman" w:cs="Times New Roman"/>
          <w:i/>
          <w:iCs/>
          <w:sz w:val="18"/>
          <w:szCs w:val="18"/>
        </w:rPr>
        <w:t xml:space="preserve"> OR 'direct medical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'indirect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'productivity loss*':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'income loss':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'distress financing':</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'caregiver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'hospital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'treatment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'rehabilitation cost*':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AND ('developing country'/exp OR 'low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'middle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'low and middle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lmic:ti,ab,kw</w:t>
      </w:r>
      <w:proofErr w:type="spellEnd"/>
      <w:r w:rsidRPr="00BB012E">
        <w:rPr>
          <w:rFonts w:ascii="Times New Roman" w:hAnsi="Times New Roman" w:cs="Times New Roman"/>
          <w:i/>
          <w:iCs/>
          <w:sz w:val="18"/>
          <w:szCs w:val="18"/>
        </w:rPr>
        <w:t xml:space="preserve"> OR </w:t>
      </w:r>
      <w:proofErr w:type="spellStart"/>
      <w:r w:rsidRPr="00BB012E">
        <w:rPr>
          <w:rFonts w:ascii="Times New Roman" w:hAnsi="Times New Roman" w:cs="Times New Roman"/>
          <w:i/>
          <w:iCs/>
          <w:sz w:val="18"/>
          <w:szCs w:val="18"/>
        </w:rPr>
        <w:t>lmics:ti,ab,kw</w:t>
      </w:r>
      <w:proofErr w:type="spellEnd"/>
      <w:r w:rsidRPr="00BB012E">
        <w:rPr>
          <w:rFonts w:ascii="Times New Roman" w:hAnsi="Times New Roman" w:cs="Times New Roman"/>
          <w:i/>
          <w:iCs/>
          <w:sz w:val="18"/>
          <w:szCs w:val="18"/>
        </w:rPr>
        <w:t xml:space="preserve"> OR 'Afghanistan':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'Guinea-Bissau':</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'Sierra Leone':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'Burkina Faso':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'North Korea':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'Somalia':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'Burundi':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'Liberia':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'South Sudan':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'Central African Republic':</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'Madagascar':</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'Sudan':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'Chad':</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'Malawi':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'Syria':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'Democratic Republic of the Congo':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'Mali':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'Uganda':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'Eritrea':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'Mozambique':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'Yemen':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'Ethiopia':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'Niger':</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'Gambia':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'Rwanda':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'Angola':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'India':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'Senegal':</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'Bangladesh':</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'Kenya':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'Solomon Islands':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'Benin':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'Kiribati':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'Tajikistan':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'Bhutan':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'Kyrgyzstan':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'United Republic of Tanzania':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'Bolivia, Plurinational State of':</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'Laos':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'Timor-Leste':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'Cambodia':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'Lebanon':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'Togo':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'Cameroon':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'Lesotho':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'Tunisia':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'Comoros':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'Mauritania':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'Uzbekistan':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'Republic of the Congo':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'Morocco':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'Vanuatu':</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'Cote d'Ivoire':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'Myanmar':</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'Venezuela, Bolivarian Republic of':</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'Djibouti':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'Namibia':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'Palestine':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'Egypt':</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'Nepal':</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'Zambia':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'Eswatini':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'Nicaragua':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'Zimbabwe':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'Ghana':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'Nigeria':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'Guinea':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'Pakistan':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'Papua New Guinea':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'Haiti':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'Sao Tome and Principe':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'Honduras':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'Albania':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'Gabon':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'Montenegro':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'Algeria':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'Georgia':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'North Macedonia':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'Argentina':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'Grenada':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'Paraguay':</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'Armenia':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'Guatemala':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'Peru':</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'Azerbaijan':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'Indonesia':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'Philippines':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'Belarus':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'Iran':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'Samoa':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'Belize':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'Iraq':</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'Serbia':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'Bosnia and Herzegovina':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'Jamaica':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'South Africa':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'Botswana':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'Jordan':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'Sri Lanka':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'Brazil':</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'Kazakhstan':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'St. Lucia':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'Cabo Verde':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'Kosovo':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'St. Vincent and the Grenadines':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'China':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'Libya':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'Suriname':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'Colombia':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'Malaysia':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'Thailand':</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'Cuba':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'Maldives':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'Tonga':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'Dominica':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'Marshall Islands':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'Turkey':</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'Dominican Republic':</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'Mauritius':</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'Turkmenistan':</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'Ecuador':</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'Mexico':</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'Tuvalu':</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'El Salvador':</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'Micronesia':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'Ukraine':</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'Equatorial Guinea':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'Moldova':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'Viet Nam':</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'Fiji':</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 xml:space="preserve"> OR 'Mongolia':</w:t>
      </w:r>
      <w:proofErr w:type="spellStart"/>
      <w:r w:rsidRPr="00BB012E">
        <w:rPr>
          <w:rFonts w:ascii="Times New Roman" w:hAnsi="Times New Roman" w:cs="Times New Roman"/>
          <w:i/>
          <w:iCs/>
          <w:sz w:val="18"/>
          <w:szCs w:val="18"/>
        </w:rPr>
        <w:t>ti,ab,kw</w:t>
      </w:r>
      <w:proofErr w:type="spellEnd"/>
      <w:r w:rsidRPr="00BB012E">
        <w:rPr>
          <w:rFonts w:ascii="Times New Roman" w:hAnsi="Times New Roman" w:cs="Times New Roman"/>
          <w:i/>
          <w:iCs/>
          <w:sz w:val="18"/>
          <w:szCs w:val="18"/>
        </w:rPr>
        <w:t>)</w:t>
      </w:r>
    </w:p>
    <w:p w14:paraId="7E52AF75" w14:textId="77777777" w:rsidR="00BB012E" w:rsidRDefault="00BB012E" w:rsidP="00BB012E">
      <w:pPr>
        <w:keepNext/>
        <w:spacing w:before="120"/>
        <w:rPr>
          <w:rFonts w:ascii="Times New Roman" w:hAnsi="Times New Roman" w:cs="Times New Roman"/>
          <w:b/>
          <w:sz w:val="24"/>
          <w:szCs w:val="24"/>
        </w:rPr>
      </w:pPr>
    </w:p>
    <w:p w14:paraId="10EEBE27" w14:textId="407FB515" w:rsidR="00BB012E" w:rsidRPr="00BB012E" w:rsidRDefault="00BB012E" w:rsidP="00BB012E">
      <w:pPr>
        <w:keepNext/>
        <w:spacing w:before="120"/>
        <w:rPr>
          <w:rFonts w:ascii="Times New Roman" w:hAnsi="Times New Roman" w:cs="Times New Roman"/>
          <w:sz w:val="24"/>
          <w:szCs w:val="24"/>
        </w:rPr>
      </w:pPr>
      <w:r w:rsidRPr="00BB012E">
        <w:rPr>
          <w:rFonts w:ascii="Times New Roman" w:hAnsi="Times New Roman" w:cs="Times New Roman"/>
          <w:b/>
          <w:sz w:val="24"/>
          <w:szCs w:val="24"/>
        </w:rPr>
        <w:t>Scopus</w:t>
      </w:r>
    </w:p>
    <w:p w14:paraId="7054E15C" w14:textId="77777777" w:rsidR="00163892" w:rsidRDefault="00BB012E" w:rsidP="00163892">
      <w:pPr>
        <w:spacing w:after="80" w:line="240" w:lineRule="auto"/>
        <w:ind w:left="216"/>
        <w:rPr>
          <w:rFonts w:ascii="Times New Roman" w:hAnsi="Times New Roman" w:cs="Times New Roman"/>
          <w:i/>
          <w:iCs/>
          <w:sz w:val="18"/>
          <w:szCs w:val="18"/>
        </w:rPr>
      </w:pPr>
      <w:r w:rsidRPr="00BB012E">
        <w:rPr>
          <w:rFonts w:ascii="Times New Roman" w:hAnsi="Times New Roman" w:cs="Times New Roman"/>
          <w:i/>
          <w:iCs/>
          <w:sz w:val="18"/>
          <w:szCs w:val="18"/>
        </w:rPr>
        <w:t xml:space="preserve">TITLE-ABS-KEY(("traumatic brain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 xml:space="preserve">*" OR TBI OR "head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 xml:space="preserve">*" OR "traumatic head </w:t>
      </w:r>
      <w:proofErr w:type="spellStart"/>
      <w:r w:rsidRPr="00BB012E">
        <w:rPr>
          <w:rFonts w:ascii="Times New Roman" w:hAnsi="Times New Roman" w:cs="Times New Roman"/>
          <w:i/>
          <w:iCs/>
          <w:sz w:val="18"/>
          <w:szCs w:val="18"/>
        </w:rPr>
        <w:t>injur</w:t>
      </w:r>
      <w:proofErr w:type="spellEnd"/>
      <w:r w:rsidRPr="00BB012E">
        <w:rPr>
          <w:rFonts w:ascii="Times New Roman" w:hAnsi="Times New Roman" w:cs="Times New Roman"/>
          <w:i/>
          <w:iCs/>
          <w:sz w:val="18"/>
          <w:szCs w:val="18"/>
        </w:rPr>
        <w:t xml:space="preserve">*" OR "brain trauma" OR "craniocerebral trauma") AND (cost OR costs OR costing OR economic* OR expenditure* OR "financial burden" OR "financial hardship" OR "out-of-pocket" OR "out of pocket" OR "catastrophic health expenditure" OR "catastrophic expenditure" OR affordability OR "direct medical cost*" OR "direct non-medical cost*" OR "indirect cost*" OR "productivity loss*" OR "income loss" OR "lost income" OR "lost wage*" OR "household expenditure" OR "distress financing" OR borrowing OR "asset sale*" OR "caregiver cost*" OR "hospital cost*" OR "treatment cost*" OR "rehabilitation cost*" OR "resource </w:t>
      </w:r>
      <w:proofErr w:type="spellStart"/>
      <w:r w:rsidRPr="00BB012E">
        <w:rPr>
          <w:rFonts w:ascii="Times New Roman" w:hAnsi="Times New Roman" w:cs="Times New Roman"/>
          <w:i/>
          <w:iCs/>
          <w:sz w:val="18"/>
          <w:szCs w:val="18"/>
        </w:rPr>
        <w:t>utili?ation</w:t>
      </w:r>
      <w:proofErr w:type="spellEnd"/>
      <w:r w:rsidRPr="00BB012E">
        <w:rPr>
          <w:rFonts w:ascii="Times New Roman" w:hAnsi="Times New Roman" w:cs="Times New Roman"/>
          <w:i/>
          <w:iCs/>
          <w:sz w:val="18"/>
          <w:szCs w:val="18"/>
        </w:rPr>
        <w:t xml:space="preserve">" OR "resource use") AND ("low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 xml:space="preserve">*" OR "middle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 xml:space="preserve">*" OR "low and middle 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 xml:space="preserve">*" OR "low- and middle-income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 xml:space="preserve">*" OR LMIC OR LMICs OR "developing </w:t>
      </w:r>
      <w:proofErr w:type="spellStart"/>
      <w:r w:rsidRPr="00BB012E">
        <w:rPr>
          <w:rFonts w:ascii="Times New Roman" w:hAnsi="Times New Roman" w:cs="Times New Roman"/>
          <w:i/>
          <w:iCs/>
          <w:sz w:val="18"/>
          <w:szCs w:val="18"/>
        </w:rPr>
        <w:t>countr</w:t>
      </w:r>
      <w:proofErr w:type="spellEnd"/>
      <w:r w:rsidRPr="00BB012E">
        <w:rPr>
          <w:rFonts w:ascii="Times New Roman" w:hAnsi="Times New Roman" w:cs="Times New Roman"/>
          <w:i/>
          <w:iCs/>
          <w:sz w:val="18"/>
          <w:szCs w:val="18"/>
        </w:rPr>
        <w:t xml:space="preserve">*" OR "Afghanistan" OR "Guinea-Bissau" OR "Sierra Leone" OR "Burkina Faso" OR "North Korea" OR "Somalia" OR "Burundi" OR "Liberia" OR "South Sudan" OR "Central African Republic" OR "Madagascar" OR "Sudan" OR "Chad" OR "Malawi" OR "Syria" OR "Democratic Republic of the Congo" OR "Mali" OR "Uganda" OR "Eritrea" OR "Mozambique" OR "Yemen" OR "Ethiopia" OR "Niger" OR "Gambia" OR "Rwanda" OR "Angola" OR "India" OR "Senegal" OR "Bangladesh" OR "Kenya" OR "Solomon Islands" OR "Benin" OR "Kiribati" OR "Tajikistan" OR "Bhutan" OR "Kyrgyzstan" OR "United Republic of Tanzania" OR "Bolivia, Plurinational State of" OR "Laos" OR "Timor-Leste" OR "Cambodia" OR "Lebanon" OR </w:t>
      </w:r>
      <w:r w:rsidRPr="00BB012E">
        <w:rPr>
          <w:rFonts w:ascii="Times New Roman" w:hAnsi="Times New Roman" w:cs="Times New Roman"/>
          <w:i/>
          <w:iCs/>
          <w:sz w:val="18"/>
          <w:szCs w:val="18"/>
        </w:rPr>
        <w:lastRenderedPageBreak/>
        <w:t>"Togo" OR "Cameroon" OR "Lesotho" OR "Tunisia" OR "Comoros" OR "Mauritania" OR "Uzbekistan" OR "Republic of the Congo" OR "Morocco" OR "Vanuatu" OR "Cote d'Ivoire" OR "Myanmar" OR "Venezuela, Bolivarian Republic of" OR "Djibouti" OR "Namibia" OR "Palestine" OR "Egypt" OR "Nepal" OR "Zambia" OR "Eswatini" OR "Nicaragua" OR "Zimbabwe" OR "Ghana" OR "Nigeria" OR "Guinea" OR "Pakistan" OR "Papua New Guinea" OR "Haiti" OR "Sao Tome and Principe" OR "Honduras" OR "Albania" OR "Gabon" OR "Montenegro" OR "Algeria" OR "Georgia" OR "North Macedonia" OR "Argentina" OR "Grenada" OR "Paraguay" OR "Armenia" OR "Guatemala" OR "Peru" OR "Azerbaijan" OR "Indonesia" OR "Philippines" OR "Belarus" OR "Iran" OR "Samoa" OR "Belize" OR "Iraq" OR "Serbia" OR "Bosnia and Herzegovina" OR "Jamaica" OR "South Africa" OR "Botswana" OR "Jordan" OR "Sri Lanka" OR "Brazil" OR "Kazakhstan" OR "St. Lucia" OR "Cabo Verde" OR "Kosovo" OR "St. Vincent and the Grenadines" OR "China" OR "Libya" OR "Suriname" OR "Colombia" OR "Malaysia" OR "Thailand" OR "Cuba" OR "Maldives" OR "Tonga" OR "Dominica" OR "Marshall Islands" OR "Turkey" OR "Dominican Republic" OR "Mauritius" OR "Turkmenistan" OR "Ecuador" OR "Mexico" OR "Tuvalu" OR "El Salvador" OR "Micronesia" OR "Ukraine" OR "Equatorial Guinea" OR "Moldova" OR "Viet Nam" OR "Fiji" OR "Mongolia"))</w:t>
      </w:r>
      <w:r w:rsidR="00163892">
        <w:rPr>
          <w:rFonts w:ascii="Times New Roman" w:hAnsi="Times New Roman" w:cs="Times New Roman"/>
          <w:i/>
          <w:iCs/>
          <w:sz w:val="18"/>
          <w:szCs w:val="18"/>
        </w:rPr>
        <w:t xml:space="preserve">  </w:t>
      </w:r>
    </w:p>
    <w:p w14:paraId="7C5052FC" w14:textId="77777777" w:rsidR="00933672" w:rsidRDefault="00933672" w:rsidP="00163892">
      <w:pPr>
        <w:spacing w:after="80" w:line="240" w:lineRule="auto"/>
        <w:ind w:left="216"/>
        <w:rPr>
          <w:rFonts w:ascii="Times New Roman" w:hAnsi="Times New Roman" w:cs="Times New Roman"/>
          <w:i/>
          <w:iCs/>
          <w:sz w:val="18"/>
          <w:szCs w:val="18"/>
        </w:rPr>
      </w:pPr>
    </w:p>
    <w:p w14:paraId="19F6AC8A" w14:textId="3142F244" w:rsidR="00163892" w:rsidRPr="00163892" w:rsidRDefault="00163892" w:rsidP="00163892">
      <w:pPr>
        <w:spacing w:after="80" w:line="240" w:lineRule="auto"/>
        <w:ind w:left="216"/>
        <w:rPr>
          <w:rFonts w:ascii="Times New Roman" w:hAnsi="Times New Roman" w:cs="Times New Roman"/>
          <w:i/>
          <w:iCs/>
          <w:sz w:val="18"/>
          <w:szCs w:val="18"/>
        </w:rPr>
      </w:pPr>
      <w:r w:rsidRPr="00163892">
        <w:rPr>
          <w:rFonts w:ascii="Times New Roman" w:hAnsi="Times New Roman" w:cs="Times New Roman"/>
          <w:b/>
          <w:bCs/>
          <w:sz w:val="24"/>
          <w:szCs w:val="24"/>
        </w:rPr>
        <w:t>Supplementary Table S2. Reasons for exclusion at full-text assessment</w:t>
      </w:r>
    </w:p>
    <w:tbl>
      <w:tblPr>
        <w:tblStyle w:val="GridTable1Light"/>
        <w:tblW w:w="0" w:type="auto"/>
        <w:tblLook w:val="04A0" w:firstRow="1" w:lastRow="0" w:firstColumn="1" w:lastColumn="0" w:noHBand="0" w:noVBand="1"/>
      </w:tblPr>
      <w:tblGrid>
        <w:gridCol w:w="465"/>
        <w:gridCol w:w="1272"/>
        <w:gridCol w:w="2604"/>
        <w:gridCol w:w="2586"/>
        <w:gridCol w:w="1703"/>
      </w:tblGrid>
      <w:tr w:rsidR="00E6151E" w:rsidRPr="00163892" w14:paraId="6B909D57" w14:textId="77777777" w:rsidTr="005C070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0DFA2471"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S/N</w:t>
            </w:r>
          </w:p>
        </w:tc>
        <w:tc>
          <w:tcPr>
            <w:tcW w:w="0" w:type="auto"/>
          </w:tcPr>
          <w:p w14:paraId="5054B3FA" w14:textId="39569742" w:rsidR="00E6151E" w:rsidRPr="00163892" w:rsidRDefault="00E6151E" w:rsidP="0016389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Author/Year</w:t>
            </w:r>
          </w:p>
        </w:tc>
        <w:tc>
          <w:tcPr>
            <w:tcW w:w="0" w:type="auto"/>
          </w:tcPr>
          <w:p w14:paraId="32CFB88B" w14:textId="1CE329C3" w:rsidR="00E6151E" w:rsidRPr="00163892" w:rsidRDefault="00E6151E" w:rsidP="0016389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Study / setting</w:t>
            </w:r>
          </w:p>
        </w:tc>
        <w:tc>
          <w:tcPr>
            <w:tcW w:w="0" w:type="auto"/>
          </w:tcPr>
          <w:p w14:paraId="5C896F1C" w14:textId="524EC45B" w:rsidR="00E6151E" w:rsidRPr="00163892" w:rsidRDefault="00E6151E" w:rsidP="0016389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Verified reason for exclusion</w:t>
            </w:r>
          </w:p>
        </w:tc>
        <w:tc>
          <w:tcPr>
            <w:tcW w:w="0" w:type="auto"/>
          </w:tcPr>
          <w:p w14:paraId="1F787797" w14:textId="77777777" w:rsidR="00E6151E" w:rsidRPr="00163892" w:rsidRDefault="00E6151E" w:rsidP="00163892">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PRISMA exclusion category</w:t>
            </w:r>
          </w:p>
        </w:tc>
      </w:tr>
      <w:tr w:rsidR="00E6151E" w:rsidRPr="00163892" w14:paraId="02384268"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5F1095E"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w:t>
            </w:r>
          </w:p>
        </w:tc>
        <w:tc>
          <w:tcPr>
            <w:tcW w:w="0" w:type="auto"/>
          </w:tcPr>
          <w:p w14:paraId="2B01313E" w14:textId="5AE031F9"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Frankiewicz et al., 2024</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ZOTERO_ITEM CSL_CITATION {"citationID":"WIcnSNgh","properties":{"unsorted":false,"formattedCitation":"\\super 1\\nosupersub{}","plainCitation":"1","noteIndex":0},"citationItems":[{"id":2462,"uris":["http://zotero.org/users/local/we6rVKg5/items/PNP3RAQD"],"itemData":{"id":2462,"type":"article-journal","abstract":"Background\n              Trauma and injury present a significant global burden–one that is exacerbated in low- and middle-income settings like Tanzania. Our study aimed to describe the landscape of acute injury care and financial toxicity in the Kilimanjaro region by leveraging the Three Delays Model.\n            \n            \n              Methods\n              This cross-sectional study used an ongoing injury registry and financial questionnaires collected at Kilimanjaro Christian Medical Centre (KCMC) in Moshi, Tanzania from December 2022 until March 2023. Financial toxicity measures included catastrophic expenditure and impoverishment, in accordance with World Health Organization standards. Descriptive analysis was also performed.\n            \n            \n              Findings\n              Most acute injury patients that presented to the KCMC Emergency Department experienced financial toxicity due to their out-of-pocket (OOP) hospital expenses (catastrophic health expenditure, CHE: 62.8%; impoverishment, IMP: 85.9%). Households within our same which experienced financial toxicity had more dependents (CHE: 18.4%; IMP: 17.9% with ≥6 dependents) and lower median monthly adult-equivalent incomes (CHE: 2.53 times smaller than non-CHE; IMP: 4.27 times smaller than non-IMP). Individuals experiencing financial toxicity also underwent more facility transfers with a higher surgical burden.\n            \n            \n              Interpretation\n              Delay 1 (decision to seek care) and Delay 2 (reaching appropriate care facility) could be significant factors for those who will experience financial toxicity. In the Tanzanian healthcare system where national health insurance is present, systematic expansions are indicated to target those who are at higher risk for financial toxicity including those who live in rural areas, experience unemployment, and have many dependents.","container-title":"PLOS ONE","DOI":"10.1371/journal.pone.0308539","ISSN":"1932-6203","issue":"8","journalAbbreviation":"PLoS ONE","language":"en","page":"e0308539","source":"DOI.org (Crossref)","title":"Financial toxicity and acute injury in the Kilimanjaro region: An application of the Three Delays Model","title-short":"Financial toxicity and acute injury in the Kilimanjaro region","URL":"https://dx.plos.org/10.1371/journal.pone.0308539","volume":"19","author":[{"family":"Frankiewicz","given":"Parker"},{"family":"Sawe","given":"Yvonne"},{"family":"Sakita","given":"Francis"},{"family":"Mmbaga","given":"Blandina T."},{"family":"Staton","given":"Catherine"},{"family":"Joiner","given":"Anjni P."},{"family":"Smith","given":"Emily R."}],"editor":[{"family":"Makram","given":"Abdelrahman M."}],"accessed":{"date-parts":[["2026",10,11]]},"issued":{"date-parts":[["2024",8,30]]}}}],"schema":"https://github.com/citation-style-language/schema/raw/master/csl-citation.json"} </w:instrText>
            </w:r>
            <w:r>
              <w:rPr>
                <w:rFonts w:ascii="Times New Roman" w:hAnsi="Times New Roman" w:cs="Times New Roman"/>
                <w:sz w:val="16"/>
                <w:szCs w:val="16"/>
              </w:rPr>
              <w:fldChar w:fldCharType="separate"/>
            </w:r>
            <w:r w:rsidRPr="00E6151E">
              <w:rPr>
                <w:rFonts w:ascii="Times New Roman" w:hAnsi="Times New Roman" w:cs="Times New Roman"/>
                <w:sz w:val="16"/>
                <w:vertAlign w:val="superscript"/>
              </w:rPr>
              <w:t>1</w:t>
            </w:r>
            <w:r>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7A28704E" w14:textId="65EA109F"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Financial toxicity and acute injury in the Kilimanjaro region: An application of the Three Delays Model</w:t>
            </w:r>
            <w:r w:rsidRPr="00163892">
              <w:rPr>
                <w:rFonts w:ascii="Times New Roman" w:hAnsi="Times New Roman" w:cs="Times New Roman"/>
                <w:sz w:val="16"/>
                <w:szCs w:val="16"/>
              </w:rPr>
              <w:br/>
              <w:t>Tanzania</w:t>
            </w:r>
          </w:p>
        </w:tc>
        <w:tc>
          <w:tcPr>
            <w:tcW w:w="0" w:type="auto"/>
          </w:tcPr>
          <w:p w14:paraId="67CAE60C" w14:textId="65E76C09"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Economic outcomes were reported for an all-acute-injury cohort; TBI-specific economic data were not reported separately.</w:t>
            </w:r>
          </w:p>
        </w:tc>
        <w:tc>
          <w:tcPr>
            <w:tcW w:w="0" w:type="auto"/>
          </w:tcPr>
          <w:p w14:paraId="6DE841FC"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170558D2"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3584BF3"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2</w:t>
            </w:r>
          </w:p>
        </w:tc>
        <w:tc>
          <w:tcPr>
            <w:tcW w:w="0" w:type="auto"/>
          </w:tcPr>
          <w:p w14:paraId="2D667DA7" w14:textId="7139D139"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163892">
              <w:rPr>
                <w:rFonts w:ascii="Times New Roman" w:hAnsi="Times New Roman" w:cs="Times New Roman"/>
                <w:sz w:val="16"/>
                <w:szCs w:val="16"/>
              </w:rPr>
              <w:t>Nishtala</w:t>
            </w:r>
            <w:proofErr w:type="spellEnd"/>
            <w:r w:rsidRPr="00163892">
              <w:rPr>
                <w:rFonts w:ascii="Times New Roman" w:hAnsi="Times New Roman" w:cs="Times New Roman"/>
                <w:sz w:val="16"/>
                <w:szCs w:val="16"/>
              </w:rPr>
              <w:t xml:space="preserve"> et al., 2023</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ZOTERO_ITEM CSL_CITATION {"citationID":"lnd51Uhw","properties":{"unsorted":false,"formattedCitation":"\\super 2\\nosupersub{}","plainCitation":"2","noteIndex":0},"citationItems":[{"id":2464,"uris":["http://zotero.org/users/local/we6rVKg5/items/EP4Q9LD5"],"itemData":{"id":2464,"type":"article-journal","abstract":"BACKGROUND\n              Motor vehicle crashes (MVCs) are a leading cause of nonfatal injury in the United States and impose a high financial cost to the patient and the economy. For many patients, this cost may be financially devastating and contribute to worsening health outcomes after injury. We aimed to describe the population level risk of catastrophic health expenditure (CHE) and determine factors associated with risk of CHE.\n            \n            \n              METHODS\n              We performed a retrospective review using the 2014–2017 Nationwide Inpatient Sample. The study population consisted of uninsured and privately insured adults aged 26 to 64 years who were hospitalized for nonneurologic traumatic injury due to MVCs. Our measure of financial hardship was CHE, which was defined as hospital charges ≥40% of postsubsistence income. Income estimates were derived from zip-code level data using Γ distribution modeling.\n            \n            \n              RESULTS\n              Our sample included 189,000 patients, of which 149,705 had private insurance and 39,375 were uninsured. The median estimated income for the study cohort was $66,118 (interquartile range, $65,353–$66,884). The median cost of hospitalization was $53,467 (interquartile range, $29,854–$99,914). In addition, 91.5% of uninsured patients suffering from MVC are at risk for CHE, and 10.1% of privately insured patients are at risk for CHE. Among the insured, Black, Hispanic, and low income were associated with CHE.\n            \n            \n              CONCLUSION\n              Nine of 10 uninsured patients are at risk for CHE after hospitalization for MVC. Despite having insurance, 10% of patients are still at risk of CHE. Black, Hispanic, and low-income communities are at highest risk of having private insurance and still experiencing CHE. This is the first population level analysis after the implementation of the Affordable Care Act that assesses the financial burden of no insurance and underinsurance. These data are important to understand the effectiveness of insurance coverage and guide hospital and policy level interventions to prevent CHE.\n            \n            \n              LEVEL OF EVIDENCE\n              Prognostic and Epidemiological; Level III.","container-title":"Journal of Trauma and Acute Care Surgery","DOI":"10.1097/TA.0000000000003993","ISSN":"2163-0763, 2163-0755","issue":"2","journalAbbreviation":"J Trauma Acute Care Surg","language":"en","page":"172-180","source":"DOI.org (Crossref)","title":"Catastrophic health expenditure in nonneurological injury due to motor vehicle crash","URL":"https://journals.lww.com/10.1097/TA.0000000000003993","volume":"95","author":[{"family":"Nishtala","given":"Madhuri V."},{"family":"Reed","given":"Madeline"},{"family":"Schumacher","given":"Jessica"},{"family":"Hanlon","given":"Bret"},{"family":"Venkatesh","given":"Manasa"},{"family":"Collins","given":"Michael"},{"family":"Zarzaur","given":"Ben L."}],"accessed":{"date-parts":[["2026",10,11]]},"issued":{"date-parts":[["2023",8]]}}}],"schema":"https://github.com/citation-style-language/schema/raw/master/csl-citation.json"} </w:instrText>
            </w:r>
            <w:r>
              <w:rPr>
                <w:rFonts w:ascii="Times New Roman" w:hAnsi="Times New Roman" w:cs="Times New Roman"/>
                <w:sz w:val="16"/>
                <w:szCs w:val="16"/>
              </w:rPr>
              <w:fldChar w:fldCharType="separate"/>
            </w:r>
            <w:r w:rsidRPr="00E6151E">
              <w:rPr>
                <w:rFonts w:ascii="Times New Roman" w:hAnsi="Times New Roman" w:cs="Times New Roman"/>
                <w:sz w:val="16"/>
                <w:vertAlign w:val="superscript"/>
              </w:rPr>
              <w:t>2</w:t>
            </w:r>
            <w:r>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6FE61442" w14:textId="58F9ABF8"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Catastrophic Health Expenditure in Non-Neurological Injury due to Motor Vehicle Crash</w:t>
            </w:r>
            <w:r w:rsidRPr="00163892">
              <w:rPr>
                <w:rFonts w:ascii="Times New Roman" w:hAnsi="Times New Roman" w:cs="Times New Roman"/>
                <w:sz w:val="16"/>
                <w:szCs w:val="16"/>
              </w:rPr>
              <w:br/>
              <w:t>United States</w:t>
            </w:r>
          </w:p>
        </w:tc>
        <w:tc>
          <w:tcPr>
            <w:tcW w:w="0" w:type="auto"/>
          </w:tcPr>
          <w:p w14:paraId="4FEF2803" w14:textId="7C6954C5"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High-income-country study and explicitly restricted to non-neurological traumatic injury; not an LMIC TBI population.</w:t>
            </w:r>
          </w:p>
        </w:tc>
        <w:tc>
          <w:tcPr>
            <w:tcW w:w="0" w:type="auto"/>
          </w:tcPr>
          <w:p w14:paraId="24DEEBB6"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42E16271"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32D3081"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3</w:t>
            </w:r>
          </w:p>
        </w:tc>
        <w:tc>
          <w:tcPr>
            <w:tcW w:w="0" w:type="auto"/>
          </w:tcPr>
          <w:p w14:paraId="37AA91E4" w14:textId="405E196C"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Abdul Rahim et al., 2026</w:t>
            </w:r>
            <w:r>
              <w:rPr>
                <w:rFonts w:ascii="Times New Roman" w:hAnsi="Times New Roman" w:cs="Times New Roman"/>
                <w:sz w:val="16"/>
                <w:szCs w:val="16"/>
              </w:rPr>
              <w:fldChar w:fldCharType="begin"/>
            </w:r>
            <w:r>
              <w:rPr>
                <w:rFonts w:ascii="Times New Roman" w:hAnsi="Times New Roman" w:cs="Times New Roman"/>
                <w:sz w:val="16"/>
                <w:szCs w:val="16"/>
              </w:rPr>
              <w:instrText xml:space="preserve"> ADDIN ZOTERO_ITEM CSL_CITATION {"citationID":"51miqUbw","properties":{"unsorted":false,"formattedCitation":"\\super 3\\nosupersub{}","plainCitation":"3","noteIndex":0},"citationItems":[{"id":2465,"uris":["http://zotero.org/users/local/we6rVKg5/items/Z36DJDM9"],"itemData":{"id":2465,"type":"article-journal","abstract":"ABSTRACT\n            \n              Introduction\n              Healthcare financing models significantly impact health outcomes across many diseases in high‐income countries (HICs). In low or middle‐income countries (LMICs), where financial vulnerabilities are much higher, little is known about the relationship between payment mechanisms and emergency care outcomes. This study aimed to quantify the association between trauma care payment mechanisms and inpatient mortality.\n            \n            \n              Methods\n              We conducted analysis of data from in four facilities in province Sindh, Pakistan (two urban and two rural sites) collected between May 2023 and February 2025. The outcomes were inpatient mortality and length of stay (LOS). We compared patients with out‐of‐pocket (OOP) expenses with no‐OOP. We calculated adjusted odds ratio with a 95% confidence interval for OOP after controlling for age, sex, injury severity (Kampala Trauma Score [KTS]), blood transfusion, procedure, comorbidity, and setting. We also applied propensity score matching (PSM) on age, sex, mechanism of injury, injury severity (KTS), and setting.\n            \n            \n              Results\n              \n                Most of the 3572 enrolled patients were young (median age 35 years and IQR 25–50) males (81.95%) and a third paid OOP for hospital care (\n                n\n                 = 978 and 37.38%). The overall mortality rate was 4.85%, with a significantly higher mortality rate among the OOP group compared to the no‐OOP group (10.02% vs. 2.89%; AOR 3.14: 95% CI 1.93, 5.10). Additionally, the hospital LOS (median 4 vs. 9 days and\n                p\n                value &lt; 0.001) and mean survival time of patients (22.81 days vs. 28.67 and\n                p\n                value &lt; 0.001) were lower for the OOP group than no‐OOP group. The odds ratio after PSM showed a weak significant independent association between OOP and mortality (OR 1.05; 95% CI 1.02, 1.08).\n              \n            \n            \n              Conclusion\n              Patients who paid OOP for injury care had greater mortality, suggesting that alternative financing strategies could improve outcomes in LMICs. Additionally, OOP was associated with shorter LOS, highlighting the need to improve universal health coverage for complete injury care.","container-title":"World Journal of Surgery","DOI":"10.1002/wjs.70243","ISSN":"0364-2313, 1432-2323","issue":"3","journalAbbreviation":"World j. surg.","language":"en","license":"http://onlinelibrary.wiley.com/termsAndConditions#vor","page":"739-749","source":"DOI.org (Crossref)","title":"Paying the Price: The Intersection of Out‐of‐Pocket Expenses and Trauma Mortality in Pakistan","title-short":"Paying the Price","URL":"https://onlinelibrary.wiley.com/doi/10.1002/wjs.70243","volume":"50","author":[{"family":"Abdul Rahim","given":"Komal"},{"literal":"The Equi‐Injury Pakistan"}],"accessed":{"date-parts":[["2026",10,11]]},"issued":{"date-parts":[["2026",3]]}}}],"schema":"https://github.com/citation-style-language/schema/raw/master/csl-citation.json"} </w:instrText>
            </w:r>
            <w:r>
              <w:rPr>
                <w:rFonts w:ascii="Times New Roman" w:hAnsi="Times New Roman" w:cs="Times New Roman"/>
                <w:sz w:val="16"/>
                <w:szCs w:val="16"/>
              </w:rPr>
              <w:fldChar w:fldCharType="separate"/>
            </w:r>
            <w:r w:rsidRPr="00E6151E">
              <w:rPr>
                <w:rFonts w:ascii="Times New Roman" w:hAnsi="Times New Roman" w:cs="Times New Roman"/>
                <w:sz w:val="16"/>
                <w:vertAlign w:val="superscript"/>
              </w:rPr>
              <w:t>3</w:t>
            </w:r>
            <w:r>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7828722F" w14:textId="2B885CE3"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Paying the Price: The Intersection of Out-of-Pocket Expenses and Trauma Mortality in Pakistan</w:t>
            </w:r>
            <w:r>
              <w:rPr>
                <w:rFonts w:ascii="Times New Roman" w:hAnsi="Times New Roman" w:cs="Times New Roman"/>
                <w:sz w:val="16"/>
                <w:szCs w:val="16"/>
              </w:rPr>
              <w:t>.</w:t>
            </w:r>
          </w:p>
        </w:tc>
        <w:tc>
          <w:tcPr>
            <w:tcW w:w="0" w:type="auto"/>
          </w:tcPr>
          <w:p w14:paraId="25ABA72E" w14:textId="68A40A35"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Economic outcomes were reported for a general trauma cohort; TBI-specific results were not separately extractable.</w:t>
            </w:r>
          </w:p>
        </w:tc>
        <w:tc>
          <w:tcPr>
            <w:tcW w:w="0" w:type="auto"/>
          </w:tcPr>
          <w:p w14:paraId="453950E6"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18C6F434"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B8A6F8D"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4</w:t>
            </w:r>
          </w:p>
        </w:tc>
        <w:tc>
          <w:tcPr>
            <w:tcW w:w="0" w:type="auto"/>
          </w:tcPr>
          <w:p w14:paraId="68E660A4" w14:textId="57F12A7B"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163892">
              <w:rPr>
                <w:rFonts w:ascii="Times New Roman" w:hAnsi="Times New Roman" w:cs="Times New Roman"/>
                <w:sz w:val="16"/>
                <w:szCs w:val="16"/>
              </w:rPr>
              <w:t>Adesoba</w:t>
            </w:r>
            <w:proofErr w:type="spellEnd"/>
            <w:r w:rsidRPr="00163892">
              <w:rPr>
                <w:rFonts w:ascii="Times New Roman" w:hAnsi="Times New Roman" w:cs="Times New Roman"/>
                <w:sz w:val="16"/>
                <w:szCs w:val="16"/>
              </w:rPr>
              <w:t xml:space="preserve"> et al., 2026</w:t>
            </w:r>
            <w:r w:rsidR="00B8496C">
              <w:rPr>
                <w:rFonts w:ascii="Times New Roman" w:hAnsi="Times New Roman" w:cs="Times New Roman"/>
                <w:sz w:val="16"/>
                <w:szCs w:val="16"/>
              </w:rPr>
              <w:fldChar w:fldCharType="begin"/>
            </w:r>
            <w:r w:rsidR="00B8496C">
              <w:rPr>
                <w:rFonts w:ascii="Times New Roman" w:hAnsi="Times New Roman" w:cs="Times New Roman"/>
                <w:sz w:val="16"/>
                <w:szCs w:val="16"/>
              </w:rPr>
              <w:instrText xml:space="preserve"> ADDIN ZOTERO_ITEM CSL_CITATION {"citationID":"hEEbFyyl","properties":{"unsorted":false,"formattedCitation":"\\super 4\\nosupersub{}","plainCitation":"4","noteIndex":0},"citationItems":[{"id":2466,"uris":["http://zotero.org/users/local/we6rVKg5/items/ETAFMMLE"],"itemData":{"id":2466,"type":"article-journal","abstract":"Background\n              Trauma registries are essential for improving trauma care and informing injury prevention programmes, yet their sustainability remains a challenge in low and middle-income countries due to financial constraints. This study estimated the cost of establishing and maintaining a feasible trauma registry in a tertiary hospital setting in Nigeria, addressing the scarcity of costing studies for African trauma registries and supporting cost-effective investments in trauma care systems.\n            \n            \n              Methods\n              This study utilised a previously developed prototype trauma registry for University College Hospital, Ibadan, Nigeria. The registry comprises 23 cost components, which were further classified into fixed and variable costs. Cost data were obtained by averaging multiple sources when relevant or selecting the most context-appropriate data. The Time-Driven Activity-Based Costing method was used to estimate start-up and annual maintenance costs. A deterministic sensitivity analysis was conducted to identify the most sensitive cost parameters, with registry input parameters variably adjusted by ±20%.\n            \n            \n              Results\n              The estimated cost of establishing a trauma registry in University College Hospital, Ibadan, Nigeria, was US$18 189, with an annual maintenance cost of US$25 606. According to the deterministic sensitivity analysis, the estimated start-up and annual maintenance costs were most sensitive to changes in the cost of training healthcare workers and data extractor officers, respectively.\n            \n            \n              Conclusions\n              The study identifies key cost drivers and provides specific cost data to support stakeholders in planning and scaling trauma registries in Nigeria and resource-constrained settings, while also aiding the development of long-term funding strategies.","container-title":"Injury Prevention","DOI":"10.1136/ip-2025-045780","ISSN":"1353-8047, 1475-5785","journalAbbreviation":"Inj Prev","language":"en","page":"ip-2025-045780","source":"DOI.org (Crossref)","title":"Estimating the cost of establishing and maintaining a trauma registry at a tertiary health institution in a low and middle-income country","URL":"https://injuryprevention.bmj.com/lookup/doi/10.1136/ip-2025-045780","author":[{"family":"Adesoba","given":"Helen"},{"family":"Olumide","given":"Adesola"},{"family":"Bonander","given":"Carl"}],"accessed":{"date-parts":[["2026",10,11]]},"issued":{"date-parts":[["2026",3,10]]}}}],"schema":"https://github.com/citation-style-language/schema/raw/master/csl-citation.json"} </w:instrText>
            </w:r>
            <w:r w:rsidR="00B8496C">
              <w:rPr>
                <w:rFonts w:ascii="Times New Roman" w:hAnsi="Times New Roman" w:cs="Times New Roman"/>
                <w:sz w:val="16"/>
                <w:szCs w:val="16"/>
              </w:rPr>
              <w:fldChar w:fldCharType="separate"/>
            </w:r>
            <w:r w:rsidR="00B8496C" w:rsidRPr="00B8496C">
              <w:rPr>
                <w:rFonts w:ascii="Times New Roman" w:hAnsi="Times New Roman" w:cs="Times New Roman"/>
                <w:sz w:val="16"/>
                <w:vertAlign w:val="superscript"/>
              </w:rPr>
              <w:t>4</w:t>
            </w:r>
            <w:r w:rsidR="00B8496C">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2DB90D6F" w14:textId="5D3B35A2"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Estimating the cost of establishing and maintaining a trauma registry at a tertiary health institution in a low and middle-income country</w:t>
            </w:r>
            <w:r w:rsidRPr="00163892">
              <w:rPr>
                <w:rFonts w:ascii="Times New Roman" w:hAnsi="Times New Roman" w:cs="Times New Roman"/>
                <w:sz w:val="16"/>
                <w:szCs w:val="16"/>
              </w:rPr>
              <w:br/>
              <w:t>Nigeria</w:t>
            </w:r>
          </w:p>
        </w:tc>
        <w:tc>
          <w:tcPr>
            <w:tcW w:w="0" w:type="auto"/>
          </w:tcPr>
          <w:p w14:paraId="69166D69" w14:textId="42B17A99"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Estimated the cost of establishing and maintaining a trauma registry rather than the economic burden of TBI care on patients, households, caregivers, providers, or society.</w:t>
            </w:r>
          </w:p>
        </w:tc>
        <w:tc>
          <w:tcPr>
            <w:tcW w:w="0" w:type="auto"/>
          </w:tcPr>
          <w:p w14:paraId="1C703C53"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664DFA59"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3931D46"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5</w:t>
            </w:r>
          </w:p>
        </w:tc>
        <w:tc>
          <w:tcPr>
            <w:tcW w:w="0" w:type="auto"/>
          </w:tcPr>
          <w:p w14:paraId="5DD6CA9D" w14:textId="07320C95"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Abdelgadir et al., 2017</w:t>
            </w:r>
            <w:r w:rsidR="00B8496C">
              <w:rPr>
                <w:rFonts w:ascii="Times New Roman" w:hAnsi="Times New Roman" w:cs="Times New Roman"/>
                <w:sz w:val="16"/>
                <w:szCs w:val="16"/>
              </w:rPr>
              <w:fldChar w:fldCharType="begin"/>
            </w:r>
            <w:r w:rsidR="00B8496C">
              <w:rPr>
                <w:rFonts w:ascii="Times New Roman" w:hAnsi="Times New Roman" w:cs="Times New Roman"/>
                <w:sz w:val="16"/>
                <w:szCs w:val="16"/>
              </w:rPr>
              <w:instrText xml:space="preserve"> ADDIN ZOTERO_ITEM CSL_CITATION {"citationID":"zVPjsgEP","properties":{"unsorted":false,"formattedCitation":"\\super 5\\nosupersub{}","plainCitation":"5","noteIndex":0},"citationItems":[{"id":2468,"uris":["http://zotero.org/users/local/we6rVKg5/items/KJ2MFYCL"],"itemData":{"id":2468,"type":"article-journal","container-title":"World Neurosurgery","DOI":"10.1016/j.wneu.2017.02.048","ISSN":"18788750","journalAbbreviation":"World Neurosurgery","language":"en","page":"651-657","source":"DOI.org (Crossref)","title":"Estimating the Cost of Neurosurgical Procedures in a Low-Income Setting: An Observational Economic Analysis","title-short":"Estimating the Cost of Neurosurgical Procedures in a Low-Income Setting","URL":"https://linkinghub.elsevier.com/retrieve/pii/S1878875017302218","volume":"101","author":[{"family":"Abdelgadir","given":"Jihad"},{"family":"Tran","given":"Tu"},{"family":"Muhindo","given":"Alex"},{"family":"Obiga","given":"Doomwin"},{"family":"Mukasa","given":"John"},{"family":"Ssenyonjo","given":"Hussein"},{"family":"Muhumza","given":"Michael"},{"family":"Kiryabwire","given":"Joel"},{"family":"Haglund","given":"Michael M."},{"family":"Sloan","given":"Frank A."}],"accessed":{"date-parts":[["2026",10,11]]},"issued":{"date-parts":[["2017",5]]}}}],"schema":"https://github.com/citation-style-language/schema/raw/master/csl-citation.json"} </w:instrText>
            </w:r>
            <w:r w:rsidR="00B8496C">
              <w:rPr>
                <w:rFonts w:ascii="Times New Roman" w:hAnsi="Times New Roman" w:cs="Times New Roman"/>
                <w:sz w:val="16"/>
                <w:szCs w:val="16"/>
              </w:rPr>
              <w:fldChar w:fldCharType="separate"/>
            </w:r>
            <w:r w:rsidR="00B8496C" w:rsidRPr="00B8496C">
              <w:rPr>
                <w:rFonts w:ascii="Times New Roman" w:hAnsi="Times New Roman" w:cs="Times New Roman"/>
                <w:sz w:val="16"/>
                <w:vertAlign w:val="superscript"/>
              </w:rPr>
              <w:t>5</w:t>
            </w:r>
            <w:r w:rsidR="00B8496C">
              <w:rPr>
                <w:rFonts w:ascii="Times New Roman" w:hAnsi="Times New Roman" w:cs="Times New Roman"/>
                <w:sz w:val="16"/>
                <w:szCs w:val="16"/>
              </w:rPr>
              <w:fldChar w:fldCharType="end"/>
            </w:r>
          </w:p>
        </w:tc>
        <w:tc>
          <w:tcPr>
            <w:tcW w:w="0" w:type="auto"/>
          </w:tcPr>
          <w:p w14:paraId="0B80102B" w14:textId="07D68633" w:rsidR="00E6151E" w:rsidRPr="00163892" w:rsidRDefault="00B8496C"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Estimating the Cost of Neurosurgical Procedures in a Low-Income Setting: An Observational Economic Analysis</w:t>
            </w:r>
            <w:r w:rsidRPr="00163892">
              <w:rPr>
                <w:rFonts w:ascii="Times New Roman" w:hAnsi="Times New Roman" w:cs="Times New Roman"/>
                <w:sz w:val="16"/>
                <w:szCs w:val="16"/>
              </w:rPr>
              <w:br/>
              <w:t>Uganda</w:t>
            </w:r>
            <w:r>
              <w:rPr>
                <w:rFonts w:ascii="Times New Roman" w:hAnsi="Times New Roman" w:cs="Times New Roman"/>
                <w:sz w:val="16"/>
                <w:szCs w:val="16"/>
              </w:rPr>
              <w:t>.</w:t>
            </w:r>
          </w:p>
        </w:tc>
        <w:tc>
          <w:tcPr>
            <w:tcW w:w="0" w:type="auto"/>
          </w:tcPr>
          <w:p w14:paraId="1427CE1E" w14:textId="2F452A9A"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Mixed neurosurgical-procedure costing study; TBI-specific patient-level costs or financial burden were not reported separately.</w:t>
            </w:r>
          </w:p>
        </w:tc>
        <w:tc>
          <w:tcPr>
            <w:tcW w:w="0" w:type="auto"/>
          </w:tcPr>
          <w:p w14:paraId="561B09A6"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11859C53"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88A0864"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6</w:t>
            </w:r>
          </w:p>
        </w:tc>
        <w:tc>
          <w:tcPr>
            <w:tcW w:w="0" w:type="auto"/>
          </w:tcPr>
          <w:p w14:paraId="4270B8EC" w14:textId="73875014"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163892">
              <w:rPr>
                <w:rFonts w:ascii="Times New Roman" w:hAnsi="Times New Roman" w:cs="Times New Roman"/>
                <w:sz w:val="16"/>
                <w:szCs w:val="16"/>
              </w:rPr>
              <w:t>Dhufera</w:t>
            </w:r>
            <w:proofErr w:type="spellEnd"/>
            <w:r w:rsidRPr="00163892">
              <w:rPr>
                <w:rFonts w:ascii="Times New Roman" w:hAnsi="Times New Roman" w:cs="Times New Roman"/>
                <w:sz w:val="16"/>
                <w:szCs w:val="16"/>
              </w:rPr>
              <w:t xml:space="preserve"> et al., 2022</w:t>
            </w:r>
            <w:r w:rsidR="00710333">
              <w:rPr>
                <w:rFonts w:ascii="Times New Roman" w:hAnsi="Times New Roman" w:cs="Times New Roman"/>
                <w:sz w:val="16"/>
                <w:szCs w:val="16"/>
              </w:rPr>
              <w:fldChar w:fldCharType="begin"/>
            </w:r>
            <w:r w:rsidR="00710333">
              <w:rPr>
                <w:rFonts w:ascii="Times New Roman" w:hAnsi="Times New Roman" w:cs="Times New Roman"/>
                <w:sz w:val="16"/>
                <w:szCs w:val="16"/>
              </w:rPr>
              <w:instrText xml:space="preserve"> ADDIN ZOTERO_ITEM CSL_CITATION {"citationID":"HL5M12oS","properties":{"unsorted":false,"formattedCitation":"\\super 6\\nosupersub{}","plainCitation":"6","noteIndex":0},"citationItems":[{"id":2469,"uris":["http://zotero.org/users/local/we6rVKg5/items/DU73ZT27"],"itemData":{"id":2469,"type":"article-journal","container-title":"Injury","DOI":"10.1016/j.injury.2021.11.009","ISSN":"00201383","issue":"1","journalAbbreviation":"Injury","language":"en","page":"23-29","source":"DOI.org (Crossref)","title":"Financial risk of road traffic trauma care in public and private hospitals in Addis Ababa, Ethiopia: A cross-sectional observational study","title-short":"Financial risk of road traffic trauma care in public and private hospitals in Addis Ababa, Ethiopia","URL":"https://linkinghub.elsevier.com/retrieve/pii/S0020138321009165","volume":"53","author":[{"family":"Dhufera","given":"Hailu Tamiru"},{"family":"Jbaily","given":"Abdulrahman"},{"family":"Verguet","given":"Stéphane"},{"family":"Tolla","given":"Mieraf Taddesse"},{"family":"Johansson","given":"Kjell Arne"},{"family":"Memirie","given":"Solomon Tessema"}],"accessed":{"date-parts":[["2026",10,11]]},"issued":{"date-parts":[["2022",1]]}}}],"schema":"https://github.com/citation-style-language/schema/raw/master/csl-citation.json"} </w:instrText>
            </w:r>
            <w:r w:rsidR="00710333">
              <w:rPr>
                <w:rFonts w:ascii="Times New Roman" w:hAnsi="Times New Roman" w:cs="Times New Roman"/>
                <w:sz w:val="16"/>
                <w:szCs w:val="16"/>
              </w:rPr>
              <w:fldChar w:fldCharType="separate"/>
            </w:r>
            <w:r w:rsidR="00710333" w:rsidRPr="00710333">
              <w:rPr>
                <w:rFonts w:ascii="Times New Roman" w:hAnsi="Times New Roman" w:cs="Times New Roman"/>
                <w:sz w:val="16"/>
                <w:vertAlign w:val="superscript"/>
              </w:rPr>
              <w:t>6</w:t>
            </w:r>
            <w:r w:rsidR="00710333">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4CA5E8D4" w14:textId="315752D5" w:rsidR="00E6151E" w:rsidRPr="00163892" w:rsidRDefault="00B8496C"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Financial risk of road traffic trauma care in public and private hospitals in Addis Ababa, Ethiopia: A cross-sectional observational study</w:t>
            </w:r>
            <w:r w:rsidRPr="00163892">
              <w:rPr>
                <w:rFonts w:ascii="Times New Roman" w:hAnsi="Times New Roman" w:cs="Times New Roman"/>
                <w:sz w:val="16"/>
                <w:szCs w:val="16"/>
              </w:rPr>
              <w:br/>
              <w:t>Ethiopia</w:t>
            </w:r>
            <w:r>
              <w:rPr>
                <w:rFonts w:ascii="Times New Roman" w:hAnsi="Times New Roman" w:cs="Times New Roman"/>
                <w:sz w:val="16"/>
                <w:szCs w:val="16"/>
              </w:rPr>
              <w:t>.</w:t>
            </w:r>
          </w:p>
        </w:tc>
        <w:tc>
          <w:tcPr>
            <w:tcW w:w="0" w:type="auto"/>
          </w:tcPr>
          <w:p w14:paraId="79731258" w14:textId="4AF8FA44"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Economic outcomes were reported for road-traffic trauma overall; TBI-specific economic data were not separately extractable.</w:t>
            </w:r>
          </w:p>
        </w:tc>
        <w:tc>
          <w:tcPr>
            <w:tcW w:w="0" w:type="auto"/>
          </w:tcPr>
          <w:p w14:paraId="4E93A74A"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48591287"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DCAD8D8"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7</w:t>
            </w:r>
          </w:p>
        </w:tc>
        <w:tc>
          <w:tcPr>
            <w:tcW w:w="0" w:type="auto"/>
          </w:tcPr>
          <w:p w14:paraId="79EDB540" w14:textId="12AE55D3"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Ferraris et al., 2021</w:t>
            </w:r>
            <w:r w:rsidR="00B8496C">
              <w:rPr>
                <w:rFonts w:ascii="Times New Roman" w:hAnsi="Times New Roman" w:cs="Times New Roman"/>
                <w:sz w:val="16"/>
                <w:szCs w:val="16"/>
              </w:rPr>
              <w:fldChar w:fldCharType="begin"/>
            </w:r>
            <w:r w:rsidR="00710333">
              <w:rPr>
                <w:rFonts w:ascii="Times New Roman" w:hAnsi="Times New Roman" w:cs="Times New Roman"/>
                <w:sz w:val="16"/>
                <w:szCs w:val="16"/>
              </w:rPr>
              <w:instrText xml:space="preserve"> ADDIN ZOTERO_ITEM CSL_CITATION {"citationID":"KNFmqE9D","properties":{"unsorted":false,"formattedCitation":"\\super 7\\nosupersub{}","plainCitation":"7","noteIndex":0},"citationItems":[{"id":2470,"uris":["http://zotero.org/users/local/we6rVKg5/items/NGTTPZYS"],"itemData":{"id":2470,"type":"article-journal","abstract":"Which conditions treated by neurosurgeons cause the worst economic hardship in low middle-income in countries? How can public health financing be responsive to the inequities in the delivery of neurosurgical care? This review article frames the objectives of equity, quality, and efficiency in health financing to the goals of global neurosurgery. In order to glean provider perspectives on the affordability of neurosurgical care in low-resource settings, we did a survey of neurosurgeons from Indonesia and the Philippines and identified that the care of socioeconomically disadvantaged patients with malignant intracranial tumors were found to incur the highest out-of-pocket expenses. Additionally, the surveyed neurosurgeons also observed that treatment of traumatic brain injury may have to require greater financial subsidies. It is therefore imperative to frame health financing alongside the goals of equity, efficiency, and quality of neurosurgical care for the impoverished. Using principles and perspectives from managerial economics and public health, we conceptualize an implementation framework that addresses both the supply and demand sides of healthcare provision as applied to neurosurgery. For the supply side, strategic purchasing enables a systematic and contractual management of payment arrangements that provide performance-based economic incentives for providers. For the demand side, conditional cash transfers similarly leverages on financial incentives on the part of patients to reward certain health-seeking behaviors that significantly influence clinical outcomes. These health financing strategies are formulated in order to ultimately build neurosurgical capacity in LMICs, improve access to care for patients, and ensure financial risk protection.","container-title":"Frontiers in Surgery","DOI":"10.3389/fsurg.2021.690851","ISSN":"2296-875X","journalAbbreviation":"Front. Surg.","page":"690851","source":"DOI.org (Crossref)","title":"Financial Risk Protection for Neurosurgical Care in Indonesia and the Philippines: A Primer on Health Financing for the Global Neurosurgeon","title-short":"Financial Risk Protection for Neurosurgical Care in Indonesia and the Philippines","URL":"https://www.frontiersin.org/articles/10.3389/fsurg.2021.690851/full","volume":"8","author":[{"family":"Ferraris","given":"Kevin Paul"},{"family":"Yap","given":"Maria Eufemia C."},{"family":"Bautista","given":"Maria Cristina G."},{"family":"Wardhana","given":"Dewa Putu Wisnu"},{"family":"Maliawan","given":"Sri"},{"family":"Wirawan","given":"I Made Ady"},{"family":"Rosyidi","given":"Rohadi Muhammad"},{"family":"Seng","given":"Kenny"},{"family":"Navarro","given":"Joseph Erroll"}],"accessed":{"date-parts":[["2026",10,11]]},"issued":{"date-parts":[["2021",9,10]]}}}],"schema":"https://github.com/citation-style-language/schema/raw/master/csl-citation.json"} </w:instrText>
            </w:r>
            <w:r w:rsidR="00B8496C">
              <w:rPr>
                <w:rFonts w:ascii="Times New Roman" w:hAnsi="Times New Roman" w:cs="Times New Roman"/>
                <w:sz w:val="16"/>
                <w:szCs w:val="16"/>
              </w:rPr>
              <w:fldChar w:fldCharType="separate"/>
            </w:r>
            <w:r w:rsidR="00710333" w:rsidRPr="00710333">
              <w:rPr>
                <w:rFonts w:ascii="Times New Roman" w:hAnsi="Times New Roman" w:cs="Times New Roman"/>
                <w:sz w:val="16"/>
                <w:vertAlign w:val="superscript"/>
              </w:rPr>
              <w:t>7</w:t>
            </w:r>
            <w:r w:rsidR="00B8496C">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5FB22B14" w14:textId="07E29300" w:rsidR="00E6151E" w:rsidRPr="00163892" w:rsidRDefault="00B8496C"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Financial Risk Protection for Neurosurgical Care in Indonesia and the Philippines: A Primer on Health Financing for the Global Neurosurgeon</w:t>
            </w:r>
            <w:r w:rsidRPr="00163892">
              <w:rPr>
                <w:rFonts w:ascii="Times New Roman" w:hAnsi="Times New Roman" w:cs="Times New Roman"/>
                <w:sz w:val="16"/>
                <w:szCs w:val="16"/>
              </w:rPr>
              <w:br/>
              <w:t>Indonesia/Philippines</w:t>
            </w:r>
            <w:r>
              <w:rPr>
                <w:rFonts w:ascii="Times New Roman" w:hAnsi="Times New Roman" w:cs="Times New Roman"/>
                <w:sz w:val="16"/>
                <w:szCs w:val="16"/>
              </w:rPr>
              <w:t>.</w:t>
            </w:r>
          </w:p>
        </w:tc>
        <w:tc>
          <w:tcPr>
            <w:tcW w:w="0" w:type="auto"/>
          </w:tcPr>
          <w:p w14:paraId="2F4F4FD6" w14:textId="13E1FCF6"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Provider survey covered multiple neurosurgical conditions; it did not provide patient-level TBI-specific cost, expenditure, or financial-burden estimates.</w:t>
            </w:r>
          </w:p>
        </w:tc>
        <w:tc>
          <w:tcPr>
            <w:tcW w:w="0" w:type="auto"/>
          </w:tcPr>
          <w:p w14:paraId="10B69AB0"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4DB38CEA"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C288E8D"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8</w:t>
            </w:r>
          </w:p>
        </w:tc>
        <w:tc>
          <w:tcPr>
            <w:tcW w:w="0" w:type="auto"/>
          </w:tcPr>
          <w:p w14:paraId="5AF171F7" w14:textId="716F0F35"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Equi-Trauma Collaborative et al., 2022</w:t>
            </w:r>
            <w:r w:rsidR="00710333">
              <w:rPr>
                <w:rFonts w:ascii="Times New Roman" w:hAnsi="Times New Roman" w:cs="Times New Roman"/>
                <w:sz w:val="16"/>
                <w:szCs w:val="16"/>
              </w:rPr>
              <w:fldChar w:fldCharType="begin"/>
            </w:r>
            <w:r w:rsidR="00710333">
              <w:rPr>
                <w:rFonts w:ascii="Times New Roman" w:hAnsi="Times New Roman" w:cs="Times New Roman"/>
                <w:sz w:val="16"/>
                <w:szCs w:val="16"/>
              </w:rPr>
              <w:instrText xml:space="preserve"> ADDIN ZOTERO_ITEM CSL_CITATION {"citationID":"yCCib7y8","properties":{"unsorted":false,"formattedCitation":"\\super 8\\nosupersub{}","plainCitation":"8","noteIndex":0},"citationItems":[{"id":2472,"uris":["http://zotero.org/users/local/we6rVKg5/items/BNWCFTG5"],"itemData":{"id":2472,"type":"article-journal","abstract":"Injuries in low-income and middle-income countries are prevalent and their number is expected to increase. Death and disability after injury can be reduced if people reach healthcare facilities in a timely manner. Knowledge of barriers to access to quality injury care is necessary to intervene to improve outcomes. We combined a four-delay framework with WHO Building Blocks and Institution of Medicine Quality Outcomes Frameworks to describe barriers to trauma care in three countries in sub-Saharan Africa: Ghana, South Africa and Rwanda. We used a parallel convergent mixed-methods research design, integrating the results to enable a holistic analysis of the barriers to access to quality injury care. Data were collected using surveys of patient experiences of injury care, interviews and focus group discussions with patients and community leaders, and a survey of policy-makers and healthcare leaders on the governance context for injury care. We identified 121 barriers across all three countries. Of these, 31 (25.6%) were shared across countries. More than half (18/31, 58%) were predominantly related to delay 3 (‘Delays to receiving quality care’). The majority of the barriers were captured using just one of the multiple methods, emphasising the need to use multiple methods to identify all barriers. Given there are many barriers to access to quality care for people who have been injured in Rwanda, Ghana and South Africa, but few of these are shared across countries, solutions to overcome these barriers may also be contextually dependent. This suggests the need for rigorous assessments of contexts using multiple data collection methods before developing interventions to improve access to quality care.","container-title":"BMJ Global Health","DOI":"10.1136/bmjgh-2021-008256","ISSN":"2059-7908","issue":"4","journalAbbreviation":"BMJ Glob Health","language":"en","page":"e008256","source":"DOI.org (Crossref)","title":"Equitable access to quality trauma systems in low-income and middle-income countries: assessing gaps and developing priorities in Ghana, Rwanda and South Africa","title-short":"Equitable access to quality trauma systems in low-income and middle-income countries","URL":"https://gh.bmj.com/lookup/doi/10.1136/bmjgh-2021-008256","volume":"7","author":[{"literal":"The Equi-Trauma Collaborative"},{"family":"Odland","given":"Maria Lisa"},{"family":"Abdul-Latif","given":"Abdul-Malik"},{"family":"Ignatowicz","given":"Agnieszka"},{"family":"Alayande","given":"Barnabas"},{"family":"Appia Ofori","given":"Bernard"},{"family":"Balanikas","given":"Evangelos"},{"family":"Bekele","given":"Abebe"},{"family":"Belli","given":"Antonio"},{"family":"Chu","given":"Kathryn"},{"family":"Ferreira","given":"Karen"},{"family":"Howard","given":"Anthony"},{"family":"Nzasabimana","given":"Pascal"},{"family":"Owolabi","given":"Eyitayo O"},{"family":"Nyamathe","given":"Samukelisiwe"},{"family":"Pognaa Kunfah","given":"Sheba Mary"},{"family":"Tabiri","given":"Stephen"},{"family":"Yakubu","given":"Mustapha"},{"family":"Whitaker","given":"John"},{"family":"Byiringiro","given":"Jean Claude"},{"family":"Davies","given":"Justine I"}],"accessed":{"date-parts":[["2026",10,11]]},"issued":{"date-parts":[["2022",4]]}}}],"schema":"https://github.com/citation-style-language/schema/raw/master/csl-citation.json"} </w:instrText>
            </w:r>
            <w:r w:rsidR="00710333">
              <w:rPr>
                <w:rFonts w:ascii="Times New Roman" w:hAnsi="Times New Roman" w:cs="Times New Roman"/>
                <w:sz w:val="16"/>
                <w:szCs w:val="16"/>
              </w:rPr>
              <w:fldChar w:fldCharType="separate"/>
            </w:r>
            <w:r w:rsidR="00710333" w:rsidRPr="00710333">
              <w:rPr>
                <w:rFonts w:ascii="Times New Roman" w:hAnsi="Times New Roman" w:cs="Times New Roman"/>
                <w:sz w:val="16"/>
                <w:vertAlign w:val="superscript"/>
              </w:rPr>
              <w:t>8</w:t>
            </w:r>
            <w:r w:rsidR="00710333">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0D6341B2" w14:textId="2BFA7A9D" w:rsidR="00E6151E" w:rsidRPr="00163892" w:rsidRDefault="00710333"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Equitable access to quality trauma systems in low-income and middle-income countries: assessing gaps and developing priorities in Ghana, Rwanda and South Africa</w:t>
            </w:r>
            <w:r w:rsidRPr="00163892">
              <w:rPr>
                <w:rFonts w:ascii="Times New Roman" w:hAnsi="Times New Roman" w:cs="Times New Roman"/>
                <w:sz w:val="16"/>
                <w:szCs w:val="16"/>
              </w:rPr>
              <w:br/>
              <w:t>Ghana/Rwanda/South Africa</w:t>
            </w:r>
            <w:r>
              <w:rPr>
                <w:rFonts w:ascii="Times New Roman" w:hAnsi="Times New Roman" w:cs="Times New Roman"/>
                <w:sz w:val="16"/>
                <w:szCs w:val="16"/>
              </w:rPr>
              <w:t>.</w:t>
            </w:r>
          </w:p>
        </w:tc>
        <w:tc>
          <w:tcPr>
            <w:tcW w:w="0" w:type="auto"/>
          </w:tcPr>
          <w:p w14:paraId="7BADFA27" w14:textId="512B8391"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Mixed injury/trauma-system study; TBI-specific economic or financial outcomes were not separately reported.</w:t>
            </w:r>
          </w:p>
        </w:tc>
        <w:tc>
          <w:tcPr>
            <w:tcW w:w="0" w:type="auto"/>
          </w:tcPr>
          <w:p w14:paraId="5C6299CF"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Wrong population/context or non-separable TBI-specific data</w:t>
            </w:r>
          </w:p>
        </w:tc>
      </w:tr>
      <w:tr w:rsidR="00E6151E" w:rsidRPr="00163892" w14:paraId="5166E917"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C31CA5D"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9</w:t>
            </w:r>
          </w:p>
        </w:tc>
        <w:tc>
          <w:tcPr>
            <w:tcW w:w="0" w:type="auto"/>
          </w:tcPr>
          <w:p w14:paraId="1D2D5E6E" w14:textId="42CFB28D"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Ojo et al., 2024</w:t>
            </w:r>
            <w:r w:rsidR="00710333">
              <w:rPr>
                <w:rFonts w:ascii="Times New Roman" w:hAnsi="Times New Roman" w:cs="Times New Roman"/>
                <w:sz w:val="16"/>
                <w:szCs w:val="16"/>
              </w:rPr>
              <w:fldChar w:fldCharType="begin"/>
            </w:r>
            <w:r w:rsidR="00710333">
              <w:rPr>
                <w:rFonts w:ascii="Times New Roman" w:hAnsi="Times New Roman" w:cs="Times New Roman"/>
                <w:sz w:val="16"/>
                <w:szCs w:val="16"/>
              </w:rPr>
              <w:instrText xml:space="preserve"> ADDIN ZOTERO_ITEM CSL_CITATION {"citationID":"ie8x5sAp","properties":{"unsorted":false,"formattedCitation":"\\super 9\\nosupersub{}","plainCitation":"9","noteIndex":0},"citationItems":[{"id":2474,"uris":["http://zotero.org/users/local/we6rVKg5/items/ZCPI9WVP"],"itemData":{"id":2474,"type":"article-journal","abstract":"Introduction:\n              Traumatic brain injury (TBI) is devastating to the victims, and an understanding of its prevalence, the demography and the causes help reduce the incidence and outcome. Adequate knowledge of such helps in developing preventive and management protocols in the region. The study aims to document the presentation and challenges of TBI in our centre.\n            \n            \n              Methods:\n              A cross-sectional design was conducted at Lagos University Teaching Hospital, Nigeria. Only adult (≥18 years) patients were recruited consecutively from the emergency room following a diagnosis of TBI. Data were obtained with the aid of a study pro forma which recorded participants’ sociodemographic information, pre-hospital indices and clinical examination/investigations. Imaging findings, surgical information and follow-up findings were also recorded. Data obtained were analysed using the IBM SPSS Statistics.\n            \n            \n              Results:\n              A total of 125 TBI patients with male:female of 8:1 were recruited over 12 months. The mean age was 40.8 years standard deviation ± 16.86. Only 9 patients (7.2%) had health insurance. Eighty-four (67.2%) patients had TBI from road traffic accidents (RTAs). Fall from heights, assaults, industrial accidents and gunshots contributed 16%, 9.6%, 5.6% and 1.6% of patients’ injuries respectively. One hundred and fourteen (91.2%) were brought to the hospital by non-healthcare workers.\n            \n            \n              Conclusion:\n              RTAs remain the most common cause of TBI. Majority of the populace cannot afford the cost of TBI management. The scope of national health insurance needs to be broadened to help victims at the points of need.","container-title":"Nigerian Postgraduate Medical Journal","DOI":"10.4103/npmj.npmj_61_24","ISSN":"1117-1936, 2468-6875","issue":"4","language":"en","page":"325-330","source":"DOI.org (Crossref)","title":"Epidemiology of Traumatic Brain Injury at a Tertiary Institution in Nigeria","URL":"https://www.ovid.com/10.4103/npmj.npmj_61_24","volume":"31","author":[{"family":"Ojo","given":"Omotayo Abimbola"},{"family":"Okei","given":"Jennifer Chukwuamaka"},{"family":"Adaramola","given":"OyinOluwa Gloria"},{"family":"Olajide","given":"Shakiru Olabisi"},{"family":"Awofeso","given":"Opeyemi Mercy"},{"family":"Agbarakwe","given":"Chukwuemeka Abraham"},{"family":"Arekhandia","given":"Bruno Jeneru"},{"family":"Owolabi","given":"Bukola Samuel"},{"family":"Ashimi","given":"Abidat Adedamola"},{"family":"Solahudeen","given":"Zaynab Oyindamola"}],"accessed":{"date-parts":[["2026",10,11]]},"issued":{"date-parts":[["2024",10]]}}}],"schema":"https://github.com/citation-style-language/schema/raw/master/csl-citation.json"} </w:instrText>
            </w:r>
            <w:r w:rsidR="00710333">
              <w:rPr>
                <w:rFonts w:ascii="Times New Roman" w:hAnsi="Times New Roman" w:cs="Times New Roman"/>
                <w:sz w:val="16"/>
                <w:szCs w:val="16"/>
              </w:rPr>
              <w:fldChar w:fldCharType="separate"/>
            </w:r>
            <w:r w:rsidR="00710333" w:rsidRPr="00710333">
              <w:rPr>
                <w:rFonts w:ascii="Times New Roman" w:hAnsi="Times New Roman" w:cs="Times New Roman"/>
                <w:sz w:val="16"/>
                <w:vertAlign w:val="superscript"/>
              </w:rPr>
              <w:t>9</w:t>
            </w:r>
            <w:r w:rsidR="00710333">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1CB89B27" w14:textId="2922F0D0" w:rsidR="00E6151E" w:rsidRPr="00163892" w:rsidRDefault="00710333"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Epidemiology of Traumatic Brain Injury at a Tertiary Institution in Nigeria</w:t>
            </w:r>
            <w:r w:rsidRPr="00163892">
              <w:rPr>
                <w:rFonts w:ascii="Times New Roman" w:hAnsi="Times New Roman" w:cs="Times New Roman"/>
                <w:sz w:val="16"/>
                <w:szCs w:val="16"/>
              </w:rPr>
              <w:br/>
              <w:t>Nigeria</w:t>
            </w:r>
            <w:r>
              <w:rPr>
                <w:rFonts w:ascii="Times New Roman" w:hAnsi="Times New Roman" w:cs="Times New Roman"/>
                <w:sz w:val="16"/>
                <w:szCs w:val="16"/>
              </w:rPr>
              <w:t>.</w:t>
            </w:r>
          </w:p>
        </w:tc>
        <w:tc>
          <w:tcPr>
            <w:tcW w:w="0" w:type="auto"/>
          </w:tcPr>
          <w:p w14:paraId="708C5330" w14:textId="33DC1258"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Reported insurance coverage and a narrative statement about inability to afford care, but no extractable cost, OOPE, CHE, distress-financing, income-loss, or quantitative economic outcome.</w:t>
            </w:r>
          </w:p>
        </w:tc>
        <w:tc>
          <w:tcPr>
            <w:tcW w:w="0" w:type="auto"/>
          </w:tcPr>
          <w:p w14:paraId="52603F3D"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 extractable economic or financial outcome</w:t>
            </w:r>
          </w:p>
        </w:tc>
      </w:tr>
      <w:tr w:rsidR="00E6151E" w:rsidRPr="00163892" w14:paraId="2E40E5CB"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40900B4"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lastRenderedPageBreak/>
              <w:t>10</w:t>
            </w:r>
          </w:p>
        </w:tc>
        <w:tc>
          <w:tcPr>
            <w:tcW w:w="0" w:type="auto"/>
          </w:tcPr>
          <w:p w14:paraId="186CE211" w14:textId="7E9E61ED"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Zimmerman et al., 2020</w:t>
            </w:r>
            <w:r w:rsidR="00710333">
              <w:rPr>
                <w:rFonts w:ascii="Times New Roman" w:hAnsi="Times New Roman" w:cs="Times New Roman"/>
                <w:sz w:val="16"/>
                <w:szCs w:val="16"/>
              </w:rPr>
              <w:fldChar w:fldCharType="begin"/>
            </w:r>
            <w:r w:rsidR="003E6CD2">
              <w:rPr>
                <w:rFonts w:ascii="Times New Roman" w:hAnsi="Times New Roman" w:cs="Times New Roman"/>
                <w:sz w:val="16"/>
                <w:szCs w:val="16"/>
              </w:rPr>
              <w:instrText xml:space="preserve"> ADDIN ZOTERO_ITEM CSL_CITATION {"citationID":"nCSdjZtb","properties":{"unsorted":false,"formattedCitation":"\\super 10\\nosupersub{}","plainCitation":"10","noteIndex":0},"citationItems":[{"id":2475,"uris":["http://zotero.org/users/local/we6rVKg5/items/9H4LACXY"],"itemData":{"id":2475,"type":"article-journal","container-title":"PLOS ONE","DOI":"10.1371/journal.pone.0240528","ISSN":"1932-6203","issue":"10","journalAbbreviation":"PLoS ONE","language":"en","page":"e0240528","source":"DOI.org (Crossref)","title":"An analysis of emergency care delays experienced by traumatic brain injury patients presenting to a regional referral hospital in a low-income country","URL":"https://dx.plos.org/10.1371/journal.pone.0240528","volume":"15","author":[{"family":"Zimmerman","given":"Armand"},{"family":"Fox","given":"Samara"},{"family":"Griffin","given":"Randi"},{"family":"Nelp","given":"Taylor"},{"family":"Thomaz","given":"Erika Bárbara Abreu Fonseca"},{"family":"Mvungi","given":"Mark"},{"family":"Mmbaga","given":"Blandina T."},{"family":"Sakita","given":"Francis"},{"family":"Gerardo","given":"Charles J."},{"family":"Vissoci","given":"Joao Ricardo Nickenig"},{"family":"Staton","given":"Catherine A."}],"editor":[{"family":"Simmen","given":"Hans-Peter"}],"accessed":{"date-parts":[["2026",10,11]]},"issued":{"date-parts":[["2020",10,12]]}}}],"schema":"https://github.com/citation-style-language/schema/raw/master/csl-citation.json"} </w:instrText>
            </w:r>
            <w:r w:rsidR="00710333">
              <w:rPr>
                <w:rFonts w:ascii="Times New Roman" w:hAnsi="Times New Roman" w:cs="Times New Roman"/>
                <w:sz w:val="16"/>
                <w:szCs w:val="16"/>
              </w:rPr>
              <w:fldChar w:fldCharType="separate"/>
            </w:r>
            <w:r w:rsidR="003E6CD2" w:rsidRPr="003E6CD2">
              <w:rPr>
                <w:rFonts w:ascii="Times New Roman" w:hAnsi="Times New Roman" w:cs="Times New Roman"/>
                <w:sz w:val="16"/>
                <w:vertAlign w:val="superscript"/>
              </w:rPr>
              <w:t>10</w:t>
            </w:r>
            <w:r w:rsidR="00710333">
              <w:rPr>
                <w:rFonts w:ascii="Times New Roman" w:hAnsi="Times New Roman" w:cs="Times New Roman"/>
                <w:sz w:val="16"/>
                <w:szCs w:val="16"/>
              </w:rPr>
              <w:fldChar w:fldCharType="end"/>
            </w:r>
          </w:p>
        </w:tc>
        <w:tc>
          <w:tcPr>
            <w:tcW w:w="0" w:type="auto"/>
          </w:tcPr>
          <w:p w14:paraId="3145F6B0" w14:textId="76E594AC" w:rsidR="00E6151E" w:rsidRPr="00163892" w:rsidRDefault="00710333"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An analysis of emergency care delays experienced by traumatic brain injury patients presenting to a regional referral hospital in a low-income country</w:t>
            </w:r>
            <w:r w:rsidRPr="00163892">
              <w:rPr>
                <w:rFonts w:ascii="Times New Roman" w:hAnsi="Times New Roman" w:cs="Times New Roman"/>
                <w:sz w:val="16"/>
                <w:szCs w:val="16"/>
              </w:rPr>
              <w:br/>
              <w:t>Tanzania</w:t>
            </w:r>
            <w:r w:rsidR="003E6CD2">
              <w:rPr>
                <w:rFonts w:ascii="Times New Roman" w:hAnsi="Times New Roman" w:cs="Times New Roman"/>
                <w:sz w:val="16"/>
                <w:szCs w:val="16"/>
              </w:rPr>
              <w:t>.</w:t>
            </w:r>
          </w:p>
        </w:tc>
        <w:tc>
          <w:tcPr>
            <w:tcW w:w="0" w:type="auto"/>
          </w:tcPr>
          <w:p w14:paraId="24297693" w14:textId="7124F132"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Focused on prehospital and in-hospital treatment delays and clinical outcomes; no extractable economic or financial burden measure was reported.</w:t>
            </w:r>
          </w:p>
        </w:tc>
        <w:tc>
          <w:tcPr>
            <w:tcW w:w="0" w:type="auto"/>
          </w:tcPr>
          <w:p w14:paraId="65B6BB6B"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 extractable economic or financial outcome</w:t>
            </w:r>
          </w:p>
        </w:tc>
      </w:tr>
      <w:tr w:rsidR="00E6151E" w:rsidRPr="00163892" w14:paraId="5421CD6C"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0ABC6222"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11</w:t>
            </w:r>
          </w:p>
        </w:tc>
        <w:tc>
          <w:tcPr>
            <w:tcW w:w="0" w:type="auto"/>
          </w:tcPr>
          <w:p w14:paraId="780D6D78" w14:textId="260D1EDF"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Mehmood et al., 2021</w:t>
            </w:r>
            <w:r w:rsidR="003E6CD2">
              <w:rPr>
                <w:rFonts w:ascii="Times New Roman" w:hAnsi="Times New Roman" w:cs="Times New Roman"/>
                <w:sz w:val="16"/>
                <w:szCs w:val="16"/>
              </w:rPr>
              <w:fldChar w:fldCharType="begin"/>
            </w:r>
            <w:r w:rsidR="003E6CD2">
              <w:rPr>
                <w:rFonts w:ascii="Times New Roman" w:hAnsi="Times New Roman" w:cs="Times New Roman"/>
                <w:sz w:val="16"/>
                <w:szCs w:val="16"/>
              </w:rPr>
              <w:instrText xml:space="preserve"> ADDIN ZOTERO_ITEM CSL_CITATION {"citationID":"a8vkD6pr","properties":{"unsorted":false,"formattedCitation":"\\super 11\\nosupersub{}","plainCitation":"11","noteIndex":0},"citationItems":[{"id":2477,"uris":["http://zotero.org/users/local/we6rVKg5/items/LIQ6B4E8"],"itemData":{"id":2477,"type":"article-journal","abstract":"Background\n              In Sub-Saharan African countries, the incidence of traumatic brain injury (TBI) is estimated to be many folds higher than the global average and outcome is hugely impacted by access to healthcare services and quality of care. We conducted an analysis of the TBI registry data to determine the disparities and delays in treatment for patients presenting at a tertiary care hospital in Uganda and to identify factors predictive of delayed treatment initiation.\n            \n            \n              Methods\n              \n                The study was conducted at the Mulago National Referral Hospital, Kampala. The study included all patients presenting to the emergency department (ED) with suspected or documented TBI. Early treatment was defined as first intervention within 4 hours of ED presentation—a cut-off determined using sensitivity analysis to injury severity. Descriptive statistics were generated and Pearson’s χ\n                2\n                test was used to assess the sample distribution between treatment time categories. Univariable and multivariable logistic regression models with &lt;0.05 level of significance were used to derive the associations between patient characteristics and early intervention for TBI.\n              \n            \n            \n              Results\n              Of 3944 patients, only 4.6% (n=182) received an intervention for TBI management within 1 hour of ED presentation, whereas 17.4% of patients (n=708) received some treatment within 4 hours of presentation. 19% of those with one or more serious injuries and 18% of those with moderate to severe head injury received care within 4 hours of arrival. Factors independently associated with early treatment included young age, severe head injury, and no known pre-existing conditions, whereas older or female patients had significantly less odds of receiving early treatment.\n            \n            \n              Discussion\n              With the increasing number of patients with TBI, ensuring early and appropriate management must be a priority for Ugandan hospitals. Delay in initiation of treatment may impact survival and functional outcome. Gender-related and age-related disparities in care should receive attention and targeted interventions.\n            \n            \n              Level of evidence\n              Prognostic and epidemiological study; level II evidence.","container-title":"Trauma Surgery &amp; Acute Care Open","DOI":"10.1136/tsaco-2021-000674","ISSN":"2397-5776","issue":"1","journalAbbreviation":"Trauma Surg Acute Care Open","language":"en","page":"e000674","source":"DOI.org (Crossref)","title":"Delays in emergency department intervention for patients with traumatic brain injury in Uganda","URL":"https://tsaco.bmj.com/lookup/doi/10.1136/tsaco-2021-000674","volume":"6","author":[{"family":"Mehmood","given":"Amber"},{"family":"Rowther","given":"Armaan Ahmed"},{"family":"Kobusingye","given":"Olive"},{"family":"Ssenyonjo","given":"Hussein"},{"family":"Zia","given":"Nukhba"},{"family":"Hyder","given":"Adnan A"}],"accessed":{"date-parts":[["2026",10,11]]},"issued":{"date-parts":[["2021",8]]}}}],"schema":"https://github.com/citation-style-language/schema/raw/master/csl-citation.json"} </w:instrText>
            </w:r>
            <w:r w:rsidR="003E6CD2">
              <w:rPr>
                <w:rFonts w:ascii="Times New Roman" w:hAnsi="Times New Roman" w:cs="Times New Roman"/>
                <w:sz w:val="16"/>
                <w:szCs w:val="16"/>
              </w:rPr>
              <w:fldChar w:fldCharType="separate"/>
            </w:r>
            <w:r w:rsidR="003E6CD2" w:rsidRPr="003E6CD2">
              <w:rPr>
                <w:rFonts w:ascii="Times New Roman" w:hAnsi="Times New Roman" w:cs="Times New Roman"/>
                <w:sz w:val="16"/>
                <w:vertAlign w:val="superscript"/>
              </w:rPr>
              <w:t>11</w:t>
            </w:r>
            <w:r w:rsidR="003E6CD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297295BA" w14:textId="780BE736" w:rsidR="00E6151E" w:rsidRPr="00163892" w:rsidRDefault="003E6CD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Delays in emergency department intervention for patients with traumatic brain injury in Uganda</w:t>
            </w:r>
            <w:r w:rsidRPr="00163892">
              <w:rPr>
                <w:rFonts w:ascii="Times New Roman" w:hAnsi="Times New Roman" w:cs="Times New Roman"/>
                <w:sz w:val="16"/>
                <w:szCs w:val="16"/>
              </w:rPr>
              <w:br/>
              <w:t>Uganda</w:t>
            </w:r>
            <w:r>
              <w:rPr>
                <w:rFonts w:ascii="Times New Roman" w:hAnsi="Times New Roman" w:cs="Times New Roman"/>
                <w:sz w:val="16"/>
                <w:szCs w:val="16"/>
              </w:rPr>
              <w:t>.</w:t>
            </w:r>
          </w:p>
        </w:tc>
        <w:tc>
          <w:tcPr>
            <w:tcW w:w="0" w:type="auto"/>
          </w:tcPr>
          <w:p w14:paraId="362D7A7F" w14:textId="64158A96"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Focused on treatment timing, disparities, and clinical predictors; no extractable economic or financial outcome was reported.</w:t>
            </w:r>
          </w:p>
        </w:tc>
        <w:tc>
          <w:tcPr>
            <w:tcW w:w="0" w:type="auto"/>
          </w:tcPr>
          <w:p w14:paraId="09C1352E"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 extractable economic or financial outcome</w:t>
            </w:r>
          </w:p>
        </w:tc>
      </w:tr>
      <w:tr w:rsidR="00E6151E" w:rsidRPr="00163892" w14:paraId="041A3E23"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FD28C6A"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12</w:t>
            </w:r>
          </w:p>
        </w:tc>
        <w:tc>
          <w:tcPr>
            <w:tcW w:w="0" w:type="auto"/>
          </w:tcPr>
          <w:p w14:paraId="3B6192BA" w14:textId="57B51606"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Nwosu et al., 2020</w:t>
            </w:r>
            <w:r w:rsidR="003E6CD2">
              <w:rPr>
                <w:rFonts w:ascii="Times New Roman" w:hAnsi="Times New Roman" w:cs="Times New Roman"/>
                <w:sz w:val="16"/>
                <w:szCs w:val="16"/>
              </w:rPr>
              <w:fldChar w:fldCharType="begin"/>
            </w:r>
            <w:r w:rsidR="003E6CD2">
              <w:rPr>
                <w:rFonts w:ascii="Times New Roman" w:hAnsi="Times New Roman" w:cs="Times New Roman"/>
                <w:sz w:val="16"/>
                <w:szCs w:val="16"/>
              </w:rPr>
              <w:instrText xml:space="preserve"> ADDIN ZOTERO_ITEM CSL_CITATION {"citationID":"YpW3FZ8g","properties":{"unsorted":false,"formattedCitation":"\\super 12\\nosupersub{}","plainCitation":"12","noteIndex":0},"citationItems":[{"id":2479,"uris":["http://zotero.org/users/local/we6rVKg5/items/Y4GIFENP"],"itemData":{"id":2479,"type":"article-journal","container-title":"Annals of Global Health","DOI":"10.5334/aogh.2978","ISSN":"2214-9996","issue":"1","language":"en","license":"http://creativecommons.org/licenses/by/4.0","page":"127","source":"DOI.org (Crossref)","title":"Influence of Caretakers’ Health Literacy on Delays to Traumatic Brain Injury Care in Uganda","URL":"https://annalsofglobalhealth.org/articles/10.5334/aogh.2978/","volume":"86","author":[{"family":"Nwosu","given":"Chinemerem"},{"family":"Spears","given":"Charis A."},{"family":"Pate","given":"Charles"},{"family":"Gold","given":"Deborah T."},{"family":"Bennett","given":"Gary"},{"family":"Haglund","given":"Michael"},{"family":"Fuller","given":"Anthony"}],"accessed":{"date-parts":[["2026",10,11]]},"issued":{"date-parts":[["2020",10,6]]}}}],"schema":"https://github.com/citation-style-language/schema/raw/master/csl-citation.json"} </w:instrText>
            </w:r>
            <w:r w:rsidR="003E6CD2">
              <w:rPr>
                <w:rFonts w:ascii="Times New Roman" w:hAnsi="Times New Roman" w:cs="Times New Roman"/>
                <w:sz w:val="16"/>
                <w:szCs w:val="16"/>
              </w:rPr>
              <w:fldChar w:fldCharType="separate"/>
            </w:r>
            <w:r w:rsidR="003E6CD2" w:rsidRPr="003E6CD2">
              <w:rPr>
                <w:rFonts w:ascii="Times New Roman" w:hAnsi="Times New Roman" w:cs="Times New Roman"/>
                <w:sz w:val="16"/>
                <w:vertAlign w:val="superscript"/>
              </w:rPr>
              <w:t>12</w:t>
            </w:r>
            <w:r w:rsidR="003E6CD2">
              <w:rPr>
                <w:rFonts w:ascii="Times New Roman" w:hAnsi="Times New Roman" w:cs="Times New Roman"/>
                <w:sz w:val="16"/>
                <w:szCs w:val="16"/>
              </w:rPr>
              <w:fldChar w:fldCharType="end"/>
            </w:r>
          </w:p>
        </w:tc>
        <w:tc>
          <w:tcPr>
            <w:tcW w:w="0" w:type="auto"/>
          </w:tcPr>
          <w:p w14:paraId="51BA86CD" w14:textId="6F7CCE6E" w:rsidR="00E6151E" w:rsidRPr="00163892" w:rsidRDefault="003E6CD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Influence of Caretakers' Health Literacy on Delays to Traumatic Brain Injury Care in Uganda</w:t>
            </w:r>
            <w:r>
              <w:rPr>
                <w:rFonts w:ascii="Times New Roman" w:hAnsi="Times New Roman" w:cs="Times New Roman"/>
                <w:sz w:val="16"/>
                <w:szCs w:val="16"/>
              </w:rPr>
              <w:t>. Uganda.</w:t>
            </w:r>
          </w:p>
        </w:tc>
        <w:tc>
          <w:tcPr>
            <w:tcW w:w="0" w:type="auto"/>
          </w:tcPr>
          <w:p w14:paraId="2946C9B4" w14:textId="2BE6D65D"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Financial burden appeared as a qualitative theme influencing delays, but the study reported no extractable monetary estimate or quantitative economic/financial outcome.</w:t>
            </w:r>
          </w:p>
        </w:tc>
        <w:tc>
          <w:tcPr>
            <w:tcW w:w="0" w:type="auto"/>
          </w:tcPr>
          <w:p w14:paraId="1BB4D9F5"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 extractable economic or financial outcome</w:t>
            </w:r>
          </w:p>
        </w:tc>
      </w:tr>
      <w:tr w:rsidR="00E6151E" w:rsidRPr="00163892" w14:paraId="27F9A353"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DCE65AE"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13</w:t>
            </w:r>
          </w:p>
        </w:tc>
        <w:tc>
          <w:tcPr>
            <w:tcW w:w="0" w:type="auto"/>
          </w:tcPr>
          <w:p w14:paraId="721FC16A" w14:textId="5D652ECA"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Amare et al., 2021</w:t>
            </w:r>
            <w:r w:rsidR="003E6CD2">
              <w:rPr>
                <w:rFonts w:ascii="Times New Roman" w:hAnsi="Times New Roman" w:cs="Times New Roman"/>
                <w:sz w:val="16"/>
                <w:szCs w:val="16"/>
              </w:rPr>
              <w:fldChar w:fldCharType="begin"/>
            </w:r>
            <w:r w:rsidR="003E6CD2">
              <w:rPr>
                <w:rFonts w:ascii="Times New Roman" w:hAnsi="Times New Roman" w:cs="Times New Roman"/>
                <w:sz w:val="16"/>
                <w:szCs w:val="16"/>
              </w:rPr>
              <w:instrText xml:space="preserve"> ADDIN ZOTERO_ITEM CSL_CITATION {"citationID":"5Hrgurnv","properties":{"unsorted":false,"formattedCitation":"\\super 13\\nosupersub{}","plainCitation":"13","noteIndex":0},"citationItems":[{"id":2481,"uris":["http://zotero.org/users/local/we6rVKg5/items/9GWU3PUQ"],"itemData":{"id":2481,"type":"article-journal","container-title":"African Journal of Emergency Medicine","DOI":"10.1016/j.afjem.2021.06.003","ISSN":"2211419X","issue":"4","journalAbbreviation":"African Journal of Emergency Medicine","language":"en","page":"396-403","source":"DOI.org (Crossref)","title":"Survival status and predictors of mortality among traumatic brain injury patients in an Ethiopian hospital: A retrospective cohort study","title-short":"Survival status and predictors of mortality among traumatic brain injury patients in an Ethiopian hospital","URL":"https://linkinghub.elsevier.com/retrieve/pii/S2211419X21000537","volume":"11","author":[{"family":"Amare","given":"Abraham Tsedalu"},{"family":"Tesfaye","given":"Tadesse Dagget"},{"family":"Ali","given":"Awole Seid"},{"family":"Woelile","given":"Tamiru Alene"},{"family":"Birlie","given":"Tekalign Amera"},{"family":"Kebede","given":"Worku Misganew"},{"family":"Tassew","given":"Sheganew Fetene"},{"family":"Chanie","given":"Ermias Sisay"},{"family":"Feleke","given":"Dejen Getaneh"}],"accessed":{"date-parts":[["2026",10,11]]},"issued":{"date-parts":[["2021",12]]}}}],"schema":"https://github.com/citation-style-language/schema/raw/master/csl-citation.json"} </w:instrText>
            </w:r>
            <w:r w:rsidR="003E6CD2">
              <w:rPr>
                <w:rFonts w:ascii="Times New Roman" w:hAnsi="Times New Roman" w:cs="Times New Roman"/>
                <w:sz w:val="16"/>
                <w:szCs w:val="16"/>
              </w:rPr>
              <w:fldChar w:fldCharType="separate"/>
            </w:r>
            <w:r w:rsidR="003E6CD2" w:rsidRPr="003E6CD2">
              <w:rPr>
                <w:rFonts w:ascii="Times New Roman" w:hAnsi="Times New Roman" w:cs="Times New Roman"/>
                <w:sz w:val="16"/>
                <w:vertAlign w:val="superscript"/>
              </w:rPr>
              <w:t>13</w:t>
            </w:r>
            <w:r w:rsidR="003E6CD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4AC39CB4" w14:textId="41E6DACB" w:rsidR="00E6151E" w:rsidRPr="00163892" w:rsidRDefault="003E6CD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Survival status and predictors of mortality among traumatic brain injury patients in an Ethiopian hospital: A retrospective cohort study</w:t>
            </w:r>
            <w:r w:rsidRPr="00163892">
              <w:rPr>
                <w:rFonts w:ascii="Times New Roman" w:hAnsi="Times New Roman" w:cs="Times New Roman"/>
                <w:sz w:val="16"/>
                <w:szCs w:val="16"/>
              </w:rPr>
              <w:br/>
              <w:t>Ethiopia</w:t>
            </w:r>
            <w:r>
              <w:rPr>
                <w:rFonts w:ascii="Times New Roman" w:hAnsi="Times New Roman" w:cs="Times New Roman"/>
                <w:sz w:val="16"/>
                <w:szCs w:val="16"/>
              </w:rPr>
              <w:t>.</w:t>
            </w:r>
          </w:p>
        </w:tc>
        <w:tc>
          <w:tcPr>
            <w:tcW w:w="0" w:type="auto"/>
          </w:tcPr>
          <w:p w14:paraId="474BED6D" w14:textId="7BD2383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Reported TBI mortality and clinical predictors without an economic or financial burden outcome.</w:t>
            </w:r>
          </w:p>
        </w:tc>
        <w:tc>
          <w:tcPr>
            <w:tcW w:w="0" w:type="auto"/>
          </w:tcPr>
          <w:p w14:paraId="46E05A6B"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No extractable economic or financial outcome</w:t>
            </w:r>
          </w:p>
        </w:tc>
      </w:tr>
      <w:tr w:rsidR="00E6151E" w:rsidRPr="00163892" w14:paraId="183C2020"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EFB6292"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14</w:t>
            </w:r>
          </w:p>
        </w:tc>
        <w:tc>
          <w:tcPr>
            <w:tcW w:w="0" w:type="auto"/>
          </w:tcPr>
          <w:p w14:paraId="7D015673" w14:textId="78DC07C1"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Wesson et al., 2014</w:t>
            </w:r>
            <w:r w:rsidR="00185FE2">
              <w:rPr>
                <w:rFonts w:ascii="Times New Roman" w:hAnsi="Times New Roman" w:cs="Times New Roman"/>
                <w:sz w:val="16"/>
                <w:szCs w:val="16"/>
              </w:rPr>
              <w:fldChar w:fldCharType="begin"/>
            </w:r>
            <w:r w:rsidR="00185FE2">
              <w:rPr>
                <w:rFonts w:ascii="Times New Roman" w:hAnsi="Times New Roman" w:cs="Times New Roman"/>
                <w:sz w:val="16"/>
                <w:szCs w:val="16"/>
              </w:rPr>
              <w:instrText xml:space="preserve"> ADDIN ZOTERO_ITEM CSL_CITATION {"citationID":"GUsMx5hF","properties":{"unsorted":false,"formattedCitation":"\\super 14\\nosupersub{}","plainCitation":"14","noteIndex":0},"citationItems":[{"id":2482,"uris":["http://zotero.org/users/local/we6rVKg5/items/9UT5DREQ"],"itemData":{"id":2482,"type":"article-journal","container-title":"Health Policy and Planning","DOI":"10.1093/heapol/czt064","ISSN":"0268-1080, 1460-2237","issue":"6","journalAbbreviation":"Health Policy and Planning","language":"en","page":"795-808","source":"DOI.org (Crossref)","title":"The cost of injury and trauma care in low- and middle-income countries: a review of economic evidence","title-short":"The cost of injury and trauma care in low- and middle-income countries","URL":"https://academic.oup.com/heapol/article-lookup/doi/10.1093/heapol/czt064","volume":"29","author":[{"family":"Wesson","given":"H. K. H."},{"family":"Boikhutso","given":"N."},{"family":"Bachani","given":"A. M."},{"family":"Hofman","given":"K. J."},{"family":"Hyder","given":"A. A."}],"accessed":{"date-parts":[["2026",10,11]]},"issued":{"date-parts":[["2014",9,1]]}}}],"schema":"https://github.com/citation-style-language/schema/raw/master/csl-citation.json"} </w:instrText>
            </w:r>
            <w:r w:rsidR="00185FE2">
              <w:rPr>
                <w:rFonts w:ascii="Times New Roman" w:hAnsi="Times New Roman" w:cs="Times New Roman"/>
                <w:sz w:val="16"/>
                <w:szCs w:val="16"/>
              </w:rPr>
              <w:fldChar w:fldCharType="separate"/>
            </w:r>
            <w:r w:rsidR="00185FE2" w:rsidRPr="00185FE2">
              <w:rPr>
                <w:rFonts w:ascii="Times New Roman" w:hAnsi="Times New Roman" w:cs="Times New Roman"/>
                <w:sz w:val="16"/>
                <w:vertAlign w:val="superscript"/>
              </w:rPr>
              <w:t>14</w:t>
            </w:r>
            <w:r w:rsidR="00185FE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614AE701" w14:textId="705553A6" w:rsidR="00E6151E" w:rsidRPr="00163892" w:rsidRDefault="00185FE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The cost of injury and trauma care in low- and middle-income countries: a review of economic evidence</w:t>
            </w:r>
            <w:r>
              <w:rPr>
                <w:rFonts w:ascii="Times New Roman" w:hAnsi="Times New Roman" w:cs="Times New Roman"/>
                <w:sz w:val="16"/>
                <w:szCs w:val="16"/>
              </w:rPr>
              <w:t>.</w:t>
            </w:r>
          </w:p>
        </w:tc>
        <w:tc>
          <w:tcPr>
            <w:tcW w:w="0" w:type="auto"/>
          </w:tcPr>
          <w:p w14:paraId="375E6AB2" w14:textId="4D5F6FA5"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Review article; not a primary empirical TBI economic-burden study.</w:t>
            </w:r>
          </w:p>
        </w:tc>
        <w:tc>
          <w:tcPr>
            <w:tcW w:w="0" w:type="auto"/>
          </w:tcPr>
          <w:p w14:paraId="3C2FFE50"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Ineligible publication type/design</w:t>
            </w:r>
          </w:p>
        </w:tc>
      </w:tr>
      <w:tr w:rsidR="00E6151E" w:rsidRPr="00163892" w14:paraId="676B97FC"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5A93607"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15</w:t>
            </w:r>
          </w:p>
        </w:tc>
        <w:tc>
          <w:tcPr>
            <w:tcW w:w="0" w:type="auto"/>
          </w:tcPr>
          <w:p w14:paraId="578A928B" w14:textId="0369EA1B"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van Dijck et al., 2019</w:t>
            </w:r>
            <w:r w:rsidR="00185FE2">
              <w:rPr>
                <w:rFonts w:ascii="Times New Roman" w:hAnsi="Times New Roman" w:cs="Times New Roman"/>
                <w:sz w:val="16"/>
                <w:szCs w:val="16"/>
              </w:rPr>
              <w:fldChar w:fldCharType="begin"/>
            </w:r>
            <w:r w:rsidR="00185FE2">
              <w:rPr>
                <w:rFonts w:ascii="Times New Roman" w:hAnsi="Times New Roman" w:cs="Times New Roman"/>
                <w:sz w:val="16"/>
                <w:szCs w:val="16"/>
              </w:rPr>
              <w:instrText xml:space="preserve"> ADDIN ZOTERO_ITEM CSL_CITATION {"citationID":"IlMEB1Yl","properties":{"unsorted":false,"formattedCitation":"\\super 15\\nosupersub{}","plainCitation":"15","noteIndex":0},"citationItems":[{"id":2416,"uris":["http://zotero.org/users/local/we6rVKg5/items/BYBN99ER"],"itemData":{"id":2416,"type":"article-journal","container-title":"PLOS ONE","DOI":"10.1371/journal.pone.0216743","ISSN":"1932-6203","issue":"5","journalAbbreviation":"PLoS ONE","language":"en","page":"e0216743","source":"DOI.org (Crossref)","title":"In-hospital costs after severe traumatic brain injury: A systematic review and quality assessment","title-short":"In-hospital costs after severe traumatic brain injury","URL":"https://dx.plos.org/10.1371/journal.pone.0216743","volume":"14","author":[{"family":"Van Dijck","given":"Jeroen T. J. M."},{"family":"Dijkman","given":"Mark D."},{"family":"Ophuis","given":"Robbin H."},{"family":"De Ruiter","given":"Godard C. W."},{"family":"Peul","given":"Wilco C."},{"family":"Polinder","given":"Suzanne"}],"editor":[{"family":"Kerezoudis","given":"Panagiotis"}],"accessed":{"date-parts":[["2026",9,18]]},"issued":{"date-parts":[["2019",5,9]]}}}],"schema":"https://github.com/citation-style-language/schema/raw/master/csl-citation.json"} </w:instrText>
            </w:r>
            <w:r w:rsidR="00185FE2">
              <w:rPr>
                <w:rFonts w:ascii="Times New Roman" w:hAnsi="Times New Roman" w:cs="Times New Roman"/>
                <w:sz w:val="16"/>
                <w:szCs w:val="16"/>
              </w:rPr>
              <w:fldChar w:fldCharType="separate"/>
            </w:r>
            <w:r w:rsidR="00185FE2" w:rsidRPr="00185FE2">
              <w:rPr>
                <w:rFonts w:ascii="Times New Roman" w:hAnsi="Times New Roman" w:cs="Times New Roman"/>
                <w:sz w:val="16"/>
                <w:vertAlign w:val="superscript"/>
              </w:rPr>
              <w:t>15</w:t>
            </w:r>
            <w:r w:rsidR="00185FE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6810A593" w14:textId="1B79705B" w:rsidR="00E6151E" w:rsidRPr="00163892" w:rsidRDefault="00185FE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In-hospital costs after severe traumatic brain injury: A systematic review and quality assessment</w:t>
            </w:r>
          </w:p>
        </w:tc>
        <w:tc>
          <w:tcPr>
            <w:tcW w:w="0" w:type="auto"/>
          </w:tcPr>
          <w:p w14:paraId="7A24BCD4" w14:textId="118CF7F1"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Systematic review; not a primary empirical study.</w:t>
            </w:r>
          </w:p>
        </w:tc>
        <w:tc>
          <w:tcPr>
            <w:tcW w:w="0" w:type="auto"/>
          </w:tcPr>
          <w:p w14:paraId="6E6D0527"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Ineligible publication type/design</w:t>
            </w:r>
          </w:p>
        </w:tc>
      </w:tr>
      <w:tr w:rsidR="00E6151E" w:rsidRPr="00163892" w14:paraId="53EFBB07"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5B29144"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16</w:t>
            </w:r>
          </w:p>
        </w:tc>
        <w:tc>
          <w:tcPr>
            <w:tcW w:w="0" w:type="auto"/>
          </w:tcPr>
          <w:p w14:paraId="4E7B94B3" w14:textId="01FD5358"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Crozes et al., 2024</w:t>
            </w:r>
            <w:r w:rsidR="00933672">
              <w:rPr>
                <w:rFonts w:ascii="Times New Roman" w:hAnsi="Times New Roman" w:cs="Times New Roman"/>
                <w:sz w:val="16"/>
                <w:szCs w:val="16"/>
              </w:rPr>
              <w:fldChar w:fldCharType="begin"/>
            </w:r>
            <w:r w:rsidR="00933672">
              <w:rPr>
                <w:rFonts w:ascii="Times New Roman" w:hAnsi="Times New Roman" w:cs="Times New Roman"/>
                <w:sz w:val="16"/>
                <w:szCs w:val="16"/>
              </w:rPr>
              <w:instrText xml:space="preserve"> ADDIN ZOTERO_ITEM CSL_CITATION {"citationID":"1Qqw6i54","properties":{"unsorted":false,"formattedCitation":"\\super 16\\nosupersub{}","plainCitation":"16","noteIndex":0},"citationItems":[{"id":2418,"uris":["http://zotero.org/users/local/we6rVKg5/items/4TUHBI2M"],"itemData":{"id":2418,"type":"article-journal","abstract":"Objective: To identify the articles in the existing literature that analyse healthcare costs according to the socioeconomic position (pre- or post-injury) for traumatic brain injury survivors. Secondary aims were to describe the types of costs and socioeconomic characteristics and to determine whether socioeconomic characteristics affect the risk of traumatic brain injury or whether the consequences of trauma alter living conditions post-injury.\nMethods: This scoping review followed the methods proposed by Arksey and O’Malley. The literature search was performed in 5 databases.\nResults: Twenty-two articles were included, published between 1988 and 2023. Only 2 articles (9%) followed the guidelines for economic evaluation of healthcare programmes and 2 articles (9%) evaluated socioeconomic position “completely” with 3 main individual measures of socioeconomic characteristics (i.e., education, income, and occupation). The relationship between costs and socioeconomic characteristics could vary in 2 ways in traumatic brain injury: socioeconomic disadvantage was mostly associated with higher healthcare costs, and the cost of healthcare reduced the survivors’ living conditions.\nConclusion: This work highlights the need for a detailed and methodologically sound assessment of the relationship between socioeconomic characteristics and the costs associated with trauma. Modelling the care pathways of traumatic brain injury would make it possible to identify populations at risk of poor recovery or deterioration following a TBI, and to develop specific care pathways. The aim is to build more appropriate, effective, and equitable care programmes.","container-title":"Journal of Rehabilitation Medicine","DOI":"10.2340/jrm.v56.18311","ISSN":"1651-2081","journalAbbreviation":"JRM","license":"https://creativecommons.org/licenses/by/4.0","page":"jrm18311","source":"DOI.org (Crossref)","title":"Mapping the costs and socioeconomic characteristics involved in traumatic brain injuries: a scoping review","title-short":"Mapping the costs and socioeconomic characteristics involved in traumatic brain injuries","URL":"https://medicaljournalssweden.se/jrm/article/view/18311","volume":"56","author":[{"family":"Crozes","given":"Fanny"},{"family":"Delpierre","given":"Cyrille"},{"family":"Costa","given":"Nadège"}],"accessed":{"date-parts":[["2026",9,18]]},"issued":{"date-parts":[["2024",8,5]]}}}],"schema":"https://github.com/citation-style-language/schema/raw/master/csl-citation.json"} </w:instrText>
            </w:r>
            <w:r w:rsidR="00933672">
              <w:rPr>
                <w:rFonts w:ascii="Times New Roman" w:hAnsi="Times New Roman" w:cs="Times New Roman"/>
                <w:sz w:val="16"/>
                <w:szCs w:val="16"/>
              </w:rPr>
              <w:fldChar w:fldCharType="separate"/>
            </w:r>
            <w:r w:rsidR="00933672" w:rsidRPr="00933672">
              <w:rPr>
                <w:rFonts w:ascii="Times New Roman" w:hAnsi="Times New Roman" w:cs="Times New Roman"/>
                <w:sz w:val="16"/>
                <w:vertAlign w:val="superscript"/>
              </w:rPr>
              <w:t>16</w:t>
            </w:r>
            <w:r w:rsidR="0093367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4237B616" w14:textId="6E72F5B0" w:rsidR="00E6151E" w:rsidRPr="00163892" w:rsidRDefault="0093367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Mapping the costs and socioeconomic characteristics involved in traumatic brain injuries: a scoping review</w:t>
            </w:r>
          </w:p>
        </w:tc>
        <w:tc>
          <w:tcPr>
            <w:tcW w:w="0" w:type="auto"/>
          </w:tcPr>
          <w:p w14:paraId="76047D4D" w14:textId="61ACEE1D"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Scoping review; not a primary empirical study.</w:t>
            </w:r>
          </w:p>
        </w:tc>
        <w:tc>
          <w:tcPr>
            <w:tcW w:w="0" w:type="auto"/>
          </w:tcPr>
          <w:p w14:paraId="2547F0DB"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Ineligible publication type/design</w:t>
            </w:r>
          </w:p>
        </w:tc>
      </w:tr>
      <w:tr w:rsidR="00E6151E" w:rsidRPr="00163892" w14:paraId="104C12DB" w14:textId="77777777" w:rsidTr="005C0704">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EE6E199" w14:textId="77777777" w:rsidR="00E6151E" w:rsidRPr="00163892" w:rsidRDefault="00E6151E" w:rsidP="00163892">
            <w:pPr>
              <w:pStyle w:val="NoSpacing"/>
              <w:rPr>
                <w:rFonts w:ascii="Times New Roman" w:hAnsi="Times New Roman" w:cs="Times New Roman"/>
                <w:sz w:val="16"/>
                <w:szCs w:val="16"/>
              </w:rPr>
            </w:pPr>
            <w:r w:rsidRPr="00163892">
              <w:rPr>
                <w:rFonts w:ascii="Times New Roman" w:hAnsi="Times New Roman" w:cs="Times New Roman"/>
                <w:sz w:val="16"/>
                <w:szCs w:val="16"/>
              </w:rPr>
              <w:t>17</w:t>
            </w:r>
          </w:p>
        </w:tc>
        <w:tc>
          <w:tcPr>
            <w:tcW w:w="0" w:type="auto"/>
          </w:tcPr>
          <w:p w14:paraId="6A696D31" w14:textId="533C9190"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Allen et al., 2023</w:t>
            </w:r>
            <w:r w:rsidR="00933672">
              <w:rPr>
                <w:rFonts w:ascii="Times New Roman" w:hAnsi="Times New Roman" w:cs="Times New Roman"/>
                <w:sz w:val="16"/>
                <w:szCs w:val="16"/>
              </w:rPr>
              <w:fldChar w:fldCharType="begin"/>
            </w:r>
            <w:r w:rsidR="00933672">
              <w:rPr>
                <w:rFonts w:ascii="Times New Roman" w:hAnsi="Times New Roman" w:cs="Times New Roman"/>
                <w:sz w:val="16"/>
                <w:szCs w:val="16"/>
              </w:rPr>
              <w:instrText xml:space="preserve"> ADDIN ZOTERO_ITEM CSL_CITATION {"citationID":"hI1aD0Ju","properties":{"unsorted":false,"formattedCitation":"\\super 17\\nosupersub{}","plainCitation":"17","noteIndex":0},"citationItems":[{"id":2483,"uris":["http://zotero.org/users/local/we6rVKg5/items/BTKDVYYM"],"itemData":{"id":2483,"type":"article-journal","abstract":"Low- and middle-income countries (LMICs) experience the majority of traumatic brain injuries (TBIs), yet few studies have examined the epidemiology and management strategies of TBI in LMICs. The objective of this narrative review is to discuss the epidemiology of TBI within LMICs, describe the adherence to Brain Trauma Foundation (BTF) guidelines for the management of severe TBI in LMICs, and document TBI management strategies currently used in LMICs. Articles from January 1, 2009 to September 30, 2021 that included patients with TBI greater than 18 years of age in low-, low middle-, and high middle-income countries were queried in PubMed. Search results demonstrated that TBI in LMICs mostly impacts young males involved in road traffic accidents. Within LMICs there are a myriad of approaches to managing TBI with few randomized controlled trials performed within LMICs to evaluate those interventions. More studies are needed in LMICs to establish the effectiveness and appropriateness of BTF guidelines for managing TBI and to help identify methods for managing TBI that are appropriate in low-resource settings. The problem of limited pre- and post-hospital care is a bigger challenge that needs to be considered while addressing management of TBI in LMICs.","container-title":"Journal of Neurotrauma","DOI":"10.1089/neu.2022.0068","ISSN":"0897-7151, 1557-9042","issue":"7-8","journalAbbreviation":"Journal of Neurotrauma","language":"en","page":"602-619","source":"DOI.org (Crossref)","title":"Traumatic Brain Injury in Select Low- and Middle-Income Countries: A Narrative Review of the Literature","title-short":"Traumatic Brain Injury in Select Low- and Middle-Income Countries","URL":"https://journals.sagepub.com/doi/10.1089/neu.2022.0068","volume":"40","author":[{"family":"Allen","given":"Beddome C."},{"family":"Cummer","given":"Elaina"},{"family":"Sarma","given":"Anand K."}],"accessed":{"date-parts":[["2026",10,11]]},"issued":{"date-parts":[["2023",4]]}}}],"schema":"https://github.com/citation-style-language/schema/raw/master/csl-citation.json"} </w:instrText>
            </w:r>
            <w:r w:rsidR="00933672">
              <w:rPr>
                <w:rFonts w:ascii="Times New Roman" w:hAnsi="Times New Roman" w:cs="Times New Roman"/>
                <w:sz w:val="16"/>
                <w:szCs w:val="16"/>
              </w:rPr>
              <w:fldChar w:fldCharType="separate"/>
            </w:r>
            <w:r w:rsidR="00933672" w:rsidRPr="00933672">
              <w:rPr>
                <w:rFonts w:ascii="Times New Roman" w:hAnsi="Times New Roman" w:cs="Times New Roman"/>
                <w:sz w:val="16"/>
                <w:vertAlign w:val="superscript"/>
              </w:rPr>
              <w:t>17</w:t>
            </w:r>
            <w:r w:rsidR="00933672">
              <w:rPr>
                <w:rFonts w:ascii="Times New Roman" w:hAnsi="Times New Roman" w:cs="Times New Roman"/>
                <w:sz w:val="16"/>
                <w:szCs w:val="16"/>
              </w:rPr>
              <w:fldChar w:fldCharType="end"/>
            </w:r>
            <w:r w:rsidRPr="00163892">
              <w:rPr>
                <w:rFonts w:ascii="Times New Roman" w:hAnsi="Times New Roman" w:cs="Times New Roman"/>
                <w:sz w:val="16"/>
                <w:szCs w:val="16"/>
              </w:rPr>
              <w:br/>
            </w:r>
          </w:p>
        </w:tc>
        <w:tc>
          <w:tcPr>
            <w:tcW w:w="0" w:type="auto"/>
          </w:tcPr>
          <w:p w14:paraId="3ECC523E" w14:textId="6E8752EA" w:rsidR="00E6151E" w:rsidRPr="00163892" w:rsidRDefault="00933672"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Traumatic Brain Injury in Select Low- and Middle-Income Countries: A Narrative Review of the Literature</w:t>
            </w:r>
            <w:r>
              <w:rPr>
                <w:rFonts w:ascii="Times New Roman" w:hAnsi="Times New Roman" w:cs="Times New Roman"/>
                <w:sz w:val="16"/>
                <w:szCs w:val="16"/>
              </w:rPr>
              <w:t>.</w:t>
            </w:r>
          </w:p>
        </w:tc>
        <w:tc>
          <w:tcPr>
            <w:tcW w:w="0" w:type="auto"/>
          </w:tcPr>
          <w:p w14:paraId="698EDCFF" w14:textId="6E5144E1"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Narrative review; not a primary empirical economic-burden study.</w:t>
            </w:r>
          </w:p>
        </w:tc>
        <w:tc>
          <w:tcPr>
            <w:tcW w:w="0" w:type="auto"/>
          </w:tcPr>
          <w:p w14:paraId="28C10791" w14:textId="77777777" w:rsidR="00E6151E" w:rsidRPr="00163892" w:rsidRDefault="00E6151E" w:rsidP="00163892">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3892">
              <w:rPr>
                <w:rFonts w:ascii="Times New Roman" w:hAnsi="Times New Roman" w:cs="Times New Roman"/>
                <w:sz w:val="16"/>
                <w:szCs w:val="16"/>
              </w:rPr>
              <w:t>Ineligible publication type/design</w:t>
            </w:r>
          </w:p>
        </w:tc>
      </w:tr>
    </w:tbl>
    <w:p w14:paraId="71E976A6" w14:textId="77777777" w:rsidR="00002E62" w:rsidRDefault="00002E62" w:rsidP="00002E62"/>
    <w:p w14:paraId="6D40B663" w14:textId="77777777" w:rsidR="00002E62" w:rsidRDefault="00002E62" w:rsidP="00002E62"/>
    <w:p w14:paraId="6D7D0ED0" w14:textId="77777777" w:rsidR="00002E62" w:rsidRDefault="00002E62" w:rsidP="00002E62"/>
    <w:p w14:paraId="421890D0" w14:textId="77777777" w:rsidR="00002E62" w:rsidRDefault="00002E62" w:rsidP="00002E62"/>
    <w:p w14:paraId="7BE11188" w14:textId="77777777" w:rsidR="00002E62" w:rsidRDefault="00002E62" w:rsidP="00002E62"/>
    <w:p w14:paraId="084C78A5" w14:textId="77777777" w:rsidR="00002E62" w:rsidRDefault="00002E62" w:rsidP="00002E62"/>
    <w:p w14:paraId="06E48747" w14:textId="77777777" w:rsidR="00002E62" w:rsidRDefault="00002E62" w:rsidP="00002E62"/>
    <w:p w14:paraId="46242540" w14:textId="77777777" w:rsidR="00002E62" w:rsidRDefault="00002E62" w:rsidP="00002E62"/>
    <w:p w14:paraId="26897D2E" w14:textId="77777777" w:rsidR="00002E62" w:rsidRDefault="00002E62" w:rsidP="00002E62"/>
    <w:p w14:paraId="6409318D" w14:textId="77777777" w:rsidR="00002E62" w:rsidRDefault="00002E62" w:rsidP="00002E62"/>
    <w:p w14:paraId="66DF8A88" w14:textId="77777777" w:rsidR="00002E62" w:rsidRDefault="00002E62" w:rsidP="00002E62"/>
    <w:p w14:paraId="2CAE64C3" w14:textId="77777777" w:rsidR="00002E62" w:rsidRDefault="00002E62" w:rsidP="00002E62"/>
    <w:p w14:paraId="277D42AA" w14:textId="77777777" w:rsidR="00002E62" w:rsidRDefault="00002E62" w:rsidP="00002E62"/>
    <w:p w14:paraId="5C3EF442" w14:textId="77777777" w:rsidR="00002E62" w:rsidRDefault="00002E62" w:rsidP="00002E62"/>
    <w:p w14:paraId="339F5884" w14:textId="31C8DC65" w:rsidR="00E70FA7" w:rsidRPr="00002E62" w:rsidRDefault="00E70FA7" w:rsidP="00002E62">
      <w:pPr>
        <w:rPr>
          <w:rFonts w:ascii="Times New Roman" w:hAnsi="Times New Roman" w:cs="Times New Roman"/>
          <w:b/>
          <w:bCs/>
        </w:rPr>
      </w:pPr>
      <w:r w:rsidRPr="00002E62">
        <w:rPr>
          <w:rFonts w:ascii="Times New Roman" w:hAnsi="Times New Roman" w:cs="Times New Roman"/>
          <w:b/>
          <w:bCs/>
        </w:rPr>
        <w:lastRenderedPageBreak/>
        <w:t>Supplementary Table S3. JBI item-level critical appraisal.</w:t>
      </w:r>
    </w:p>
    <w:p w14:paraId="51BA6833" w14:textId="77777777" w:rsidR="00E70FA7" w:rsidRDefault="00E70FA7" w:rsidP="00E70FA7">
      <w:pPr>
        <w:keepNext/>
        <w:spacing w:before="120"/>
      </w:pPr>
      <w:r w:rsidRPr="00002E62">
        <w:rPr>
          <w:rFonts w:ascii="Times New Roman" w:hAnsi="Times New Roman" w:cs="Times New Roman"/>
          <w:b/>
        </w:rPr>
        <w:t>Table S3A. Analytical cross-sectional studies</w:t>
      </w:r>
    </w:p>
    <w:tbl>
      <w:tblPr>
        <w:tblStyle w:val="GridTable1Light"/>
        <w:tblW w:w="0" w:type="auto"/>
        <w:tblLook w:val="04A0" w:firstRow="1" w:lastRow="0" w:firstColumn="1" w:lastColumn="0" w:noHBand="0" w:noVBand="1"/>
      </w:tblPr>
      <w:tblGrid>
        <w:gridCol w:w="2283"/>
        <w:gridCol w:w="376"/>
        <w:gridCol w:w="376"/>
        <w:gridCol w:w="448"/>
        <w:gridCol w:w="376"/>
        <w:gridCol w:w="448"/>
        <w:gridCol w:w="448"/>
        <w:gridCol w:w="376"/>
        <w:gridCol w:w="376"/>
        <w:gridCol w:w="1750"/>
      </w:tblGrid>
      <w:tr w:rsidR="00E70FA7" w:rsidRPr="00E70FA7" w14:paraId="2D374DD5" w14:textId="77777777" w:rsidTr="00E70F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842086"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Study</w:t>
            </w:r>
          </w:p>
        </w:tc>
        <w:tc>
          <w:tcPr>
            <w:tcW w:w="0" w:type="auto"/>
          </w:tcPr>
          <w:p w14:paraId="53E0920A"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J1</w:t>
            </w:r>
          </w:p>
        </w:tc>
        <w:tc>
          <w:tcPr>
            <w:tcW w:w="0" w:type="auto"/>
          </w:tcPr>
          <w:p w14:paraId="694F6FE8"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J2</w:t>
            </w:r>
          </w:p>
        </w:tc>
        <w:tc>
          <w:tcPr>
            <w:tcW w:w="0" w:type="auto"/>
          </w:tcPr>
          <w:p w14:paraId="2785152A"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J3</w:t>
            </w:r>
          </w:p>
        </w:tc>
        <w:tc>
          <w:tcPr>
            <w:tcW w:w="0" w:type="auto"/>
          </w:tcPr>
          <w:p w14:paraId="3789A5BB"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J4</w:t>
            </w:r>
          </w:p>
        </w:tc>
        <w:tc>
          <w:tcPr>
            <w:tcW w:w="0" w:type="auto"/>
          </w:tcPr>
          <w:p w14:paraId="36A7B6A0"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J5</w:t>
            </w:r>
          </w:p>
        </w:tc>
        <w:tc>
          <w:tcPr>
            <w:tcW w:w="0" w:type="auto"/>
          </w:tcPr>
          <w:p w14:paraId="5B15DABC"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J6</w:t>
            </w:r>
          </w:p>
        </w:tc>
        <w:tc>
          <w:tcPr>
            <w:tcW w:w="0" w:type="auto"/>
          </w:tcPr>
          <w:p w14:paraId="70754A7E"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J7</w:t>
            </w:r>
          </w:p>
        </w:tc>
        <w:tc>
          <w:tcPr>
            <w:tcW w:w="0" w:type="auto"/>
          </w:tcPr>
          <w:p w14:paraId="5EB7A8B3"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J8</w:t>
            </w:r>
          </w:p>
        </w:tc>
        <w:tc>
          <w:tcPr>
            <w:tcW w:w="0" w:type="auto"/>
          </w:tcPr>
          <w:p w14:paraId="46CFCEA4" w14:textId="77777777" w:rsidR="00E70FA7" w:rsidRPr="00E70FA7" w:rsidRDefault="00E70FA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Study-level judgement</w:t>
            </w:r>
          </w:p>
        </w:tc>
      </w:tr>
      <w:tr w:rsidR="00E70FA7" w:rsidRPr="00E70FA7" w14:paraId="1CF5B9EB"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3DB1BF91"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Asmamaw et al., 2019</w:t>
            </w:r>
          </w:p>
        </w:tc>
        <w:tc>
          <w:tcPr>
            <w:tcW w:w="0" w:type="auto"/>
          </w:tcPr>
          <w:p w14:paraId="670EF9B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48DB0E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AC7565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C48471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1BDAE32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7499E7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E52389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352CE0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AB5D69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r w:rsidR="00E70FA7" w:rsidRPr="00E70FA7" w14:paraId="0F591027"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19EA3128"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Bhatti et al., 2015</w:t>
            </w:r>
          </w:p>
        </w:tc>
        <w:tc>
          <w:tcPr>
            <w:tcW w:w="0" w:type="auto"/>
          </w:tcPr>
          <w:p w14:paraId="486C9BA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99B500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658C1A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60AF41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D432C4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506D81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229DCA7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1A6C3F4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5C41B5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r w:rsidR="00E70FA7" w:rsidRPr="00E70FA7" w14:paraId="1F40C88C"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66CD6934"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Hoang et al., 2008</w:t>
            </w:r>
          </w:p>
        </w:tc>
        <w:tc>
          <w:tcPr>
            <w:tcW w:w="0" w:type="auto"/>
          </w:tcPr>
          <w:p w14:paraId="7149E33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A9E30A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1BCA2A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CB988F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4C71A9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355487B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w:t>
            </w:r>
          </w:p>
        </w:tc>
        <w:tc>
          <w:tcPr>
            <w:tcW w:w="0" w:type="auto"/>
          </w:tcPr>
          <w:p w14:paraId="06E78EC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7C5C9E6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8361E9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r w:rsidR="00E70FA7" w:rsidRPr="00E70FA7" w14:paraId="3E368C20"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135A6B18"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Yuan et al., 2012</w:t>
            </w:r>
          </w:p>
        </w:tc>
        <w:tc>
          <w:tcPr>
            <w:tcW w:w="0" w:type="auto"/>
          </w:tcPr>
          <w:p w14:paraId="0ECB2F1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3DA681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CD8E37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79A6E1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A7F6FB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5ED418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9F6C81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B67904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F16869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38110F18"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4DAA7AB8"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Kavosi et al., 2015</w:t>
            </w:r>
          </w:p>
        </w:tc>
        <w:tc>
          <w:tcPr>
            <w:tcW w:w="0" w:type="auto"/>
          </w:tcPr>
          <w:p w14:paraId="2032CF8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850D42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FE788A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0732AA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D37AE9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C31CEF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DDDBA1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E38CE7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45550F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43153B0B"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017CD800"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Hode et al., 2017</w:t>
            </w:r>
          </w:p>
        </w:tc>
        <w:tc>
          <w:tcPr>
            <w:tcW w:w="0" w:type="auto"/>
          </w:tcPr>
          <w:p w14:paraId="2D77280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F477EF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4DDC63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B0937D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BB01E7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E8E135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B882B4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1F1DBD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68BFA7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4BC2F042"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2086E03A"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Schenck et al., 2023</w:t>
            </w:r>
          </w:p>
        </w:tc>
        <w:tc>
          <w:tcPr>
            <w:tcW w:w="0" w:type="auto"/>
          </w:tcPr>
          <w:p w14:paraId="7154D2A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E21683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2A7FE6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1D7183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3C8162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E067D6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A06C5B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0DB043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D3EC2C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797A9925"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1087F503"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Kong et al., 2017</w:t>
            </w:r>
          </w:p>
        </w:tc>
        <w:tc>
          <w:tcPr>
            <w:tcW w:w="0" w:type="auto"/>
          </w:tcPr>
          <w:p w14:paraId="4ACF302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978487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6813C2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6ED50C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93FB28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BB0207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EDB072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3AED97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5D9395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4BAAD896"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6F522403"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Phaleng &amp; Hardcastle, 2025</w:t>
            </w:r>
          </w:p>
        </w:tc>
        <w:tc>
          <w:tcPr>
            <w:tcW w:w="0" w:type="auto"/>
          </w:tcPr>
          <w:p w14:paraId="3D3C85C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5E59C9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4B4BFD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52F9DE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EC96CC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605DE6A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0D676E6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402A94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523DB9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r w:rsidR="00E70FA7" w:rsidRPr="00E70FA7" w14:paraId="6045A545"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7443D1F3" w14:textId="77777777" w:rsidR="00E70FA7" w:rsidRPr="00E70FA7" w:rsidRDefault="00E70FA7">
            <w:pPr>
              <w:rPr>
                <w:rFonts w:ascii="Times New Roman" w:hAnsi="Times New Roman" w:cs="Times New Roman"/>
                <w:sz w:val="16"/>
                <w:szCs w:val="16"/>
              </w:rPr>
            </w:pPr>
            <w:proofErr w:type="spellStart"/>
            <w:r w:rsidRPr="00E70FA7">
              <w:rPr>
                <w:rFonts w:ascii="Times New Roman" w:hAnsi="Times New Roman" w:cs="Times New Roman"/>
                <w:sz w:val="16"/>
                <w:szCs w:val="16"/>
              </w:rPr>
              <w:t>Carteri</w:t>
            </w:r>
            <w:proofErr w:type="spellEnd"/>
            <w:r w:rsidRPr="00E70FA7">
              <w:rPr>
                <w:rFonts w:ascii="Times New Roman" w:hAnsi="Times New Roman" w:cs="Times New Roman"/>
                <w:sz w:val="16"/>
                <w:szCs w:val="16"/>
              </w:rPr>
              <w:t xml:space="preserve"> &amp; da Silva, 2021</w:t>
            </w:r>
          </w:p>
        </w:tc>
        <w:tc>
          <w:tcPr>
            <w:tcW w:w="0" w:type="auto"/>
          </w:tcPr>
          <w:p w14:paraId="68DA40D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7F6C27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090005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5F69D5A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A3675F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6580F6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B52818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74120D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894D1E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291792F7"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6AE228CC"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Barragán-</w:t>
            </w:r>
            <w:proofErr w:type="spellStart"/>
            <w:r w:rsidRPr="00E70FA7">
              <w:rPr>
                <w:rFonts w:ascii="Times New Roman" w:hAnsi="Times New Roman" w:cs="Times New Roman"/>
                <w:sz w:val="16"/>
                <w:szCs w:val="16"/>
              </w:rPr>
              <w:t>Hervella</w:t>
            </w:r>
            <w:proofErr w:type="spellEnd"/>
            <w:r w:rsidRPr="00E70FA7">
              <w:rPr>
                <w:rFonts w:ascii="Times New Roman" w:hAnsi="Times New Roman" w:cs="Times New Roman"/>
                <w:sz w:val="16"/>
                <w:szCs w:val="16"/>
              </w:rPr>
              <w:t xml:space="preserve"> et al., 2016</w:t>
            </w:r>
          </w:p>
        </w:tc>
        <w:tc>
          <w:tcPr>
            <w:tcW w:w="0" w:type="auto"/>
          </w:tcPr>
          <w:p w14:paraId="0144070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9CF821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8BFB78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0DF09A5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25DA0B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3CEC131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47A44F5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584801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733CBA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5059F60D"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086DDF68" w14:textId="77777777" w:rsidR="00E70FA7" w:rsidRPr="00E70FA7" w:rsidRDefault="00E70FA7">
            <w:pPr>
              <w:rPr>
                <w:rFonts w:ascii="Times New Roman" w:hAnsi="Times New Roman" w:cs="Times New Roman"/>
                <w:sz w:val="16"/>
                <w:szCs w:val="16"/>
              </w:rPr>
            </w:pPr>
            <w:proofErr w:type="spellStart"/>
            <w:r w:rsidRPr="00E70FA7">
              <w:rPr>
                <w:rFonts w:ascii="Times New Roman" w:hAnsi="Times New Roman" w:cs="Times New Roman"/>
                <w:sz w:val="16"/>
                <w:szCs w:val="16"/>
              </w:rPr>
              <w:t>Doleagbenou</w:t>
            </w:r>
            <w:proofErr w:type="spellEnd"/>
            <w:r w:rsidRPr="00E70FA7">
              <w:rPr>
                <w:rFonts w:ascii="Times New Roman" w:hAnsi="Times New Roman" w:cs="Times New Roman"/>
                <w:sz w:val="16"/>
                <w:szCs w:val="16"/>
              </w:rPr>
              <w:t xml:space="preserve"> et al., 2026</w:t>
            </w:r>
          </w:p>
        </w:tc>
        <w:tc>
          <w:tcPr>
            <w:tcW w:w="0" w:type="auto"/>
          </w:tcPr>
          <w:p w14:paraId="7A204BC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409126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B14AB5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2FE67A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4DC125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9B974A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ABD99C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6C0BF4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B77072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5B02FB0E"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264121DF"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Yu et al., 2025</w:t>
            </w:r>
          </w:p>
        </w:tc>
        <w:tc>
          <w:tcPr>
            <w:tcW w:w="0" w:type="auto"/>
          </w:tcPr>
          <w:p w14:paraId="2BBD36F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4F34C9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4CF38E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CC6677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27BCB2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22E1E6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E50C02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AE7E87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DCCF5EB"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37D16A37"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1C663B41"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You et al., 2018</w:t>
            </w:r>
          </w:p>
        </w:tc>
        <w:tc>
          <w:tcPr>
            <w:tcW w:w="0" w:type="auto"/>
          </w:tcPr>
          <w:p w14:paraId="18FBE70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2DBF801"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BC5F1C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3D8B6E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BEDBFC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AE39C9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8FB68E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FF55A1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28DDFD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6982912D"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77E48669"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Hussain et al., 2019</w:t>
            </w:r>
          </w:p>
        </w:tc>
        <w:tc>
          <w:tcPr>
            <w:tcW w:w="0" w:type="auto"/>
          </w:tcPr>
          <w:p w14:paraId="1505607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A523B2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FB4080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08A5E67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F8733D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60DD1D1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1DB2E975"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3B2F40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347EE0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r w:rsidR="00E70FA7" w:rsidRPr="00E70FA7" w14:paraId="4674DF15"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51084C01" w14:textId="77777777" w:rsidR="00E70FA7" w:rsidRPr="00E70FA7" w:rsidRDefault="00E70FA7">
            <w:pPr>
              <w:rPr>
                <w:rFonts w:ascii="Times New Roman" w:hAnsi="Times New Roman" w:cs="Times New Roman"/>
                <w:sz w:val="16"/>
                <w:szCs w:val="16"/>
              </w:rPr>
            </w:pPr>
            <w:proofErr w:type="spellStart"/>
            <w:r w:rsidRPr="00E70FA7">
              <w:rPr>
                <w:rFonts w:ascii="Times New Roman" w:hAnsi="Times New Roman" w:cs="Times New Roman"/>
                <w:sz w:val="16"/>
                <w:szCs w:val="16"/>
              </w:rPr>
              <w:t>Umo</w:t>
            </w:r>
            <w:proofErr w:type="spellEnd"/>
            <w:r w:rsidRPr="00E70FA7">
              <w:rPr>
                <w:rFonts w:ascii="Times New Roman" w:hAnsi="Times New Roman" w:cs="Times New Roman"/>
                <w:sz w:val="16"/>
                <w:szCs w:val="16"/>
              </w:rPr>
              <w:t xml:space="preserve"> et al., 2022</w:t>
            </w:r>
          </w:p>
        </w:tc>
        <w:tc>
          <w:tcPr>
            <w:tcW w:w="0" w:type="auto"/>
          </w:tcPr>
          <w:p w14:paraId="4658A85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23EF39C"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41497F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3517A977"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7CD0AE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402917F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038A225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554773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46E4C5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441DCDC0"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0C9F0B2A"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Paka et al., 2025</w:t>
            </w:r>
          </w:p>
        </w:tc>
        <w:tc>
          <w:tcPr>
            <w:tcW w:w="0" w:type="auto"/>
          </w:tcPr>
          <w:p w14:paraId="4C7BF843"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AF0106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6B25F76"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3405317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4647AF52"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471DB7C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NA</w:t>
            </w:r>
          </w:p>
        </w:tc>
        <w:tc>
          <w:tcPr>
            <w:tcW w:w="0" w:type="auto"/>
          </w:tcPr>
          <w:p w14:paraId="5A1F2E38"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793D02A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349B47CA"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Low concerns</w:t>
            </w:r>
          </w:p>
        </w:tc>
      </w:tr>
      <w:tr w:rsidR="00E70FA7" w:rsidRPr="00E70FA7" w14:paraId="58910DEB" w14:textId="77777777" w:rsidTr="00E70FA7">
        <w:tc>
          <w:tcPr>
            <w:cnfStyle w:val="001000000000" w:firstRow="0" w:lastRow="0" w:firstColumn="1" w:lastColumn="0" w:oddVBand="0" w:evenVBand="0" w:oddHBand="0" w:evenHBand="0" w:firstRowFirstColumn="0" w:firstRowLastColumn="0" w:lastRowFirstColumn="0" w:lastRowLastColumn="0"/>
            <w:tcW w:w="0" w:type="auto"/>
          </w:tcPr>
          <w:p w14:paraId="466B0F86" w14:textId="77777777" w:rsidR="00E70FA7" w:rsidRPr="00E70FA7" w:rsidRDefault="00E70FA7">
            <w:pPr>
              <w:rPr>
                <w:rFonts w:ascii="Times New Roman" w:hAnsi="Times New Roman" w:cs="Times New Roman"/>
                <w:sz w:val="16"/>
                <w:szCs w:val="16"/>
              </w:rPr>
            </w:pPr>
            <w:r w:rsidRPr="00E70FA7">
              <w:rPr>
                <w:rFonts w:ascii="Times New Roman" w:hAnsi="Times New Roman" w:cs="Times New Roman"/>
                <w:sz w:val="16"/>
                <w:szCs w:val="16"/>
              </w:rPr>
              <w:t>Kanmani et al., 2019</w:t>
            </w:r>
          </w:p>
        </w:tc>
        <w:tc>
          <w:tcPr>
            <w:tcW w:w="0" w:type="auto"/>
          </w:tcPr>
          <w:p w14:paraId="143F5A2E"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D7349A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2ADDC60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19025754"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09DCFD1F"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7DE74C4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U</w:t>
            </w:r>
          </w:p>
        </w:tc>
        <w:tc>
          <w:tcPr>
            <w:tcW w:w="0" w:type="auto"/>
          </w:tcPr>
          <w:p w14:paraId="2D670F19"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65BB05ED"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Y</w:t>
            </w:r>
          </w:p>
        </w:tc>
        <w:tc>
          <w:tcPr>
            <w:tcW w:w="0" w:type="auto"/>
          </w:tcPr>
          <w:p w14:paraId="52DF38C0" w14:textId="77777777" w:rsidR="00E70FA7" w:rsidRPr="00E70FA7" w:rsidRDefault="00E70F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E70FA7">
              <w:rPr>
                <w:rFonts w:ascii="Times New Roman" w:hAnsi="Times New Roman" w:cs="Times New Roman"/>
                <w:sz w:val="16"/>
                <w:szCs w:val="16"/>
              </w:rPr>
              <w:t>Some concerns</w:t>
            </w:r>
          </w:p>
        </w:tc>
      </w:tr>
    </w:tbl>
    <w:p w14:paraId="5051A610" w14:textId="79AADA73" w:rsidR="005C0704" w:rsidRPr="005C0704" w:rsidRDefault="005C0704" w:rsidP="00E70FA7">
      <w:pPr>
        <w:rPr>
          <w:rFonts w:ascii="Times New Roman" w:hAnsi="Times New Roman" w:cs="Times New Roman"/>
          <w:b/>
          <w:bCs/>
          <w:sz w:val="18"/>
          <w:szCs w:val="18"/>
        </w:rPr>
      </w:pPr>
      <w:r w:rsidRPr="005C0704">
        <w:rPr>
          <w:rFonts w:ascii="Times New Roman" w:hAnsi="Times New Roman" w:cs="Times New Roman"/>
          <w:i/>
          <w:iCs/>
          <w:sz w:val="18"/>
          <w:szCs w:val="18"/>
        </w:rPr>
        <w:t xml:space="preserve">Table S3 </w:t>
      </w:r>
      <w:proofErr w:type="gramStart"/>
      <w:r w:rsidRPr="005C0704">
        <w:rPr>
          <w:rFonts w:ascii="Times New Roman" w:hAnsi="Times New Roman" w:cs="Times New Roman"/>
          <w:i/>
          <w:iCs/>
          <w:sz w:val="18"/>
          <w:szCs w:val="18"/>
        </w:rPr>
        <w:t>A</w:t>
      </w:r>
      <w:proofErr w:type="gramEnd"/>
      <w:r w:rsidRPr="005C0704">
        <w:rPr>
          <w:rFonts w:ascii="Times New Roman" w:hAnsi="Times New Roman" w:cs="Times New Roman"/>
          <w:i/>
          <w:iCs/>
          <w:sz w:val="18"/>
          <w:szCs w:val="18"/>
        </w:rPr>
        <w:t xml:space="preserve"> Note: Y = yes; N = no; U = unclear; NA = not applicable. Studies were appraised using the appropriate JBI critical appraisal checklist</w:t>
      </w:r>
      <w:r w:rsidRPr="005C0704">
        <w:rPr>
          <w:rFonts w:ascii="Times New Roman" w:hAnsi="Times New Roman" w:cs="Times New Roman"/>
          <w:b/>
          <w:bCs/>
          <w:sz w:val="18"/>
          <w:szCs w:val="18"/>
        </w:rPr>
        <w:t xml:space="preserve">. </w:t>
      </w:r>
    </w:p>
    <w:p w14:paraId="3B7026F5" w14:textId="77777777" w:rsidR="005C0704" w:rsidRDefault="005C0704" w:rsidP="00E70FA7">
      <w:pPr>
        <w:rPr>
          <w:b/>
          <w:bCs/>
        </w:rPr>
      </w:pPr>
    </w:p>
    <w:p w14:paraId="1EC8E771" w14:textId="59415BEB" w:rsidR="0014557C" w:rsidRPr="0014557C" w:rsidRDefault="0014557C" w:rsidP="00E70FA7">
      <w:pPr>
        <w:rPr>
          <w:b/>
          <w:bCs/>
        </w:rPr>
      </w:pPr>
      <w:r w:rsidRPr="0014557C">
        <w:rPr>
          <w:b/>
          <w:bCs/>
        </w:rPr>
        <w:t>Table S3B. Cohort studies.</w:t>
      </w:r>
    </w:p>
    <w:p w14:paraId="18C28C1F" w14:textId="77777777" w:rsidR="00933672" w:rsidRDefault="00933672" w:rsidP="00BB012E">
      <w:pPr>
        <w:spacing w:after="80" w:line="240" w:lineRule="auto"/>
        <w:ind w:left="216"/>
        <w:rPr>
          <w:rFonts w:ascii="Times New Roman" w:hAnsi="Times New Roman" w:cs="Times New Roman"/>
          <w:sz w:val="24"/>
          <w:szCs w:val="24"/>
        </w:rPr>
      </w:pPr>
    </w:p>
    <w:tbl>
      <w:tblPr>
        <w:tblStyle w:val="GridTable1Light"/>
        <w:tblW w:w="0" w:type="auto"/>
        <w:tblLook w:val="04A0" w:firstRow="1" w:lastRow="0" w:firstColumn="1" w:lastColumn="0" w:noHBand="0" w:noVBand="1"/>
      </w:tblPr>
      <w:tblGrid>
        <w:gridCol w:w="1921"/>
        <w:gridCol w:w="476"/>
        <w:gridCol w:w="476"/>
        <w:gridCol w:w="396"/>
        <w:gridCol w:w="396"/>
        <w:gridCol w:w="396"/>
        <w:gridCol w:w="396"/>
        <w:gridCol w:w="396"/>
        <w:gridCol w:w="396"/>
        <w:gridCol w:w="396"/>
        <w:gridCol w:w="486"/>
        <w:gridCol w:w="486"/>
        <w:gridCol w:w="1941"/>
      </w:tblGrid>
      <w:tr w:rsidR="0014557C" w:rsidRPr="0014557C" w14:paraId="6F82D797" w14:textId="77777777" w:rsidTr="001455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C40E8D0" w14:textId="77777777" w:rsidR="0014557C" w:rsidRPr="0014557C" w:rsidRDefault="0014557C">
            <w:pPr>
              <w:rPr>
                <w:rFonts w:ascii="Times New Roman" w:hAnsi="Times New Roman" w:cs="Times New Roman"/>
                <w:sz w:val="18"/>
                <w:szCs w:val="18"/>
              </w:rPr>
            </w:pPr>
            <w:r w:rsidRPr="0014557C">
              <w:rPr>
                <w:rFonts w:ascii="Times New Roman" w:hAnsi="Times New Roman" w:cs="Times New Roman"/>
                <w:sz w:val="18"/>
                <w:szCs w:val="18"/>
              </w:rPr>
              <w:t>Study</w:t>
            </w:r>
          </w:p>
        </w:tc>
        <w:tc>
          <w:tcPr>
            <w:tcW w:w="0" w:type="auto"/>
          </w:tcPr>
          <w:p w14:paraId="11306768"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J1</w:t>
            </w:r>
          </w:p>
        </w:tc>
        <w:tc>
          <w:tcPr>
            <w:tcW w:w="0" w:type="auto"/>
          </w:tcPr>
          <w:p w14:paraId="08FBAD5E"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J2</w:t>
            </w:r>
          </w:p>
        </w:tc>
        <w:tc>
          <w:tcPr>
            <w:tcW w:w="0" w:type="auto"/>
          </w:tcPr>
          <w:p w14:paraId="3A36A58C"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J3</w:t>
            </w:r>
          </w:p>
        </w:tc>
        <w:tc>
          <w:tcPr>
            <w:tcW w:w="0" w:type="auto"/>
          </w:tcPr>
          <w:p w14:paraId="5D79C0C0"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J4</w:t>
            </w:r>
          </w:p>
        </w:tc>
        <w:tc>
          <w:tcPr>
            <w:tcW w:w="0" w:type="auto"/>
          </w:tcPr>
          <w:p w14:paraId="22E47E3D"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J5</w:t>
            </w:r>
          </w:p>
        </w:tc>
        <w:tc>
          <w:tcPr>
            <w:tcW w:w="0" w:type="auto"/>
          </w:tcPr>
          <w:p w14:paraId="32CBA0A2"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J6</w:t>
            </w:r>
          </w:p>
        </w:tc>
        <w:tc>
          <w:tcPr>
            <w:tcW w:w="0" w:type="auto"/>
          </w:tcPr>
          <w:p w14:paraId="48DE42B7"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J7</w:t>
            </w:r>
          </w:p>
        </w:tc>
        <w:tc>
          <w:tcPr>
            <w:tcW w:w="0" w:type="auto"/>
          </w:tcPr>
          <w:p w14:paraId="11B2347C"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J8</w:t>
            </w:r>
          </w:p>
        </w:tc>
        <w:tc>
          <w:tcPr>
            <w:tcW w:w="0" w:type="auto"/>
          </w:tcPr>
          <w:p w14:paraId="7C942FE4"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J9</w:t>
            </w:r>
          </w:p>
        </w:tc>
        <w:tc>
          <w:tcPr>
            <w:tcW w:w="0" w:type="auto"/>
          </w:tcPr>
          <w:p w14:paraId="5BFE3C88"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J10</w:t>
            </w:r>
          </w:p>
        </w:tc>
        <w:tc>
          <w:tcPr>
            <w:tcW w:w="0" w:type="auto"/>
          </w:tcPr>
          <w:p w14:paraId="43650D3D"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J11</w:t>
            </w:r>
          </w:p>
        </w:tc>
        <w:tc>
          <w:tcPr>
            <w:tcW w:w="0" w:type="auto"/>
          </w:tcPr>
          <w:p w14:paraId="16B9C337" w14:textId="77777777" w:rsidR="0014557C" w:rsidRPr="0014557C" w:rsidRDefault="0014557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Study-level judgement</w:t>
            </w:r>
          </w:p>
        </w:tc>
      </w:tr>
      <w:tr w:rsidR="0014557C" w:rsidRPr="0014557C" w14:paraId="6DBA45FF" w14:textId="77777777" w:rsidTr="0014557C">
        <w:tc>
          <w:tcPr>
            <w:cnfStyle w:val="001000000000" w:firstRow="0" w:lastRow="0" w:firstColumn="1" w:lastColumn="0" w:oddVBand="0" w:evenVBand="0" w:oddHBand="0" w:evenHBand="0" w:firstRowFirstColumn="0" w:firstRowLastColumn="0" w:lastRowFirstColumn="0" w:lastRowLastColumn="0"/>
            <w:tcW w:w="0" w:type="auto"/>
          </w:tcPr>
          <w:p w14:paraId="0995A80E" w14:textId="77777777" w:rsidR="0014557C" w:rsidRPr="0014557C" w:rsidRDefault="0014557C">
            <w:pPr>
              <w:rPr>
                <w:rFonts w:ascii="Times New Roman" w:hAnsi="Times New Roman" w:cs="Times New Roman"/>
                <w:b w:val="0"/>
                <w:bCs w:val="0"/>
                <w:sz w:val="18"/>
                <w:szCs w:val="18"/>
              </w:rPr>
            </w:pPr>
            <w:proofErr w:type="spellStart"/>
            <w:r w:rsidRPr="0014557C">
              <w:rPr>
                <w:rFonts w:ascii="Times New Roman" w:hAnsi="Times New Roman" w:cs="Times New Roman"/>
                <w:b w:val="0"/>
                <w:bCs w:val="0"/>
                <w:sz w:val="18"/>
                <w:szCs w:val="18"/>
              </w:rPr>
              <w:t>Gheysvandi</w:t>
            </w:r>
            <w:proofErr w:type="spellEnd"/>
            <w:r w:rsidRPr="0014557C">
              <w:rPr>
                <w:rFonts w:ascii="Times New Roman" w:hAnsi="Times New Roman" w:cs="Times New Roman"/>
                <w:b w:val="0"/>
                <w:bCs w:val="0"/>
                <w:sz w:val="18"/>
                <w:szCs w:val="18"/>
              </w:rPr>
              <w:t xml:space="preserve"> et al., 2023</w:t>
            </w:r>
          </w:p>
        </w:tc>
        <w:tc>
          <w:tcPr>
            <w:tcW w:w="0" w:type="auto"/>
          </w:tcPr>
          <w:p w14:paraId="4D5CDFA7"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NA</w:t>
            </w:r>
          </w:p>
        </w:tc>
        <w:tc>
          <w:tcPr>
            <w:tcW w:w="0" w:type="auto"/>
          </w:tcPr>
          <w:p w14:paraId="7EFCD6D7"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NA</w:t>
            </w:r>
          </w:p>
        </w:tc>
        <w:tc>
          <w:tcPr>
            <w:tcW w:w="0" w:type="auto"/>
          </w:tcPr>
          <w:p w14:paraId="44CAF9C1"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39DC407F"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51A32ABE"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7BAB965C"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00B43160"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1BD6DD5C"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1CF6CFB8"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438B74C9"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580C2849"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657251D5"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Low concerns</w:t>
            </w:r>
          </w:p>
        </w:tc>
      </w:tr>
      <w:tr w:rsidR="0014557C" w:rsidRPr="0014557C" w14:paraId="445FE74C" w14:textId="77777777" w:rsidTr="0014557C">
        <w:tc>
          <w:tcPr>
            <w:cnfStyle w:val="001000000000" w:firstRow="0" w:lastRow="0" w:firstColumn="1" w:lastColumn="0" w:oddVBand="0" w:evenVBand="0" w:oddHBand="0" w:evenHBand="0" w:firstRowFirstColumn="0" w:firstRowLastColumn="0" w:lastRowFirstColumn="0" w:lastRowLastColumn="0"/>
            <w:tcW w:w="0" w:type="auto"/>
          </w:tcPr>
          <w:p w14:paraId="1E1C3DE0" w14:textId="77777777" w:rsidR="0014557C" w:rsidRPr="0014557C" w:rsidRDefault="0014557C">
            <w:pPr>
              <w:rPr>
                <w:rFonts w:ascii="Times New Roman" w:hAnsi="Times New Roman" w:cs="Times New Roman"/>
                <w:b w:val="0"/>
                <w:bCs w:val="0"/>
                <w:sz w:val="18"/>
                <w:szCs w:val="18"/>
              </w:rPr>
            </w:pPr>
            <w:r w:rsidRPr="0014557C">
              <w:rPr>
                <w:rFonts w:ascii="Times New Roman" w:hAnsi="Times New Roman" w:cs="Times New Roman"/>
                <w:b w:val="0"/>
                <w:bCs w:val="0"/>
                <w:sz w:val="18"/>
                <w:szCs w:val="18"/>
              </w:rPr>
              <w:t>Arora et al., 2026</w:t>
            </w:r>
          </w:p>
        </w:tc>
        <w:tc>
          <w:tcPr>
            <w:tcW w:w="0" w:type="auto"/>
          </w:tcPr>
          <w:p w14:paraId="3C7E8621"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NA</w:t>
            </w:r>
          </w:p>
        </w:tc>
        <w:tc>
          <w:tcPr>
            <w:tcW w:w="0" w:type="auto"/>
          </w:tcPr>
          <w:p w14:paraId="5CEC6BF7"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NA</w:t>
            </w:r>
          </w:p>
        </w:tc>
        <w:tc>
          <w:tcPr>
            <w:tcW w:w="0" w:type="auto"/>
          </w:tcPr>
          <w:p w14:paraId="74F6C39C"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39BB328E"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5D8F473A"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5CAC6D83"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5DF21494"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2B0C5160"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129AA107"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U</w:t>
            </w:r>
          </w:p>
        </w:tc>
        <w:tc>
          <w:tcPr>
            <w:tcW w:w="0" w:type="auto"/>
          </w:tcPr>
          <w:p w14:paraId="51203227"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U</w:t>
            </w:r>
          </w:p>
        </w:tc>
        <w:tc>
          <w:tcPr>
            <w:tcW w:w="0" w:type="auto"/>
          </w:tcPr>
          <w:p w14:paraId="5B30ED3D"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Y</w:t>
            </w:r>
          </w:p>
        </w:tc>
        <w:tc>
          <w:tcPr>
            <w:tcW w:w="0" w:type="auto"/>
          </w:tcPr>
          <w:p w14:paraId="7F0A2CA6" w14:textId="77777777" w:rsidR="0014557C" w:rsidRPr="0014557C" w:rsidRDefault="0014557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4557C">
              <w:rPr>
                <w:rFonts w:ascii="Times New Roman" w:hAnsi="Times New Roman" w:cs="Times New Roman"/>
                <w:sz w:val="18"/>
                <w:szCs w:val="18"/>
              </w:rPr>
              <w:t>Some concerns</w:t>
            </w:r>
          </w:p>
        </w:tc>
      </w:tr>
    </w:tbl>
    <w:p w14:paraId="60D8920E" w14:textId="4ACD5EB8" w:rsidR="007A2A3A" w:rsidRPr="005C0704" w:rsidRDefault="005C0704" w:rsidP="005C0704">
      <w:pPr>
        <w:spacing w:after="80" w:line="240" w:lineRule="auto"/>
        <w:rPr>
          <w:rFonts w:ascii="Times New Roman" w:hAnsi="Times New Roman" w:cs="Times New Roman"/>
          <w:i/>
          <w:iCs/>
          <w:sz w:val="18"/>
          <w:szCs w:val="18"/>
        </w:rPr>
      </w:pPr>
      <w:r w:rsidRPr="005C0704">
        <w:rPr>
          <w:rFonts w:ascii="Times New Roman" w:hAnsi="Times New Roman" w:cs="Times New Roman"/>
          <w:i/>
          <w:iCs/>
          <w:sz w:val="18"/>
          <w:szCs w:val="18"/>
        </w:rPr>
        <w:t>Table S3B Note: Y = yes; N = no; U = unclear; NA = not applicable. Studies were appraised using the appropriate JBI critical appraisal checklist.</w:t>
      </w:r>
    </w:p>
    <w:p w14:paraId="20B846E9" w14:textId="77777777" w:rsidR="00002E62" w:rsidRDefault="00002E62" w:rsidP="00BB012E">
      <w:pPr>
        <w:spacing w:after="80" w:line="240" w:lineRule="auto"/>
        <w:ind w:left="216"/>
        <w:rPr>
          <w:rFonts w:ascii="Times New Roman" w:hAnsi="Times New Roman" w:cs="Times New Roman"/>
          <w:sz w:val="24"/>
          <w:szCs w:val="24"/>
        </w:rPr>
      </w:pPr>
      <w:r w:rsidRPr="00002E62">
        <w:rPr>
          <w:rFonts w:ascii="Times New Roman" w:hAnsi="Times New Roman" w:cs="Times New Roman"/>
          <w:sz w:val="24"/>
          <w:szCs w:val="24"/>
        </w:rPr>
        <w:lastRenderedPageBreak/>
        <w:t xml:space="preserve">Supplementary Table S4. </w:t>
      </w:r>
    </w:p>
    <w:p w14:paraId="49FE6318" w14:textId="0687BF08" w:rsidR="00EC2D54" w:rsidRDefault="00002E62" w:rsidP="00BB012E">
      <w:pPr>
        <w:spacing w:after="80" w:line="240" w:lineRule="auto"/>
        <w:ind w:left="216"/>
        <w:rPr>
          <w:rFonts w:ascii="Times New Roman" w:hAnsi="Times New Roman" w:cs="Times New Roman"/>
          <w:sz w:val="24"/>
          <w:szCs w:val="24"/>
        </w:rPr>
      </w:pPr>
      <w:r w:rsidRPr="00002E62">
        <w:rPr>
          <w:rFonts w:ascii="Times New Roman" w:hAnsi="Times New Roman" w:cs="Times New Roman"/>
          <w:sz w:val="24"/>
          <w:szCs w:val="24"/>
        </w:rPr>
        <w:t>Detailed economic and financial findings across included studies Monetary values are retained as reported in the primary studies. No inflation adjustment or additional currency conversion was applied. Author-reported US-dollar equivalents are shown where available</w:t>
      </w:r>
    </w:p>
    <w:tbl>
      <w:tblPr>
        <w:tblStyle w:val="GridTable1Light"/>
        <w:tblW w:w="0" w:type="auto"/>
        <w:tblLook w:val="04A0" w:firstRow="1" w:lastRow="0" w:firstColumn="1" w:lastColumn="0" w:noHBand="0" w:noVBand="1"/>
      </w:tblPr>
      <w:tblGrid>
        <w:gridCol w:w="1312"/>
        <w:gridCol w:w="972"/>
        <w:gridCol w:w="2377"/>
        <w:gridCol w:w="1842"/>
        <w:gridCol w:w="2127"/>
      </w:tblGrid>
      <w:tr w:rsidR="00002E62" w:rsidRPr="00002E62" w14:paraId="1D226D96" w14:textId="77777777" w:rsidTr="00002E6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A72B3D2" w14:textId="77777777" w:rsidR="00002E62" w:rsidRPr="00002E62" w:rsidRDefault="00002E62" w:rsidP="00002E62">
            <w:pPr>
              <w:pStyle w:val="NoSpacing"/>
              <w:rPr>
                <w:b w:val="0"/>
                <w:bCs w:val="0"/>
                <w:sz w:val="18"/>
                <w:szCs w:val="18"/>
              </w:rPr>
            </w:pPr>
            <w:r w:rsidRPr="00002E62">
              <w:rPr>
                <w:b w:val="0"/>
                <w:bCs w:val="0"/>
                <w:sz w:val="18"/>
                <w:szCs w:val="18"/>
              </w:rPr>
              <w:t>Study</w:t>
            </w:r>
          </w:p>
        </w:tc>
        <w:tc>
          <w:tcPr>
            <w:tcW w:w="0" w:type="auto"/>
          </w:tcPr>
          <w:p w14:paraId="5D695202" w14:textId="77777777" w:rsidR="00002E62" w:rsidRPr="00002E62" w:rsidRDefault="00002E62" w:rsidP="00002E62">
            <w:pPr>
              <w:pStyle w:val="NoSpacing"/>
              <w:cnfStyle w:val="100000000000" w:firstRow="1" w:lastRow="0" w:firstColumn="0" w:lastColumn="0" w:oddVBand="0" w:evenVBand="0" w:oddHBand="0" w:evenHBand="0" w:firstRowFirstColumn="0" w:firstRowLastColumn="0" w:lastRowFirstColumn="0" w:lastRowLastColumn="0"/>
              <w:rPr>
                <w:b w:val="0"/>
                <w:bCs w:val="0"/>
                <w:sz w:val="18"/>
                <w:szCs w:val="18"/>
              </w:rPr>
            </w:pPr>
            <w:r w:rsidRPr="00002E62">
              <w:rPr>
                <w:b w:val="0"/>
                <w:bCs w:val="0"/>
                <w:sz w:val="18"/>
                <w:szCs w:val="18"/>
              </w:rPr>
              <w:t>Country</w:t>
            </w:r>
          </w:p>
        </w:tc>
        <w:tc>
          <w:tcPr>
            <w:tcW w:w="0" w:type="auto"/>
          </w:tcPr>
          <w:p w14:paraId="2C7C04F3" w14:textId="77777777" w:rsidR="00002E62" w:rsidRPr="00002E62" w:rsidRDefault="00002E62" w:rsidP="00002E62">
            <w:pPr>
              <w:pStyle w:val="NoSpacing"/>
              <w:cnfStyle w:val="100000000000" w:firstRow="1" w:lastRow="0" w:firstColumn="0" w:lastColumn="0" w:oddVBand="0" w:evenVBand="0" w:oddHBand="0" w:evenHBand="0" w:firstRowFirstColumn="0" w:firstRowLastColumn="0" w:lastRowFirstColumn="0" w:lastRowLastColumn="0"/>
              <w:rPr>
                <w:b w:val="0"/>
                <w:bCs w:val="0"/>
                <w:sz w:val="18"/>
                <w:szCs w:val="18"/>
              </w:rPr>
            </w:pPr>
            <w:r w:rsidRPr="00002E62">
              <w:rPr>
                <w:b w:val="0"/>
                <w:bCs w:val="0"/>
                <w:sz w:val="18"/>
                <w:szCs w:val="18"/>
              </w:rPr>
              <w:t>Primary economic finding</w:t>
            </w:r>
          </w:p>
        </w:tc>
        <w:tc>
          <w:tcPr>
            <w:tcW w:w="0" w:type="auto"/>
          </w:tcPr>
          <w:p w14:paraId="2CD6992C" w14:textId="77777777" w:rsidR="00002E62" w:rsidRPr="00002E62" w:rsidRDefault="00002E62" w:rsidP="00002E62">
            <w:pPr>
              <w:pStyle w:val="NoSpacing"/>
              <w:cnfStyle w:val="100000000000" w:firstRow="1" w:lastRow="0" w:firstColumn="0" w:lastColumn="0" w:oddVBand="0" w:evenVBand="0" w:oddHBand="0" w:evenHBand="0" w:firstRowFirstColumn="0" w:firstRowLastColumn="0" w:lastRowFirstColumn="0" w:lastRowLastColumn="0"/>
              <w:rPr>
                <w:b w:val="0"/>
                <w:bCs w:val="0"/>
                <w:sz w:val="18"/>
                <w:szCs w:val="18"/>
              </w:rPr>
            </w:pPr>
            <w:r w:rsidRPr="00002E62">
              <w:rPr>
                <w:b w:val="0"/>
                <w:bCs w:val="0"/>
                <w:sz w:val="18"/>
                <w:szCs w:val="18"/>
              </w:rPr>
              <w:t>Household / indirect / rehabilitation finding</w:t>
            </w:r>
          </w:p>
        </w:tc>
        <w:tc>
          <w:tcPr>
            <w:tcW w:w="0" w:type="auto"/>
          </w:tcPr>
          <w:p w14:paraId="3FBEFDFB" w14:textId="77777777" w:rsidR="00002E62" w:rsidRPr="00002E62" w:rsidRDefault="00002E62" w:rsidP="00002E62">
            <w:pPr>
              <w:pStyle w:val="NoSpacing"/>
              <w:cnfStyle w:val="100000000000" w:firstRow="1" w:lastRow="0" w:firstColumn="0" w:lastColumn="0" w:oddVBand="0" w:evenVBand="0" w:oddHBand="0" w:evenHBand="0" w:firstRowFirstColumn="0" w:firstRowLastColumn="0" w:lastRowFirstColumn="0" w:lastRowLastColumn="0"/>
              <w:rPr>
                <w:b w:val="0"/>
                <w:bCs w:val="0"/>
                <w:sz w:val="18"/>
                <w:szCs w:val="18"/>
              </w:rPr>
            </w:pPr>
            <w:r w:rsidRPr="00002E62">
              <w:rPr>
                <w:b w:val="0"/>
                <w:bCs w:val="0"/>
                <w:sz w:val="18"/>
                <w:szCs w:val="18"/>
              </w:rPr>
              <w:t>Drivers / source note</w:t>
            </w:r>
          </w:p>
        </w:tc>
      </w:tr>
      <w:tr w:rsidR="00002E62" w:rsidRPr="00002E62" w14:paraId="22FD24CB"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CD2E071" w14:textId="77777777" w:rsidR="00002E62" w:rsidRPr="00002E62" w:rsidRDefault="00002E62" w:rsidP="00002E62">
            <w:pPr>
              <w:pStyle w:val="NoSpacing"/>
              <w:rPr>
                <w:b w:val="0"/>
                <w:bCs w:val="0"/>
                <w:sz w:val="18"/>
                <w:szCs w:val="18"/>
              </w:rPr>
            </w:pPr>
            <w:r w:rsidRPr="00002E62">
              <w:rPr>
                <w:b w:val="0"/>
                <w:bCs w:val="0"/>
                <w:sz w:val="18"/>
                <w:szCs w:val="18"/>
              </w:rPr>
              <w:t>Asmamaw et al., 2019</w:t>
            </w:r>
          </w:p>
        </w:tc>
        <w:tc>
          <w:tcPr>
            <w:tcW w:w="0" w:type="auto"/>
          </w:tcPr>
          <w:p w14:paraId="50F93DC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Ethiopia</w:t>
            </w:r>
          </w:p>
        </w:tc>
        <w:tc>
          <w:tcPr>
            <w:tcW w:w="0" w:type="auto"/>
          </w:tcPr>
          <w:p w14:paraId="04C4806C"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total cost 4,673.43 ETB/patient; direct non-medical 1,896.19 ETB (40.57%); direct medical 1,101.66 ETB (23.58%); indirect cost 1,675.58 ETB.</w:t>
            </w:r>
          </w:p>
        </w:tc>
        <w:tc>
          <w:tcPr>
            <w:tcW w:w="0" w:type="auto"/>
          </w:tcPr>
          <w:p w14:paraId="017F6363"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Patient income loss 398.23 ETB; attendant income loss 1,277.35 ETB; 88.6% reported lost workdays/income.</w:t>
            </w:r>
          </w:p>
        </w:tc>
        <w:tc>
          <w:tcPr>
            <w:tcW w:w="0" w:type="auto"/>
          </w:tcPr>
          <w:p w14:paraId="0F1490A1"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Longer stay and greater TBI severity increased costs. The article also reports 4,673.21 ETB in one Results paragraph; 4,673.43 ETB is used because it is reported in the abstract/discussion.</w:t>
            </w:r>
          </w:p>
        </w:tc>
      </w:tr>
      <w:tr w:rsidR="00002E62" w:rsidRPr="00002E62" w14:paraId="38A6731B"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479367B" w14:textId="77777777" w:rsidR="00002E62" w:rsidRPr="00002E62" w:rsidRDefault="00002E62" w:rsidP="00002E62">
            <w:pPr>
              <w:pStyle w:val="NoSpacing"/>
              <w:rPr>
                <w:b w:val="0"/>
                <w:bCs w:val="0"/>
                <w:sz w:val="18"/>
                <w:szCs w:val="18"/>
              </w:rPr>
            </w:pPr>
            <w:r w:rsidRPr="00002E62">
              <w:rPr>
                <w:b w:val="0"/>
                <w:bCs w:val="0"/>
                <w:sz w:val="18"/>
                <w:szCs w:val="18"/>
              </w:rPr>
              <w:t>Bhatti et al., 2015</w:t>
            </w:r>
          </w:p>
        </w:tc>
        <w:tc>
          <w:tcPr>
            <w:tcW w:w="0" w:type="auto"/>
          </w:tcPr>
          <w:p w14:paraId="192BEDC2"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Pakistan</w:t>
            </w:r>
          </w:p>
        </w:tc>
        <w:tc>
          <w:tcPr>
            <w:tcW w:w="0" w:type="auto"/>
          </w:tcPr>
          <w:p w14:paraId="454CD7D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OOPE US$8.39 (SD 23.75); admitted US$18.17; died US$21.64; CT US$16.11; ambulance US$20.37.</w:t>
            </w:r>
          </w:p>
        </w:tc>
        <w:tc>
          <w:tcPr>
            <w:tcW w:w="0" w:type="auto"/>
          </w:tcPr>
          <w:p w14:paraId="3000F49A"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Out-of-pocket emergency treatment and transport expenditure.</w:t>
            </w:r>
          </w:p>
        </w:tc>
        <w:tc>
          <w:tcPr>
            <w:tcW w:w="0" w:type="auto"/>
          </w:tcPr>
          <w:p w14:paraId="2FB472D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Admission, ambulance use, and CT were associated with higher OOPE. Clinical cohort N=1,787; cost analysis n=803.</w:t>
            </w:r>
          </w:p>
        </w:tc>
      </w:tr>
      <w:tr w:rsidR="00002E62" w:rsidRPr="00002E62" w14:paraId="79F61098"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49A93D8" w14:textId="77777777" w:rsidR="00002E62" w:rsidRPr="00002E62" w:rsidRDefault="00002E62" w:rsidP="00002E62">
            <w:pPr>
              <w:pStyle w:val="NoSpacing"/>
              <w:rPr>
                <w:b w:val="0"/>
                <w:bCs w:val="0"/>
                <w:sz w:val="18"/>
                <w:szCs w:val="18"/>
              </w:rPr>
            </w:pPr>
            <w:r w:rsidRPr="00002E62">
              <w:rPr>
                <w:b w:val="0"/>
                <w:bCs w:val="0"/>
                <w:sz w:val="18"/>
                <w:szCs w:val="18"/>
              </w:rPr>
              <w:t>Hoang et al., 2008</w:t>
            </w:r>
          </w:p>
        </w:tc>
        <w:tc>
          <w:tcPr>
            <w:tcW w:w="0" w:type="auto"/>
          </w:tcPr>
          <w:p w14:paraId="1926B8C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Vietnam</w:t>
            </w:r>
          </w:p>
        </w:tc>
        <w:tc>
          <w:tcPr>
            <w:tcW w:w="0" w:type="auto"/>
          </w:tcPr>
          <w:p w14:paraId="7D8BBF6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direct cost: severe US$2,364.7; moderate US$1,390.1; minor US$849.0.</w:t>
            </w:r>
          </w:p>
        </w:tc>
        <w:tc>
          <w:tcPr>
            <w:tcW w:w="0" w:type="auto"/>
          </w:tcPr>
          <w:p w14:paraId="753A97B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Time lost from normal activities: severe 54 weeks, moderate 26, minor 17; years lived with disability 0.46, 0.25, and 0.15, respectively.</w:t>
            </w:r>
          </w:p>
        </w:tc>
        <w:tc>
          <w:tcPr>
            <w:tcW w:w="0" w:type="auto"/>
          </w:tcPr>
          <w:p w14:paraId="63DB952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Costs and time loss increased with TBI severity.</w:t>
            </w:r>
          </w:p>
        </w:tc>
      </w:tr>
      <w:tr w:rsidR="00002E62" w:rsidRPr="00002E62" w14:paraId="403D92AF"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FE79B17" w14:textId="77777777" w:rsidR="00002E62" w:rsidRPr="00002E62" w:rsidRDefault="00002E62" w:rsidP="00002E62">
            <w:pPr>
              <w:pStyle w:val="NoSpacing"/>
              <w:rPr>
                <w:b w:val="0"/>
                <w:bCs w:val="0"/>
                <w:sz w:val="18"/>
                <w:szCs w:val="18"/>
              </w:rPr>
            </w:pPr>
            <w:r w:rsidRPr="00002E62">
              <w:rPr>
                <w:b w:val="0"/>
                <w:bCs w:val="0"/>
                <w:sz w:val="18"/>
                <w:szCs w:val="18"/>
              </w:rPr>
              <w:t>Yuan et al., 2012</w:t>
            </w:r>
          </w:p>
        </w:tc>
        <w:tc>
          <w:tcPr>
            <w:tcW w:w="0" w:type="auto"/>
          </w:tcPr>
          <w:p w14:paraId="2335B592"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China</w:t>
            </w:r>
          </w:p>
        </w:tc>
        <w:tc>
          <w:tcPr>
            <w:tcW w:w="0" w:type="auto"/>
          </w:tcPr>
          <w:p w14:paraId="5E837163"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Median acute hospitalization cost US$879 (range US$72-45,894); median daily cost US$79 (IQR 49-126).</w:t>
            </w:r>
          </w:p>
        </w:tc>
        <w:tc>
          <w:tcPr>
            <w:tcW w:w="0" w:type="auto"/>
          </w:tcPr>
          <w:p w14:paraId="73A1CA83"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20E304D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Lower GCS, longer stay, ICU/NICU care, surgery, polytrauma, and tertiary care increased costs.</w:t>
            </w:r>
          </w:p>
        </w:tc>
      </w:tr>
      <w:tr w:rsidR="00002E62" w:rsidRPr="00002E62" w14:paraId="192B5724"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531109A" w14:textId="77777777" w:rsidR="00002E62" w:rsidRPr="00002E62" w:rsidRDefault="00002E62" w:rsidP="00002E62">
            <w:pPr>
              <w:pStyle w:val="NoSpacing"/>
              <w:rPr>
                <w:b w:val="0"/>
                <w:bCs w:val="0"/>
                <w:sz w:val="18"/>
                <w:szCs w:val="18"/>
              </w:rPr>
            </w:pPr>
            <w:r w:rsidRPr="00002E62">
              <w:rPr>
                <w:b w:val="0"/>
                <w:bCs w:val="0"/>
                <w:sz w:val="18"/>
                <w:szCs w:val="18"/>
              </w:rPr>
              <w:t>Kavosi et al., 2015</w:t>
            </w:r>
          </w:p>
        </w:tc>
        <w:tc>
          <w:tcPr>
            <w:tcW w:w="0" w:type="auto"/>
          </w:tcPr>
          <w:p w14:paraId="1656B34C"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Iran</w:t>
            </w:r>
          </w:p>
        </w:tc>
        <w:tc>
          <w:tcPr>
            <w:tcW w:w="0" w:type="auto"/>
          </w:tcPr>
          <w:p w14:paraId="17292BC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Total hospital cost 6.279 billion IRR (author-reported US$253,487); average hospital cost about 22 million IRR (US$888) per death.</w:t>
            </w:r>
          </w:p>
        </w:tc>
        <w:tc>
          <w:tcPr>
            <w:tcW w:w="0" w:type="auto"/>
          </w:tcPr>
          <w:p w14:paraId="21820C00"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6,390.57 potential years of life lost; productivity loss 506.77 billion IRR (about US$20 million), approximately US$73,300 per death.</w:t>
            </w:r>
          </w:p>
        </w:tc>
        <w:tc>
          <w:tcPr>
            <w:tcW w:w="0" w:type="auto"/>
          </w:tcPr>
          <w:p w14:paraId="15131C2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Premature mortality/productivity loss dominated the economic burden. The abstract contains an inconsistent converted total; local-currency values and internally consistent converted values are retained.</w:t>
            </w:r>
          </w:p>
        </w:tc>
      </w:tr>
      <w:tr w:rsidR="00002E62" w:rsidRPr="00002E62" w14:paraId="4AA3204A"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EBAAD30" w14:textId="77777777" w:rsidR="00002E62" w:rsidRPr="00002E62" w:rsidRDefault="00002E62" w:rsidP="00002E62">
            <w:pPr>
              <w:pStyle w:val="NoSpacing"/>
              <w:rPr>
                <w:b w:val="0"/>
                <w:bCs w:val="0"/>
                <w:sz w:val="18"/>
                <w:szCs w:val="18"/>
              </w:rPr>
            </w:pPr>
            <w:proofErr w:type="spellStart"/>
            <w:r w:rsidRPr="00002E62">
              <w:rPr>
                <w:b w:val="0"/>
                <w:bCs w:val="0"/>
                <w:sz w:val="18"/>
                <w:szCs w:val="18"/>
              </w:rPr>
              <w:t>Gheysvandi</w:t>
            </w:r>
            <w:proofErr w:type="spellEnd"/>
            <w:r w:rsidRPr="00002E62">
              <w:rPr>
                <w:b w:val="0"/>
                <w:bCs w:val="0"/>
                <w:sz w:val="18"/>
                <w:szCs w:val="18"/>
              </w:rPr>
              <w:t xml:space="preserve"> et al., 2023</w:t>
            </w:r>
          </w:p>
        </w:tc>
        <w:tc>
          <w:tcPr>
            <w:tcW w:w="0" w:type="auto"/>
          </w:tcPr>
          <w:p w14:paraId="4A92CB40"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Iran</w:t>
            </w:r>
          </w:p>
        </w:tc>
        <w:tc>
          <w:tcPr>
            <w:tcW w:w="0" w:type="auto"/>
          </w:tcPr>
          <w:p w14:paraId="7C8C34A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monthly direct cost US$11.86; indirect cost US$87.00; income loss US$73.59; catastrophic TBI-related costs in 45.5% of households.</w:t>
            </w:r>
          </w:p>
        </w:tc>
        <w:tc>
          <w:tcPr>
            <w:tcW w:w="0" w:type="auto"/>
          </w:tcPr>
          <w:p w14:paraId="29CD0C2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OOPE, household income loss, and catastrophic-cost incidence were assessed over 1 year.</w:t>
            </w:r>
          </w:p>
        </w:tc>
        <w:tc>
          <w:tcPr>
            <w:tcW w:w="0" w:type="auto"/>
          </w:tcPr>
          <w:p w14:paraId="3A57855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Household wealth and patient characteristics influenced catastrophic-cost risk.</w:t>
            </w:r>
          </w:p>
        </w:tc>
      </w:tr>
      <w:tr w:rsidR="00002E62" w:rsidRPr="00002E62" w14:paraId="52CBDDD4"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F1A8DDF" w14:textId="77777777" w:rsidR="00002E62" w:rsidRPr="00002E62" w:rsidRDefault="00002E62" w:rsidP="00002E62">
            <w:pPr>
              <w:pStyle w:val="NoSpacing"/>
              <w:rPr>
                <w:b w:val="0"/>
                <w:bCs w:val="0"/>
                <w:sz w:val="18"/>
                <w:szCs w:val="18"/>
              </w:rPr>
            </w:pPr>
            <w:r w:rsidRPr="00002E62">
              <w:rPr>
                <w:b w:val="0"/>
                <w:bCs w:val="0"/>
                <w:sz w:val="18"/>
                <w:szCs w:val="18"/>
              </w:rPr>
              <w:t>Hode et al., 2017</w:t>
            </w:r>
          </w:p>
        </w:tc>
        <w:tc>
          <w:tcPr>
            <w:tcW w:w="0" w:type="auto"/>
          </w:tcPr>
          <w:p w14:paraId="68C19FC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Benin</w:t>
            </w:r>
          </w:p>
        </w:tc>
        <w:tc>
          <w:tcPr>
            <w:tcW w:w="0" w:type="auto"/>
          </w:tcPr>
          <w:p w14:paraId="671C0B4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direct cost EUR285.67; severe TBI EUR522.08 versus mild TBI EUR188.19.</w:t>
            </w:r>
          </w:p>
        </w:tc>
        <w:tc>
          <w:tcPr>
            <w:tcW w:w="0" w:type="auto"/>
          </w:tcPr>
          <w:p w14:paraId="39E9AF82"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54FEECB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Severe injury and prior care at peripheral hospitals increased costs.</w:t>
            </w:r>
          </w:p>
        </w:tc>
      </w:tr>
      <w:tr w:rsidR="00002E62" w:rsidRPr="00002E62" w14:paraId="75CD6FBB"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209F471" w14:textId="77777777" w:rsidR="00002E62" w:rsidRPr="00002E62" w:rsidRDefault="00002E62" w:rsidP="00002E62">
            <w:pPr>
              <w:pStyle w:val="NoSpacing"/>
              <w:rPr>
                <w:b w:val="0"/>
                <w:bCs w:val="0"/>
                <w:sz w:val="18"/>
                <w:szCs w:val="18"/>
              </w:rPr>
            </w:pPr>
            <w:r w:rsidRPr="00002E62">
              <w:rPr>
                <w:b w:val="0"/>
                <w:bCs w:val="0"/>
                <w:sz w:val="18"/>
                <w:szCs w:val="18"/>
              </w:rPr>
              <w:t>Schenck et al., 2023</w:t>
            </w:r>
          </w:p>
        </w:tc>
        <w:tc>
          <w:tcPr>
            <w:tcW w:w="0" w:type="auto"/>
          </w:tcPr>
          <w:p w14:paraId="02F37882"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Tanzania</w:t>
            </w:r>
          </w:p>
        </w:tc>
        <w:tc>
          <w:tcPr>
            <w:tcW w:w="0" w:type="auto"/>
          </w:tcPr>
          <w:p w14:paraId="5162C49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 xml:space="preserve">44/67 (65.7%) could afford care upfront; 15/67 </w:t>
            </w:r>
            <w:r w:rsidRPr="00002E62">
              <w:rPr>
                <w:sz w:val="18"/>
                <w:szCs w:val="18"/>
              </w:rPr>
              <w:lastRenderedPageBreak/>
              <w:t>(22.3%) could not; 8/67 (11.9%) had undocumented payment status.</w:t>
            </w:r>
          </w:p>
        </w:tc>
        <w:tc>
          <w:tcPr>
            <w:tcW w:w="0" w:type="auto"/>
          </w:tcPr>
          <w:p w14:paraId="551D3CAF"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lastRenderedPageBreak/>
              <w:t>Affordability was directly assessed.</w:t>
            </w:r>
          </w:p>
        </w:tc>
        <w:tc>
          <w:tcPr>
            <w:tcW w:w="0" w:type="auto"/>
          </w:tcPr>
          <w:p w14:paraId="5DADF64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 xml:space="preserve">CT use was 100% in the affordable group </w:t>
            </w:r>
            <w:r w:rsidRPr="00002E62">
              <w:rPr>
                <w:sz w:val="18"/>
                <w:szCs w:val="18"/>
              </w:rPr>
              <w:lastRenderedPageBreak/>
              <w:t>versus 0% in the unaffordable group; affordability influenced treatment intensity.</w:t>
            </w:r>
          </w:p>
        </w:tc>
      </w:tr>
      <w:tr w:rsidR="00002E62" w:rsidRPr="00002E62" w14:paraId="5B13EB62"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54461C0" w14:textId="77777777" w:rsidR="00002E62" w:rsidRPr="00002E62" w:rsidRDefault="00002E62" w:rsidP="00002E62">
            <w:pPr>
              <w:pStyle w:val="NoSpacing"/>
              <w:rPr>
                <w:b w:val="0"/>
                <w:bCs w:val="0"/>
                <w:sz w:val="18"/>
                <w:szCs w:val="18"/>
              </w:rPr>
            </w:pPr>
            <w:r w:rsidRPr="00002E62">
              <w:rPr>
                <w:b w:val="0"/>
                <w:bCs w:val="0"/>
                <w:sz w:val="18"/>
                <w:szCs w:val="18"/>
              </w:rPr>
              <w:lastRenderedPageBreak/>
              <w:t>Kong et al., 2017</w:t>
            </w:r>
          </w:p>
        </w:tc>
        <w:tc>
          <w:tcPr>
            <w:tcW w:w="0" w:type="auto"/>
          </w:tcPr>
          <w:p w14:paraId="0B66F6A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South Africa</w:t>
            </w:r>
          </w:p>
        </w:tc>
        <w:tc>
          <w:tcPr>
            <w:tcW w:w="0" w:type="auto"/>
          </w:tcPr>
          <w:p w14:paraId="0811B18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Total cost for 3,301 patients was approximately ZAR62 million; modelled ICU funding gaps were ZAR11.24 million and ZAR20.00 million.</w:t>
            </w:r>
          </w:p>
        </w:tc>
        <w:tc>
          <w:tcPr>
            <w:tcW w:w="0" w:type="auto"/>
          </w:tcPr>
          <w:p w14:paraId="29D42C63"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4BB7891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Hospital stay was the largest cost driver, followed by CT use and ICU admission.</w:t>
            </w:r>
          </w:p>
        </w:tc>
      </w:tr>
      <w:tr w:rsidR="00002E62" w:rsidRPr="00002E62" w14:paraId="61AC180E"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63A043E" w14:textId="77777777" w:rsidR="00002E62" w:rsidRPr="00002E62" w:rsidRDefault="00002E62" w:rsidP="00002E62">
            <w:pPr>
              <w:pStyle w:val="NoSpacing"/>
              <w:rPr>
                <w:b w:val="0"/>
                <w:bCs w:val="0"/>
                <w:sz w:val="18"/>
                <w:szCs w:val="18"/>
              </w:rPr>
            </w:pPr>
            <w:r w:rsidRPr="00002E62">
              <w:rPr>
                <w:b w:val="0"/>
                <w:bCs w:val="0"/>
                <w:sz w:val="18"/>
                <w:szCs w:val="18"/>
              </w:rPr>
              <w:t>Phaleng &amp; Hardcastle, 2025</w:t>
            </w:r>
          </w:p>
        </w:tc>
        <w:tc>
          <w:tcPr>
            <w:tcW w:w="0" w:type="auto"/>
          </w:tcPr>
          <w:p w14:paraId="1AC178BF"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South Africa</w:t>
            </w:r>
          </w:p>
        </w:tc>
        <w:tc>
          <w:tcPr>
            <w:tcW w:w="0" w:type="auto"/>
          </w:tcPr>
          <w:p w14:paraId="0B41F00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 xml:space="preserve">Average cost/admission: R572,925 for ICU patients and R244,503 </w:t>
            </w:r>
            <w:proofErr w:type="spellStart"/>
            <w:r w:rsidRPr="00002E62">
              <w:rPr>
                <w:sz w:val="18"/>
                <w:szCs w:val="18"/>
              </w:rPr>
              <w:t>for ward</w:t>
            </w:r>
            <w:proofErr w:type="spellEnd"/>
            <w:r w:rsidRPr="00002E62">
              <w:rPr>
                <w:sz w:val="18"/>
                <w:szCs w:val="18"/>
              </w:rPr>
              <w:t xml:space="preserve"> patients.</w:t>
            </w:r>
          </w:p>
        </w:tc>
        <w:tc>
          <w:tcPr>
            <w:tcW w:w="0" w:type="auto"/>
          </w:tcPr>
          <w:p w14:paraId="7BA2490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1BD8A7DA"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ICU care and greater resource intensity were associated with substantially higher costs.</w:t>
            </w:r>
          </w:p>
        </w:tc>
      </w:tr>
      <w:tr w:rsidR="00002E62" w:rsidRPr="00002E62" w14:paraId="6367D7B2"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223C454" w14:textId="77777777" w:rsidR="00002E62" w:rsidRPr="00002E62" w:rsidRDefault="00002E62" w:rsidP="00002E62">
            <w:pPr>
              <w:pStyle w:val="NoSpacing"/>
              <w:rPr>
                <w:b w:val="0"/>
                <w:bCs w:val="0"/>
                <w:sz w:val="18"/>
                <w:szCs w:val="18"/>
              </w:rPr>
            </w:pPr>
            <w:proofErr w:type="spellStart"/>
            <w:r w:rsidRPr="00002E62">
              <w:rPr>
                <w:b w:val="0"/>
                <w:bCs w:val="0"/>
                <w:sz w:val="18"/>
                <w:szCs w:val="18"/>
              </w:rPr>
              <w:t>Carteri</w:t>
            </w:r>
            <w:proofErr w:type="spellEnd"/>
            <w:r w:rsidRPr="00002E62">
              <w:rPr>
                <w:b w:val="0"/>
                <w:bCs w:val="0"/>
                <w:sz w:val="18"/>
                <w:szCs w:val="18"/>
              </w:rPr>
              <w:t xml:space="preserve"> &amp; da Silva, 2021</w:t>
            </w:r>
          </w:p>
        </w:tc>
        <w:tc>
          <w:tcPr>
            <w:tcW w:w="0" w:type="auto"/>
          </w:tcPr>
          <w:p w14:paraId="512F8BE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Brazil</w:t>
            </w:r>
          </w:p>
        </w:tc>
        <w:tc>
          <w:tcPr>
            <w:tcW w:w="0" w:type="auto"/>
          </w:tcPr>
          <w:p w14:paraId="2817F2E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Average annual TBI hospital expenditure approximately US$43,238,319.90; average cost/admission US$327.68.</w:t>
            </w:r>
          </w:p>
        </w:tc>
        <w:tc>
          <w:tcPr>
            <w:tcW w:w="0" w:type="auto"/>
          </w:tcPr>
          <w:p w14:paraId="39CDEEF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2C55674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National public-hospital expenditure increased over time.</w:t>
            </w:r>
          </w:p>
        </w:tc>
      </w:tr>
      <w:tr w:rsidR="00002E62" w:rsidRPr="00002E62" w14:paraId="766190F0"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21CABDC1" w14:textId="77777777" w:rsidR="00002E62" w:rsidRPr="00002E62" w:rsidRDefault="00002E62" w:rsidP="00002E62">
            <w:pPr>
              <w:pStyle w:val="NoSpacing"/>
              <w:rPr>
                <w:b w:val="0"/>
                <w:bCs w:val="0"/>
                <w:sz w:val="18"/>
                <w:szCs w:val="18"/>
              </w:rPr>
            </w:pPr>
            <w:r w:rsidRPr="00002E62">
              <w:rPr>
                <w:b w:val="0"/>
                <w:bCs w:val="0"/>
                <w:sz w:val="18"/>
                <w:szCs w:val="18"/>
              </w:rPr>
              <w:t>Barragán-</w:t>
            </w:r>
            <w:proofErr w:type="spellStart"/>
            <w:r w:rsidRPr="00002E62">
              <w:rPr>
                <w:b w:val="0"/>
                <w:bCs w:val="0"/>
                <w:sz w:val="18"/>
                <w:szCs w:val="18"/>
              </w:rPr>
              <w:t>Hervella</w:t>
            </w:r>
            <w:proofErr w:type="spellEnd"/>
            <w:r w:rsidRPr="00002E62">
              <w:rPr>
                <w:b w:val="0"/>
                <w:bCs w:val="0"/>
                <w:sz w:val="18"/>
                <w:szCs w:val="18"/>
              </w:rPr>
              <w:t xml:space="preserve"> et al., 2016</w:t>
            </w:r>
          </w:p>
        </w:tc>
        <w:tc>
          <w:tcPr>
            <w:tcW w:w="0" w:type="auto"/>
          </w:tcPr>
          <w:p w14:paraId="79DE52C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Mexico</w:t>
            </w:r>
          </w:p>
        </w:tc>
        <w:tc>
          <w:tcPr>
            <w:tcW w:w="0" w:type="auto"/>
          </w:tcPr>
          <w:p w14:paraId="611A88F0"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Total direct cost MXN1,032,293.72; average MXN4,713.66 per patient.</w:t>
            </w:r>
          </w:p>
        </w:tc>
        <w:tc>
          <w:tcPr>
            <w:tcW w:w="0" w:type="auto"/>
          </w:tcPr>
          <w:p w14:paraId="520447B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093FF9DF"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Emergency care, neurosurgical consultation, imaging, and supplies contributed to cost.</w:t>
            </w:r>
          </w:p>
        </w:tc>
      </w:tr>
      <w:tr w:rsidR="00002E62" w:rsidRPr="00002E62" w14:paraId="665F7A33"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802387B" w14:textId="77777777" w:rsidR="00002E62" w:rsidRPr="00002E62" w:rsidRDefault="00002E62" w:rsidP="00002E62">
            <w:pPr>
              <w:pStyle w:val="NoSpacing"/>
              <w:rPr>
                <w:b w:val="0"/>
                <w:bCs w:val="0"/>
                <w:sz w:val="18"/>
                <w:szCs w:val="18"/>
              </w:rPr>
            </w:pPr>
            <w:r w:rsidRPr="00002E62">
              <w:rPr>
                <w:b w:val="0"/>
                <w:bCs w:val="0"/>
                <w:sz w:val="18"/>
                <w:szCs w:val="18"/>
              </w:rPr>
              <w:t>Arora et al., 2026</w:t>
            </w:r>
          </w:p>
        </w:tc>
        <w:tc>
          <w:tcPr>
            <w:tcW w:w="0" w:type="auto"/>
          </w:tcPr>
          <w:p w14:paraId="283D92B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India</w:t>
            </w:r>
          </w:p>
        </w:tc>
        <w:tc>
          <w:tcPr>
            <w:tcW w:w="0" w:type="auto"/>
          </w:tcPr>
          <w:p w14:paraId="5D331E25"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OOPE INR88,485: direct INR58,319 (medical INR45,696; non-medical INR12,623) and indirect INR30,166.</w:t>
            </w:r>
          </w:p>
        </w:tc>
        <w:tc>
          <w:tcPr>
            <w:tcW w:w="0" w:type="auto"/>
          </w:tcPr>
          <w:p w14:paraId="0D186835"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CHE 15/18 (83.3%) at the 10% threshold; distress financing 11/18 (61.1%), including borrowing/asset sale; wage loss included.</w:t>
            </w:r>
          </w:p>
        </w:tc>
        <w:tc>
          <w:tcPr>
            <w:tcW w:w="0" w:type="auto"/>
          </w:tcPr>
          <w:p w14:paraId="7C6268E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High household burden was documented despite subsidized care.</w:t>
            </w:r>
          </w:p>
        </w:tc>
      </w:tr>
      <w:tr w:rsidR="00002E62" w:rsidRPr="00002E62" w14:paraId="18F03DFB"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77DFE259" w14:textId="77777777" w:rsidR="00002E62" w:rsidRPr="00002E62" w:rsidRDefault="00002E62" w:rsidP="00002E62">
            <w:pPr>
              <w:pStyle w:val="NoSpacing"/>
              <w:rPr>
                <w:b w:val="0"/>
                <w:bCs w:val="0"/>
                <w:sz w:val="18"/>
                <w:szCs w:val="18"/>
              </w:rPr>
            </w:pPr>
            <w:proofErr w:type="spellStart"/>
            <w:r w:rsidRPr="00002E62">
              <w:rPr>
                <w:b w:val="0"/>
                <w:bCs w:val="0"/>
                <w:sz w:val="18"/>
                <w:szCs w:val="18"/>
              </w:rPr>
              <w:t>Doleagbenou</w:t>
            </w:r>
            <w:proofErr w:type="spellEnd"/>
            <w:r w:rsidRPr="00002E62">
              <w:rPr>
                <w:b w:val="0"/>
                <w:bCs w:val="0"/>
                <w:sz w:val="18"/>
                <w:szCs w:val="18"/>
              </w:rPr>
              <w:t xml:space="preserve"> et al., 2026</w:t>
            </w:r>
          </w:p>
        </w:tc>
        <w:tc>
          <w:tcPr>
            <w:tcW w:w="0" w:type="auto"/>
          </w:tcPr>
          <w:p w14:paraId="62FB58C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Togo</w:t>
            </w:r>
          </w:p>
        </w:tc>
        <w:tc>
          <w:tcPr>
            <w:tcW w:w="0" w:type="auto"/>
          </w:tcPr>
          <w:p w14:paraId="5F89D29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Median total cost US$512 (IQR 380-890); mean US$648 +/- 478; approximately 7.1 times the national monthly minimum wage. Treatment accounted for 60.51% and paraclinical tests 12.24%.</w:t>
            </w:r>
          </w:p>
        </w:tc>
        <w:tc>
          <w:tcPr>
            <w:tcW w:w="0" w:type="auto"/>
          </w:tcPr>
          <w:p w14:paraId="4560ADD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Transport, food, communication, and patient/caregiver income loss were included; limited insurance coverage increased financial vulnerability.</w:t>
            </w:r>
          </w:p>
        </w:tc>
        <w:tc>
          <w:tcPr>
            <w:tcW w:w="0" w:type="auto"/>
          </w:tcPr>
          <w:p w14:paraId="28F9F9C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ICU admission, surgery, and longer hospital stay increased costs.</w:t>
            </w:r>
          </w:p>
        </w:tc>
      </w:tr>
      <w:tr w:rsidR="00002E62" w:rsidRPr="00002E62" w14:paraId="0D5749ED"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386953B" w14:textId="77777777" w:rsidR="00002E62" w:rsidRPr="00002E62" w:rsidRDefault="00002E62" w:rsidP="00002E62">
            <w:pPr>
              <w:pStyle w:val="NoSpacing"/>
              <w:rPr>
                <w:b w:val="0"/>
                <w:bCs w:val="0"/>
                <w:sz w:val="18"/>
                <w:szCs w:val="18"/>
              </w:rPr>
            </w:pPr>
            <w:r w:rsidRPr="00002E62">
              <w:rPr>
                <w:b w:val="0"/>
                <w:bCs w:val="0"/>
                <w:sz w:val="18"/>
                <w:szCs w:val="18"/>
              </w:rPr>
              <w:t>Yu et al., 2025</w:t>
            </w:r>
          </w:p>
        </w:tc>
        <w:tc>
          <w:tcPr>
            <w:tcW w:w="0" w:type="auto"/>
          </w:tcPr>
          <w:p w14:paraId="6D17EA7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China</w:t>
            </w:r>
          </w:p>
        </w:tc>
        <w:tc>
          <w:tcPr>
            <w:tcW w:w="0" w:type="auto"/>
          </w:tcPr>
          <w:p w14:paraId="498B0F5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TBI subgroup median hospitalization cost US$57,366.05 (IQR 21,593.64-137,545.86); median LOS 363.5 days.</w:t>
            </w:r>
          </w:p>
        </w:tc>
        <w:tc>
          <w:tcPr>
            <w:tcW w:w="0" w:type="auto"/>
          </w:tcPr>
          <w:p w14:paraId="76D7EE9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Rehabilitation accounted for 38.90% of TBI hospitalization costs; drugs 19.89%; treatment 10.55%.</w:t>
            </w:r>
          </w:p>
        </w:tc>
        <w:tc>
          <w:tcPr>
            <w:tcW w:w="0" w:type="auto"/>
          </w:tcPr>
          <w:p w14:paraId="54E91855"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LOS and clinical/service factors were major cost determinants. TBI subgroup n=44 (total cohort n=210).</w:t>
            </w:r>
          </w:p>
        </w:tc>
      </w:tr>
      <w:tr w:rsidR="00002E62" w:rsidRPr="00002E62" w14:paraId="29BA0E47"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8BBC2CA" w14:textId="77777777" w:rsidR="00002E62" w:rsidRPr="00002E62" w:rsidRDefault="00002E62" w:rsidP="00002E62">
            <w:pPr>
              <w:pStyle w:val="NoSpacing"/>
              <w:rPr>
                <w:b w:val="0"/>
                <w:bCs w:val="0"/>
                <w:sz w:val="18"/>
                <w:szCs w:val="18"/>
              </w:rPr>
            </w:pPr>
            <w:r w:rsidRPr="00002E62">
              <w:rPr>
                <w:b w:val="0"/>
                <w:bCs w:val="0"/>
                <w:sz w:val="18"/>
                <w:szCs w:val="18"/>
              </w:rPr>
              <w:t>You et al., 2018</w:t>
            </w:r>
          </w:p>
        </w:tc>
        <w:tc>
          <w:tcPr>
            <w:tcW w:w="0" w:type="auto"/>
          </w:tcPr>
          <w:p w14:paraId="062CBA5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Malaysia</w:t>
            </w:r>
          </w:p>
        </w:tc>
        <w:tc>
          <w:tcPr>
            <w:tcW w:w="0" w:type="auto"/>
          </w:tcPr>
          <w:p w14:paraId="7CF57837"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first-year cost RM30,039.18 (US$7,365.61); mild RM11,041.35; moderate RM32,550.00; severe RM36,917.86.</w:t>
            </w:r>
          </w:p>
        </w:tc>
        <w:tc>
          <w:tcPr>
            <w:tcW w:w="0" w:type="auto"/>
          </w:tcPr>
          <w:p w14:paraId="7011C34C"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Not reported.</w:t>
            </w:r>
          </w:p>
        </w:tc>
        <w:tc>
          <w:tcPr>
            <w:tcW w:w="0" w:type="auto"/>
          </w:tcPr>
          <w:p w14:paraId="747E3B6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Severity, at least two intracranial pathologies, poor GOS, tracheostomy, and pneumonia increased costs.</w:t>
            </w:r>
          </w:p>
        </w:tc>
      </w:tr>
      <w:tr w:rsidR="00002E62" w:rsidRPr="00002E62" w14:paraId="1EB2E4C1"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61C27941" w14:textId="77777777" w:rsidR="00002E62" w:rsidRPr="00002E62" w:rsidRDefault="00002E62" w:rsidP="00002E62">
            <w:pPr>
              <w:pStyle w:val="NoSpacing"/>
              <w:rPr>
                <w:b w:val="0"/>
                <w:bCs w:val="0"/>
                <w:sz w:val="18"/>
                <w:szCs w:val="18"/>
              </w:rPr>
            </w:pPr>
            <w:r w:rsidRPr="00002E62">
              <w:rPr>
                <w:b w:val="0"/>
                <w:bCs w:val="0"/>
                <w:sz w:val="18"/>
                <w:szCs w:val="18"/>
              </w:rPr>
              <w:t>Hussain et al., 2019</w:t>
            </w:r>
          </w:p>
        </w:tc>
        <w:tc>
          <w:tcPr>
            <w:tcW w:w="0" w:type="auto"/>
          </w:tcPr>
          <w:p w14:paraId="7CB2AD0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Pakistan</w:t>
            </w:r>
          </w:p>
        </w:tc>
        <w:tc>
          <w:tcPr>
            <w:tcW w:w="0" w:type="auto"/>
          </w:tcPr>
          <w:p w14:paraId="6DA5778E"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 xml:space="preserve">Per day: hospital bills PKR42,333 (US$263.05); ICU setup PKR179,923 (US$1,129.91); salaries PKR2,573 (US$16.06); reconciled total </w:t>
            </w:r>
            <w:r w:rsidRPr="00002E62">
              <w:rPr>
                <w:sz w:val="18"/>
                <w:szCs w:val="18"/>
              </w:rPr>
              <w:lastRenderedPageBreak/>
              <w:t>PKR224,829/day (US$1,409.02).</w:t>
            </w:r>
          </w:p>
        </w:tc>
        <w:tc>
          <w:tcPr>
            <w:tcW w:w="0" w:type="auto"/>
          </w:tcPr>
          <w:p w14:paraId="7FE86676"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lastRenderedPageBreak/>
              <w:t>Not reported.</w:t>
            </w:r>
          </w:p>
        </w:tc>
        <w:tc>
          <w:tcPr>
            <w:tcW w:w="0" w:type="auto"/>
          </w:tcPr>
          <w:p w14:paraId="11AFC205"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 xml:space="preserve">ICU equipment and hospital resource costs dominated. The printed rupee grand total is malformed; the arithmetic sum of </w:t>
            </w:r>
            <w:r w:rsidRPr="00002E62">
              <w:rPr>
                <w:sz w:val="18"/>
                <w:szCs w:val="18"/>
              </w:rPr>
              <w:lastRenderedPageBreak/>
              <w:t>components is PKR224,829 and matches the reported US$1,409.02.</w:t>
            </w:r>
          </w:p>
        </w:tc>
      </w:tr>
      <w:tr w:rsidR="00002E62" w:rsidRPr="00002E62" w14:paraId="255F66BF"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4FFE76A9" w14:textId="77777777" w:rsidR="00002E62" w:rsidRPr="00002E62" w:rsidRDefault="00002E62" w:rsidP="00002E62">
            <w:pPr>
              <w:pStyle w:val="NoSpacing"/>
              <w:rPr>
                <w:b w:val="0"/>
                <w:bCs w:val="0"/>
                <w:sz w:val="18"/>
                <w:szCs w:val="18"/>
              </w:rPr>
            </w:pPr>
            <w:proofErr w:type="spellStart"/>
            <w:r w:rsidRPr="00002E62">
              <w:rPr>
                <w:b w:val="0"/>
                <w:bCs w:val="0"/>
                <w:sz w:val="18"/>
                <w:szCs w:val="18"/>
              </w:rPr>
              <w:lastRenderedPageBreak/>
              <w:t>Umo</w:t>
            </w:r>
            <w:proofErr w:type="spellEnd"/>
            <w:r w:rsidRPr="00002E62">
              <w:rPr>
                <w:b w:val="0"/>
                <w:bCs w:val="0"/>
                <w:sz w:val="18"/>
                <w:szCs w:val="18"/>
              </w:rPr>
              <w:t xml:space="preserve"> et al., 2022</w:t>
            </w:r>
          </w:p>
        </w:tc>
        <w:tc>
          <w:tcPr>
            <w:tcW w:w="0" w:type="auto"/>
          </w:tcPr>
          <w:p w14:paraId="701B143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Papua New Guinea</w:t>
            </w:r>
          </w:p>
        </w:tc>
        <w:tc>
          <w:tcPr>
            <w:tcW w:w="0" w:type="auto"/>
          </w:tcPr>
          <w:p w14:paraId="59E3BEF3"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Head-injury cost table n=12; total direct medical cost K531,695; mean K44,307.92 (US$12,849.29) per head-injury case.</w:t>
            </w:r>
          </w:p>
        </w:tc>
        <w:tc>
          <w:tcPr>
            <w:tcW w:w="0" w:type="auto"/>
          </w:tcPr>
          <w:p w14:paraId="11214E04"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Patient fees were included within the patient/hospital perspective.</w:t>
            </w:r>
          </w:p>
        </w:tc>
        <w:tc>
          <w:tcPr>
            <w:tcW w:w="0" w:type="auto"/>
          </w:tcPr>
          <w:p w14:paraId="45BAABD8"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This broader trauma study has 13 clinical head-injury cases but 12 in the cost table; only separately extractable head-injury costs were retained.</w:t>
            </w:r>
          </w:p>
        </w:tc>
      </w:tr>
      <w:tr w:rsidR="00002E62" w:rsidRPr="00002E62" w14:paraId="005D3290"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7F568BB" w14:textId="77777777" w:rsidR="00002E62" w:rsidRPr="00002E62" w:rsidRDefault="00002E62" w:rsidP="00002E62">
            <w:pPr>
              <w:pStyle w:val="NoSpacing"/>
              <w:rPr>
                <w:b w:val="0"/>
                <w:bCs w:val="0"/>
                <w:sz w:val="18"/>
                <w:szCs w:val="18"/>
              </w:rPr>
            </w:pPr>
            <w:r w:rsidRPr="00002E62">
              <w:rPr>
                <w:b w:val="0"/>
                <w:bCs w:val="0"/>
                <w:sz w:val="18"/>
                <w:szCs w:val="18"/>
              </w:rPr>
              <w:t>Paka et al., 2025</w:t>
            </w:r>
          </w:p>
        </w:tc>
        <w:tc>
          <w:tcPr>
            <w:tcW w:w="0" w:type="auto"/>
          </w:tcPr>
          <w:p w14:paraId="7CBFA260"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Papua New Guinea</w:t>
            </w:r>
          </w:p>
        </w:tc>
        <w:tc>
          <w:tcPr>
            <w:tcW w:w="0" w:type="auto"/>
          </w:tcPr>
          <w:p w14:paraId="5EC531E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Total direct medical cost K6,246,779.25 (US$1,561,694.81); mean K81,127.00 (US$20,281.75)/patient; severe TBI K95,328.03 (US$23,832.01).</w:t>
            </w:r>
          </w:p>
        </w:tc>
        <w:tc>
          <w:tcPr>
            <w:tcW w:w="0" w:type="auto"/>
          </w:tcPr>
          <w:p w14:paraId="4E18AD5B"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Total patient charges K48,860 (US$12,215).</w:t>
            </w:r>
          </w:p>
        </w:tc>
        <w:tc>
          <w:tcPr>
            <w:tcW w:w="0" w:type="auto"/>
          </w:tcPr>
          <w:p w14:paraId="23BF639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Hospital costs were 99.2% of total direct medical costs; drugs/consumables accounted for 72% of hospital costs.</w:t>
            </w:r>
          </w:p>
        </w:tc>
      </w:tr>
      <w:tr w:rsidR="00002E62" w:rsidRPr="00002E62" w14:paraId="2799E772" w14:textId="77777777" w:rsidTr="00002E62">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12697E74" w14:textId="77777777" w:rsidR="00002E62" w:rsidRPr="00002E62" w:rsidRDefault="00002E62" w:rsidP="00002E62">
            <w:pPr>
              <w:pStyle w:val="NoSpacing"/>
              <w:rPr>
                <w:b w:val="0"/>
                <w:bCs w:val="0"/>
                <w:sz w:val="18"/>
                <w:szCs w:val="18"/>
              </w:rPr>
            </w:pPr>
            <w:r w:rsidRPr="00002E62">
              <w:rPr>
                <w:b w:val="0"/>
                <w:bCs w:val="0"/>
                <w:sz w:val="18"/>
                <w:szCs w:val="18"/>
              </w:rPr>
              <w:t>Kanmani et al., 2019</w:t>
            </w:r>
          </w:p>
        </w:tc>
        <w:tc>
          <w:tcPr>
            <w:tcW w:w="0" w:type="auto"/>
          </w:tcPr>
          <w:p w14:paraId="7424EE32"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India</w:t>
            </w:r>
          </w:p>
        </w:tc>
        <w:tc>
          <w:tcPr>
            <w:tcW w:w="0" w:type="auto"/>
          </w:tcPr>
          <w:p w14:paraId="47D2FC5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Mean caregiver financial-burden score 6.28 +/- 2.36.</w:t>
            </w:r>
          </w:p>
        </w:tc>
        <w:tc>
          <w:tcPr>
            <w:tcW w:w="0" w:type="auto"/>
          </w:tcPr>
          <w:p w14:paraId="0428661D"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Caregiver/family financial burden and psychological distress were assessed quantitatively; this was not a monetary cost study.</w:t>
            </w:r>
          </w:p>
        </w:tc>
        <w:tc>
          <w:tcPr>
            <w:tcW w:w="0" w:type="auto"/>
          </w:tcPr>
          <w:p w14:paraId="1CE21059" w14:textId="77777777" w:rsidR="00002E62" w:rsidRPr="00002E62" w:rsidRDefault="00002E62" w:rsidP="00002E62">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002E62">
              <w:rPr>
                <w:sz w:val="18"/>
                <w:szCs w:val="18"/>
              </w:rPr>
              <w:t>Greater TBI severity was associated with greater caregiver burden. The table value 6.28 +/- 2.36 is retained because a narrative sentence elsewhere reports an inconsistent SD.</w:t>
            </w:r>
          </w:p>
        </w:tc>
      </w:tr>
    </w:tbl>
    <w:p w14:paraId="07BDDE6E" w14:textId="77777777" w:rsidR="00002E62" w:rsidRDefault="00002E62" w:rsidP="00BB012E">
      <w:pPr>
        <w:spacing w:after="80" w:line="240" w:lineRule="auto"/>
        <w:ind w:left="216"/>
        <w:rPr>
          <w:rFonts w:ascii="Times New Roman" w:hAnsi="Times New Roman" w:cs="Times New Roman"/>
          <w:sz w:val="24"/>
          <w:szCs w:val="24"/>
        </w:rPr>
      </w:pPr>
    </w:p>
    <w:p w14:paraId="2376202B" w14:textId="77777777" w:rsidR="00EC2D54" w:rsidRDefault="00EC2D54" w:rsidP="00BB012E">
      <w:pPr>
        <w:spacing w:after="80" w:line="240" w:lineRule="auto"/>
        <w:ind w:left="216"/>
        <w:rPr>
          <w:rFonts w:ascii="Times New Roman" w:hAnsi="Times New Roman" w:cs="Times New Roman"/>
          <w:sz w:val="24"/>
          <w:szCs w:val="24"/>
        </w:rPr>
      </w:pPr>
    </w:p>
    <w:p w14:paraId="07EDED44" w14:textId="77777777" w:rsidR="007A2A3A" w:rsidRDefault="007A2A3A" w:rsidP="00BB012E">
      <w:pPr>
        <w:spacing w:after="80" w:line="240" w:lineRule="auto"/>
        <w:ind w:left="216"/>
        <w:rPr>
          <w:rFonts w:ascii="Times New Roman" w:hAnsi="Times New Roman" w:cs="Times New Roman"/>
          <w:sz w:val="24"/>
          <w:szCs w:val="24"/>
        </w:rPr>
      </w:pPr>
    </w:p>
    <w:p w14:paraId="0F2C868E" w14:textId="77777777" w:rsidR="007A2A3A" w:rsidRDefault="007A2A3A" w:rsidP="00BB012E">
      <w:pPr>
        <w:spacing w:after="80" w:line="240" w:lineRule="auto"/>
        <w:ind w:left="216"/>
        <w:rPr>
          <w:rFonts w:ascii="Times New Roman" w:hAnsi="Times New Roman" w:cs="Times New Roman"/>
          <w:sz w:val="24"/>
          <w:szCs w:val="24"/>
        </w:rPr>
      </w:pPr>
    </w:p>
    <w:p w14:paraId="46A3446E" w14:textId="77777777" w:rsidR="007A2A3A" w:rsidRDefault="007A2A3A" w:rsidP="00BB012E">
      <w:pPr>
        <w:spacing w:after="80" w:line="240" w:lineRule="auto"/>
        <w:ind w:left="216"/>
        <w:rPr>
          <w:rFonts w:ascii="Times New Roman" w:hAnsi="Times New Roman" w:cs="Times New Roman"/>
          <w:sz w:val="24"/>
          <w:szCs w:val="24"/>
        </w:rPr>
      </w:pPr>
    </w:p>
    <w:p w14:paraId="0596E0EC" w14:textId="77777777" w:rsidR="007A2A3A" w:rsidRDefault="007A2A3A" w:rsidP="00BB012E">
      <w:pPr>
        <w:spacing w:after="80" w:line="240" w:lineRule="auto"/>
        <w:ind w:left="216"/>
        <w:rPr>
          <w:rFonts w:ascii="Times New Roman" w:hAnsi="Times New Roman" w:cs="Times New Roman"/>
          <w:sz w:val="24"/>
          <w:szCs w:val="24"/>
        </w:rPr>
      </w:pPr>
    </w:p>
    <w:p w14:paraId="3FA9B0F7" w14:textId="77777777" w:rsidR="00CD6A58" w:rsidRDefault="00CD6A58" w:rsidP="00BB012E">
      <w:pPr>
        <w:spacing w:after="80" w:line="240" w:lineRule="auto"/>
        <w:ind w:left="216"/>
        <w:rPr>
          <w:rFonts w:ascii="Times New Roman" w:hAnsi="Times New Roman" w:cs="Times New Roman"/>
          <w:sz w:val="24"/>
          <w:szCs w:val="24"/>
        </w:rPr>
      </w:pPr>
    </w:p>
    <w:p w14:paraId="754D7650" w14:textId="77777777" w:rsidR="00CD6A58" w:rsidRDefault="00CD6A58" w:rsidP="00BB012E">
      <w:pPr>
        <w:spacing w:after="80" w:line="240" w:lineRule="auto"/>
        <w:ind w:left="216"/>
        <w:rPr>
          <w:rFonts w:ascii="Times New Roman" w:hAnsi="Times New Roman" w:cs="Times New Roman"/>
          <w:sz w:val="24"/>
          <w:szCs w:val="24"/>
        </w:rPr>
      </w:pPr>
    </w:p>
    <w:p w14:paraId="7B7D9EE5" w14:textId="77777777" w:rsidR="00CD6A58" w:rsidRDefault="00CD6A58" w:rsidP="00BB012E">
      <w:pPr>
        <w:spacing w:after="80" w:line="240" w:lineRule="auto"/>
        <w:ind w:left="216"/>
        <w:rPr>
          <w:rFonts w:ascii="Times New Roman" w:hAnsi="Times New Roman" w:cs="Times New Roman"/>
          <w:sz w:val="24"/>
          <w:szCs w:val="24"/>
        </w:rPr>
      </w:pPr>
    </w:p>
    <w:p w14:paraId="189078E2" w14:textId="77777777" w:rsidR="00CD6A58" w:rsidRDefault="00CD6A58" w:rsidP="00BB012E">
      <w:pPr>
        <w:spacing w:after="80" w:line="240" w:lineRule="auto"/>
        <w:ind w:left="216"/>
        <w:rPr>
          <w:rFonts w:ascii="Times New Roman" w:hAnsi="Times New Roman" w:cs="Times New Roman"/>
          <w:sz w:val="24"/>
          <w:szCs w:val="24"/>
        </w:rPr>
      </w:pPr>
    </w:p>
    <w:p w14:paraId="61C75FD6" w14:textId="77777777" w:rsidR="00CD6A58" w:rsidRDefault="00CD6A58" w:rsidP="00BB012E">
      <w:pPr>
        <w:spacing w:after="80" w:line="240" w:lineRule="auto"/>
        <w:ind w:left="216"/>
        <w:rPr>
          <w:rFonts w:ascii="Times New Roman" w:hAnsi="Times New Roman" w:cs="Times New Roman"/>
          <w:sz w:val="24"/>
          <w:szCs w:val="24"/>
        </w:rPr>
      </w:pPr>
    </w:p>
    <w:p w14:paraId="006734C0" w14:textId="77777777" w:rsidR="00CD6A58" w:rsidRDefault="00CD6A58" w:rsidP="00BB012E">
      <w:pPr>
        <w:spacing w:after="80" w:line="240" w:lineRule="auto"/>
        <w:ind w:left="216"/>
        <w:rPr>
          <w:rFonts w:ascii="Times New Roman" w:hAnsi="Times New Roman" w:cs="Times New Roman"/>
          <w:sz w:val="24"/>
          <w:szCs w:val="24"/>
        </w:rPr>
      </w:pPr>
    </w:p>
    <w:p w14:paraId="6CED69BF" w14:textId="77777777" w:rsidR="00CD6A58" w:rsidRDefault="00CD6A58" w:rsidP="00BB012E">
      <w:pPr>
        <w:spacing w:after="80" w:line="240" w:lineRule="auto"/>
        <w:ind w:left="216"/>
        <w:rPr>
          <w:rFonts w:ascii="Times New Roman" w:hAnsi="Times New Roman" w:cs="Times New Roman"/>
          <w:sz w:val="24"/>
          <w:szCs w:val="24"/>
        </w:rPr>
      </w:pPr>
    </w:p>
    <w:p w14:paraId="46ABDDE9" w14:textId="77777777" w:rsidR="00CD6A58" w:rsidRDefault="00CD6A58" w:rsidP="00BB012E">
      <w:pPr>
        <w:spacing w:after="80" w:line="240" w:lineRule="auto"/>
        <w:ind w:left="216"/>
        <w:rPr>
          <w:rFonts w:ascii="Times New Roman" w:hAnsi="Times New Roman" w:cs="Times New Roman"/>
          <w:sz w:val="24"/>
          <w:szCs w:val="24"/>
        </w:rPr>
      </w:pPr>
    </w:p>
    <w:p w14:paraId="56D8C6A1" w14:textId="77777777" w:rsidR="00CD6A58" w:rsidRDefault="00CD6A58" w:rsidP="00BB012E">
      <w:pPr>
        <w:spacing w:after="80" w:line="240" w:lineRule="auto"/>
        <w:ind w:left="216"/>
        <w:rPr>
          <w:rFonts w:ascii="Times New Roman" w:hAnsi="Times New Roman" w:cs="Times New Roman"/>
          <w:sz w:val="24"/>
          <w:szCs w:val="24"/>
        </w:rPr>
      </w:pPr>
    </w:p>
    <w:p w14:paraId="69E0265B" w14:textId="77777777" w:rsidR="00CD6A58" w:rsidRDefault="00CD6A58" w:rsidP="00BB012E">
      <w:pPr>
        <w:spacing w:after="80" w:line="240" w:lineRule="auto"/>
        <w:ind w:left="216"/>
        <w:rPr>
          <w:rFonts w:ascii="Times New Roman" w:hAnsi="Times New Roman" w:cs="Times New Roman"/>
          <w:sz w:val="24"/>
          <w:szCs w:val="24"/>
        </w:rPr>
      </w:pPr>
    </w:p>
    <w:p w14:paraId="5DFF34A6" w14:textId="77777777" w:rsidR="00CD6A58" w:rsidRDefault="00CD6A58" w:rsidP="00BB012E">
      <w:pPr>
        <w:spacing w:after="80" w:line="240" w:lineRule="auto"/>
        <w:ind w:left="216"/>
        <w:rPr>
          <w:rFonts w:ascii="Times New Roman" w:hAnsi="Times New Roman" w:cs="Times New Roman"/>
          <w:sz w:val="24"/>
          <w:szCs w:val="24"/>
        </w:rPr>
      </w:pPr>
    </w:p>
    <w:p w14:paraId="17EC97AA" w14:textId="77777777" w:rsidR="00CD6A58" w:rsidRDefault="00CD6A58" w:rsidP="00BB012E">
      <w:pPr>
        <w:spacing w:after="80" w:line="240" w:lineRule="auto"/>
        <w:ind w:left="216"/>
        <w:rPr>
          <w:rFonts w:ascii="Times New Roman" w:hAnsi="Times New Roman" w:cs="Times New Roman"/>
          <w:sz w:val="24"/>
          <w:szCs w:val="24"/>
        </w:rPr>
      </w:pPr>
    </w:p>
    <w:p w14:paraId="3F447E74" w14:textId="77777777" w:rsidR="00CD6A58" w:rsidRDefault="00CD6A58" w:rsidP="00BB012E">
      <w:pPr>
        <w:spacing w:after="80" w:line="240" w:lineRule="auto"/>
        <w:ind w:left="216"/>
        <w:rPr>
          <w:rFonts w:ascii="Times New Roman" w:hAnsi="Times New Roman" w:cs="Times New Roman"/>
          <w:sz w:val="24"/>
          <w:szCs w:val="24"/>
        </w:rPr>
      </w:pPr>
    </w:p>
    <w:p w14:paraId="66C85AA6" w14:textId="77777777" w:rsidR="00CD6A58" w:rsidRDefault="00CD6A58" w:rsidP="00BB012E">
      <w:pPr>
        <w:spacing w:after="80" w:line="240" w:lineRule="auto"/>
        <w:ind w:left="216"/>
        <w:rPr>
          <w:rFonts w:ascii="Times New Roman" w:hAnsi="Times New Roman" w:cs="Times New Roman"/>
          <w:sz w:val="24"/>
          <w:szCs w:val="24"/>
        </w:rPr>
      </w:pPr>
    </w:p>
    <w:p w14:paraId="70DF8D51" w14:textId="053F87E5" w:rsidR="00CD6A58" w:rsidRDefault="00CD6A58" w:rsidP="00BB012E">
      <w:pPr>
        <w:spacing w:after="80" w:line="240" w:lineRule="auto"/>
        <w:ind w:left="216"/>
        <w:rPr>
          <w:rFonts w:ascii="Times New Roman" w:hAnsi="Times New Roman" w:cs="Times New Roman"/>
          <w:sz w:val="24"/>
          <w:szCs w:val="24"/>
        </w:rPr>
      </w:pPr>
      <w:r>
        <w:rPr>
          <w:rFonts w:ascii="Times New Roman" w:hAnsi="Times New Roman" w:cs="Times New Roman"/>
          <w:sz w:val="24"/>
          <w:szCs w:val="24"/>
        </w:rPr>
        <w:lastRenderedPageBreak/>
        <w:t>REFERENCES.</w:t>
      </w:r>
    </w:p>
    <w:p w14:paraId="705E280A" w14:textId="77777777" w:rsidR="00EE056F" w:rsidRPr="00EE056F" w:rsidRDefault="00EE056F" w:rsidP="00EE056F">
      <w:pPr>
        <w:pStyle w:val="Bibliography"/>
      </w:pPr>
      <w:r>
        <w:rPr>
          <w:szCs w:val="24"/>
        </w:rPr>
        <w:fldChar w:fldCharType="begin"/>
      </w:r>
      <w:r>
        <w:rPr>
          <w:szCs w:val="24"/>
        </w:rPr>
        <w:instrText xml:space="preserve"> ADDIN ZOTERO_BIBL {"uncited":[],"omitted":[],"custom":[]} CSL_BIBLIOGRAPHY </w:instrText>
      </w:r>
      <w:r>
        <w:rPr>
          <w:szCs w:val="24"/>
        </w:rPr>
        <w:fldChar w:fldCharType="separate"/>
      </w:r>
      <w:r w:rsidRPr="00EE056F">
        <w:t>1.</w:t>
      </w:r>
      <w:r w:rsidRPr="00EE056F">
        <w:tab/>
        <w:t xml:space="preserve">Frankiewicz P, Sawe Y, Sakita F, </w:t>
      </w:r>
      <w:proofErr w:type="spellStart"/>
      <w:r w:rsidRPr="00EE056F">
        <w:t>Mmbaga</w:t>
      </w:r>
      <w:proofErr w:type="spellEnd"/>
      <w:r w:rsidRPr="00EE056F">
        <w:t xml:space="preserve"> BT, Staton C, Joiner AP, et al. </w:t>
      </w:r>
      <w:proofErr w:type="gramStart"/>
      <w:r w:rsidRPr="00EE056F">
        <w:t>Financial</w:t>
      </w:r>
      <w:proofErr w:type="gramEnd"/>
      <w:r w:rsidRPr="00EE056F">
        <w:t xml:space="preserve"> toxicity and acute injury in the Kilimanjaro region: An application of the Three Delays Model. Makram AM, editor. PLOS ONE. 2024;</w:t>
      </w:r>
      <w:proofErr w:type="gramStart"/>
      <w:r w:rsidRPr="00EE056F">
        <w:t>19:e</w:t>
      </w:r>
      <w:proofErr w:type="gramEnd"/>
      <w:r w:rsidRPr="00EE056F">
        <w:t xml:space="preserve">0308539. </w:t>
      </w:r>
      <w:proofErr w:type="gramStart"/>
      <w:r w:rsidRPr="00EE056F">
        <w:t>doi:10.1371/journal.pone</w:t>
      </w:r>
      <w:proofErr w:type="gramEnd"/>
      <w:r w:rsidRPr="00EE056F">
        <w:t>.0308539</w:t>
      </w:r>
    </w:p>
    <w:p w14:paraId="6732E8F6" w14:textId="77777777" w:rsidR="00EE056F" w:rsidRPr="00EE056F" w:rsidRDefault="00EE056F" w:rsidP="00EE056F">
      <w:pPr>
        <w:pStyle w:val="Bibliography"/>
      </w:pPr>
      <w:r w:rsidRPr="00EE056F">
        <w:t>2.</w:t>
      </w:r>
      <w:r w:rsidRPr="00EE056F">
        <w:tab/>
      </w:r>
      <w:proofErr w:type="spellStart"/>
      <w:r w:rsidRPr="00EE056F">
        <w:t>Nishtala</w:t>
      </w:r>
      <w:proofErr w:type="spellEnd"/>
      <w:r w:rsidRPr="00EE056F">
        <w:t xml:space="preserve"> MV, Reed M, Schumacher J, Hanlon B, Venkatesh M, Collins M, et al. Catastrophic health expenditure in </w:t>
      </w:r>
      <w:proofErr w:type="spellStart"/>
      <w:r w:rsidRPr="00EE056F">
        <w:t>nonneurological</w:t>
      </w:r>
      <w:proofErr w:type="spellEnd"/>
      <w:r w:rsidRPr="00EE056F">
        <w:t xml:space="preserve"> injury due to motor vehicle crash. J Trauma Acute Care Surg. </w:t>
      </w:r>
      <w:proofErr w:type="gramStart"/>
      <w:r w:rsidRPr="00EE056F">
        <w:t>2023;95:172</w:t>
      </w:r>
      <w:proofErr w:type="gramEnd"/>
      <w:r w:rsidRPr="00EE056F">
        <w:t>–80. doi:10.1097/TA.0000000000003993</w:t>
      </w:r>
    </w:p>
    <w:p w14:paraId="272023C6" w14:textId="77777777" w:rsidR="00EE056F" w:rsidRPr="00EE056F" w:rsidRDefault="00EE056F" w:rsidP="00EE056F">
      <w:pPr>
        <w:pStyle w:val="Bibliography"/>
      </w:pPr>
      <w:r w:rsidRPr="00EE056F">
        <w:t>3.</w:t>
      </w:r>
      <w:r w:rsidRPr="00EE056F">
        <w:tab/>
        <w:t>Abdul Rahim K, The Equi</w:t>
      </w:r>
      <w:r w:rsidRPr="00EE056F">
        <w:rPr>
          <w:rFonts w:ascii="Cambria Math" w:hAnsi="Cambria Math" w:cs="Cambria Math"/>
        </w:rPr>
        <w:t>‐</w:t>
      </w:r>
      <w:r w:rsidRPr="00EE056F">
        <w:t>Injury Pakistan. Paying the Price: The Intersection of Out</w:t>
      </w:r>
      <w:r w:rsidRPr="00EE056F">
        <w:rPr>
          <w:rFonts w:ascii="Cambria Math" w:hAnsi="Cambria Math" w:cs="Cambria Math"/>
        </w:rPr>
        <w:t>‐</w:t>
      </w:r>
      <w:r w:rsidRPr="00EE056F">
        <w:t>of</w:t>
      </w:r>
      <w:r w:rsidRPr="00EE056F">
        <w:rPr>
          <w:rFonts w:ascii="Cambria Math" w:hAnsi="Cambria Math" w:cs="Cambria Math"/>
        </w:rPr>
        <w:t>‐</w:t>
      </w:r>
      <w:r w:rsidRPr="00EE056F">
        <w:t xml:space="preserve">Pocket Expenses and Trauma Mortality in Pakistan. World J Surg. </w:t>
      </w:r>
      <w:proofErr w:type="gramStart"/>
      <w:r w:rsidRPr="00EE056F">
        <w:t>2026;50:739</w:t>
      </w:r>
      <w:proofErr w:type="gramEnd"/>
      <w:r w:rsidRPr="00EE056F">
        <w:t>–49. doi:10.1002/wjs.70243</w:t>
      </w:r>
    </w:p>
    <w:p w14:paraId="170926D1" w14:textId="77777777" w:rsidR="00EE056F" w:rsidRPr="00EE056F" w:rsidRDefault="00EE056F" w:rsidP="00EE056F">
      <w:pPr>
        <w:pStyle w:val="Bibliography"/>
      </w:pPr>
      <w:r w:rsidRPr="00EE056F">
        <w:t>4.</w:t>
      </w:r>
      <w:r w:rsidRPr="00EE056F">
        <w:tab/>
      </w:r>
      <w:proofErr w:type="spellStart"/>
      <w:r w:rsidRPr="00EE056F">
        <w:t>Adesoba</w:t>
      </w:r>
      <w:proofErr w:type="spellEnd"/>
      <w:r w:rsidRPr="00EE056F">
        <w:t xml:space="preserve"> H, Olumide A, Bonander C. Estimating the cost of establishing and maintaining a trauma registry at a tertiary health institution in a low and middle-income country. </w:t>
      </w:r>
      <w:proofErr w:type="spellStart"/>
      <w:r w:rsidRPr="00EE056F">
        <w:t>Inj</w:t>
      </w:r>
      <w:proofErr w:type="spellEnd"/>
      <w:r w:rsidRPr="00EE056F">
        <w:t xml:space="preserve"> Prev. </w:t>
      </w:r>
      <w:proofErr w:type="gramStart"/>
      <w:r w:rsidRPr="00EE056F">
        <w:t>2026;ip</w:t>
      </w:r>
      <w:proofErr w:type="gramEnd"/>
      <w:r w:rsidRPr="00EE056F">
        <w:t>–2025–045780. doi:10.1136/ip-2025-045780</w:t>
      </w:r>
    </w:p>
    <w:p w14:paraId="5522E921" w14:textId="77777777" w:rsidR="00EE056F" w:rsidRPr="00EE056F" w:rsidRDefault="00EE056F" w:rsidP="00EE056F">
      <w:pPr>
        <w:pStyle w:val="Bibliography"/>
      </w:pPr>
      <w:r w:rsidRPr="00EE056F">
        <w:t>5.</w:t>
      </w:r>
      <w:r w:rsidRPr="00EE056F">
        <w:tab/>
        <w:t xml:space="preserve">Abdelgadir J, Tran T, Muhindo A, </w:t>
      </w:r>
      <w:proofErr w:type="spellStart"/>
      <w:r w:rsidRPr="00EE056F">
        <w:t>Obiga</w:t>
      </w:r>
      <w:proofErr w:type="spellEnd"/>
      <w:r w:rsidRPr="00EE056F">
        <w:t xml:space="preserve"> D, Mukasa J, Ssenyonjo H, et al. Estimating the Cost of Neurosurgical Procedures in a Low-Income Setting: An Observational Economic Analysis. World </w:t>
      </w:r>
      <w:proofErr w:type="spellStart"/>
      <w:r w:rsidRPr="00EE056F">
        <w:t>Neurosurg</w:t>
      </w:r>
      <w:proofErr w:type="spellEnd"/>
      <w:r w:rsidRPr="00EE056F">
        <w:t xml:space="preserve">. </w:t>
      </w:r>
      <w:proofErr w:type="gramStart"/>
      <w:r w:rsidRPr="00EE056F">
        <w:t>2017;101:651</w:t>
      </w:r>
      <w:proofErr w:type="gramEnd"/>
      <w:r w:rsidRPr="00EE056F">
        <w:t xml:space="preserve">–7. </w:t>
      </w:r>
      <w:proofErr w:type="gramStart"/>
      <w:r w:rsidRPr="00EE056F">
        <w:t>doi:10.1016/j.wneu</w:t>
      </w:r>
      <w:proofErr w:type="gramEnd"/>
      <w:r w:rsidRPr="00EE056F">
        <w:t>.2017.02.048</w:t>
      </w:r>
    </w:p>
    <w:p w14:paraId="37568296" w14:textId="77777777" w:rsidR="00EE056F" w:rsidRPr="00EE056F" w:rsidRDefault="00EE056F" w:rsidP="00EE056F">
      <w:pPr>
        <w:pStyle w:val="Bibliography"/>
      </w:pPr>
      <w:r w:rsidRPr="00EE056F">
        <w:t>6.</w:t>
      </w:r>
      <w:r w:rsidRPr="00EE056F">
        <w:tab/>
      </w:r>
      <w:proofErr w:type="spellStart"/>
      <w:r w:rsidRPr="00EE056F">
        <w:t>Dhufera</w:t>
      </w:r>
      <w:proofErr w:type="spellEnd"/>
      <w:r w:rsidRPr="00EE056F">
        <w:t xml:space="preserve"> HT, </w:t>
      </w:r>
      <w:proofErr w:type="spellStart"/>
      <w:r w:rsidRPr="00EE056F">
        <w:t>Jbaily</w:t>
      </w:r>
      <w:proofErr w:type="spellEnd"/>
      <w:r w:rsidRPr="00EE056F">
        <w:t xml:space="preserve"> A, </w:t>
      </w:r>
      <w:proofErr w:type="spellStart"/>
      <w:r w:rsidRPr="00EE056F">
        <w:t>Verguet</w:t>
      </w:r>
      <w:proofErr w:type="spellEnd"/>
      <w:r w:rsidRPr="00EE056F">
        <w:t xml:space="preserve"> S, Tolla MT, Johansson KA, </w:t>
      </w:r>
      <w:proofErr w:type="spellStart"/>
      <w:r w:rsidRPr="00EE056F">
        <w:t>Memirie</w:t>
      </w:r>
      <w:proofErr w:type="spellEnd"/>
      <w:r w:rsidRPr="00EE056F">
        <w:t xml:space="preserve"> ST. Financial risk of road traffic trauma care in public and private hospitals in Addis Ababa, Ethiopia: A cross-sectional observational study. Injury. </w:t>
      </w:r>
      <w:proofErr w:type="gramStart"/>
      <w:r w:rsidRPr="00EE056F">
        <w:t>2022;53:23</w:t>
      </w:r>
      <w:proofErr w:type="gramEnd"/>
      <w:r w:rsidRPr="00EE056F">
        <w:t xml:space="preserve">–9. </w:t>
      </w:r>
      <w:proofErr w:type="gramStart"/>
      <w:r w:rsidRPr="00EE056F">
        <w:t>doi:10.1016/j.injury</w:t>
      </w:r>
      <w:proofErr w:type="gramEnd"/>
      <w:r w:rsidRPr="00EE056F">
        <w:t>.2021.11.009</w:t>
      </w:r>
    </w:p>
    <w:p w14:paraId="0CDC880A" w14:textId="77777777" w:rsidR="00EE056F" w:rsidRPr="00EE056F" w:rsidRDefault="00EE056F" w:rsidP="00EE056F">
      <w:pPr>
        <w:pStyle w:val="Bibliography"/>
      </w:pPr>
      <w:r w:rsidRPr="00EE056F">
        <w:t>7.</w:t>
      </w:r>
      <w:r w:rsidRPr="00EE056F">
        <w:tab/>
        <w:t xml:space="preserve">Ferraris KP, Yap MEC, Bautista MCG, </w:t>
      </w:r>
      <w:proofErr w:type="spellStart"/>
      <w:r w:rsidRPr="00EE056F">
        <w:t>Wardhana</w:t>
      </w:r>
      <w:proofErr w:type="spellEnd"/>
      <w:r w:rsidRPr="00EE056F">
        <w:t xml:space="preserve"> DPW, </w:t>
      </w:r>
      <w:proofErr w:type="spellStart"/>
      <w:r w:rsidRPr="00EE056F">
        <w:t>Maliawan</w:t>
      </w:r>
      <w:proofErr w:type="spellEnd"/>
      <w:r w:rsidRPr="00EE056F">
        <w:t xml:space="preserve"> S, Wirawan IMA, et al. Financial Risk Protection for Neurosurgical Care in Indonesia and the Philippines: A Primer on Health Financing for the Global Neurosurgeon. Front Surg. </w:t>
      </w:r>
      <w:proofErr w:type="gramStart"/>
      <w:r w:rsidRPr="00EE056F">
        <w:t>2021;8:690851</w:t>
      </w:r>
      <w:proofErr w:type="gramEnd"/>
      <w:r w:rsidRPr="00EE056F">
        <w:t>. doi:10.3389/fsurg.2021.690851</w:t>
      </w:r>
    </w:p>
    <w:p w14:paraId="035BAF6B" w14:textId="77777777" w:rsidR="00EE056F" w:rsidRPr="00EE056F" w:rsidRDefault="00EE056F" w:rsidP="00EE056F">
      <w:pPr>
        <w:pStyle w:val="Bibliography"/>
      </w:pPr>
      <w:r w:rsidRPr="00EE056F">
        <w:t>8.</w:t>
      </w:r>
      <w:r w:rsidRPr="00EE056F">
        <w:tab/>
        <w:t xml:space="preserve">The Equi-Trauma Collaborative, Odland ML, Abdul-Latif AM, Ignatowicz A, </w:t>
      </w:r>
      <w:proofErr w:type="spellStart"/>
      <w:r w:rsidRPr="00EE056F">
        <w:t>Alayande</w:t>
      </w:r>
      <w:proofErr w:type="spellEnd"/>
      <w:r w:rsidRPr="00EE056F">
        <w:t xml:space="preserve"> B, Appia Ofori B, et al. Equitable access to quality trauma systems in low-income and middle-income countries: assessing gaps and developing priorities in Ghana, Rwanda and South Africa. BMJ Glob Health. 2022;</w:t>
      </w:r>
      <w:proofErr w:type="gramStart"/>
      <w:r w:rsidRPr="00EE056F">
        <w:t>7:e</w:t>
      </w:r>
      <w:proofErr w:type="gramEnd"/>
      <w:r w:rsidRPr="00EE056F">
        <w:t>008256. doi:10.1136/bmjgh-2021-008256</w:t>
      </w:r>
    </w:p>
    <w:p w14:paraId="6F654FCB" w14:textId="77777777" w:rsidR="00EE056F" w:rsidRPr="00EE056F" w:rsidRDefault="00EE056F" w:rsidP="00EE056F">
      <w:pPr>
        <w:pStyle w:val="Bibliography"/>
      </w:pPr>
      <w:r w:rsidRPr="00EE056F">
        <w:t>9.</w:t>
      </w:r>
      <w:r w:rsidRPr="00EE056F">
        <w:tab/>
        <w:t xml:space="preserve">Ojo OA, </w:t>
      </w:r>
      <w:proofErr w:type="spellStart"/>
      <w:r w:rsidRPr="00EE056F">
        <w:t>Okei</w:t>
      </w:r>
      <w:proofErr w:type="spellEnd"/>
      <w:r w:rsidRPr="00EE056F">
        <w:t xml:space="preserve"> JC, </w:t>
      </w:r>
      <w:proofErr w:type="spellStart"/>
      <w:r w:rsidRPr="00EE056F">
        <w:t>Adaramola</w:t>
      </w:r>
      <w:proofErr w:type="spellEnd"/>
      <w:r w:rsidRPr="00EE056F">
        <w:t xml:space="preserve"> OG, Olajide SO, </w:t>
      </w:r>
      <w:proofErr w:type="spellStart"/>
      <w:r w:rsidRPr="00EE056F">
        <w:t>Awofeso</w:t>
      </w:r>
      <w:proofErr w:type="spellEnd"/>
      <w:r w:rsidRPr="00EE056F">
        <w:t xml:space="preserve"> OM, </w:t>
      </w:r>
      <w:proofErr w:type="spellStart"/>
      <w:r w:rsidRPr="00EE056F">
        <w:t>Agbarakwe</w:t>
      </w:r>
      <w:proofErr w:type="spellEnd"/>
      <w:r w:rsidRPr="00EE056F">
        <w:t xml:space="preserve"> CA, et al. Epidemiology of Traumatic Brain Injury at a Tertiary Institution in Nigeria. Niger Postgrad Med J. </w:t>
      </w:r>
      <w:proofErr w:type="gramStart"/>
      <w:r w:rsidRPr="00EE056F">
        <w:t>2024;31:325</w:t>
      </w:r>
      <w:proofErr w:type="gramEnd"/>
      <w:r w:rsidRPr="00EE056F">
        <w:t xml:space="preserve">–30. </w:t>
      </w:r>
      <w:proofErr w:type="gramStart"/>
      <w:r w:rsidRPr="00EE056F">
        <w:t>doi:10.4103/npmj.npmj</w:t>
      </w:r>
      <w:proofErr w:type="gramEnd"/>
      <w:r w:rsidRPr="00EE056F">
        <w:t>_61_24</w:t>
      </w:r>
    </w:p>
    <w:p w14:paraId="1CB31A3B" w14:textId="77777777" w:rsidR="00EE056F" w:rsidRPr="00EE056F" w:rsidRDefault="00EE056F" w:rsidP="00EE056F">
      <w:pPr>
        <w:pStyle w:val="Bibliography"/>
      </w:pPr>
      <w:r w:rsidRPr="00EE056F">
        <w:t>10.</w:t>
      </w:r>
      <w:r w:rsidRPr="00EE056F">
        <w:tab/>
        <w:t xml:space="preserve">Zimmerman A, Fox S, Griffin R, </w:t>
      </w:r>
      <w:proofErr w:type="spellStart"/>
      <w:r w:rsidRPr="00EE056F">
        <w:t>Nelp</w:t>
      </w:r>
      <w:proofErr w:type="spellEnd"/>
      <w:r w:rsidRPr="00EE056F">
        <w:t xml:space="preserve"> T, Thomaz EBAF, </w:t>
      </w:r>
      <w:proofErr w:type="spellStart"/>
      <w:r w:rsidRPr="00EE056F">
        <w:t>Mvungi</w:t>
      </w:r>
      <w:proofErr w:type="spellEnd"/>
      <w:r w:rsidRPr="00EE056F">
        <w:t xml:space="preserve"> M, et al. An analysis of emergency care delays experienced by traumatic brain injury patients presenting to a regional referral hospital in a low-income country. Simmen HP, editor. PLOS ONE. 2020;</w:t>
      </w:r>
      <w:proofErr w:type="gramStart"/>
      <w:r w:rsidRPr="00EE056F">
        <w:t>15:e</w:t>
      </w:r>
      <w:proofErr w:type="gramEnd"/>
      <w:r w:rsidRPr="00EE056F">
        <w:t xml:space="preserve">0240528. </w:t>
      </w:r>
      <w:proofErr w:type="gramStart"/>
      <w:r w:rsidRPr="00EE056F">
        <w:t>doi:10.1371/journal.pone</w:t>
      </w:r>
      <w:proofErr w:type="gramEnd"/>
      <w:r w:rsidRPr="00EE056F">
        <w:t>.0240528</w:t>
      </w:r>
    </w:p>
    <w:p w14:paraId="1E020A19" w14:textId="77777777" w:rsidR="00EE056F" w:rsidRPr="00EE056F" w:rsidRDefault="00EE056F" w:rsidP="00EE056F">
      <w:pPr>
        <w:pStyle w:val="Bibliography"/>
      </w:pPr>
      <w:r w:rsidRPr="00EE056F">
        <w:t>11.</w:t>
      </w:r>
      <w:r w:rsidRPr="00EE056F">
        <w:tab/>
        <w:t xml:space="preserve">Mehmood A, </w:t>
      </w:r>
      <w:proofErr w:type="spellStart"/>
      <w:r w:rsidRPr="00EE056F">
        <w:t>Rowther</w:t>
      </w:r>
      <w:proofErr w:type="spellEnd"/>
      <w:r w:rsidRPr="00EE056F">
        <w:t xml:space="preserve"> AA, Kobusingye O, Ssenyonjo H, Zia N, Hyder AA. Delays in emergency department intervention for patients with traumatic brain injury in Uganda. Trauma Surg Acute Care Open. 2021;</w:t>
      </w:r>
      <w:proofErr w:type="gramStart"/>
      <w:r w:rsidRPr="00EE056F">
        <w:t>6:e</w:t>
      </w:r>
      <w:proofErr w:type="gramEnd"/>
      <w:r w:rsidRPr="00EE056F">
        <w:t>000674. doi:10.1136/tsaco-2021-000674</w:t>
      </w:r>
    </w:p>
    <w:p w14:paraId="4F4A318E" w14:textId="77777777" w:rsidR="00EE056F" w:rsidRPr="00EE056F" w:rsidRDefault="00EE056F" w:rsidP="00EE056F">
      <w:pPr>
        <w:pStyle w:val="Bibliography"/>
      </w:pPr>
      <w:r w:rsidRPr="00EE056F">
        <w:t>12.</w:t>
      </w:r>
      <w:r w:rsidRPr="00EE056F">
        <w:tab/>
        <w:t xml:space="preserve">Nwosu C, Spears CA, Pate C, Gold DT, Bennett G, Haglund M, et al. Influence of Caretakers’ Health Literacy on Delays to Traumatic Brain Injury Care in Uganda. Ann Glob Health. </w:t>
      </w:r>
      <w:proofErr w:type="gramStart"/>
      <w:r w:rsidRPr="00EE056F">
        <w:t>2020;86:127</w:t>
      </w:r>
      <w:proofErr w:type="gramEnd"/>
      <w:r w:rsidRPr="00EE056F">
        <w:t>. doi:10.5334/aogh.2978</w:t>
      </w:r>
    </w:p>
    <w:p w14:paraId="6C5BF192" w14:textId="77777777" w:rsidR="00EE056F" w:rsidRPr="00EE056F" w:rsidRDefault="00EE056F" w:rsidP="00EE056F">
      <w:pPr>
        <w:pStyle w:val="Bibliography"/>
      </w:pPr>
      <w:r w:rsidRPr="00EE056F">
        <w:t>13.</w:t>
      </w:r>
      <w:r w:rsidRPr="00EE056F">
        <w:tab/>
        <w:t xml:space="preserve">Amare AT, Tesfaye TD, Ali AS, </w:t>
      </w:r>
      <w:proofErr w:type="spellStart"/>
      <w:r w:rsidRPr="00EE056F">
        <w:t>Woelile</w:t>
      </w:r>
      <w:proofErr w:type="spellEnd"/>
      <w:r w:rsidRPr="00EE056F">
        <w:t xml:space="preserve"> TA, Birlie TA, Kebede WM, et al. Survival status and predictors of mortality among traumatic brain injury patients in an Ethiopian hospital: A </w:t>
      </w:r>
      <w:r w:rsidRPr="00EE056F">
        <w:lastRenderedPageBreak/>
        <w:t xml:space="preserve">retrospective cohort study. </w:t>
      </w:r>
      <w:proofErr w:type="spellStart"/>
      <w:r w:rsidRPr="00EE056F">
        <w:t>Afr</w:t>
      </w:r>
      <w:proofErr w:type="spellEnd"/>
      <w:r w:rsidRPr="00EE056F">
        <w:t xml:space="preserve"> J Emerg Med. </w:t>
      </w:r>
      <w:proofErr w:type="gramStart"/>
      <w:r w:rsidRPr="00EE056F">
        <w:t>2021;11:396</w:t>
      </w:r>
      <w:proofErr w:type="gramEnd"/>
      <w:r w:rsidRPr="00EE056F">
        <w:t xml:space="preserve">–403. </w:t>
      </w:r>
      <w:proofErr w:type="gramStart"/>
      <w:r w:rsidRPr="00EE056F">
        <w:t>doi:10.1016/j.afjem</w:t>
      </w:r>
      <w:proofErr w:type="gramEnd"/>
      <w:r w:rsidRPr="00EE056F">
        <w:t>.2021.06.003</w:t>
      </w:r>
    </w:p>
    <w:p w14:paraId="1E4F57D7" w14:textId="77777777" w:rsidR="00EE056F" w:rsidRPr="00EE056F" w:rsidRDefault="00EE056F" w:rsidP="00EE056F">
      <w:pPr>
        <w:pStyle w:val="Bibliography"/>
      </w:pPr>
      <w:r w:rsidRPr="00EE056F">
        <w:t>14.</w:t>
      </w:r>
      <w:r w:rsidRPr="00EE056F">
        <w:tab/>
        <w:t xml:space="preserve">Wesson HKH, </w:t>
      </w:r>
      <w:proofErr w:type="spellStart"/>
      <w:r w:rsidRPr="00EE056F">
        <w:t>Boikhutso</w:t>
      </w:r>
      <w:proofErr w:type="spellEnd"/>
      <w:r w:rsidRPr="00EE056F">
        <w:t xml:space="preserve"> N, </w:t>
      </w:r>
      <w:proofErr w:type="spellStart"/>
      <w:r w:rsidRPr="00EE056F">
        <w:t>Bachani</w:t>
      </w:r>
      <w:proofErr w:type="spellEnd"/>
      <w:r w:rsidRPr="00EE056F">
        <w:t xml:space="preserve"> AM, Hofman KJ, Hyder AA. The cost of injury and trauma care in low- and middle-income countries: a review of economic evidence. Health Policy Plan. </w:t>
      </w:r>
      <w:proofErr w:type="gramStart"/>
      <w:r w:rsidRPr="00EE056F">
        <w:t>2014;29:795</w:t>
      </w:r>
      <w:proofErr w:type="gramEnd"/>
      <w:r w:rsidRPr="00EE056F">
        <w:t>–808. doi:10.1093/</w:t>
      </w:r>
      <w:proofErr w:type="spellStart"/>
      <w:r w:rsidRPr="00EE056F">
        <w:t>heapol</w:t>
      </w:r>
      <w:proofErr w:type="spellEnd"/>
      <w:r w:rsidRPr="00EE056F">
        <w:t>/czt064</w:t>
      </w:r>
    </w:p>
    <w:p w14:paraId="64E998DD" w14:textId="77777777" w:rsidR="00EE056F" w:rsidRPr="00EE056F" w:rsidRDefault="00EE056F" w:rsidP="00EE056F">
      <w:pPr>
        <w:pStyle w:val="Bibliography"/>
      </w:pPr>
      <w:r w:rsidRPr="00EE056F">
        <w:t>15.</w:t>
      </w:r>
      <w:r w:rsidRPr="00EE056F">
        <w:tab/>
        <w:t xml:space="preserve">Van Dijck JTJM, </w:t>
      </w:r>
      <w:proofErr w:type="spellStart"/>
      <w:r w:rsidRPr="00EE056F">
        <w:t>Dijkman</w:t>
      </w:r>
      <w:proofErr w:type="spellEnd"/>
      <w:r w:rsidRPr="00EE056F">
        <w:t xml:space="preserve"> MD, </w:t>
      </w:r>
      <w:proofErr w:type="spellStart"/>
      <w:r w:rsidRPr="00EE056F">
        <w:t>Ophuis</w:t>
      </w:r>
      <w:proofErr w:type="spellEnd"/>
      <w:r w:rsidRPr="00EE056F">
        <w:t xml:space="preserve"> RH, De Ruiter GCW, Peul WC, Polinder S. In-hospital costs after severe traumatic brain injury: A systematic review and quality assessment. </w:t>
      </w:r>
      <w:proofErr w:type="spellStart"/>
      <w:r w:rsidRPr="00EE056F">
        <w:t>Kerezoudis</w:t>
      </w:r>
      <w:proofErr w:type="spellEnd"/>
      <w:r w:rsidRPr="00EE056F">
        <w:t xml:space="preserve"> P, editor. PLOS ONE. 2019;</w:t>
      </w:r>
      <w:proofErr w:type="gramStart"/>
      <w:r w:rsidRPr="00EE056F">
        <w:t>14:e</w:t>
      </w:r>
      <w:proofErr w:type="gramEnd"/>
      <w:r w:rsidRPr="00EE056F">
        <w:t xml:space="preserve">0216743. </w:t>
      </w:r>
      <w:proofErr w:type="gramStart"/>
      <w:r w:rsidRPr="00EE056F">
        <w:t>doi:10.1371/journal.pone</w:t>
      </w:r>
      <w:proofErr w:type="gramEnd"/>
      <w:r w:rsidRPr="00EE056F">
        <w:t>.0216743</w:t>
      </w:r>
    </w:p>
    <w:p w14:paraId="709A343E" w14:textId="77777777" w:rsidR="00EE056F" w:rsidRPr="00EE056F" w:rsidRDefault="00EE056F" w:rsidP="00EE056F">
      <w:pPr>
        <w:pStyle w:val="Bibliography"/>
      </w:pPr>
      <w:r w:rsidRPr="00EE056F">
        <w:t>16.</w:t>
      </w:r>
      <w:r w:rsidRPr="00EE056F">
        <w:tab/>
        <w:t xml:space="preserve">Crozes F, </w:t>
      </w:r>
      <w:proofErr w:type="spellStart"/>
      <w:r w:rsidRPr="00EE056F">
        <w:t>Delpierre</w:t>
      </w:r>
      <w:proofErr w:type="spellEnd"/>
      <w:r w:rsidRPr="00EE056F">
        <w:t xml:space="preserve"> C, Costa N. Mapping the costs and socioeconomic characteristics involved in traumatic brain injuries: a scoping review. J Rehabil Med. 2024;</w:t>
      </w:r>
      <w:proofErr w:type="gramStart"/>
      <w:r w:rsidRPr="00EE056F">
        <w:t>56:jrm</w:t>
      </w:r>
      <w:proofErr w:type="gramEnd"/>
      <w:r w:rsidRPr="00EE056F">
        <w:t>18311. doi:10.2340/</w:t>
      </w:r>
      <w:proofErr w:type="gramStart"/>
      <w:r w:rsidRPr="00EE056F">
        <w:t>jrm.v</w:t>
      </w:r>
      <w:proofErr w:type="gramEnd"/>
      <w:r w:rsidRPr="00EE056F">
        <w:t>56.18311</w:t>
      </w:r>
    </w:p>
    <w:p w14:paraId="66D3262F" w14:textId="77777777" w:rsidR="00EE056F" w:rsidRPr="00EE056F" w:rsidRDefault="00EE056F" w:rsidP="00EE056F">
      <w:pPr>
        <w:pStyle w:val="Bibliography"/>
      </w:pPr>
      <w:r w:rsidRPr="00EE056F">
        <w:t>17.</w:t>
      </w:r>
      <w:r w:rsidRPr="00EE056F">
        <w:tab/>
        <w:t xml:space="preserve">Allen BC, Cummer E, Sarma AK. Traumatic Brain Injury in Select Low- and Middle-Income Countries: A Narrative Review of the Literature. J Neurotrauma. </w:t>
      </w:r>
      <w:proofErr w:type="gramStart"/>
      <w:r w:rsidRPr="00EE056F">
        <w:t>2023;40:602</w:t>
      </w:r>
      <w:proofErr w:type="gramEnd"/>
      <w:r w:rsidRPr="00EE056F">
        <w:t>–19. doi:10.1089/neu.2022.0068</w:t>
      </w:r>
    </w:p>
    <w:p w14:paraId="338A2E5D" w14:textId="06672803" w:rsidR="00CD6A58" w:rsidRPr="00163892" w:rsidRDefault="00EE056F" w:rsidP="00BB012E">
      <w:pPr>
        <w:spacing w:after="80" w:line="240" w:lineRule="auto"/>
        <w:ind w:left="216"/>
        <w:rPr>
          <w:rFonts w:ascii="Times New Roman" w:hAnsi="Times New Roman" w:cs="Times New Roman"/>
          <w:sz w:val="24"/>
          <w:szCs w:val="24"/>
        </w:rPr>
      </w:pPr>
      <w:r>
        <w:rPr>
          <w:rFonts w:ascii="Times New Roman" w:hAnsi="Times New Roman" w:cs="Times New Roman"/>
          <w:sz w:val="24"/>
          <w:szCs w:val="24"/>
        </w:rPr>
        <w:fldChar w:fldCharType="end"/>
      </w:r>
    </w:p>
    <w:sectPr w:rsidR="00CD6A58" w:rsidRPr="0016389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15427" w14:textId="77777777" w:rsidR="00B02B10" w:rsidRDefault="00B02B10" w:rsidP="00163892">
      <w:pPr>
        <w:spacing w:after="0" w:line="240" w:lineRule="auto"/>
      </w:pPr>
      <w:r>
        <w:separator/>
      </w:r>
    </w:p>
  </w:endnote>
  <w:endnote w:type="continuationSeparator" w:id="0">
    <w:p w14:paraId="7E707E43" w14:textId="77777777" w:rsidR="00B02B10" w:rsidRDefault="00B02B10" w:rsidP="00163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7747D" w14:textId="77777777" w:rsidR="00B02B10" w:rsidRDefault="00B02B10" w:rsidP="00163892">
      <w:pPr>
        <w:spacing w:after="0" w:line="240" w:lineRule="auto"/>
      </w:pPr>
      <w:r>
        <w:separator/>
      </w:r>
    </w:p>
  </w:footnote>
  <w:footnote w:type="continuationSeparator" w:id="0">
    <w:p w14:paraId="10780BC3" w14:textId="77777777" w:rsidR="00B02B10" w:rsidRDefault="00B02B10" w:rsidP="001638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08"/>
    <w:rsid w:val="00002E62"/>
    <w:rsid w:val="001152E6"/>
    <w:rsid w:val="0014557C"/>
    <w:rsid w:val="00163892"/>
    <w:rsid w:val="00185FE2"/>
    <w:rsid w:val="00266599"/>
    <w:rsid w:val="002836D5"/>
    <w:rsid w:val="003E6CD2"/>
    <w:rsid w:val="00474208"/>
    <w:rsid w:val="004C1F2E"/>
    <w:rsid w:val="00536DB8"/>
    <w:rsid w:val="00550C80"/>
    <w:rsid w:val="005B07D0"/>
    <w:rsid w:val="005C0704"/>
    <w:rsid w:val="0062416E"/>
    <w:rsid w:val="00662645"/>
    <w:rsid w:val="00710333"/>
    <w:rsid w:val="007A2A3A"/>
    <w:rsid w:val="007F24F9"/>
    <w:rsid w:val="007F38B5"/>
    <w:rsid w:val="00933672"/>
    <w:rsid w:val="00A91CC5"/>
    <w:rsid w:val="00B02B10"/>
    <w:rsid w:val="00B54CD2"/>
    <w:rsid w:val="00B84833"/>
    <w:rsid w:val="00B8496C"/>
    <w:rsid w:val="00BB012E"/>
    <w:rsid w:val="00C11F3B"/>
    <w:rsid w:val="00CA0F77"/>
    <w:rsid w:val="00CD6A58"/>
    <w:rsid w:val="00DB156C"/>
    <w:rsid w:val="00DD7563"/>
    <w:rsid w:val="00E36710"/>
    <w:rsid w:val="00E40728"/>
    <w:rsid w:val="00E6151E"/>
    <w:rsid w:val="00E70FA7"/>
    <w:rsid w:val="00EC2D54"/>
    <w:rsid w:val="00EE056F"/>
    <w:rsid w:val="00F56560"/>
    <w:rsid w:val="00F85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D8884"/>
  <w15:chartTrackingRefBased/>
  <w15:docId w15:val="{93B3D207-96B3-418F-8B27-D6259CAA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208"/>
    <w:pPr>
      <w:spacing w:after="200" w:line="276" w:lineRule="auto"/>
      <w:jc w:val="left"/>
    </w:pPr>
    <w:rPr>
      <w:rFonts w:ascii="Arial" w:eastAsiaTheme="minorEastAsia" w:hAnsi="Arial"/>
      <w:kern w:val="0"/>
      <w:sz w:val="20"/>
      <w:szCs w:val="22"/>
      <w14:ligatures w14:val="none"/>
    </w:rPr>
  </w:style>
  <w:style w:type="paragraph" w:styleId="Heading1">
    <w:name w:val="heading 1"/>
    <w:basedOn w:val="Normal"/>
    <w:next w:val="Normal"/>
    <w:link w:val="Heading1Char"/>
    <w:uiPriority w:val="9"/>
    <w:qFormat/>
    <w:rsid w:val="00474208"/>
    <w:pPr>
      <w:keepNext/>
      <w:keepLines/>
      <w:spacing w:before="360" w:after="80" w:line="360" w:lineRule="auto"/>
      <w:jc w:val="both"/>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74208"/>
    <w:pPr>
      <w:keepNext/>
      <w:keepLines/>
      <w:spacing w:before="160" w:after="80" w:line="360" w:lineRule="auto"/>
      <w:jc w:val="both"/>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74208"/>
    <w:pPr>
      <w:keepNext/>
      <w:keepLines/>
      <w:spacing w:before="160" w:after="80" w:line="360" w:lineRule="auto"/>
      <w:jc w:val="both"/>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74208"/>
    <w:pPr>
      <w:keepNext/>
      <w:keepLines/>
      <w:spacing w:before="80" w:after="40" w:line="360" w:lineRule="auto"/>
      <w:jc w:val="both"/>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74208"/>
    <w:pPr>
      <w:keepNext/>
      <w:keepLines/>
      <w:spacing w:before="80" w:after="40" w:line="360" w:lineRule="auto"/>
      <w:jc w:val="both"/>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74208"/>
    <w:pPr>
      <w:keepNext/>
      <w:keepLines/>
      <w:spacing w:before="40" w:after="0" w:line="360" w:lineRule="auto"/>
      <w:jc w:val="both"/>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74208"/>
    <w:pPr>
      <w:keepNext/>
      <w:keepLines/>
      <w:spacing w:before="40" w:after="0" w:line="360" w:lineRule="auto"/>
      <w:jc w:val="both"/>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74208"/>
    <w:pPr>
      <w:keepNext/>
      <w:keepLines/>
      <w:spacing w:after="0" w:line="360" w:lineRule="auto"/>
      <w:jc w:val="both"/>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74208"/>
    <w:pPr>
      <w:keepNext/>
      <w:keepLines/>
      <w:spacing w:after="0" w:line="360" w:lineRule="auto"/>
      <w:jc w:val="both"/>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2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42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42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42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42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4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208"/>
    <w:rPr>
      <w:rFonts w:eastAsiaTheme="majorEastAsia" w:cstheme="majorBidi"/>
      <w:color w:val="272727" w:themeColor="text1" w:themeTint="D8"/>
    </w:rPr>
  </w:style>
  <w:style w:type="paragraph" w:styleId="Title">
    <w:name w:val="Title"/>
    <w:basedOn w:val="Normal"/>
    <w:next w:val="Normal"/>
    <w:link w:val="TitleChar"/>
    <w:uiPriority w:val="10"/>
    <w:qFormat/>
    <w:rsid w:val="00474208"/>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74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208"/>
    <w:pPr>
      <w:numPr>
        <w:ilvl w:val="1"/>
      </w:numPr>
      <w:spacing w:after="160" w:line="360" w:lineRule="auto"/>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74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208"/>
    <w:pPr>
      <w:spacing w:before="160" w:after="160" w:line="360"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74208"/>
    <w:rPr>
      <w:i/>
      <w:iCs/>
      <w:color w:val="404040" w:themeColor="text1" w:themeTint="BF"/>
    </w:rPr>
  </w:style>
  <w:style w:type="paragraph" w:styleId="ListParagraph">
    <w:name w:val="List Paragraph"/>
    <w:basedOn w:val="Normal"/>
    <w:uiPriority w:val="34"/>
    <w:qFormat/>
    <w:rsid w:val="00474208"/>
    <w:pPr>
      <w:spacing w:after="160" w:line="360" w:lineRule="auto"/>
      <w:ind w:left="720"/>
      <w:contextualSpacing/>
      <w:jc w:val="both"/>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474208"/>
    <w:rPr>
      <w:i/>
      <w:iCs/>
      <w:color w:val="2F5496" w:themeColor="accent1" w:themeShade="BF"/>
    </w:rPr>
  </w:style>
  <w:style w:type="paragraph" w:styleId="IntenseQuote">
    <w:name w:val="Intense Quote"/>
    <w:basedOn w:val="Normal"/>
    <w:next w:val="Normal"/>
    <w:link w:val="IntenseQuoteChar"/>
    <w:uiPriority w:val="30"/>
    <w:qFormat/>
    <w:rsid w:val="00474208"/>
    <w:pPr>
      <w:pBdr>
        <w:top w:val="single" w:sz="4" w:space="10" w:color="2F5496" w:themeColor="accent1" w:themeShade="BF"/>
        <w:bottom w:val="single" w:sz="4" w:space="10" w:color="2F5496" w:themeColor="accent1" w:themeShade="BF"/>
      </w:pBdr>
      <w:spacing w:before="360" w:after="360" w:line="360" w:lineRule="auto"/>
      <w:ind w:left="864" w:right="864"/>
      <w:jc w:val="center"/>
    </w:pPr>
    <w:rPr>
      <w:rFonts w:asciiTheme="minorHAnsi" w:eastAsia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74208"/>
    <w:rPr>
      <w:i/>
      <w:iCs/>
      <w:color w:val="2F5496" w:themeColor="accent1" w:themeShade="BF"/>
    </w:rPr>
  </w:style>
  <w:style w:type="character" w:styleId="IntenseReference">
    <w:name w:val="Intense Reference"/>
    <w:basedOn w:val="DefaultParagraphFont"/>
    <w:uiPriority w:val="32"/>
    <w:qFormat/>
    <w:rsid w:val="00474208"/>
    <w:rPr>
      <w:b/>
      <w:bCs/>
      <w:smallCaps/>
      <w:color w:val="2F5496" w:themeColor="accent1" w:themeShade="BF"/>
      <w:spacing w:val="5"/>
    </w:rPr>
  </w:style>
  <w:style w:type="table" w:styleId="TableGrid">
    <w:name w:val="Table Grid"/>
    <w:basedOn w:val="TableNormal"/>
    <w:uiPriority w:val="59"/>
    <w:rsid w:val="001152E6"/>
    <w:pPr>
      <w:spacing w:after="0" w:line="240" w:lineRule="auto"/>
      <w:jc w:val="left"/>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152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DB156C"/>
    <w:rPr>
      <w:color w:val="467886"/>
      <w:u w:val="single"/>
    </w:rPr>
  </w:style>
  <w:style w:type="character" w:styleId="Strong">
    <w:name w:val="Strong"/>
    <w:basedOn w:val="DefaultParagraphFont"/>
    <w:uiPriority w:val="22"/>
    <w:qFormat/>
    <w:rsid w:val="00163892"/>
    <w:rPr>
      <w:b/>
      <w:bCs/>
    </w:rPr>
  </w:style>
  <w:style w:type="paragraph" w:styleId="Header">
    <w:name w:val="header"/>
    <w:basedOn w:val="Normal"/>
    <w:link w:val="HeaderChar"/>
    <w:uiPriority w:val="99"/>
    <w:unhideWhenUsed/>
    <w:rsid w:val="001638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163892"/>
    <w:rPr>
      <w:rFonts w:ascii="Arial" w:eastAsiaTheme="minorEastAsia" w:hAnsi="Arial"/>
      <w:kern w:val="0"/>
      <w:sz w:val="20"/>
      <w:szCs w:val="22"/>
      <w14:ligatures w14:val="none"/>
    </w:rPr>
  </w:style>
  <w:style w:type="paragraph" w:styleId="Footer">
    <w:name w:val="footer"/>
    <w:basedOn w:val="Normal"/>
    <w:link w:val="FooterChar"/>
    <w:uiPriority w:val="99"/>
    <w:unhideWhenUsed/>
    <w:rsid w:val="001638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163892"/>
    <w:rPr>
      <w:rFonts w:ascii="Arial" w:eastAsiaTheme="minorEastAsia" w:hAnsi="Arial"/>
      <w:kern w:val="0"/>
      <w:sz w:val="20"/>
      <w:szCs w:val="22"/>
      <w14:ligatures w14:val="none"/>
    </w:rPr>
  </w:style>
  <w:style w:type="paragraph" w:styleId="NoSpacing">
    <w:name w:val="No Spacing"/>
    <w:uiPriority w:val="1"/>
    <w:qFormat/>
    <w:rsid w:val="00163892"/>
    <w:pPr>
      <w:spacing w:after="0" w:line="240" w:lineRule="auto"/>
      <w:jc w:val="left"/>
    </w:pPr>
    <w:rPr>
      <w:rFonts w:ascii="Arial" w:eastAsiaTheme="minorEastAsia" w:hAnsi="Arial"/>
      <w:kern w:val="0"/>
      <w:sz w:val="20"/>
      <w:szCs w:val="22"/>
      <w14:ligatures w14:val="none"/>
    </w:rPr>
  </w:style>
  <w:style w:type="paragraph" w:styleId="Bibliography">
    <w:name w:val="Bibliography"/>
    <w:basedOn w:val="Normal"/>
    <w:next w:val="Normal"/>
    <w:uiPriority w:val="37"/>
    <w:unhideWhenUsed/>
    <w:rsid w:val="00EE056F"/>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3835</TotalTime>
  <Pages>11</Pages>
  <Words>10904</Words>
  <Characters>62154</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abdikani ali hassan</dc:creator>
  <cp:keywords/>
  <dc:description/>
  <cp:lastModifiedBy>abdikani ali hassan</cp:lastModifiedBy>
  <cp:revision>6</cp:revision>
  <dcterms:created xsi:type="dcterms:W3CDTF">2026-10-09T09:00:00Z</dcterms:created>
  <dcterms:modified xsi:type="dcterms:W3CDTF">2026-10-12T12:35:00Z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id="g5DWb80B"/&gt;&lt;style id="http://www.zotero.org/styles/nlm-citation-sequence-superscript-year-only-no-issue" locale="en-US" hasBibliography="1" bibliographyStyleHasBeenSet="1"/&gt;&lt;prefs&gt;&lt;pref name="fiel</vt:lpwstr>
  </property>
  <property fmtid="{D5CDD505-2E9C-101B-9397-08002B2CF9AE}" pid="3" name="ZOTERO_PREF_2">
    <vt:lpwstr>dType" value="Field"/&gt;&lt;pref name="automaticJournalAbbreviations" value="true"/&gt;&lt;/prefs&gt;&lt;/data&gt;</vt:lpwstr>
  </property>
</Properties>
</file>