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A51A3" w14:textId="77777777" w:rsidR="008473D0" w:rsidRPr="006829C0" w:rsidRDefault="008473D0" w:rsidP="008473D0">
      <w:pPr>
        <w:pStyle w:val="Heading3"/>
        <w:spacing w:before="0" w:after="0" w:line="360" w:lineRule="auto"/>
        <w:rPr>
          <w:b/>
          <w:bCs/>
          <w:color w:val="000000"/>
        </w:rPr>
      </w:pPr>
      <w:r w:rsidRPr="006829C0">
        <w:rPr>
          <w:b/>
          <w:bCs/>
          <w:color w:val="000000"/>
        </w:rPr>
        <w:t>Supplementary table legends</w:t>
      </w:r>
    </w:p>
    <w:p w14:paraId="2ABAB661" w14:textId="77777777" w:rsidR="008473D0" w:rsidRPr="006829C0" w:rsidRDefault="008473D0" w:rsidP="008473D0">
      <w:pPr>
        <w:pStyle w:val="Heading4"/>
        <w:spacing w:before="240" w:after="240"/>
      </w:pPr>
      <w:bookmarkStart w:id="0" w:name="_5i2k4xglexfd" w:colFirst="0" w:colLast="0"/>
      <w:bookmarkEnd w:id="0"/>
      <w:r w:rsidRPr="006829C0">
        <w:t>Supplementary Table 1.</w:t>
      </w:r>
    </w:p>
    <w:p w14:paraId="57F36ABF" w14:textId="77777777" w:rsidR="008473D0" w:rsidRPr="006829C0" w:rsidRDefault="008473D0" w:rsidP="008473D0">
      <w:pPr>
        <w:spacing w:before="240" w:after="240" w:line="360" w:lineRule="auto"/>
        <w:rPr>
          <w:color w:val="000000"/>
        </w:rPr>
      </w:pPr>
      <w:r w:rsidRPr="006829C0">
        <w:rPr>
          <w:color w:val="000000"/>
        </w:rPr>
        <w:t>The table presents metadata and multi-omic sequencing characteristics for the 406 colorectal organoid clones analysed in this study, including donor information, anatomical sampling location, availability and sequencing depth of WGS, EM-seq and RNA-seq data, and somatic SNV and indel burdens and mutational signatures.</w:t>
      </w:r>
    </w:p>
    <w:p w14:paraId="3053147A" w14:textId="77777777" w:rsidR="008473D0" w:rsidRPr="006829C0" w:rsidRDefault="008473D0" w:rsidP="008473D0">
      <w:pPr>
        <w:pStyle w:val="Heading4"/>
        <w:spacing w:before="240" w:after="240"/>
      </w:pPr>
      <w:bookmarkStart w:id="1" w:name="_f0n18ydf9exz" w:colFirst="0" w:colLast="0"/>
      <w:bookmarkEnd w:id="1"/>
      <w:r w:rsidRPr="006829C0">
        <w:t>Supplementary Table 2.</w:t>
      </w:r>
    </w:p>
    <w:p w14:paraId="7E456628" w14:textId="77777777" w:rsidR="008473D0" w:rsidRPr="006829C0" w:rsidRDefault="008473D0" w:rsidP="008473D0">
      <w:pPr>
        <w:spacing w:before="240" w:after="240" w:line="360" w:lineRule="auto"/>
        <w:rPr>
          <w:color w:val="000000"/>
        </w:rPr>
      </w:pPr>
      <w:r w:rsidRPr="006829C0">
        <w:rPr>
          <w:color w:val="000000"/>
        </w:rPr>
        <w:t>The table presents the genomic coordinates and constituent elements of non-redundant autosomal embryonic epiallelic commitment (EEC) regions identified across the cohort. For each element, donor-specific EEC coverage and the predominant genomic and CpG-island context are provided.</w:t>
      </w:r>
    </w:p>
    <w:p w14:paraId="476D0491" w14:textId="77777777" w:rsidR="008473D0" w:rsidRPr="006829C0" w:rsidRDefault="008473D0" w:rsidP="008473D0">
      <w:pPr>
        <w:pStyle w:val="Heading4"/>
        <w:spacing w:before="240" w:after="240" w:line="360" w:lineRule="auto"/>
      </w:pPr>
      <w:bookmarkStart w:id="2" w:name="_4myobxvekc8f" w:colFirst="0" w:colLast="0"/>
      <w:bookmarkEnd w:id="2"/>
      <w:r w:rsidRPr="006829C0">
        <w:t>Supplementary Table 3.</w:t>
      </w:r>
    </w:p>
    <w:p w14:paraId="3C550837" w14:textId="77777777" w:rsidR="008473D0" w:rsidRPr="006829C0" w:rsidRDefault="008473D0" w:rsidP="008473D0">
      <w:pPr>
        <w:spacing w:before="240" w:after="240" w:line="360" w:lineRule="auto"/>
        <w:rPr>
          <w:color w:val="000000"/>
        </w:rPr>
      </w:pPr>
      <w:r w:rsidRPr="006829C0">
        <w:rPr>
          <w:color w:val="000000"/>
        </w:rPr>
        <w:t>The table presents the genomic coordinates and constituent elements of non-redundant EEC regions identified on chromosome X. For each element, donor-specific EEC coverage and the predominant genomic and CpG-island context are provided.</w:t>
      </w:r>
    </w:p>
    <w:p w14:paraId="25290225" w14:textId="77777777" w:rsidR="008473D0" w:rsidRPr="006829C0" w:rsidRDefault="008473D0" w:rsidP="008473D0">
      <w:pPr>
        <w:pStyle w:val="Heading4"/>
        <w:spacing w:line="360" w:lineRule="auto"/>
      </w:pPr>
      <w:bookmarkStart w:id="3" w:name="_sln22e43l02w" w:colFirst="0" w:colLast="0"/>
      <w:bookmarkEnd w:id="3"/>
      <w:r w:rsidRPr="006829C0">
        <w:t>Supplementary table 4.</w:t>
      </w:r>
    </w:p>
    <w:p w14:paraId="314408F4" w14:textId="77777777" w:rsidR="008473D0" w:rsidRPr="006829C0" w:rsidRDefault="008473D0" w:rsidP="008473D0">
      <w:pPr>
        <w:spacing w:before="240" w:after="240" w:line="360" w:lineRule="auto"/>
        <w:rPr>
          <w:color w:val="000000"/>
        </w:rPr>
      </w:pPr>
      <w:r w:rsidRPr="006829C0">
        <w:rPr>
          <w:color w:val="000000"/>
        </w:rPr>
        <w:t>Enrichment of genomic and epigenomic features in the vicinity of embryonic epiallelic commitment (EEC) regions. The table presents detailed information on each feature examined, including reference data sources, biosample information, genomic window sizes, observed and expected feature counts or signals, fold enrichment, and statistical significance assessed by permutation analysis.</w:t>
      </w:r>
    </w:p>
    <w:p w14:paraId="1A18455F" w14:textId="77777777" w:rsidR="008473D0" w:rsidRPr="006829C0" w:rsidRDefault="008473D0" w:rsidP="008473D0">
      <w:pPr>
        <w:pStyle w:val="Heading4"/>
        <w:spacing w:line="360" w:lineRule="auto"/>
      </w:pPr>
      <w:bookmarkStart w:id="4" w:name="_71rzch7gj4k" w:colFirst="0" w:colLast="0"/>
      <w:bookmarkEnd w:id="4"/>
      <w:r w:rsidRPr="006829C0">
        <w:t>Supplementary table 5.</w:t>
      </w:r>
    </w:p>
    <w:p w14:paraId="302A00FD" w14:textId="77777777" w:rsidR="008473D0" w:rsidRPr="006829C0" w:rsidRDefault="008473D0" w:rsidP="008473D0">
      <w:pPr>
        <w:spacing w:before="240" w:after="240" w:line="360" w:lineRule="auto"/>
        <w:rPr>
          <w:color w:val="000000"/>
        </w:rPr>
      </w:pPr>
      <w:r w:rsidRPr="006829C0">
        <w:rPr>
          <w:color w:val="000000"/>
        </w:rPr>
        <w:t>Annotation of autosomal promoters and their association with embryonic epiallelic commitment (EEC) regions. The table presents genomic annotations of autosomal promoters and their associated genes, including genomic coordinates, Ensembl Regulatory Build identifiers and gene assignments based on genomic proximity. Each promoter is further classified according to whether it overlaps an EEC region.</w:t>
      </w:r>
    </w:p>
    <w:p w14:paraId="5674BB95" w14:textId="77777777" w:rsidR="008473D0" w:rsidRPr="006829C0" w:rsidRDefault="008473D0" w:rsidP="008473D0">
      <w:pPr>
        <w:pStyle w:val="Heading4"/>
        <w:spacing w:line="360" w:lineRule="auto"/>
      </w:pPr>
      <w:bookmarkStart w:id="5" w:name="_bn01ikjaz98c" w:colFirst="0" w:colLast="0"/>
      <w:bookmarkEnd w:id="5"/>
      <w:r w:rsidRPr="006829C0">
        <w:lastRenderedPageBreak/>
        <w:t>Supplementary table 6.</w:t>
      </w:r>
    </w:p>
    <w:p w14:paraId="574D1C84" w14:textId="77777777" w:rsidR="008473D0" w:rsidRPr="006829C0" w:rsidRDefault="008473D0" w:rsidP="008473D0">
      <w:pPr>
        <w:spacing w:before="240" w:after="240" w:line="360" w:lineRule="auto"/>
        <w:rPr>
          <w:color w:val="000000"/>
        </w:rPr>
      </w:pPr>
      <w:r w:rsidRPr="006829C0">
        <w:rPr>
          <w:color w:val="000000"/>
        </w:rPr>
        <w:t>Enrichment of HGNC-defined gene groups among genes associated with embryonic epiallelic commitment (EEC) or later-acquired epigenetic changes (LEC). The table presents the observed and expected numbers of genes in each group, fold enrichment, associated gene names and statistical significance assessed using Fisher’s exact test with Benjamini–Hochberg correction for multiple testing.</w:t>
      </w:r>
    </w:p>
    <w:p w14:paraId="444BE88B" w14:textId="77777777" w:rsidR="008473D0" w:rsidRPr="006829C0" w:rsidRDefault="008473D0" w:rsidP="008473D0">
      <w:pPr>
        <w:pStyle w:val="Heading4"/>
        <w:spacing w:line="360" w:lineRule="auto"/>
      </w:pPr>
      <w:bookmarkStart w:id="6" w:name="_7npuohd5lreo" w:colFirst="0" w:colLast="0"/>
      <w:bookmarkEnd w:id="6"/>
      <w:r w:rsidRPr="006829C0">
        <w:t>Supplementary table 7.</w:t>
      </w:r>
    </w:p>
    <w:p w14:paraId="2F24E840" w14:textId="77777777" w:rsidR="008473D0" w:rsidRPr="006829C0" w:rsidRDefault="008473D0" w:rsidP="008473D0">
      <w:pPr>
        <w:spacing w:before="240" w:after="240" w:line="360" w:lineRule="auto"/>
        <w:rPr>
          <w:color w:val="000000"/>
        </w:rPr>
      </w:pPr>
      <w:r w:rsidRPr="006829C0">
        <w:rPr>
          <w:color w:val="000000"/>
        </w:rPr>
        <w:t>The table presents linear regression results for associations between promoter embryonic epiallelic commitment (EEC) epigenotypes and within-donor gene expression ranks. The first sheet includes all EEC element–gene pairs, whereas the second provides one representative element per gene, prioritizing negative associations with the smallest P value. Genomic annotations, regression coefficients, P values and sample sizes are provided.</w:t>
      </w:r>
    </w:p>
    <w:p w14:paraId="35EEAB3A" w14:textId="77777777" w:rsidR="008473D0" w:rsidRPr="006829C0" w:rsidRDefault="008473D0" w:rsidP="008473D0">
      <w:pPr>
        <w:pStyle w:val="Heading4"/>
        <w:spacing w:before="240" w:after="240"/>
      </w:pPr>
      <w:bookmarkStart w:id="7" w:name="_sxqnhm8noh2j" w:colFirst="0" w:colLast="0"/>
      <w:bookmarkEnd w:id="7"/>
      <w:r w:rsidRPr="006829C0">
        <w:t>Supplementary Table 8.</w:t>
      </w:r>
    </w:p>
    <w:p w14:paraId="202BB0F4" w14:textId="77777777" w:rsidR="008473D0" w:rsidRPr="006829C0" w:rsidRDefault="008473D0" w:rsidP="008473D0">
      <w:pPr>
        <w:spacing w:before="240" w:after="240" w:line="360" w:lineRule="auto"/>
        <w:rPr>
          <w:color w:val="000000"/>
        </w:rPr>
      </w:pPr>
      <w:r w:rsidRPr="006829C0">
        <w:rPr>
          <w:color w:val="000000"/>
        </w:rPr>
        <w:t xml:space="preserve">The table presents 2,691 non-redundant genomic regions showing later-acquired epigenetic changes (LECs) across the cohort. Genomic coordinates and the donors and colorectal clones carrying each LEC are provided. </w:t>
      </w:r>
    </w:p>
    <w:p w14:paraId="47305529" w14:textId="77777777" w:rsidR="008473D0" w:rsidRPr="006829C0" w:rsidRDefault="008473D0" w:rsidP="008473D0">
      <w:pPr>
        <w:pStyle w:val="Heading4"/>
        <w:spacing w:line="360" w:lineRule="auto"/>
      </w:pPr>
      <w:bookmarkStart w:id="8" w:name="_vf9cbhjuw8k8" w:colFirst="0" w:colLast="0"/>
      <w:bookmarkEnd w:id="8"/>
      <w:r w:rsidRPr="006829C0">
        <w:t>Supplementary table 9.</w:t>
      </w:r>
    </w:p>
    <w:p w14:paraId="243FDB8A" w14:textId="77777777" w:rsidR="008473D0" w:rsidRPr="006829C0" w:rsidRDefault="008473D0" w:rsidP="008473D0">
      <w:pPr>
        <w:spacing w:before="240" w:after="240" w:line="360" w:lineRule="auto"/>
        <w:rPr>
          <w:color w:val="000000"/>
        </w:rPr>
      </w:pPr>
      <w:r w:rsidRPr="006829C0">
        <w:rPr>
          <w:color w:val="000000"/>
        </w:rPr>
        <w:t>CpG island methylation states and U/U categories across the X chromosome in females. The table presents genomic annotations and clone-specific DNA methylation levels of X-chromosome CpG islands, including associated promoters and genes, U/U epigenotype frequencies across female clones, and classification of U/U CpG islands into four categories (A–D).</w:t>
      </w:r>
    </w:p>
    <w:p w14:paraId="40D60836" w14:textId="77777777" w:rsidR="008473D0" w:rsidRPr="006829C0" w:rsidRDefault="008473D0" w:rsidP="008473D0">
      <w:pPr>
        <w:pStyle w:val="Heading4"/>
        <w:spacing w:line="360" w:lineRule="auto"/>
      </w:pPr>
      <w:bookmarkStart w:id="9" w:name="_lai9g95j65l" w:colFirst="0" w:colLast="0"/>
      <w:bookmarkEnd w:id="9"/>
      <w:r w:rsidRPr="006829C0">
        <w:t>Supplementary table 10.</w:t>
      </w:r>
    </w:p>
    <w:p w14:paraId="6E05D99B" w14:textId="77777777" w:rsidR="008473D0" w:rsidRPr="006829C0" w:rsidRDefault="008473D0" w:rsidP="008473D0">
      <w:pPr>
        <w:spacing w:before="240" w:after="240" w:line="360" w:lineRule="auto"/>
        <w:rPr>
          <w:color w:val="000000"/>
        </w:rPr>
      </w:pPr>
      <w:r w:rsidRPr="006829C0">
        <w:rPr>
          <w:color w:val="000000"/>
        </w:rPr>
        <w:t>Integrated analysis of promoter U/U states, allele-specific expression and reported X-chromosome inactivation status. The table presents genomic annotations, promoter-overlapping CpG island U/U categories and frequencies, biallelic expression (BAE) frequencies and extents across ASE-informative clones and promoter U/U clones, and overlap with previously reported XCI escape or variable genes.</w:t>
      </w:r>
    </w:p>
    <w:p w14:paraId="7179EEEA" w14:textId="77777777" w:rsidR="008473D0" w:rsidRPr="006829C0" w:rsidRDefault="008473D0" w:rsidP="008473D0">
      <w:pPr>
        <w:pStyle w:val="Heading4"/>
        <w:spacing w:before="240" w:after="240"/>
      </w:pPr>
      <w:bookmarkStart w:id="10" w:name="_axwr6t3e9jw0" w:colFirst="0" w:colLast="0"/>
      <w:bookmarkEnd w:id="10"/>
      <w:r w:rsidRPr="006829C0">
        <w:lastRenderedPageBreak/>
        <w:t>Supplementary Table 11.</w:t>
      </w:r>
    </w:p>
    <w:p w14:paraId="6DCF7E84" w14:textId="77777777" w:rsidR="008473D0" w:rsidRPr="006829C0" w:rsidRDefault="008473D0" w:rsidP="008473D0">
      <w:pPr>
        <w:spacing w:before="240" w:after="240" w:line="360" w:lineRule="auto"/>
        <w:rPr>
          <w:color w:val="000000"/>
        </w:rPr>
      </w:pPr>
      <w:r w:rsidRPr="006829C0">
        <w:rPr>
          <w:color w:val="000000"/>
        </w:rPr>
        <w:t>The table presents genomic and population characteristics of the 276 potential retrotransposition-competent L1 (rc-L1) source elements analysed in this study, including reference status, genomic location and orientation, population allele frequencies across ancestry groups and, where available, L1 subfamily, truncating mutations and insertion breakpoints as previously reported</w:t>
      </w:r>
      <w:r w:rsidRPr="006829C0">
        <w:rPr>
          <w:color w:val="000000"/>
          <w:vertAlign w:val="superscript"/>
        </w:rPr>
        <w:t>11</w:t>
      </w:r>
      <w:r w:rsidRPr="006829C0">
        <w:rPr>
          <w:color w:val="000000"/>
        </w:rPr>
        <w:t xml:space="preserve">. </w:t>
      </w:r>
    </w:p>
    <w:p w14:paraId="4C35835E" w14:textId="77777777" w:rsidR="008473D0" w:rsidRPr="006829C0" w:rsidRDefault="008473D0" w:rsidP="008473D0">
      <w:pPr>
        <w:pStyle w:val="Heading4"/>
        <w:spacing w:before="240" w:after="240"/>
      </w:pPr>
      <w:bookmarkStart w:id="11" w:name="_y0e2hls7z6yh" w:colFirst="0" w:colLast="0"/>
      <w:bookmarkEnd w:id="11"/>
      <w:r w:rsidRPr="006829C0">
        <w:t>Supplementary Table 12.</w:t>
      </w:r>
    </w:p>
    <w:p w14:paraId="3BFD78E7" w14:textId="77777777" w:rsidR="008473D0" w:rsidRPr="006829C0" w:rsidRDefault="008473D0" w:rsidP="008473D0">
      <w:pPr>
        <w:spacing w:before="240" w:after="240" w:line="360" w:lineRule="auto"/>
        <w:rPr>
          <w:color w:val="000000"/>
        </w:rPr>
      </w:pPr>
      <w:r w:rsidRPr="006829C0">
        <w:rPr>
          <w:color w:val="000000"/>
        </w:rPr>
        <w:t xml:space="preserve">The table presents genomic, epigenetic and retrotransposition characteristics of the 72 rc-L1 sources showing promoter loss of methylation (LoM) in at least one colorectal clone. For each source, the table summarizes the phylogenetic timing of promoter LoM, clone-level promoter epigenotype and LoM frequencies, and clones harbouring source-assigned L1 transduction events. </w:t>
      </w:r>
    </w:p>
    <w:p w14:paraId="061401E6" w14:textId="77777777" w:rsidR="008473D0" w:rsidRPr="006829C0" w:rsidRDefault="008473D0" w:rsidP="008473D0">
      <w:pPr>
        <w:pStyle w:val="Heading4"/>
        <w:spacing w:line="360" w:lineRule="auto"/>
      </w:pPr>
      <w:bookmarkStart w:id="12" w:name="_ffwi7c6pp5fv" w:colFirst="0" w:colLast="0"/>
      <w:bookmarkEnd w:id="12"/>
      <w:r w:rsidRPr="006829C0">
        <w:t>Supplementary table 13.</w:t>
      </w:r>
    </w:p>
    <w:p w14:paraId="48998F13" w14:textId="77777777" w:rsidR="008473D0" w:rsidRPr="006829C0" w:rsidRDefault="008473D0" w:rsidP="008473D0">
      <w:pPr>
        <w:spacing w:before="240" w:after="240" w:line="360" w:lineRule="auto"/>
        <w:rPr>
          <w:color w:val="000000"/>
        </w:rPr>
      </w:pPr>
      <w:r w:rsidRPr="006829C0">
        <w:rPr>
          <w:color w:val="000000"/>
        </w:rPr>
        <w:t>Validation and application of developmental phylogeny refinement using embryonic epiallelic commitment (EEC) methylation states. The first sheet presents validation results using artificially disrupted tree topologies, including predicted topologies, EEC element support, prediction confidence and outcomes. The second sheet provides refinement results for unresolved polytomies in reconstructed developmental lineage trees, including selected topologies, EEC element support, prediction confidence and refinement status.</w:t>
      </w:r>
    </w:p>
    <w:p w14:paraId="4612A06C" w14:textId="77777777" w:rsidR="008473D0" w:rsidRPr="006829C0" w:rsidRDefault="008473D0" w:rsidP="008473D0">
      <w:pPr>
        <w:pStyle w:val="Heading4"/>
        <w:spacing w:before="240" w:after="240"/>
      </w:pPr>
      <w:bookmarkStart w:id="13" w:name="_v0xa65mdqkxj" w:colFirst="0" w:colLast="0"/>
      <w:bookmarkEnd w:id="13"/>
      <w:r w:rsidRPr="006829C0">
        <w:t>Supplementary Table 14.</w:t>
      </w:r>
    </w:p>
    <w:p w14:paraId="53A124E0" w14:textId="77777777" w:rsidR="008473D0" w:rsidRPr="006829C0" w:rsidRDefault="008473D0" w:rsidP="008473D0">
      <w:pPr>
        <w:spacing w:before="240" w:after="240" w:line="360" w:lineRule="auto"/>
        <w:rPr>
          <w:color w:val="000000"/>
        </w:rPr>
      </w:pPr>
      <w:r w:rsidRPr="006829C0">
        <w:rPr>
          <w:color w:val="000000"/>
        </w:rPr>
        <w:t xml:space="preserve">The table lists the components, suppliers, catalogue numbers and final concentrations used for culture of colorectal epithelial organoids. </w:t>
      </w:r>
    </w:p>
    <w:p w14:paraId="681096D0" w14:textId="77777777" w:rsidR="008473D0" w:rsidRPr="006829C0" w:rsidRDefault="008473D0" w:rsidP="008473D0">
      <w:pPr>
        <w:pStyle w:val="Heading4"/>
        <w:spacing w:line="360" w:lineRule="auto"/>
      </w:pPr>
      <w:bookmarkStart w:id="14" w:name="_fw74uah290hk" w:colFirst="0" w:colLast="0"/>
      <w:bookmarkEnd w:id="14"/>
      <w:r w:rsidRPr="006829C0">
        <w:t>Supplementary table 15.</w:t>
      </w:r>
    </w:p>
    <w:p w14:paraId="5F76A9EA" w14:textId="77777777" w:rsidR="008473D0" w:rsidRPr="006829C0" w:rsidRDefault="008473D0" w:rsidP="008473D0">
      <w:pPr>
        <w:spacing w:before="240" w:after="240" w:line="360" w:lineRule="auto"/>
        <w:rPr>
          <w:color w:val="000000"/>
          <w:lang w:val="en-US"/>
        </w:rPr>
      </w:pPr>
      <w:r w:rsidRPr="006829C0">
        <w:rPr>
          <w:color w:val="000000"/>
        </w:rPr>
        <w:t>Gene expression profiles of all 374 clones. The first sheet provides batch-corrected gene expression values expressed as transcripts per million (TPM), whereas the second sheet contains uncorrected TPM values directly obtained from RSEM quantification.</w:t>
      </w:r>
    </w:p>
    <w:p w14:paraId="4B0202ED" w14:textId="77777777" w:rsidR="00DE6AE2" w:rsidRPr="008473D0" w:rsidRDefault="00DE6AE2">
      <w:pPr>
        <w:rPr>
          <w:lang w:val="en-US"/>
        </w:rPr>
      </w:pPr>
    </w:p>
    <w:sectPr w:rsidR="00DE6AE2" w:rsidRPr="008473D0" w:rsidSect="008473D0">
      <w:headerReference w:type="default" r:id="rId4"/>
      <w:footerReference w:type="default" r:id="rId5"/>
      <w:pgSz w:w="11909" w:h="16834"/>
      <w:pgMar w:top="1440" w:right="1440" w:bottom="1440" w:left="1440" w:header="720" w:footer="720"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4CD6" w14:textId="77777777" w:rsidR="008473D0" w:rsidRDefault="008473D0">
    <w:pPr>
      <w:jc w:val="right"/>
    </w:pPr>
    <w:r>
      <w:fldChar w:fldCharType="begin"/>
    </w:r>
    <w:r>
      <w:instrText>PAGE</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559D" w14:textId="77777777" w:rsidR="008473D0" w:rsidRDefault="008473D0">
    <w:pPr>
      <w:rPr>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3D0"/>
    <w:rsid w:val="00195413"/>
    <w:rsid w:val="003A03A7"/>
    <w:rsid w:val="003D0186"/>
    <w:rsid w:val="007278E4"/>
    <w:rsid w:val="008473D0"/>
    <w:rsid w:val="00A3738C"/>
    <w:rsid w:val="00B91ABC"/>
    <w:rsid w:val="00BC6C35"/>
    <w:rsid w:val="00CB270D"/>
    <w:rsid w:val="00CF7583"/>
    <w:rsid w:val="00D068A0"/>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59816"/>
  <w15:chartTrackingRefBased/>
  <w15:docId w15:val="{8F55C49B-DB03-4590-ACAD-BF84C33BE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3D0"/>
    <w:pPr>
      <w:spacing w:before="320" w:after="80" w:line="276" w:lineRule="auto"/>
    </w:pPr>
    <w:rPr>
      <w:rFonts w:ascii="Arial" w:eastAsiaTheme="minorEastAsia" w:hAnsi="Arial" w:cs="Arial"/>
      <w:color w:val="434343"/>
      <w:kern w:val="0"/>
      <w:sz w:val="22"/>
      <w:szCs w:val="22"/>
      <w:lang w:val="en-GB" w:eastAsia="ko-KR"/>
      <w14:ligatures w14:val="none"/>
    </w:rPr>
  </w:style>
  <w:style w:type="paragraph" w:styleId="Heading1">
    <w:name w:val="heading 1"/>
    <w:basedOn w:val="Normal"/>
    <w:next w:val="Normal"/>
    <w:link w:val="Heading1Char"/>
    <w:uiPriority w:val="9"/>
    <w:qFormat/>
    <w:rsid w:val="008473D0"/>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8473D0"/>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unhideWhenUsed/>
    <w:qFormat/>
    <w:rsid w:val="008473D0"/>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unhideWhenUsed/>
    <w:qFormat/>
    <w:rsid w:val="008473D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8473D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8473D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8473D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8473D0"/>
    <w:pPr>
      <w:keepNext/>
      <w:keepLines/>
      <w:spacing w:before="0" w:after="0"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8473D0"/>
    <w:pPr>
      <w:keepNext/>
      <w:keepLines/>
      <w:spacing w:before="0" w:after="0"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3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3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3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3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3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3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3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3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3D0"/>
    <w:rPr>
      <w:rFonts w:eastAsiaTheme="majorEastAsia" w:cstheme="majorBidi"/>
      <w:color w:val="272727" w:themeColor="text1" w:themeTint="D8"/>
    </w:rPr>
  </w:style>
  <w:style w:type="paragraph" w:styleId="Title">
    <w:name w:val="Title"/>
    <w:basedOn w:val="Normal"/>
    <w:next w:val="Normal"/>
    <w:link w:val="TitleChar"/>
    <w:uiPriority w:val="10"/>
    <w:qFormat/>
    <w:rsid w:val="008473D0"/>
    <w:pPr>
      <w:spacing w:before="0" w:line="240" w:lineRule="auto"/>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847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3D0"/>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8473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3D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8473D0"/>
    <w:rPr>
      <w:i/>
      <w:iCs/>
      <w:color w:val="404040" w:themeColor="text1" w:themeTint="BF"/>
    </w:rPr>
  </w:style>
  <w:style w:type="paragraph" w:styleId="ListParagraph">
    <w:name w:val="List Paragraph"/>
    <w:basedOn w:val="Normal"/>
    <w:uiPriority w:val="34"/>
    <w:qFormat/>
    <w:rsid w:val="008473D0"/>
    <w:pPr>
      <w:spacing w:before="0" w:after="160" w:line="278" w:lineRule="auto"/>
      <w:ind w:left="720"/>
      <w:contextualSpacing/>
    </w:pPr>
    <w:rPr>
      <w:rFonts w:asciiTheme="minorHAnsi" w:eastAsiaTheme="minorHAnsi" w:hAnsiTheme="minorHAnsi" w:cstheme="minorBidi"/>
      <w:color w:val="auto"/>
      <w:kern w:val="2"/>
      <w:sz w:val="24"/>
      <w:szCs w:val="24"/>
      <w:lang w:val="en-US" w:eastAsia="en-US"/>
      <w14:ligatures w14:val="standardContextual"/>
    </w:rPr>
  </w:style>
  <w:style w:type="character" w:styleId="IntenseEmphasis">
    <w:name w:val="Intense Emphasis"/>
    <w:basedOn w:val="DefaultParagraphFont"/>
    <w:uiPriority w:val="21"/>
    <w:qFormat/>
    <w:rsid w:val="008473D0"/>
    <w:rPr>
      <w:i/>
      <w:iCs/>
      <w:color w:val="0F4761" w:themeColor="accent1" w:themeShade="BF"/>
    </w:rPr>
  </w:style>
  <w:style w:type="paragraph" w:styleId="IntenseQuote">
    <w:name w:val="Intense Quote"/>
    <w:basedOn w:val="Normal"/>
    <w:next w:val="Normal"/>
    <w:link w:val="IntenseQuoteChar"/>
    <w:uiPriority w:val="30"/>
    <w:qFormat/>
    <w:rsid w:val="008473D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8473D0"/>
    <w:rPr>
      <w:i/>
      <w:iCs/>
      <w:color w:val="0F4761" w:themeColor="accent1" w:themeShade="BF"/>
    </w:rPr>
  </w:style>
  <w:style w:type="character" w:styleId="IntenseReference">
    <w:name w:val="Intense Reference"/>
    <w:basedOn w:val="DefaultParagraphFont"/>
    <w:uiPriority w:val="32"/>
    <w:qFormat/>
    <w:rsid w:val="008473D0"/>
    <w:rPr>
      <w:b/>
      <w:bCs/>
      <w:smallCaps/>
      <w:color w:val="0F4761" w:themeColor="accent1" w:themeShade="BF"/>
      <w:spacing w:val="5"/>
    </w:rPr>
  </w:style>
  <w:style w:type="character" w:styleId="LineNumber">
    <w:name w:val="line number"/>
    <w:basedOn w:val="DefaultParagraphFont"/>
    <w:uiPriority w:val="99"/>
    <w:semiHidden/>
    <w:unhideWhenUsed/>
    <w:rsid w:val="0084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814</Words>
  <Characters>4646</Characters>
  <Application>Microsoft Office Word</Application>
  <DocSecurity>0</DocSecurity>
  <Lines>38</Lines>
  <Paragraphs>10</Paragraphs>
  <ScaleCrop>false</ScaleCrop>
  <Company>Springer Nature</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2026-10-29T02:11:00Z</dcterms:created>
  <dcterms:modified xsi:type="dcterms:W3CDTF">2026-10-29T02:12:00Z</dcterms:modified>
</cp:coreProperties>
</file>