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8"/>
          <w:szCs w:val="28"/>
        </w:rPr>
        <w:t xml:space="preserve">Additional file 1: CARE checklist</w:t>
      </w:r>
    </w:p>
    <w:p>
      <w:pPr>
        <w:spacing w:after="120"/>
      </w:pPr>
      <w:r>
        <w:rPr>
          <w:sz w:val="20"/>
          <w:szCs w:val="20"/>
        </w:rPr>
        <w:t xml:space="preserve">Two decades of presumed Liddle syndrome: biochemical reverse phenotyping reveals apparent mineralocorticoid excess despite a coexisting </w:t>
      </w:r>
      <w:r>
        <w:rPr>
          <w:i/>
          <w:iCs/>
          <w:sz w:val="20"/>
          <w:szCs w:val="20"/>
        </w:rPr>
        <w:t xml:space="preserve">SCNN1B</w:t>
      </w:r>
      <w:r>
        <w:rPr>
          <w:sz w:val="20"/>
          <w:szCs w:val="20"/>
        </w:rPr>
        <w:t xml:space="preserve"> variant: a case report</w:t>
      </w:r>
    </w:p>
    <w:p>
      <w:pPr>
        <w:spacing w:after="200"/>
      </w:pPr>
      <w:r>
        <w:rPr>
          <w:i/>
          <w:iCs/>
          <w:sz w:val="18"/>
          <w:szCs w:val="18"/>
        </w:rPr>
        <w:t xml:space="preserve">Checklist items from the CARE (CAse REport) guidelines (Gagnier JJ, et al. The CARE guidelines: consensus-based clinical case reporting guideline development. J Med Case Rep. 2013;7:223). Locations refer to manuscript sections; replace with page/line numbers from the final submitted version.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600"/>
        <w:gridCol w:w="4100"/>
        <w:gridCol w:w="2960"/>
      </w:tblGrid>
      <w:tr>
        <w:trPr>
          <w:tblHeader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Topic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Checklist item description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Reported in (section)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Title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The diagnosis or intervention of primary focus followed by the words "case report"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Title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Key words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 to 5 key words that identify diagnoses or interventions in this case report, including "case report"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Keywords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Abstract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3a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Introduction: what is unique about this case and what does it add to the scientific literature?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Abstract – Background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3b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Main symptoms and/or important clinical findings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Abstract – Case presentation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3c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The main diagnoses, therapeutic interventions, and outcomes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Abstract – Case presentation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3d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Conclusion: what is the main "take-away" lesson(s) from this case?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Abstract – Conclusions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Introduction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One or two paragraphs summarizing why this case is unique (may include references)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Background, paragraphs 1–3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Patient information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5a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De-identified patient-specific information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presentation, paragraphs 1–2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5b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Primary concerns and symptoms of the patient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presentation, paragraph 2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5c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Medical, family, and psycho-social history including relevant genetic information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presentation, paragraphs 1–2 (family history, consanguinity unknown); genetic testing paragraph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5d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Relevant past interventions with outcomes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presentation, paragraphs 1 and 3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Clinical findings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Describe significant physical examination (PE) and other significant clinical findings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presentation, paragraph 2 (blood pressure, BMI); echocardiography/CT paragraph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Timeline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Historical and current information from this episode of care organized as a timeline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Figure 1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Diagnostic assessment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8a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Diagnostic testing (such as PE, laboratory testing, imaging, surveys)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 (biochemistry, genetic testing, 24-hour urinary steroid profile); Table 1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8b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Diagnostic challenges (such as access to testing, financial, or cultural)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presentation, paragraph 1 (original records unavailable); Discussion – limitations (office blood pressure only; single steroid profile)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8c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Diagnosis (including other diagnoses considered)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Discussion, paragraphs 2–5; Table 2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8d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Prognosis (such as staging in oncology) where applicable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Not applicable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Therapeutic intervention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9a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Types of therapeutic intervention (such as pharmacologic, surgical, preventive, self-care)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presentation, paragraphs 3 and final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9b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Administration of therapeutic intervention (such as dosage, strength, duration)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presentation, paragraphs 3 and final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9c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Changes in therapeutic intervention (with rationale)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presentation, final paragraph (spironolactone added for persistent hypokalemia)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Follow-up and outcomes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10a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Clinician- and patient-assessed outcomes (if available)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presentation, final paragraph (serum potassium; average office blood pressure)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10b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Important follow-up diagnostic and other test results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presentation, final paragraph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10c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Intervention adherence and tolerability (how was this assessed?)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presentation, final paragraph (spironolactone well tolerated; assessed at clinic follow-up)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10d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Adverse and unanticipated events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Case presentation, final paragraph (no adverse effects; no hyperkalemia, highest potassium 5.0 mmol/L)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Discussion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11a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A scientific discussion of the strengths and limitations associated with this case report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Discussion – strengths and limitations paragraph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11b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Discussion of the relevant medical literature with references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Discussion, paragraphs 3–7 (including review of previously reported p.Ala237Val cases)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11c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The scientific rationale for any conclusions (including assessment of possible causes)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Discussion, paragraphs 2–5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11d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The primary "take-away" lessons of this case report (without references) in a one-paragraph conclusion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Discussion – final paragraph ("In conclusion…")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Patient perspective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The patient should share their perspective on the treatment(s) they received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Not included; the patient's perspective could not be obtained before submission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Informed consent</w:t>
            </w:r>
          </w:p>
        </w:tc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4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Did the patient give informed consent? Please provide if requested</w:t>
            </w:r>
          </w:p>
        </w:tc>
        <w:tc>
          <w:tcPr>
            <w:tcW w:type="dxa" w:w="29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Yes – Declarations: Consent for publication</w:t>
            </w:r>
          </w:p>
        </w:tc>
      </w:tr>
    </w:tbl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2026-10-11T11:11:59.820Z</dcterms:created>
  <dcterms:modified xsi:type="dcterms:W3CDTF">2026-10-11T11:11:59.820Z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