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291830" w14:textId="26E7C6CF" w:rsidR="009246AD" w:rsidRDefault="00FF0BCF" w:rsidP="00E375D4">
      <w:pPr>
        <w:pStyle w:val="BATitle"/>
      </w:pPr>
      <w:r>
        <w:t>Supporting Information</w:t>
      </w:r>
      <w:r w:rsidR="00F23822">
        <w:t xml:space="preserve"> for</w:t>
      </w:r>
      <w:r>
        <w:t xml:space="preserve">: </w:t>
      </w:r>
      <w:r w:rsidR="003F3583">
        <w:t>GaInP/GaAs three-terminal</w:t>
      </w:r>
      <w:r w:rsidR="00DA3001" w:rsidRPr="00DA3001">
        <w:t xml:space="preserve"> </w:t>
      </w:r>
      <w:r w:rsidR="00DA3001" w:rsidRPr="00E375D4">
        <w:t>heterojunction</w:t>
      </w:r>
      <w:r w:rsidR="00DA3001" w:rsidRPr="00DA3001">
        <w:t xml:space="preserve"> bipolar tra</w:t>
      </w:r>
      <w:r w:rsidR="00DA3001">
        <w:t>nsistor solar cell</w:t>
      </w:r>
    </w:p>
    <w:p w14:paraId="40919DE3" w14:textId="68A5E16C" w:rsidR="009246AD" w:rsidRPr="004975CF" w:rsidRDefault="00DA3001" w:rsidP="00E375D4">
      <w:pPr>
        <w:pStyle w:val="BBAuthorName"/>
        <w:rPr>
          <w:lang w:val="es-ES"/>
        </w:rPr>
      </w:pPr>
      <w:r w:rsidRPr="004975CF">
        <w:rPr>
          <w:lang w:val="es-ES"/>
        </w:rPr>
        <w:t>Marius H. Zehender</w:t>
      </w:r>
      <w:r w:rsidR="006461E8" w:rsidRPr="004975CF">
        <w:rPr>
          <w:lang w:val="es-ES"/>
        </w:rPr>
        <w:t xml:space="preserve"> </w:t>
      </w:r>
      <w:r w:rsidRPr="004975CF">
        <w:rPr>
          <w:vertAlign w:val="superscript"/>
          <w:lang w:val="es-ES"/>
        </w:rPr>
        <w:t>†</w:t>
      </w:r>
      <w:r w:rsidRPr="004975CF">
        <w:rPr>
          <w:lang w:val="es-ES"/>
        </w:rPr>
        <w:t xml:space="preserve">, </w:t>
      </w:r>
      <w:proofErr w:type="spellStart"/>
      <w:r w:rsidR="003F3583">
        <w:rPr>
          <w:lang w:val="es-ES"/>
        </w:rPr>
        <w:t>Simon</w:t>
      </w:r>
      <w:proofErr w:type="spellEnd"/>
      <w:r w:rsidR="003F3583">
        <w:rPr>
          <w:lang w:val="es-ES"/>
        </w:rPr>
        <w:t xml:space="preserve"> A. </w:t>
      </w:r>
      <w:proofErr w:type="spellStart"/>
      <w:r w:rsidR="003F3583">
        <w:rPr>
          <w:lang w:val="es-ES"/>
        </w:rPr>
        <w:t>Svatek</w:t>
      </w:r>
      <w:proofErr w:type="spellEnd"/>
      <w:r w:rsidR="003F3583" w:rsidRPr="004975CF">
        <w:rPr>
          <w:vertAlign w:val="superscript"/>
          <w:lang w:val="es-ES"/>
        </w:rPr>
        <w:t>†</w:t>
      </w:r>
      <w:r w:rsidR="003F3583">
        <w:rPr>
          <w:lang w:val="es-ES"/>
        </w:rPr>
        <w:t xml:space="preserve">, Myles </w:t>
      </w:r>
      <w:r w:rsidR="005409C8">
        <w:rPr>
          <w:lang w:val="es-ES"/>
        </w:rPr>
        <w:t xml:space="preserve">A. </w:t>
      </w:r>
      <w:r w:rsidR="003F3583">
        <w:rPr>
          <w:lang w:val="es-ES"/>
        </w:rPr>
        <w:t>Steiner</w:t>
      </w:r>
      <w:r w:rsidR="003F3583" w:rsidRPr="004975CF">
        <w:rPr>
          <w:vertAlign w:val="superscript"/>
          <w:lang w:val="es-ES"/>
        </w:rPr>
        <w:t>‡</w:t>
      </w:r>
      <w:r w:rsidR="003F3583">
        <w:rPr>
          <w:lang w:val="es-ES"/>
        </w:rPr>
        <w:t>, Iván García</w:t>
      </w:r>
      <w:r w:rsidR="003F3583" w:rsidRPr="004975CF">
        <w:rPr>
          <w:vertAlign w:val="superscript"/>
          <w:lang w:val="es-ES"/>
        </w:rPr>
        <w:t>†</w:t>
      </w:r>
      <w:r w:rsidR="003F3583">
        <w:rPr>
          <w:lang w:val="es-ES"/>
        </w:rPr>
        <w:t>, Pablo García-Linares</w:t>
      </w:r>
      <w:r w:rsidR="003F3583" w:rsidRPr="004975CF">
        <w:rPr>
          <w:vertAlign w:val="superscript"/>
          <w:lang w:val="es-ES"/>
        </w:rPr>
        <w:t>†</w:t>
      </w:r>
      <w:r w:rsidR="003F3583">
        <w:rPr>
          <w:lang w:val="es-ES"/>
        </w:rPr>
        <w:t xml:space="preserve">, Emily </w:t>
      </w:r>
      <w:r w:rsidR="005409C8">
        <w:rPr>
          <w:lang w:val="es-ES"/>
        </w:rPr>
        <w:t xml:space="preserve">L. </w:t>
      </w:r>
      <w:r w:rsidR="003F3583">
        <w:rPr>
          <w:lang w:val="es-ES"/>
        </w:rPr>
        <w:t>Warren</w:t>
      </w:r>
      <w:r w:rsidR="003F3583" w:rsidRPr="004975CF">
        <w:rPr>
          <w:vertAlign w:val="superscript"/>
          <w:lang w:val="es-ES"/>
        </w:rPr>
        <w:t>‡</w:t>
      </w:r>
      <w:r w:rsidR="003F3583">
        <w:rPr>
          <w:lang w:val="es-ES"/>
        </w:rPr>
        <w:t xml:space="preserve">, </w:t>
      </w:r>
      <w:r w:rsidR="003225D2">
        <w:rPr>
          <w:lang w:val="es-ES"/>
        </w:rPr>
        <w:t>Adele C. Tamboli</w:t>
      </w:r>
      <w:r w:rsidR="003225D2" w:rsidRPr="004975CF">
        <w:rPr>
          <w:lang w:val="es-ES"/>
        </w:rPr>
        <w:t xml:space="preserve"> </w:t>
      </w:r>
      <w:r w:rsidR="003225D2" w:rsidRPr="004975CF">
        <w:rPr>
          <w:vertAlign w:val="superscript"/>
          <w:lang w:val="es-ES"/>
        </w:rPr>
        <w:t>‡</w:t>
      </w:r>
      <w:r w:rsidR="003225D2" w:rsidRPr="004975CF">
        <w:rPr>
          <w:lang w:val="es-ES"/>
        </w:rPr>
        <w:t xml:space="preserve">, </w:t>
      </w:r>
      <w:r w:rsidR="003F3583">
        <w:rPr>
          <w:lang w:val="es-ES"/>
        </w:rPr>
        <w:t>Antonio Martí</w:t>
      </w:r>
      <w:r w:rsidR="003F3583" w:rsidRPr="004975CF">
        <w:rPr>
          <w:vertAlign w:val="superscript"/>
          <w:lang w:val="es-ES"/>
        </w:rPr>
        <w:t>†</w:t>
      </w:r>
      <w:r w:rsidR="003F3583">
        <w:rPr>
          <w:lang w:val="es-ES"/>
        </w:rPr>
        <w:t xml:space="preserve">, </w:t>
      </w:r>
      <w:r w:rsidRPr="004975CF">
        <w:rPr>
          <w:lang w:val="es-ES"/>
        </w:rPr>
        <w:t>Elisa Antolín</w:t>
      </w:r>
      <w:r w:rsidR="006461E8" w:rsidRPr="004975CF">
        <w:rPr>
          <w:lang w:val="es-ES"/>
        </w:rPr>
        <w:t xml:space="preserve"> </w:t>
      </w:r>
      <w:r w:rsidRPr="004975CF">
        <w:rPr>
          <w:vertAlign w:val="superscript"/>
          <w:lang w:val="es-ES"/>
        </w:rPr>
        <w:t>†</w:t>
      </w:r>
      <w:r w:rsidRPr="004975CF">
        <w:rPr>
          <w:lang w:val="es-ES"/>
        </w:rPr>
        <w:t>*</w:t>
      </w:r>
    </w:p>
    <w:p w14:paraId="2D62ED00" w14:textId="006D62F3" w:rsidR="009246AD" w:rsidRDefault="006461E8" w:rsidP="00E375D4">
      <w:pPr>
        <w:pStyle w:val="BCAuthorAddress"/>
        <w:rPr>
          <w:lang w:val="es-ES"/>
        </w:rPr>
      </w:pPr>
      <w:r w:rsidRPr="006461E8">
        <w:rPr>
          <w:vertAlign w:val="superscript"/>
          <w:lang w:val="es-ES"/>
        </w:rPr>
        <w:t xml:space="preserve">† </w:t>
      </w:r>
      <w:r w:rsidRPr="006461E8">
        <w:rPr>
          <w:lang w:val="es-ES"/>
        </w:rPr>
        <w:t>Universidad Politécnica de Madrid - Instituto de Energía Solar</w:t>
      </w:r>
      <w:r w:rsidR="00D70060">
        <w:rPr>
          <w:lang w:val="es-ES"/>
        </w:rPr>
        <w:t xml:space="preserve"> (IES)</w:t>
      </w:r>
      <w:r w:rsidRPr="006461E8">
        <w:rPr>
          <w:lang w:val="es-ES"/>
        </w:rPr>
        <w:t>, Avenida Complutense 30, 28040 Madrid</w:t>
      </w:r>
      <w:r w:rsidR="00FB0F37">
        <w:rPr>
          <w:lang w:val="es-ES"/>
        </w:rPr>
        <w:t xml:space="preserve">, </w:t>
      </w:r>
      <w:proofErr w:type="spellStart"/>
      <w:r w:rsidR="00FB0F37">
        <w:rPr>
          <w:lang w:val="es-ES"/>
        </w:rPr>
        <w:t>Spain</w:t>
      </w:r>
      <w:proofErr w:type="spellEnd"/>
    </w:p>
    <w:p w14:paraId="472AE32E" w14:textId="1E0EA687" w:rsidR="006461E8" w:rsidRPr="00D70060" w:rsidRDefault="00D70060" w:rsidP="00E375D4">
      <w:pPr>
        <w:pStyle w:val="BCAuthorAddress"/>
      </w:pPr>
      <w:r w:rsidRPr="008D3818">
        <w:rPr>
          <w:vertAlign w:val="superscript"/>
        </w:rPr>
        <w:t>‡</w:t>
      </w:r>
      <w:r w:rsidRPr="008D3818">
        <w:t xml:space="preserve"> National Ren</w:t>
      </w:r>
      <w:r w:rsidR="00E375D4" w:rsidRPr="008D3818">
        <w:t>ewab</w:t>
      </w:r>
      <w:r w:rsidR="00E375D4">
        <w:t xml:space="preserve">le Energy </w:t>
      </w:r>
      <w:r w:rsidR="00E375D4" w:rsidRPr="00E375D4">
        <w:t>Laboratory</w:t>
      </w:r>
      <w:r w:rsidR="00E375D4">
        <w:t xml:space="preserve"> (NREL),</w:t>
      </w:r>
      <w:r w:rsidRPr="00D70060">
        <w:t xml:space="preserve"> Golden, CO, 80401, USA</w:t>
      </w:r>
    </w:p>
    <w:p w14:paraId="45C27F89" w14:textId="77777777" w:rsidR="009F7084" w:rsidRPr="00DD6DBB" w:rsidRDefault="009F7084" w:rsidP="009F7084">
      <w:pPr>
        <w:pStyle w:val="FAAuthorInfoSubtitle"/>
      </w:pPr>
      <w:r w:rsidRPr="00DD6DBB">
        <w:t>Corresponding Author</w:t>
      </w:r>
    </w:p>
    <w:p w14:paraId="51A3776C" w14:textId="1720760B" w:rsidR="005F72E1" w:rsidRPr="00DC3299" w:rsidRDefault="009F7084" w:rsidP="009F7084">
      <w:pPr>
        <w:pStyle w:val="FACorrespondingAuthorFootnote"/>
        <w:spacing w:after="240"/>
        <w:jc w:val="left"/>
      </w:pPr>
      <w:r w:rsidRPr="00DC3299">
        <w:t>*</w:t>
      </w:r>
      <w:r w:rsidR="006461E8" w:rsidRPr="00DC3299">
        <w:t xml:space="preserve"> e-mail: elisa.antolin@upm.es</w:t>
      </w:r>
    </w:p>
    <w:p w14:paraId="535D2F61" w14:textId="77777777" w:rsidR="005F72E1" w:rsidRPr="00DC3299" w:rsidRDefault="005F72E1">
      <w:pPr>
        <w:spacing w:after="0"/>
        <w:jc w:val="left"/>
      </w:pPr>
      <w:r w:rsidRPr="00DC3299">
        <w:br w:type="page"/>
      </w:r>
    </w:p>
    <w:p w14:paraId="074300BD" w14:textId="7FC61A29" w:rsidR="006A1E8E" w:rsidRDefault="006A1E8E">
      <w:pPr>
        <w:spacing w:after="0"/>
        <w:jc w:val="left"/>
      </w:pPr>
    </w:p>
    <w:p w14:paraId="5B43949C" w14:textId="69FD76D3" w:rsidR="00DD6DBB" w:rsidRDefault="00C35808" w:rsidP="000B5610">
      <w:pPr>
        <w:pStyle w:val="TESupportingInformation"/>
        <w:spacing w:after="240"/>
        <w:ind w:firstLine="0"/>
        <w:jc w:val="left"/>
      </w:pPr>
      <w:r>
        <w:t>This PDF file includes:</w:t>
      </w:r>
    </w:p>
    <w:p w14:paraId="42CC6232" w14:textId="10BBB177" w:rsidR="006A2CFD" w:rsidRPr="006A2CFD" w:rsidRDefault="00B51F94" w:rsidP="006A2CFD">
      <w:pPr>
        <w:pStyle w:val="TESupportingInformation"/>
        <w:spacing w:after="240"/>
        <w:ind w:firstLine="0"/>
        <w:jc w:val="left"/>
      </w:pPr>
      <w:r>
        <w:t>S1: Complete layer structure</w:t>
      </w:r>
      <w:r w:rsidR="00EF6B2A">
        <w:t xml:space="preserve"> and</w:t>
      </w:r>
      <w:r>
        <w:t xml:space="preserve"> doping profiling (SIMS)</w:t>
      </w:r>
    </w:p>
    <w:p w14:paraId="089F04B3" w14:textId="536B496C" w:rsidR="00D81D7C" w:rsidRDefault="006A2CFD" w:rsidP="00D81D7C">
      <w:pPr>
        <w:pStyle w:val="TESupportingInformation"/>
        <w:spacing w:after="240"/>
        <w:ind w:firstLine="0"/>
        <w:jc w:val="left"/>
      </w:pPr>
      <w:r>
        <w:t>S</w:t>
      </w:r>
      <w:r w:rsidR="00BD10E6">
        <w:t>2</w:t>
      </w:r>
      <w:r w:rsidR="00D81D7C">
        <w:t>: Supplementary band diagrams</w:t>
      </w:r>
    </w:p>
    <w:p w14:paraId="40F509DE" w14:textId="43266BB1" w:rsidR="00AA4BAA" w:rsidRDefault="006A2CFD" w:rsidP="00AA4BAA">
      <w:pPr>
        <w:pStyle w:val="TESupportingInformation"/>
        <w:spacing w:after="240"/>
        <w:ind w:firstLine="0"/>
        <w:jc w:val="left"/>
      </w:pPr>
      <w:r>
        <w:t>S</w:t>
      </w:r>
      <w:r w:rsidR="005036F1">
        <w:t>3</w:t>
      </w:r>
      <w:r w:rsidR="00AA4BAA">
        <w:t xml:space="preserve">: </w:t>
      </w:r>
      <w:r w:rsidR="008D107D">
        <w:t>D</w:t>
      </w:r>
      <w:r w:rsidR="00AA4BAA">
        <w:t>evice geometry</w:t>
      </w:r>
      <w:r w:rsidR="00FC01A2">
        <w:t xml:space="preserve"> and efficiency calculation</w:t>
      </w:r>
      <w:r w:rsidR="00AA6044">
        <w:t>s</w:t>
      </w:r>
    </w:p>
    <w:p w14:paraId="3E978316" w14:textId="39A13295" w:rsidR="0082581B" w:rsidRDefault="006A2CFD" w:rsidP="00B51F94">
      <w:pPr>
        <w:pStyle w:val="TESupportingInformation"/>
        <w:spacing w:after="240"/>
        <w:ind w:firstLine="0"/>
        <w:jc w:val="left"/>
      </w:pPr>
      <w:r>
        <w:t>S</w:t>
      </w:r>
      <w:r w:rsidR="005036F1">
        <w:t>4</w:t>
      </w:r>
      <w:r w:rsidR="00B51F94">
        <w:t xml:space="preserve">: Supplementary </w:t>
      </w:r>
      <w:r w:rsidR="0020182E">
        <w:t>EQE data</w:t>
      </w:r>
    </w:p>
    <w:p w14:paraId="4FF852DD" w14:textId="3CE8705F" w:rsidR="00B51F94" w:rsidRDefault="0082581B" w:rsidP="00B51F94">
      <w:pPr>
        <w:pStyle w:val="TESupportingInformation"/>
        <w:spacing w:after="240"/>
        <w:ind w:firstLine="0"/>
        <w:jc w:val="left"/>
      </w:pPr>
      <w:r>
        <w:t>S</w:t>
      </w:r>
      <w:r w:rsidR="005036F1">
        <w:t>5</w:t>
      </w:r>
      <w:r>
        <w:t>: M</w:t>
      </w:r>
      <w:r w:rsidR="00934C07">
        <w:t>odelling of optical absorption</w:t>
      </w:r>
    </w:p>
    <w:p w14:paraId="58890E38" w14:textId="77777777" w:rsidR="00225611" w:rsidRDefault="0082581B" w:rsidP="00225611">
      <w:pPr>
        <w:pStyle w:val="TESupportingInformation"/>
        <w:spacing w:after="240"/>
        <w:ind w:firstLine="0"/>
        <w:jc w:val="left"/>
      </w:pPr>
      <w:r>
        <w:t>S</w:t>
      </w:r>
      <w:r w:rsidR="005036F1">
        <w:t>6</w:t>
      </w:r>
      <w:r>
        <w:t>: Supplementary characterization of luminescent coupling</w:t>
      </w:r>
      <w:r w:rsidR="00225611" w:rsidRPr="00225611">
        <w:t xml:space="preserve"> </w:t>
      </w:r>
    </w:p>
    <w:p w14:paraId="30E7B388" w14:textId="61B1165E" w:rsidR="0082581B" w:rsidRPr="0082581B" w:rsidRDefault="00225611" w:rsidP="0082581B">
      <w:pPr>
        <w:pStyle w:val="TESupportingInformation"/>
        <w:spacing w:after="240"/>
        <w:ind w:firstLine="0"/>
        <w:jc w:val="left"/>
      </w:pPr>
      <w:r>
        <w:t xml:space="preserve">S7: Dark </w:t>
      </w:r>
      <w:r w:rsidRPr="00616A8F">
        <w:rPr>
          <w:i/>
        </w:rPr>
        <w:t>J-V</w:t>
      </w:r>
      <w:r>
        <w:t xml:space="preserve"> curves </w:t>
      </w:r>
    </w:p>
    <w:p w14:paraId="42066C0C" w14:textId="25B9A35F" w:rsidR="0082581B" w:rsidRPr="0082581B" w:rsidRDefault="0082581B" w:rsidP="0082581B">
      <w:pPr>
        <w:pStyle w:val="TESupportingInformation"/>
        <w:spacing w:after="240"/>
        <w:ind w:firstLine="0"/>
        <w:jc w:val="left"/>
      </w:pPr>
      <w:r>
        <w:t>S</w:t>
      </w:r>
      <w:r w:rsidR="005036F1">
        <w:t>8</w:t>
      </w:r>
      <w:r>
        <w:t xml:space="preserve">: SIMS profile of compensated contact </w:t>
      </w:r>
    </w:p>
    <w:p w14:paraId="70AF8D76" w14:textId="400631C0" w:rsidR="00B51F94" w:rsidRDefault="006A2CFD" w:rsidP="00B51F94">
      <w:pPr>
        <w:pStyle w:val="TESupportingInformation"/>
        <w:spacing w:after="240"/>
        <w:ind w:firstLine="0"/>
        <w:jc w:val="left"/>
      </w:pPr>
      <w:r>
        <w:t>S</w:t>
      </w:r>
      <w:r w:rsidR="005036F1">
        <w:t>9</w:t>
      </w:r>
      <w:r w:rsidR="00B51F94">
        <w:t xml:space="preserve">: </w:t>
      </w:r>
      <w:r w:rsidR="000E2D71">
        <w:t>S</w:t>
      </w:r>
      <w:r w:rsidR="00B51F94">
        <w:t>eries resistance model</w:t>
      </w:r>
    </w:p>
    <w:p w14:paraId="16F3F403" w14:textId="27E4D728" w:rsidR="00EF6B2A" w:rsidRDefault="0082581B" w:rsidP="00EF6B2A">
      <w:pPr>
        <w:pStyle w:val="TESupportingInformation"/>
        <w:spacing w:after="240"/>
        <w:ind w:firstLine="0"/>
        <w:jc w:val="left"/>
      </w:pPr>
      <w:r w:rsidRPr="0082581B">
        <w:t>S1</w:t>
      </w:r>
      <w:r w:rsidR="005036F1">
        <w:t>0</w:t>
      </w:r>
      <w:r w:rsidRPr="0082581B">
        <w:t xml:space="preserve">: Voltage maps of </w:t>
      </w:r>
      <w:r w:rsidR="00EC7769">
        <w:t>the test device</w:t>
      </w:r>
    </w:p>
    <w:p w14:paraId="007CE0F0" w14:textId="3413CF03" w:rsidR="00EF6B2A" w:rsidRDefault="00EF6B2A" w:rsidP="00EF6B2A">
      <w:pPr>
        <w:pStyle w:val="TESupportingInformation"/>
        <w:spacing w:after="240"/>
        <w:ind w:firstLine="0"/>
        <w:jc w:val="left"/>
      </w:pPr>
      <w:r>
        <w:t>S1</w:t>
      </w:r>
      <w:r w:rsidR="007C1743">
        <w:t>1</w:t>
      </w:r>
      <w:r>
        <w:t xml:space="preserve">: </w:t>
      </w:r>
      <w:r w:rsidR="003722AA">
        <w:t xml:space="preserve">2T </w:t>
      </w:r>
      <w:r>
        <w:t>HBTSC-on-Si architecture</w:t>
      </w:r>
    </w:p>
    <w:p w14:paraId="18EABDB7" w14:textId="77777777" w:rsidR="00EF6B2A" w:rsidRPr="0082581B" w:rsidRDefault="00EF6B2A" w:rsidP="0082581B"/>
    <w:p w14:paraId="6BA21387" w14:textId="77777777" w:rsidR="0082581B" w:rsidRPr="0082581B" w:rsidRDefault="0082581B" w:rsidP="0082581B"/>
    <w:p w14:paraId="04424103" w14:textId="74C75678" w:rsidR="00DE71CF" w:rsidRDefault="009E3BFA">
      <w:pPr>
        <w:spacing w:after="0"/>
        <w:jc w:val="left"/>
      </w:pPr>
      <w:r>
        <w:br w:type="page"/>
      </w:r>
    </w:p>
    <w:p w14:paraId="11BA30F8" w14:textId="60C7E134" w:rsidR="00FC01A2" w:rsidRPr="00FC01A2" w:rsidRDefault="00FC01A2" w:rsidP="00097A26">
      <w:pPr>
        <w:pStyle w:val="TESupportingInformation"/>
        <w:spacing w:after="120"/>
        <w:ind w:firstLine="0"/>
        <w:jc w:val="left"/>
        <w:rPr>
          <w:u w:val="single"/>
        </w:rPr>
      </w:pPr>
      <w:r w:rsidRPr="00FC01A2">
        <w:rPr>
          <w:u w:val="single"/>
        </w:rPr>
        <w:lastRenderedPageBreak/>
        <w:t>S1: Complete layer structure</w:t>
      </w:r>
      <w:r w:rsidR="006140F4">
        <w:rPr>
          <w:u w:val="single"/>
        </w:rPr>
        <w:t xml:space="preserve"> and</w:t>
      </w:r>
      <w:r w:rsidRPr="00FC01A2">
        <w:rPr>
          <w:u w:val="single"/>
        </w:rPr>
        <w:t xml:space="preserve"> doping profiling (SIMS)</w:t>
      </w:r>
    </w:p>
    <w:p w14:paraId="06B94881" w14:textId="256FDB0C" w:rsidR="00DE71CF" w:rsidRDefault="00F952B5" w:rsidP="00DE71CF">
      <w:pPr>
        <w:spacing w:after="0"/>
        <w:jc w:val="left"/>
        <w:rPr>
          <w:b/>
          <w:bCs/>
        </w:rPr>
      </w:pPr>
      <w:r w:rsidRPr="00E949C7">
        <w:rPr>
          <w:rFonts w:asciiTheme="minorHAnsi" w:hAnsiTheme="minorHAnsi" w:cstheme="minorHAnsi"/>
          <w:b/>
          <w:noProof/>
          <w:kern w:val="22"/>
          <w:szCs w:val="24"/>
        </w:rPr>
        <mc:AlternateContent>
          <mc:Choice Requires="wps">
            <w:drawing>
              <wp:inline distT="0" distB="0" distL="0" distR="0" wp14:anchorId="7461D0E3" wp14:editId="386903CB">
                <wp:extent cx="5921375" cy="7000875"/>
                <wp:effectExtent l="0" t="0" r="3175" b="6985"/>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7000875"/>
                        </a:xfrm>
                        <a:prstGeom prst="rect">
                          <a:avLst/>
                        </a:prstGeom>
                        <a:solidFill>
                          <a:srgbClr val="FFFFFF"/>
                        </a:solidFill>
                        <a:ln w="9525">
                          <a:noFill/>
                          <a:miter lim="800000"/>
                          <a:headEnd/>
                          <a:tailEnd/>
                        </a:ln>
                      </wps:spPr>
                      <wps:txbx>
                        <w:txbxContent>
                          <w:p w14:paraId="31C64D51" w14:textId="77777777" w:rsidR="004D5334" w:rsidRDefault="004D5334" w:rsidP="007C6F5A">
                            <w:pPr>
                              <w:jc w:val="center"/>
                            </w:pPr>
                            <w:r>
                              <w:rPr>
                                <w:noProof/>
                              </w:rPr>
                              <w:drawing>
                                <wp:inline distT="0" distB="0" distL="0" distR="0" wp14:anchorId="181BF6AE" wp14:editId="3F99AAB5">
                                  <wp:extent cx="5706936" cy="2420306"/>
                                  <wp:effectExtent l="0" t="0" r="8255" b="0"/>
                                  <wp:docPr id="56" name="plot_SIMS_ACS_energy_letters_0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ot_SIMS_ACS_energy_letters_03.svg"/>
                                          <pic:cNvPicPr/>
                                        </pic:nvPicPr>
                                        <pic:blipFill>
                                          <a:blip r:embed="rId8">
                                            <a:extLst>
                                              <a:ext uri="{28A0092B-C50C-407E-A947-70E740481C1C}">
                                                <a14:useLocalDpi xmlns:a14="http://schemas.microsoft.com/office/drawing/2010/main" val="0"/>
                                              </a:ext>
                                            </a:extLst>
                                          </a:blip>
                                          <a:stretch>
                                            <a:fillRect/>
                                          </a:stretch>
                                        </pic:blipFill>
                                        <pic:spPr>
                                          <a:xfrm>
                                            <a:off x="0" y="0"/>
                                            <a:ext cx="5706936" cy="2420306"/>
                                          </a:xfrm>
                                          <a:prstGeom prst="rect">
                                            <a:avLst/>
                                          </a:prstGeom>
                                        </pic:spPr>
                                      </pic:pic>
                                    </a:graphicData>
                                  </a:graphic>
                                </wp:inline>
                              </w:drawing>
                            </w:r>
                          </w:p>
                          <w:p w14:paraId="1F90FBE3" w14:textId="019A5796" w:rsidR="004D5334" w:rsidRPr="00F5505F" w:rsidRDefault="004D5334" w:rsidP="004B70D0">
                            <w:pPr>
                              <w:pStyle w:val="TAMainText"/>
                              <w:spacing w:after="120" w:line="408" w:lineRule="auto"/>
                              <w:ind w:firstLine="0"/>
                              <w:rPr>
                                <w:sz w:val="22"/>
                                <w:szCs w:val="22"/>
                              </w:rPr>
                            </w:pPr>
                            <w:r w:rsidRPr="00F5505F">
                              <w:rPr>
                                <w:sz w:val="22"/>
                                <w:szCs w:val="22"/>
                              </w:rPr>
                              <w:t>Figure S1: (a) Detailed layer structure of the HBTSC prototype, including layer thicknesses and concentration of dopant atoms (</w:t>
                            </w:r>
                            <w:r w:rsidRPr="00F5505F">
                              <w:rPr>
                                <w:i/>
                                <w:sz w:val="22"/>
                                <w:szCs w:val="22"/>
                              </w:rPr>
                              <w:t>N</w:t>
                            </w:r>
                            <w:r w:rsidRPr="00F5505F">
                              <w:rPr>
                                <w:sz w:val="22"/>
                                <w:szCs w:val="22"/>
                              </w:rPr>
                              <w:t xml:space="preserve">) extracted from secondary ion mass spectroscopy (SIMS) profiles (performed by Loughborough Surface Analysis Ltd, UK). </w:t>
                            </w:r>
                            <w:r w:rsidRPr="00DA2F91">
                              <w:rPr>
                                <w:sz w:val="22"/>
                                <w:szCs w:val="22"/>
                              </w:rPr>
                              <w:t>The layer thicknesses have been obtained from the modelling of the wafer reflectance measured in-situ during growth (base and collector), from the fitting of the Fabry-Perot interferences in the EQE in Figure S6 (emitter) and from stylus profiling (contact layer). The thicknesses of window and BSF layers are nominal. (b) SIMS profile</w:t>
                            </w:r>
                            <w:r w:rsidRPr="00F5505F">
                              <w:rPr>
                                <w:sz w:val="22"/>
                                <w:szCs w:val="22"/>
                              </w:rPr>
                              <w:t xml:space="preserve"> of </w:t>
                            </w:r>
                            <w:r w:rsidRPr="00F5505F">
                              <w:rPr>
                                <w:i/>
                                <w:sz w:val="22"/>
                                <w:szCs w:val="22"/>
                              </w:rPr>
                              <w:t>N</w:t>
                            </w:r>
                            <w:r w:rsidRPr="00F5505F">
                              <w:rPr>
                                <w:sz w:val="22"/>
                                <w:szCs w:val="22"/>
                              </w:rPr>
                              <w:t xml:space="preserve"> as a function of depth (</w:t>
                            </w:r>
                            <w:r w:rsidRPr="00F5505F">
                              <w:rPr>
                                <w:i/>
                                <w:sz w:val="22"/>
                                <w:szCs w:val="22"/>
                              </w:rPr>
                              <w:t>d</w:t>
                            </w:r>
                            <w:r w:rsidRPr="00F5505F">
                              <w:rPr>
                                <w:sz w:val="22"/>
                                <w:szCs w:val="22"/>
                              </w:rPr>
                              <w:t>) of an epitaxial structure with identical growth conditions. The different layers are outlined by the background colors, from left to right: contact layer (CL), window (W), emitter, base, and collector.</w:t>
                            </w:r>
                          </w:p>
                        </w:txbxContent>
                      </wps:txbx>
                      <wps:bodyPr rot="0" vert="horz" wrap="square" lIns="91440" tIns="45720" rIns="91440" bIns="45720" anchor="t" anchorCtr="0">
                        <a:spAutoFit/>
                      </wps:bodyPr>
                    </wps:wsp>
                  </a:graphicData>
                </a:graphic>
              </wp:inline>
            </w:drawing>
          </mc:Choice>
          <mc:Fallback>
            <w:pict>
              <v:shapetype w14:anchorId="7461D0E3" id="_x0000_t202" coordsize="21600,21600" o:spt="202" path="m,l,21600r21600,l21600,xe">
                <v:stroke joinstyle="miter"/>
                <v:path gradientshapeok="t" o:connecttype="rect"/>
              </v:shapetype>
              <v:shape id="Text Box 4" o:spid="_x0000_s1026" type="#_x0000_t202" style="width:466.25pt;height:55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" stroked="f">
                <v:textbox style="mso-fit-shape-to-text:t">
                  <w:txbxContent>
                    <w:p w14:paraId="31C64D51" w14:textId="77777777" w:rsidR="004D5334" w:rsidRDefault="004D5334" w:rsidP="007C6F5A">
                      <w:pPr>
                        <w:jc w:val="center"/>
                      </w:pPr>
                      <w:r>
                        <w:rPr>
                          <w:noProof/>
                        </w:rPr>
                        <w:drawing>
                          <wp:inline distT="0" distB="0" distL="0" distR="0" wp14:anchorId="181BF6AE" wp14:editId="3F99AAB5">
                            <wp:extent cx="5706936" cy="2420306"/>
                            <wp:effectExtent l="0" t="0" r="8255" b="0"/>
                            <wp:docPr id="56" name="plot_SIMS_ACS_energy_letters_0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ot_SIMS_ACS_energy_letters_03.svg"/>
                                    <pic:cNvPicPr/>
                                  </pic:nvPicPr>
                                  <pic:blipFill>
                                    <a:blip r:embed="rId8">
                                      <a:extLst>
                                        <a:ext uri="{28A0092B-C50C-407E-A947-70E740481C1C}">
                                          <a14:useLocalDpi xmlns:a14="http://schemas.microsoft.com/office/drawing/2010/main" val="0"/>
                                        </a:ext>
                                      </a:extLst>
                                    </a:blip>
                                    <a:stretch>
                                      <a:fillRect/>
                                    </a:stretch>
                                  </pic:blipFill>
                                  <pic:spPr>
                                    <a:xfrm>
                                      <a:off x="0" y="0"/>
                                      <a:ext cx="5706936" cy="2420306"/>
                                    </a:xfrm>
                                    <a:prstGeom prst="rect">
                                      <a:avLst/>
                                    </a:prstGeom>
                                  </pic:spPr>
                                </pic:pic>
                              </a:graphicData>
                            </a:graphic>
                          </wp:inline>
                        </w:drawing>
                      </w:r>
                    </w:p>
                    <w:p w14:paraId="1F90FBE3" w14:textId="019A5796" w:rsidR="004D5334" w:rsidRPr="00F5505F" w:rsidRDefault="004D5334" w:rsidP="004B70D0">
                      <w:pPr>
                        <w:pStyle w:val="TAMainText"/>
                        <w:spacing w:after="120" w:line="408" w:lineRule="auto"/>
                        <w:ind w:firstLine="0"/>
                        <w:rPr>
                          <w:sz w:val="22"/>
                          <w:szCs w:val="22"/>
                        </w:rPr>
                      </w:pPr>
                      <w:r w:rsidRPr="00F5505F">
                        <w:rPr>
                          <w:sz w:val="22"/>
                          <w:szCs w:val="22"/>
                        </w:rPr>
                        <w:t>Figure S1: (a) Detailed layer structure of the HBTSC prototype, including layer thicknesses and concentration of dopant atoms (</w:t>
                      </w:r>
                      <w:r w:rsidRPr="00F5505F">
                        <w:rPr>
                          <w:i/>
                          <w:sz w:val="22"/>
                          <w:szCs w:val="22"/>
                        </w:rPr>
                        <w:t>N</w:t>
                      </w:r>
                      <w:r w:rsidRPr="00F5505F">
                        <w:rPr>
                          <w:sz w:val="22"/>
                          <w:szCs w:val="22"/>
                        </w:rPr>
                        <w:t xml:space="preserve">) extracted from secondary ion mass spectroscopy (SIMS) profiles (performed by Loughborough Surface Analysis Ltd, UK). </w:t>
                      </w:r>
                      <w:r w:rsidRPr="00DA2F91">
                        <w:rPr>
                          <w:sz w:val="22"/>
                          <w:szCs w:val="22"/>
                        </w:rPr>
                        <w:t>The layer thicknesses have been obtained from the modelling of the wafer reflectance measured in-situ during growth (base and collector), from the fitting of the Fabry-Perot interferences in the EQE in Figure S6 (emitter) and from stylus profiling (contact layer). The thicknesses of window and BSF layers are nominal. (b) SIMS profile</w:t>
                      </w:r>
                      <w:r w:rsidRPr="00F5505F">
                        <w:rPr>
                          <w:sz w:val="22"/>
                          <w:szCs w:val="22"/>
                        </w:rPr>
                        <w:t xml:space="preserve"> of </w:t>
                      </w:r>
                      <w:r w:rsidRPr="00F5505F">
                        <w:rPr>
                          <w:i/>
                          <w:sz w:val="22"/>
                          <w:szCs w:val="22"/>
                        </w:rPr>
                        <w:t>N</w:t>
                      </w:r>
                      <w:r w:rsidRPr="00F5505F">
                        <w:rPr>
                          <w:sz w:val="22"/>
                          <w:szCs w:val="22"/>
                        </w:rPr>
                        <w:t xml:space="preserve"> as a function of depth (</w:t>
                      </w:r>
                      <w:r w:rsidRPr="00F5505F">
                        <w:rPr>
                          <w:i/>
                          <w:sz w:val="22"/>
                          <w:szCs w:val="22"/>
                        </w:rPr>
                        <w:t>d</w:t>
                      </w:r>
                      <w:r w:rsidRPr="00F5505F">
                        <w:rPr>
                          <w:sz w:val="22"/>
                          <w:szCs w:val="22"/>
                        </w:rPr>
                        <w:t>) of an epitaxial structure with identical growth conditions. The different layers are outlined by the background colors, from left to right: contact layer (CL), window (W), emitter, base, and collector.</w:t>
                      </w:r>
                    </w:p>
                  </w:txbxContent>
                </v:textbox>
                <w10:anchorlock/>
              </v:shape>
            </w:pict>
          </mc:Fallback>
        </mc:AlternateContent>
      </w:r>
    </w:p>
    <w:p w14:paraId="47B07C9A" w14:textId="77777777" w:rsidR="00DB63C6" w:rsidRDefault="00DB63C6" w:rsidP="00DB63C6">
      <w:pPr>
        <w:pStyle w:val="TAMainText"/>
        <w:spacing w:after="120" w:line="408" w:lineRule="auto"/>
        <w:ind w:firstLine="0"/>
        <w:rPr>
          <w:szCs w:val="24"/>
        </w:rPr>
      </w:pPr>
    </w:p>
    <w:p w14:paraId="50B33EDE" w14:textId="4D9D03C3" w:rsidR="000C18D1" w:rsidRDefault="004E497A" w:rsidP="00097A26">
      <w:pPr>
        <w:pStyle w:val="TESupportingInformation"/>
        <w:spacing w:after="120"/>
        <w:ind w:firstLine="0"/>
        <w:jc w:val="left"/>
        <w:rPr>
          <w:u w:val="single"/>
        </w:rPr>
      </w:pPr>
      <w:r w:rsidRPr="004E497A">
        <w:rPr>
          <w:u w:val="single"/>
        </w:rPr>
        <w:t>S</w:t>
      </w:r>
      <w:r w:rsidR="00BD10E6">
        <w:rPr>
          <w:u w:val="single"/>
        </w:rPr>
        <w:t>2</w:t>
      </w:r>
      <w:r w:rsidRPr="004E497A">
        <w:rPr>
          <w:u w:val="single"/>
        </w:rPr>
        <w:t xml:space="preserve">: Supplementary </w:t>
      </w:r>
      <w:r w:rsidR="000C18D1">
        <w:rPr>
          <w:u w:val="single"/>
        </w:rPr>
        <w:t>b</w:t>
      </w:r>
      <w:r w:rsidRPr="004E497A">
        <w:rPr>
          <w:u w:val="single"/>
        </w:rPr>
        <w:t>and diagrams</w:t>
      </w:r>
    </w:p>
    <w:p w14:paraId="1809DC83" w14:textId="5C3CA6CA" w:rsidR="00B017FB" w:rsidRDefault="000342EB" w:rsidP="00097A26">
      <w:pPr>
        <w:spacing w:after="120" w:line="408" w:lineRule="auto"/>
      </w:pPr>
      <w:r>
        <w:t xml:space="preserve">Figure </w:t>
      </w:r>
      <w:r w:rsidR="00855FE7">
        <w:t>S</w:t>
      </w:r>
      <w:r>
        <w:t xml:space="preserve">2a depicts </w:t>
      </w:r>
      <w:r w:rsidR="00855FE7">
        <w:t xml:space="preserve">a </w:t>
      </w:r>
      <w:r>
        <w:t xml:space="preserve">band diagram </w:t>
      </w:r>
      <w:r w:rsidR="00A801E4">
        <w:t xml:space="preserve">under illumination and voltage bias of </w:t>
      </w:r>
      <w:r w:rsidR="00855FE7">
        <w:t xml:space="preserve">a </w:t>
      </w:r>
      <w:r w:rsidR="00A801E4">
        <w:t xml:space="preserve">3T </w:t>
      </w:r>
      <w:proofErr w:type="spellStart"/>
      <w:r w:rsidR="00855FE7" w:rsidRPr="00E47944">
        <w:rPr>
          <w:i/>
          <w:iCs/>
        </w:rPr>
        <w:t>npn</w:t>
      </w:r>
      <w:proofErr w:type="spellEnd"/>
      <w:r w:rsidR="00855FE7">
        <w:t xml:space="preserve"> device in which it has been assumed that the majority carrier quasi-Fermi Level (MC-QFL) bends </w:t>
      </w:r>
      <w:r w:rsidR="00B017FB">
        <w:t xml:space="preserve">in the base </w:t>
      </w:r>
      <w:r w:rsidR="00855FE7">
        <w:t>layer, instead of the minority carrier (</w:t>
      </w:r>
      <w:proofErr w:type="spellStart"/>
      <w:r w:rsidR="00855FE7">
        <w:t>mC</w:t>
      </w:r>
      <w:proofErr w:type="spellEnd"/>
      <w:r w:rsidR="00B017FB">
        <w:t>-</w:t>
      </w:r>
      <w:r w:rsidR="00855FE7">
        <w:t>)QFL</w:t>
      </w:r>
      <w:r w:rsidR="005B546C">
        <w:t>.</w:t>
      </w:r>
      <w:r w:rsidR="00855FE7">
        <w:t xml:space="preserve"> </w:t>
      </w:r>
      <w:r w:rsidR="005B546C">
        <w:t xml:space="preserve">We have located that bending in the B-C space charge region (SCR) because we have assumed a high electrical doping in the base layer, </w:t>
      </w:r>
      <w:r w:rsidR="00A801E4">
        <w:t>as it is the case in our HBTSC prototype</w:t>
      </w:r>
      <w:r w:rsidR="005B546C">
        <w:t xml:space="preserve">. </w:t>
      </w:r>
      <w:r w:rsidR="00924808">
        <w:t xml:space="preserve">Under high doping </w:t>
      </w:r>
      <w:r w:rsidR="00B017FB">
        <w:t>a</w:t>
      </w:r>
      <w:r w:rsidR="00855FE7">
        <w:t xml:space="preserve"> </w:t>
      </w:r>
      <w:r w:rsidR="005B546C">
        <w:t xml:space="preserve">MC-QFL </w:t>
      </w:r>
      <w:r w:rsidR="00855FE7">
        <w:t xml:space="preserve">bending in the neutral zone </w:t>
      </w:r>
      <w:r w:rsidR="005B546C">
        <w:t>is ruled out</w:t>
      </w:r>
      <w:r w:rsidR="00855FE7">
        <w:t xml:space="preserve"> because </w:t>
      </w:r>
      <w:r w:rsidR="005B546C">
        <w:t>the layer is expected to remain</w:t>
      </w:r>
      <w:r w:rsidR="00855FE7">
        <w:t xml:space="preserve"> under low injection</w:t>
      </w:r>
      <w:r w:rsidR="00924808">
        <w:t>, with the MC density, and hence</w:t>
      </w:r>
      <w:r w:rsidR="00E87D66">
        <w:t xml:space="preserve"> </w:t>
      </w:r>
      <w:r w:rsidR="00855FE7">
        <w:t xml:space="preserve">the </w:t>
      </w:r>
      <w:r w:rsidR="005B546C">
        <w:lastRenderedPageBreak/>
        <w:t>MC-</w:t>
      </w:r>
      <w:r w:rsidR="00855FE7">
        <w:t xml:space="preserve">QFL </w:t>
      </w:r>
      <w:r w:rsidR="00924808">
        <w:t xml:space="preserve">position, </w:t>
      </w:r>
      <w:r w:rsidR="00855FE7">
        <w:t>fixed by the electrical dopin</w:t>
      </w:r>
      <w:r w:rsidR="005B546C">
        <w:t>g</w:t>
      </w:r>
      <w:r w:rsidR="00855FE7">
        <w:t xml:space="preserve">. </w:t>
      </w:r>
      <w:r w:rsidR="00924808">
        <w:t>Nevertheless, a</w:t>
      </w:r>
      <w:r w:rsidR="005B546C">
        <w:t xml:space="preserve">ssuming </w:t>
      </w:r>
      <w:r w:rsidR="00E87D66">
        <w:t xml:space="preserve">instead </w:t>
      </w:r>
      <w:r w:rsidR="005B546C">
        <w:t xml:space="preserve">that the doping </w:t>
      </w:r>
      <w:r w:rsidR="00A801E4">
        <w:t xml:space="preserve">level </w:t>
      </w:r>
      <w:r w:rsidR="005B546C">
        <w:t xml:space="preserve">is </w:t>
      </w:r>
      <w:r w:rsidR="0006718E">
        <w:t>moderate</w:t>
      </w:r>
      <w:r w:rsidR="00FF2B89">
        <w:t>,</w:t>
      </w:r>
      <w:r w:rsidR="005B546C">
        <w:t xml:space="preserve"> and</w:t>
      </w:r>
      <w:r w:rsidR="00FF2B89">
        <w:t xml:space="preserve"> </w:t>
      </w:r>
      <w:r w:rsidR="005B546C">
        <w:t>the b</w:t>
      </w:r>
      <w:r w:rsidR="00B017FB">
        <w:t>e</w:t>
      </w:r>
      <w:r w:rsidR="005B546C">
        <w:t>nding takes place in the neutral zone</w:t>
      </w:r>
      <w:r w:rsidR="0006718E">
        <w:t>,</w:t>
      </w:r>
      <w:r w:rsidR="005B546C">
        <w:t xml:space="preserve"> </w:t>
      </w:r>
      <w:r w:rsidR="00924808">
        <w:t>would</w:t>
      </w:r>
      <w:r w:rsidR="00E87D66">
        <w:t xml:space="preserve"> </w:t>
      </w:r>
      <w:r w:rsidR="005B546C">
        <w:t xml:space="preserve">not change our argument. </w:t>
      </w:r>
      <w:r w:rsidR="00B017FB">
        <w:t xml:space="preserve">The diagram shows </w:t>
      </w:r>
      <w:r w:rsidR="00A801E4">
        <w:t xml:space="preserve">that, </w:t>
      </w:r>
      <w:r w:rsidR="00B017FB">
        <w:t>in the case of MC-QFL bending, the voltag</w:t>
      </w:r>
      <w:r w:rsidR="00924808">
        <w:t>e</w:t>
      </w:r>
      <w:r w:rsidR="00B017FB">
        <w:t xml:space="preserve"> at the top junction </w:t>
      </w:r>
      <m:oMath>
        <m:sSup>
          <m:sSupPr>
            <m:ctrlPr>
              <w:rPr>
                <w:rFonts w:ascii="Cambria Math" w:hAnsi="Cambria Math"/>
                <w:i/>
              </w:rPr>
            </m:ctrlPr>
          </m:sSupPr>
          <m:e>
            <m:r>
              <w:rPr>
                <w:rFonts w:ascii="Cambria Math" w:hAnsi="Cambria Math"/>
              </w:rPr>
              <m:t>V</m:t>
            </m:r>
          </m:e>
          <m:sup>
            <m:r>
              <w:rPr>
                <w:rFonts w:ascii="Cambria Math" w:hAnsi="Cambria Math"/>
              </w:rPr>
              <m:t>top</m:t>
            </m:r>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 xml:space="preserve">E </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m:t>
            </m:r>
          </m:sub>
        </m:sSub>
      </m:oMath>
      <w:r w:rsidR="00B017FB">
        <w:t xml:space="preserve"> equals the voltage at the bottom junction </w:t>
      </w:r>
      <m:oMath>
        <m:sSup>
          <m:sSupPr>
            <m:ctrlPr>
              <w:rPr>
                <w:rFonts w:ascii="Cambria Math" w:hAnsi="Cambria Math"/>
                <w:i/>
              </w:rPr>
            </m:ctrlPr>
          </m:sSupPr>
          <m:e>
            <m:r>
              <w:rPr>
                <w:rFonts w:ascii="Cambria Math" w:hAnsi="Cambria Math"/>
              </w:rPr>
              <m:t>V</m:t>
            </m:r>
          </m:e>
          <m:sup>
            <m:r>
              <w:rPr>
                <w:rFonts w:ascii="Cambria Math" w:hAnsi="Cambria Math"/>
              </w:rPr>
              <m:t>bot</m:t>
            </m:r>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 xml:space="preserve">C </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m:t>
            </m:r>
          </m:sub>
        </m:sSub>
      </m:oMath>
      <w:r w:rsidR="00B017FB">
        <w:t>. We make</w:t>
      </w:r>
      <w:r w:rsidR="00E87D66">
        <w:t xml:space="preserve"> then</w:t>
      </w:r>
      <w:r w:rsidR="00B017FB">
        <w:t xml:space="preserve"> the following observations:</w:t>
      </w:r>
    </w:p>
    <w:p w14:paraId="7531B2D4" w14:textId="238F1AFD" w:rsidR="00B017FB" w:rsidRDefault="00B017FB" w:rsidP="00097A26">
      <w:pPr>
        <w:spacing w:after="120" w:line="408" w:lineRule="auto"/>
      </w:pPr>
      <w:r>
        <w:t>(</w:t>
      </w:r>
      <w:proofErr w:type="spellStart"/>
      <w:r>
        <w:t>i</w:t>
      </w:r>
      <w:proofErr w:type="spellEnd"/>
      <w:r>
        <w:t xml:space="preserve">) If a bending takes place in a MC-QFL it </w:t>
      </w:r>
      <w:r w:rsidR="006E51F3">
        <w:t>must</w:t>
      </w:r>
      <w:r w:rsidR="00E87D66">
        <w:t xml:space="preserve"> </w:t>
      </w:r>
      <w:r>
        <w:t xml:space="preserve">be necessarily small, because the </w:t>
      </w:r>
      <w:r w:rsidR="007C24F6">
        <w:t>hole current</w:t>
      </w:r>
      <w:r w:rsidR="00E87D66">
        <w:t xml:space="preserve"> density</w:t>
      </w:r>
      <w:r w:rsidR="007C24F6">
        <w:t xml:space="preserve">, is given by </w:t>
      </w:r>
      <m:oMath>
        <m:sSub>
          <m:sSubPr>
            <m:ctrlPr>
              <w:rPr>
                <w:rFonts w:ascii="Cambria Math" w:hAnsi="Cambria Math"/>
                <w:i/>
              </w:rPr>
            </m:ctrlPr>
          </m:sSubPr>
          <m:e>
            <m:r>
              <m:rPr>
                <m:sty m:val="bi"/>
              </m:rPr>
              <w:rPr>
                <w:rFonts w:ascii="Cambria Math" w:hAnsi="Cambria Math"/>
              </w:rPr>
              <m:t>J</m:t>
            </m:r>
          </m:e>
          <m:sub>
            <m:r>
              <w:rPr>
                <w:rFonts w:ascii="Cambria Math" w:hAnsi="Cambria Math"/>
              </w:rPr>
              <m:t>h</m:t>
            </m:r>
          </m:sub>
        </m:sSub>
        <m:r>
          <w:rPr>
            <w:rFonts w:ascii="Cambria Math" w:hAnsi="Cambria Math"/>
          </w:rPr>
          <m:t xml:space="preserve">=p </m:t>
        </m:r>
        <m:sSub>
          <m:sSubPr>
            <m:ctrlPr>
              <w:rPr>
                <w:rFonts w:ascii="Cambria Math" w:hAnsi="Cambria Math"/>
                <w:i/>
              </w:rPr>
            </m:ctrlPr>
          </m:sSubPr>
          <m:e>
            <m:r>
              <w:rPr>
                <w:rFonts w:ascii="Cambria Math" w:hAnsi="Cambria Math"/>
              </w:rPr>
              <m:t>μ</m:t>
            </m:r>
          </m:e>
          <m:sub>
            <m:r>
              <w:rPr>
                <w:rFonts w:ascii="Cambria Math" w:hAnsi="Cambria Math"/>
              </w:rPr>
              <m:t>h</m:t>
            </m:r>
          </m:sub>
        </m:sSub>
        <m:r>
          <w:rPr>
            <w:rFonts w:ascii="Cambria Math" w:hAnsi="Cambria Math"/>
          </w:rPr>
          <m:t xml:space="preserve"> </m:t>
        </m:r>
        <m:r>
          <m:rPr>
            <m:sty m:val="b"/>
          </m:rP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F,h</m:t>
            </m:r>
          </m:sub>
        </m:sSub>
      </m:oMath>
      <w:r w:rsidR="00B16C4E">
        <w:t xml:space="preserve">, where </w:t>
      </w:r>
      <w:r w:rsidR="008D427A" w:rsidRPr="008D427A">
        <w:rPr>
          <w:i/>
          <w:iCs/>
        </w:rPr>
        <w:t>p</w:t>
      </w:r>
      <w:r w:rsidR="008D427A">
        <w:t xml:space="preserve"> is the hole concentration and </w:t>
      </w:r>
      <w:r w:rsidR="008D427A" w:rsidRPr="008D427A">
        <w:rPr>
          <w:rFonts w:cs="Times"/>
          <w:i/>
          <w:iCs/>
        </w:rPr>
        <w:t>µ</w:t>
      </w:r>
      <w:r w:rsidR="008D427A" w:rsidRPr="008D427A">
        <w:rPr>
          <w:vertAlign w:val="subscript"/>
        </w:rPr>
        <w:t>h</w:t>
      </w:r>
      <w:r w:rsidR="008D427A">
        <w:t xml:space="preserve"> is the hole mobility. T</w:t>
      </w:r>
      <w:r w:rsidR="00B16C4E">
        <w:t>he gradient operat</w:t>
      </w:r>
      <w:r w:rsidR="008D427A">
        <w:t>or</w:t>
      </w:r>
      <w:r w:rsidR="00B16C4E">
        <w:t xml:space="preserve"> </w:t>
      </w:r>
      <w:r w:rsidR="008D427A">
        <w:t>in th</w:t>
      </w:r>
      <w:r w:rsidR="002A3DB1">
        <w:t>is</w:t>
      </w:r>
      <w:r w:rsidR="008D427A">
        <w:t xml:space="preserve"> equation is the mathematical </w:t>
      </w:r>
      <w:r w:rsidR="00B16C4E">
        <w:t>represent</w:t>
      </w:r>
      <w:r w:rsidR="008D427A">
        <w:t xml:space="preserve">ation of the </w:t>
      </w:r>
      <w:r w:rsidR="00B16C4E">
        <w:t>“bending”. Assuming a large gradient would imply an unrealistically large current</w:t>
      </w:r>
      <w:r w:rsidR="00E87D66">
        <w:t xml:space="preserve"> given the large value of </w:t>
      </w:r>
      <w:r w:rsidR="00E87D66" w:rsidRPr="005743F5">
        <w:rPr>
          <w:i/>
          <w:iCs/>
        </w:rPr>
        <w:t>p</w:t>
      </w:r>
      <w:r w:rsidR="00B16C4E">
        <w:t xml:space="preserve">. Therefore, if the MC-QFL bends, </w:t>
      </w:r>
      <w:r w:rsidR="00B16C4E" w:rsidRPr="00B16C4E">
        <w:rPr>
          <w:i/>
          <w:iCs/>
        </w:rPr>
        <w:t>V</w:t>
      </w:r>
      <w:r w:rsidR="00774EFC">
        <w:rPr>
          <w:vertAlign w:val="superscript"/>
        </w:rPr>
        <w:t xml:space="preserve"> t</w:t>
      </w:r>
      <w:r w:rsidR="00B16C4E" w:rsidRPr="00765BDC">
        <w:rPr>
          <w:vertAlign w:val="superscript"/>
        </w:rPr>
        <w:t>op</w:t>
      </w:r>
      <w:r w:rsidR="00B16C4E">
        <w:t xml:space="preserve"> = </w:t>
      </w:r>
      <w:r w:rsidR="00B16C4E" w:rsidRPr="00B16C4E">
        <w:rPr>
          <w:i/>
          <w:iCs/>
        </w:rPr>
        <w:t>V</w:t>
      </w:r>
      <w:r w:rsidR="00774EFC">
        <w:rPr>
          <w:vertAlign w:val="superscript"/>
        </w:rPr>
        <w:t xml:space="preserve"> b</w:t>
      </w:r>
      <w:r w:rsidR="00B16C4E" w:rsidRPr="00765BDC">
        <w:rPr>
          <w:vertAlign w:val="superscript"/>
        </w:rPr>
        <w:t>ot</w:t>
      </w:r>
      <w:r w:rsidR="00B16C4E">
        <w:t xml:space="preserve"> are not expected to achieve values markedly higher than those produced in a homojunction made of the small band-gap material unless </w:t>
      </w:r>
      <w:r w:rsidR="00C72636" w:rsidRPr="008D427A">
        <w:rPr>
          <w:rFonts w:cs="Times"/>
          <w:i/>
          <w:iCs/>
        </w:rPr>
        <w:t>µ</w:t>
      </w:r>
      <w:r w:rsidR="00C72636" w:rsidRPr="008D427A">
        <w:rPr>
          <w:vertAlign w:val="subscript"/>
        </w:rPr>
        <w:t>h</w:t>
      </w:r>
      <w:r w:rsidR="00C72636">
        <w:t xml:space="preserve"> </w:t>
      </w:r>
      <w:r w:rsidR="00B16C4E">
        <w:t xml:space="preserve">approaches zero. </w:t>
      </w:r>
      <w:r w:rsidR="0006718E">
        <w:t xml:space="preserve">In the case of a </w:t>
      </w:r>
      <w:proofErr w:type="spellStart"/>
      <w:r w:rsidR="0006718E">
        <w:t>mC</w:t>
      </w:r>
      <w:proofErr w:type="spellEnd"/>
      <w:r w:rsidR="0006718E">
        <w:t xml:space="preserve">-QFL bending, </w:t>
      </w:r>
      <m:oMath>
        <m:sSub>
          <m:sSubPr>
            <m:ctrlPr>
              <w:rPr>
                <w:rFonts w:ascii="Cambria Math" w:hAnsi="Cambria Math"/>
                <w:i/>
              </w:rPr>
            </m:ctrlPr>
          </m:sSubPr>
          <m:e>
            <m:r>
              <m:rPr>
                <m:sty m:val="bi"/>
              </m:rPr>
              <w:rPr>
                <w:rFonts w:ascii="Cambria Math" w:hAnsi="Cambria Math"/>
              </w:rPr>
              <m:t>J</m:t>
            </m:r>
          </m:e>
          <m:sub>
            <m:r>
              <w:rPr>
                <w:rFonts w:ascii="Cambria Math" w:hAnsi="Cambria Math"/>
              </w:rPr>
              <m:t>e</m:t>
            </m:r>
          </m:sub>
        </m:sSub>
        <m:r>
          <w:rPr>
            <w:rFonts w:ascii="Cambria Math" w:hAnsi="Cambria Math"/>
          </w:rPr>
          <m:t xml:space="preserve">=n </m:t>
        </m:r>
        <m:sSub>
          <m:sSubPr>
            <m:ctrlPr>
              <w:rPr>
                <w:rFonts w:ascii="Cambria Math" w:hAnsi="Cambria Math"/>
                <w:i/>
              </w:rPr>
            </m:ctrlPr>
          </m:sSubPr>
          <m:e>
            <m:r>
              <w:rPr>
                <w:rFonts w:ascii="Cambria Math" w:hAnsi="Cambria Math"/>
              </w:rPr>
              <m:t>μ</m:t>
            </m:r>
          </m:e>
          <m:sub>
            <m:r>
              <w:rPr>
                <w:rFonts w:ascii="Cambria Math" w:hAnsi="Cambria Math"/>
              </w:rPr>
              <m:t>e</m:t>
            </m:r>
          </m:sub>
        </m:sSub>
        <m:r>
          <w:rPr>
            <w:rFonts w:ascii="Cambria Math" w:hAnsi="Cambria Math"/>
          </w:rPr>
          <m:t xml:space="preserve"> </m:t>
        </m:r>
        <m:r>
          <m:rPr>
            <m:sty m:val="b"/>
          </m:rP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F,e</m:t>
            </m:r>
          </m:sub>
        </m:sSub>
      </m:oMath>
      <w:r w:rsidR="0006718E">
        <w:t xml:space="preserve"> can be relatively small</w:t>
      </w:r>
      <w:r w:rsidR="00E87D66">
        <w:t xml:space="preserve"> even</w:t>
      </w:r>
      <w:r w:rsidR="0006718E">
        <w:t xml:space="preserve"> for a large bending</w:t>
      </w:r>
      <w:r w:rsidR="00E87D66">
        <w:t xml:space="preserve"> of </w:t>
      </w:r>
      <m:oMath>
        <m:sSub>
          <m:sSubPr>
            <m:ctrlPr>
              <w:rPr>
                <w:rFonts w:ascii="Cambria Math" w:hAnsi="Cambria Math"/>
                <w:i/>
              </w:rPr>
            </m:ctrlPr>
          </m:sSubPr>
          <m:e>
            <m:r>
              <w:rPr>
                <w:rFonts w:ascii="Cambria Math" w:hAnsi="Cambria Math"/>
              </w:rPr>
              <m:t>E</m:t>
            </m:r>
          </m:e>
          <m:sub>
            <m:r>
              <w:rPr>
                <w:rFonts w:ascii="Cambria Math" w:hAnsi="Cambria Math"/>
              </w:rPr>
              <m:t>F,e</m:t>
            </m:r>
          </m:sub>
        </m:sSub>
      </m:oMath>
      <w:r w:rsidR="00E87D66">
        <w:t xml:space="preserve"> </w:t>
      </w:r>
      <w:r w:rsidR="0006718E">
        <w:t xml:space="preserve">because </w:t>
      </w:r>
      <w:r w:rsidR="0006718E" w:rsidRPr="0006718E">
        <w:rPr>
          <w:i/>
          <w:iCs/>
        </w:rPr>
        <w:t>n</w:t>
      </w:r>
      <w:r w:rsidR="0006718E">
        <w:t xml:space="preserve"> is many orders of magnitude smaller than </w:t>
      </w:r>
      <w:r w:rsidR="0006718E" w:rsidRPr="0006718E">
        <w:rPr>
          <w:i/>
          <w:iCs/>
        </w:rPr>
        <w:t>p</w:t>
      </w:r>
      <w:r w:rsidR="0006718E">
        <w:t>, even i</w:t>
      </w:r>
      <w:r w:rsidR="00E87D66">
        <w:t>f</w:t>
      </w:r>
      <w:r w:rsidR="0006718E">
        <w:t xml:space="preserve"> the doping is moderate.</w:t>
      </w:r>
    </w:p>
    <w:p w14:paraId="6EA8B02F" w14:textId="56D67424" w:rsidR="00DD0B47" w:rsidRDefault="00B16C4E" w:rsidP="00097A26">
      <w:pPr>
        <w:spacing w:after="120" w:line="408" w:lineRule="auto"/>
        <w:rPr>
          <w:szCs w:val="24"/>
        </w:rPr>
      </w:pPr>
      <w:r>
        <w:t xml:space="preserve">(ii) Following the argument </w:t>
      </w:r>
      <w:r w:rsidR="00A801E4">
        <w:t>p</w:t>
      </w:r>
      <w:r>
        <w:t xml:space="preserve">resented in the main text, </w:t>
      </w:r>
      <w:r w:rsidR="00AF24ED">
        <w:t>the entropy production</w:t>
      </w:r>
      <w:r w:rsidR="00DD0B47">
        <w:t xml:space="preserve"> (</w:t>
      </w:r>
      <w:proofErr w:type="spellStart"/>
      <w:r w:rsidR="00DD0B47" w:rsidRPr="00DD0B47">
        <w:rPr>
          <w:rFonts w:cs="Times"/>
          <w:i/>
          <w:iCs/>
        </w:rPr>
        <w:t>σ</w:t>
      </w:r>
      <w:r w:rsidR="00DD0B47" w:rsidRPr="00DD0B47">
        <w:rPr>
          <w:vertAlign w:val="subscript"/>
        </w:rPr>
        <w:t>h</w:t>
      </w:r>
      <w:proofErr w:type="spellEnd"/>
      <w:r w:rsidR="00DD0B47">
        <w:t>)</w:t>
      </w:r>
      <w:r w:rsidR="00AF24ED">
        <w:t xml:space="preserve"> </w:t>
      </w:r>
      <w:r w:rsidR="00DD0B47">
        <w:t xml:space="preserve">associated to the hole </w:t>
      </w:r>
      <w:r w:rsidR="0058372B">
        <w:t>current</w:t>
      </w:r>
      <w:r w:rsidR="00DD0B47">
        <w:t xml:space="preserve"> </w:t>
      </w:r>
      <w:r w:rsidR="00AF24ED">
        <w:t xml:space="preserve">is proportional to </w:t>
      </w:r>
      <m:oMath>
        <m:sSub>
          <m:sSubPr>
            <m:ctrlPr>
              <w:rPr>
                <w:rFonts w:ascii="Cambria Math" w:hAnsi="Cambria Math"/>
                <w:b/>
                <w:i/>
              </w:rPr>
            </m:ctrlPr>
          </m:sSubPr>
          <m:e>
            <m:r>
              <m:rPr>
                <m:sty m:val="bi"/>
              </m:rPr>
              <w:rPr>
                <w:rFonts w:ascii="Cambria Math" w:hAnsi="Cambria Math"/>
              </w:rPr>
              <m:t>J</m:t>
            </m:r>
          </m:e>
          <m:sub>
            <m:r>
              <m:rPr>
                <m:sty m:val="bi"/>
              </m:rPr>
              <w:rPr>
                <w:rFonts w:ascii="Cambria Math" w:hAnsi="Cambria Math"/>
              </w:rPr>
              <m:t>h</m:t>
            </m:r>
          </m:sub>
        </m:sSub>
        <m:r>
          <m:rPr>
            <m:sty m:val="bi"/>
          </m:rPr>
          <w:rPr>
            <w:rFonts w:ascii="Cambria Math" w:hAnsi="Cambria Math"/>
          </w:rPr>
          <m:t>∙</m:t>
        </m:r>
        <m:r>
          <m:rPr>
            <m:sty m:val="b"/>
          </m:rPr>
          <w:rPr>
            <w:rFonts w:ascii="Cambria Math" w:hAnsi="Cambria Math"/>
          </w:rPr>
          <m:t>∇</m:t>
        </m:r>
        <m:sSub>
          <m:sSubPr>
            <m:ctrlPr>
              <w:rPr>
                <w:rFonts w:ascii="Cambria Math" w:hAnsi="Cambria Math"/>
                <w:i/>
                <w:szCs w:val="24"/>
              </w:rPr>
            </m:ctrlPr>
          </m:sSubPr>
          <m:e>
            <m:r>
              <w:rPr>
                <w:rFonts w:ascii="Cambria Math" w:hAnsi="Cambria Math"/>
              </w:rPr>
              <m:t>E</m:t>
            </m:r>
          </m:e>
          <m:sub>
            <m:r>
              <w:rPr>
                <w:rFonts w:ascii="Cambria Math" w:hAnsi="Cambria Math"/>
              </w:rPr>
              <m:t>F,h</m:t>
            </m:r>
          </m:sub>
        </m:sSub>
      </m:oMath>
      <w:r w:rsidR="00776400">
        <w:rPr>
          <w:szCs w:val="24"/>
        </w:rPr>
        <w:t xml:space="preserve">. </w:t>
      </w:r>
      <w:r w:rsidR="00DD0B47">
        <w:rPr>
          <w:szCs w:val="24"/>
        </w:rPr>
        <w:t>The full e</w:t>
      </w:r>
      <w:r w:rsidR="001C2BBA">
        <w:rPr>
          <w:szCs w:val="24"/>
        </w:rPr>
        <w:t>xpression</w:t>
      </w:r>
      <w:r w:rsidR="00DD0B47">
        <w:rPr>
          <w:szCs w:val="24"/>
        </w:rPr>
        <w:t xml:space="preserve"> is:</w:t>
      </w:r>
      <w:r w:rsidR="00F06170">
        <w:rPr>
          <w:szCs w:val="24"/>
        </w:rPr>
        <w:fldChar w:fldCharType="begin"/>
      </w:r>
      <w:r w:rsidR="00122E78">
        <w:rPr>
          <w:szCs w:val="24"/>
        </w:rPr>
        <w:instrText xml:space="preserve"> ADDIN ZOTERO_ITEM CSL_CITATION {"citationID":"sQqWfhrB","properties":{"formattedCitation":"\\super 1\\nosupersub{}","plainCitation":"1","noteIndex":0},"citationItems":[{"id":3490,"uris":["http://zotero.org/users/local/8eqcxxhi/items/YV86SPJC"],"uri":["http://zotero.org/users/local/8eqcxxhi/items/YV86SPJC"],"itemData":{"id":3490,"type":"chapter","abstract":"This chapter contains sections titled: Introduction Thermodynamic Background Photovoltaic Converters The Technical Efficiency Limit for Solar Converters Very-high-efficiency Concepts Conclusions References","container-title":"Handbook of Photovoltaic Science and Engineering","ISBN":"978-0-470-97470-4","language":"en","note":"section: 4\n_eprint: https://onlinelibrary.wiley.com/doi/pdf/10.1002/9780470974704.ch4\nDOI: 10.1002/9780470974704.ch4","page":"130-168","publisher":"Chap. 4, Eds. A. Luque and S. Hegedus, John Wiley &amp; Sons, Chichester","source":"Wiley Online Library","title":"Theoretical Limits of Photovoltaic Conversion and New-Generation Solar Cells","URL":"https://onlinelibrary.wiley.com/doi/abs/10.1002/9780470974704.ch4","author":[{"family":"Luque","given":"Antonio"},{"family":"Martí","given":"Antonio"}],"accessed":{"date-parts":[["2020",9,29]]},"issued":{"date-parts":[["2011"]]}}}],"schema":"https://github.com/citation-style-language/schema/raw/master/csl-citation.json"} </w:instrText>
      </w:r>
      <w:r w:rsidR="00F06170">
        <w:rPr>
          <w:szCs w:val="24"/>
        </w:rPr>
        <w:fldChar w:fldCharType="separate"/>
      </w:r>
      <w:r w:rsidR="00122E78" w:rsidRPr="00122E78">
        <w:rPr>
          <w:rFonts w:cs="Times"/>
          <w:szCs w:val="24"/>
          <w:vertAlign w:val="superscript"/>
        </w:rPr>
        <w:t>1</w:t>
      </w:r>
      <w:r w:rsidR="00F06170">
        <w:rPr>
          <w:szCs w:val="24"/>
        </w:rPr>
        <w:fldChar w:fldCharType="end"/>
      </w:r>
    </w:p>
    <w:p w14:paraId="6FB45B23" w14:textId="1A006918" w:rsidR="0058372B" w:rsidRDefault="004D5334" w:rsidP="00097A26">
      <w:pPr>
        <w:spacing w:after="120" w:line="408" w:lineRule="auto"/>
        <w:rPr>
          <w:szCs w:val="24"/>
        </w:rPr>
      </w:pPr>
      <m:oMathPara>
        <m:oMath>
          <m:sSub>
            <m:sSubPr>
              <m:ctrlPr>
                <w:rPr>
                  <w:rFonts w:ascii="Cambria Math" w:hAnsi="Cambria Math"/>
                  <w:i/>
                </w:rPr>
              </m:ctrlPr>
            </m:sSubPr>
            <m:e>
              <m:r>
                <w:rPr>
                  <w:rFonts w:ascii="Cambria Math" w:hAnsi="Cambria Math"/>
                </w:rPr>
                <m:t>σ</m:t>
              </m:r>
            </m:e>
            <m:sub>
              <m:r>
                <w:rPr>
                  <w:rFonts w:ascii="Cambria Math" w:hAnsi="Cambria Math"/>
                </w:rPr>
                <m:t>h</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e T</m:t>
              </m:r>
            </m:den>
          </m:f>
          <m:sSub>
            <m:sSubPr>
              <m:ctrlPr>
                <w:rPr>
                  <w:rFonts w:ascii="Cambria Math" w:hAnsi="Cambria Math"/>
                  <w:i/>
                </w:rPr>
              </m:ctrlPr>
            </m:sSubPr>
            <m:e>
              <m:r>
                <w:rPr>
                  <w:rFonts w:ascii="Cambria Math" w:hAnsi="Cambria Math"/>
                </w:rPr>
                <m:t xml:space="preserve"> </m:t>
              </m:r>
              <m:r>
                <m:rPr>
                  <m:sty m:val="bi"/>
                </m:rPr>
                <w:rPr>
                  <w:rFonts w:ascii="Cambria Math" w:hAnsi="Cambria Math"/>
                </w:rPr>
                <m:t>J</m:t>
              </m:r>
            </m:e>
            <m:sub>
              <m:r>
                <w:rPr>
                  <w:rFonts w:ascii="Cambria Math" w:hAnsi="Cambria Math"/>
                </w:rPr>
                <m:t>h</m:t>
              </m:r>
            </m:sub>
          </m:sSub>
          <m:r>
            <w:rPr>
              <w:rFonts w:ascii="Cambria Math" w:hAnsi="Cambria Math"/>
            </w:rPr>
            <m:t xml:space="preserve">∙ </m:t>
          </m:r>
          <m:r>
            <m:rPr>
              <m:sty m:val="b"/>
            </m:rP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F,h</m:t>
              </m:r>
            </m:sub>
          </m:sSub>
        </m:oMath>
      </m:oMathPara>
    </w:p>
    <w:p w14:paraId="667D1087" w14:textId="70501CE1" w:rsidR="00B16C4E" w:rsidRDefault="0058372B" w:rsidP="00097A26">
      <w:pPr>
        <w:spacing w:after="120" w:line="408" w:lineRule="auto"/>
      </w:pPr>
      <w:r>
        <w:rPr>
          <w:szCs w:val="24"/>
        </w:rPr>
        <w:t xml:space="preserve">where </w:t>
      </w:r>
      <w:r w:rsidRPr="0058372B">
        <w:rPr>
          <w:i/>
          <w:iCs/>
          <w:szCs w:val="24"/>
        </w:rPr>
        <w:t>T</w:t>
      </w:r>
      <w:r>
        <w:rPr>
          <w:szCs w:val="24"/>
        </w:rPr>
        <w:t xml:space="preserve"> is the temperature. </w:t>
      </w:r>
      <w:r w:rsidR="00E87D66">
        <w:rPr>
          <w:szCs w:val="24"/>
        </w:rPr>
        <w:t>As discussed, a</w:t>
      </w:r>
      <w:r w:rsidR="00776400">
        <w:rPr>
          <w:szCs w:val="24"/>
        </w:rPr>
        <w:t xml:space="preserve"> </w:t>
      </w:r>
      <w:r w:rsidR="00AF24ED">
        <w:t xml:space="preserve">MC-QFL bending </w:t>
      </w:r>
      <w:r w:rsidR="00776400">
        <w:t xml:space="preserve">would be characterized by a large </w:t>
      </w:r>
      <w:r w:rsidR="00776400" w:rsidRPr="00776400">
        <w:rPr>
          <w:i/>
          <w:iCs/>
        </w:rPr>
        <w:t>J</w:t>
      </w:r>
      <w:r w:rsidR="00776400">
        <w:t xml:space="preserve">, and therefore, the power loss </w:t>
      </w:r>
      <w:r w:rsidR="002A3DB1">
        <w:t>under</w:t>
      </w:r>
      <w:r w:rsidR="00776400">
        <w:t xml:space="preserve"> operation (FF degradation) would be severe. </w:t>
      </w:r>
    </w:p>
    <w:p w14:paraId="3F8F9F0D" w14:textId="7C1C9F93" w:rsidR="00F90519" w:rsidRDefault="00776400" w:rsidP="00097A26">
      <w:pPr>
        <w:spacing w:after="120" w:line="408" w:lineRule="auto"/>
      </w:pPr>
      <w:r>
        <w:t xml:space="preserve">(iii) The HBTSC prototype exhibits </w:t>
      </w:r>
      <w:r w:rsidR="002A3DB1">
        <w:t xml:space="preserve">experimentally </w:t>
      </w:r>
      <w:proofErr w:type="spellStart"/>
      <w:r w:rsidR="00A801E4" w:rsidRPr="00A801E4">
        <w:rPr>
          <w:i/>
          <w:iCs/>
        </w:rPr>
        <w:t>V</w:t>
      </w:r>
      <w:r w:rsidR="00A801E4" w:rsidRPr="00A801E4">
        <w:rPr>
          <w:vertAlign w:val="subscript"/>
        </w:rPr>
        <w:t>OC</w:t>
      </w:r>
      <w:r w:rsidR="00A801E4" w:rsidRPr="00A801E4">
        <w:rPr>
          <w:vertAlign w:val="superscript"/>
        </w:rPr>
        <w:t>top</w:t>
      </w:r>
      <w:proofErr w:type="spellEnd"/>
      <w:r w:rsidR="00A801E4">
        <w:t xml:space="preserve"> &gt; </w:t>
      </w:r>
      <w:proofErr w:type="spellStart"/>
      <w:r w:rsidR="00A801E4" w:rsidRPr="00A801E4">
        <w:rPr>
          <w:i/>
          <w:iCs/>
        </w:rPr>
        <w:t>V</w:t>
      </w:r>
      <w:r w:rsidR="00A801E4" w:rsidRPr="00A801E4">
        <w:rPr>
          <w:vertAlign w:val="subscript"/>
        </w:rPr>
        <w:t>OC</w:t>
      </w:r>
      <w:r w:rsidR="00A801E4" w:rsidRPr="00A801E4">
        <w:rPr>
          <w:vertAlign w:val="superscript"/>
        </w:rPr>
        <w:t>bot</w:t>
      </w:r>
      <w:proofErr w:type="spellEnd"/>
      <w:r w:rsidR="00A801E4">
        <w:t>, which is consistent with the band diagram depicted in Figu</w:t>
      </w:r>
      <w:r w:rsidR="000709E9">
        <w:t>r</w:t>
      </w:r>
      <w:r w:rsidR="00A801E4">
        <w:t>e 2</w:t>
      </w:r>
      <w:r w:rsidR="000709E9">
        <w:t>c</w:t>
      </w:r>
      <w:r w:rsidR="00D85429">
        <w:t xml:space="preserve"> in the main text</w:t>
      </w:r>
      <w:r w:rsidR="000709E9">
        <w:t xml:space="preserve"> (</w:t>
      </w:r>
      <w:proofErr w:type="spellStart"/>
      <w:r w:rsidR="00B41FDC">
        <w:t>m</w:t>
      </w:r>
      <w:r w:rsidR="000709E9">
        <w:t>C</w:t>
      </w:r>
      <w:proofErr w:type="spellEnd"/>
      <w:r w:rsidR="000709E9">
        <w:t xml:space="preserve">-QFL bending) and not with the one in Figure S2a </w:t>
      </w:r>
      <w:r w:rsidR="009F2AD9">
        <w:t xml:space="preserve">here </w:t>
      </w:r>
      <w:r w:rsidR="000709E9">
        <w:t>(MC-QFL</w:t>
      </w:r>
      <w:r w:rsidR="00B41FDC">
        <w:t xml:space="preserve"> bending</w:t>
      </w:r>
      <w:r w:rsidR="000709E9">
        <w:t xml:space="preserve">). Following the point made in (ii), this means that the power loss (FF degradation) when the device is biased at a high </w:t>
      </w:r>
      <w:r w:rsidR="000709E9" w:rsidRPr="000709E9">
        <w:rPr>
          <w:i/>
          <w:iCs/>
        </w:rPr>
        <w:t>V</w:t>
      </w:r>
      <w:r w:rsidR="00774EFC">
        <w:rPr>
          <w:vertAlign w:val="superscript"/>
        </w:rPr>
        <w:t xml:space="preserve"> t</w:t>
      </w:r>
      <w:r w:rsidR="000709E9" w:rsidRPr="00765BDC">
        <w:rPr>
          <w:vertAlign w:val="superscript"/>
        </w:rPr>
        <w:t>op</w:t>
      </w:r>
      <w:r w:rsidR="000709E9">
        <w:t xml:space="preserve"> can be small. </w:t>
      </w:r>
    </w:p>
    <w:p w14:paraId="6AFF9968" w14:textId="77777777" w:rsidR="00B35050" w:rsidRDefault="00B35050" w:rsidP="00097A26">
      <w:pPr>
        <w:spacing w:after="120" w:line="408" w:lineRule="auto"/>
      </w:pPr>
    </w:p>
    <w:p w14:paraId="6BC59F37" w14:textId="446C2FC5" w:rsidR="00F90519" w:rsidRDefault="00F90519" w:rsidP="00097A26">
      <w:pPr>
        <w:spacing w:after="120" w:line="408" w:lineRule="auto"/>
      </w:pPr>
      <w:r w:rsidRPr="00E949C7">
        <w:rPr>
          <w:rFonts w:asciiTheme="minorHAnsi" w:hAnsiTheme="minorHAnsi" w:cstheme="minorHAnsi"/>
          <w:b/>
          <w:noProof/>
          <w:kern w:val="22"/>
          <w:szCs w:val="24"/>
        </w:rPr>
        <w:lastRenderedPageBreak/>
        <mc:AlternateContent>
          <mc:Choice Requires="wps">
            <w:drawing>
              <wp:inline distT="0" distB="0" distL="0" distR="0" wp14:anchorId="057178B4" wp14:editId="46B7CAA8">
                <wp:extent cx="5921375" cy="4667098"/>
                <wp:effectExtent l="0" t="0" r="3175" b="635"/>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4667098"/>
                        </a:xfrm>
                        <a:prstGeom prst="rect">
                          <a:avLst/>
                        </a:prstGeom>
                        <a:solidFill>
                          <a:srgbClr val="FFFFFF"/>
                        </a:solidFill>
                        <a:ln w="9525">
                          <a:noFill/>
                          <a:miter lim="800000"/>
                          <a:headEnd/>
                          <a:tailEnd/>
                        </a:ln>
                      </wps:spPr>
                      <wps:txbx>
                        <w:txbxContent>
                          <w:p w14:paraId="2F07049A" w14:textId="77777777" w:rsidR="004D5334" w:rsidRDefault="004D5334" w:rsidP="00F90519">
                            <w:pPr>
                              <w:jc w:val="center"/>
                            </w:pPr>
                            <w:r>
                              <w:rPr>
                                <w:noProof/>
                              </w:rPr>
                              <w:drawing>
                                <wp:inline distT="0" distB="0" distL="0" distR="0" wp14:anchorId="630A2B9F" wp14:editId="1FC1C827">
                                  <wp:extent cx="5355840" cy="3887943"/>
                                  <wp:effectExtent l="0" t="0" r="0" b="0"/>
                                  <wp:docPr id="57" name="plot_SIMS_ACS_energy_letters_0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ot_SIMS_ACS_energy_letters_03.svg"/>
                                          <pic:cNvPicPr/>
                                        </pic:nvPicPr>
                                        <pic:blipFill>
                                          <a:blip r:embed="rId9">
                                            <a:extLst>
                                              <a:ext uri="{28A0092B-C50C-407E-A947-70E740481C1C}">
                                                <a14:useLocalDpi xmlns:a14="http://schemas.microsoft.com/office/drawing/2010/main" val="0"/>
                                              </a:ext>
                                            </a:extLst>
                                          </a:blip>
                                          <a:stretch>
                                            <a:fillRect/>
                                          </a:stretch>
                                        </pic:blipFill>
                                        <pic:spPr>
                                          <a:xfrm>
                                            <a:off x="0" y="0"/>
                                            <a:ext cx="5355840" cy="3887943"/>
                                          </a:xfrm>
                                          <a:prstGeom prst="rect">
                                            <a:avLst/>
                                          </a:prstGeom>
                                        </pic:spPr>
                                      </pic:pic>
                                    </a:graphicData>
                                  </a:graphic>
                                </wp:inline>
                              </w:drawing>
                            </w:r>
                          </w:p>
                          <w:p w14:paraId="3B4862FC" w14:textId="77777777" w:rsidR="004D5334" w:rsidRPr="00F5505F" w:rsidRDefault="004D5334" w:rsidP="00F90519">
                            <w:pPr>
                              <w:pStyle w:val="VAFigureCaption"/>
                              <w:spacing w:line="264" w:lineRule="auto"/>
                              <w:rPr>
                                <w:sz w:val="22"/>
                                <w:szCs w:val="18"/>
                              </w:rPr>
                            </w:pPr>
                            <w:r w:rsidRPr="00F5505F">
                              <w:rPr>
                                <w:sz w:val="22"/>
                                <w:szCs w:val="18"/>
                              </w:rPr>
                              <w:t xml:space="preserve">Figure S2: Device band diagrams under illumination and bias voltage. (a) </w:t>
                            </w:r>
                            <w:proofErr w:type="spellStart"/>
                            <w:r w:rsidRPr="00B73B80">
                              <w:rPr>
                                <w:i/>
                                <w:iCs/>
                                <w:sz w:val="22"/>
                                <w:szCs w:val="18"/>
                              </w:rPr>
                              <w:t>npn</w:t>
                            </w:r>
                            <w:proofErr w:type="spellEnd"/>
                            <w:r w:rsidRPr="00F5505F">
                              <w:rPr>
                                <w:sz w:val="22"/>
                                <w:szCs w:val="18"/>
                              </w:rPr>
                              <w:t xml:space="preserve"> structure which does not behave in agreement with the HBTSC model due to a flawed design or wrong choice of material parameters. (b) Classical 3T-2JSC where the two junctions are separated by a contact layer.</w:t>
                            </w:r>
                          </w:p>
                        </w:txbxContent>
                      </wps:txbx>
                      <wps:bodyPr rot="0" vert="horz" wrap="square" lIns="91440" tIns="45720" rIns="91440" bIns="45720" anchor="t" anchorCtr="0">
                        <a:noAutofit/>
                      </wps:bodyPr>
                    </wps:wsp>
                  </a:graphicData>
                </a:graphic>
              </wp:inline>
            </w:drawing>
          </mc:Choice>
          <mc:Fallback>
            <w:pict>
              <v:shape w14:anchorId="057178B4" id="_x0000_s1027" type="#_x0000_t202" style="width:466.2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" stroked="f">
                <v:textbox>
                  <w:txbxContent>
                    <w:p w14:paraId="2F07049A" w14:textId="77777777" w:rsidR="004D5334" w:rsidRDefault="004D5334" w:rsidP="00F90519">
                      <w:pPr>
                        <w:jc w:val="center"/>
                      </w:pPr>
                      <w:r>
                        <w:rPr>
                          <w:noProof/>
                        </w:rPr>
                        <w:drawing>
                          <wp:inline distT="0" distB="0" distL="0" distR="0" wp14:anchorId="630A2B9F" wp14:editId="1FC1C827">
                            <wp:extent cx="5355840" cy="3887943"/>
                            <wp:effectExtent l="0" t="0" r="0" b="0"/>
                            <wp:docPr id="57" name="plot_SIMS_ACS_energy_letters_0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ot_SIMS_ACS_energy_letters_03.svg"/>
                                    <pic:cNvPicPr/>
                                  </pic:nvPicPr>
                                  <pic:blipFill>
                                    <a:blip r:embed="rId9">
                                      <a:extLst>
                                        <a:ext uri="{28A0092B-C50C-407E-A947-70E740481C1C}">
                                          <a14:useLocalDpi xmlns:a14="http://schemas.microsoft.com/office/drawing/2010/main" val="0"/>
                                        </a:ext>
                                      </a:extLst>
                                    </a:blip>
                                    <a:stretch>
                                      <a:fillRect/>
                                    </a:stretch>
                                  </pic:blipFill>
                                  <pic:spPr>
                                    <a:xfrm>
                                      <a:off x="0" y="0"/>
                                      <a:ext cx="5355840" cy="3887943"/>
                                    </a:xfrm>
                                    <a:prstGeom prst="rect">
                                      <a:avLst/>
                                    </a:prstGeom>
                                  </pic:spPr>
                                </pic:pic>
                              </a:graphicData>
                            </a:graphic>
                          </wp:inline>
                        </w:drawing>
                      </w:r>
                    </w:p>
                    <w:p w14:paraId="3B4862FC" w14:textId="77777777" w:rsidR="004D5334" w:rsidRPr="00F5505F" w:rsidRDefault="004D5334" w:rsidP="00F90519">
                      <w:pPr>
                        <w:pStyle w:val="VAFigureCaption"/>
                        <w:spacing w:line="264" w:lineRule="auto"/>
                        <w:rPr>
                          <w:sz w:val="22"/>
                          <w:szCs w:val="18"/>
                        </w:rPr>
                      </w:pPr>
                      <w:r w:rsidRPr="00F5505F">
                        <w:rPr>
                          <w:sz w:val="22"/>
                          <w:szCs w:val="18"/>
                        </w:rPr>
                        <w:t xml:space="preserve">Figure S2: Device band diagrams under illumination and bias voltage. (a) </w:t>
                      </w:r>
                      <w:proofErr w:type="spellStart"/>
                      <w:r w:rsidRPr="00B73B80">
                        <w:rPr>
                          <w:i/>
                          <w:iCs/>
                          <w:sz w:val="22"/>
                          <w:szCs w:val="18"/>
                        </w:rPr>
                        <w:t>npn</w:t>
                      </w:r>
                      <w:proofErr w:type="spellEnd"/>
                      <w:r w:rsidRPr="00F5505F">
                        <w:rPr>
                          <w:sz w:val="22"/>
                          <w:szCs w:val="18"/>
                        </w:rPr>
                        <w:t xml:space="preserve"> structure which does not behave in agreement with the HBTSC model due to a flawed design or wrong choice of material parameters. (b) Classical 3T-2JSC where the two junctions are separated by a contact layer.</w:t>
                      </w:r>
                    </w:p>
                  </w:txbxContent>
                </v:textbox>
                <w10:anchorlock/>
              </v:shape>
            </w:pict>
          </mc:Fallback>
        </mc:AlternateContent>
      </w:r>
    </w:p>
    <w:p w14:paraId="5279B6EE" w14:textId="7362BE77" w:rsidR="00624340" w:rsidRPr="00A801E4" w:rsidRDefault="00624340" w:rsidP="00097A26">
      <w:pPr>
        <w:spacing w:after="120" w:line="408" w:lineRule="auto"/>
      </w:pPr>
      <w:r>
        <w:t xml:space="preserve">Figure S2b shows the band diagram under illumination and voltage bias of a classical three-terminal </w:t>
      </w:r>
      <w:r w:rsidR="00AD3FD1">
        <w:t>double-junction solar cell (</w:t>
      </w:r>
      <w:r>
        <w:t>3T-2JSC</w:t>
      </w:r>
      <w:r w:rsidR="00AD3FD1">
        <w:t>). This device is built by sta</w:t>
      </w:r>
      <w:r w:rsidR="006A7561">
        <w:t>c</w:t>
      </w:r>
      <w:r w:rsidR="00AD3FD1">
        <w:t xml:space="preserve">king, or depositing, two </w:t>
      </w:r>
      <w:proofErr w:type="spellStart"/>
      <w:r w:rsidR="00AD3FD1">
        <w:t>pn</w:t>
      </w:r>
      <w:proofErr w:type="spellEnd"/>
      <w:r w:rsidR="00AD3FD1">
        <w:t>-junctions back to back. The operation of this device shows many similarities to the HBTSC, albeit with a less compact design. The main difficulties found in 3T-2JSC</w:t>
      </w:r>
      <w:r w:rsidR="005743F5">
        <w:t>s</w:t>
      </w:r>
      <w:r w:rsidR="00AD3FD1">
        <w:t xml:space="preserve"> which are absent in the HBTSC are the need to passivate the surfaces in contact with the contact layer to achieve high carrier selectivity (high </w:t>
      </w:r>
      <w:r w:rsidR="00AD3FD1" w:rsidRPr="00AD3FD1">
        <w:rPr>
          <w:i/>
          <w:iCs/>
        </w:rPr>
        <w:t>V</w:t>
      </w:r>
      <w:r w:rsidR="00AD3FD1" w:rsidRPr="00AD3FD1">
        <w:rPr>
          <w:vertAlign w:val="subscript"/>
        </w:rPr>
        <w:t>OC</w:t>
      </w:r>
      <w:r w:rsidR="00AD3FD1">
        <w:t>) in both sub-cells, and the need to implement a contact layer which is highly-conductive and transparent.</w:t>
      </w:r>
    </w:p>
    <w:p w14:paraId="336AF6D1" w14:textId="77777777" w:rsidR="00F90519" w:rsidRPr="00F90519" w:rsidRDefault="00F90519">
      <w:pPr>
        <w:spacing w:after="0"/>
        <w:jc w:val="left"/>
      </w:pPr>
    </w:p>
    <w:p w14:paraId="7C5F4AEF" w14:textId="04E8BFDA" w:rsidR="00583DE0" w:rsidRPr="00C00F2E" w:rsidRDefault="00583DE0" w:rsidP="00097A26">
      <w:pPr>
        <w:spacing w:after="120" w:line="408" w:lineRule="auto"/>
        <w:jc w:val="left"/>
        <w:rPr>
          <w:u w:val="single"/>
        </w:rPr>
      </w:pPr>
      <w:r w:rsidRPr="00C00F2E">
        <w:rPr>
          <w:u w:val="single"/>
        </w:rPr>
        <w:t>S</w:t>
      </w:r>
      <w:r w:rsidR="005036F1">
        <w:rPr>
          <w:u w:val="single"/>
        </w:rPr>
        <w:t>3</w:t>
      </w:r>
      <w:r w:rsidRPr="00C00F2E">
        <w:rPr>
          <w:u w:val="single"/>
        </w:rPr>
        <w:t>: Device geometry and efficiency calculation</w:t>
      </w:r>
      <w:r w:rsidR="00AA6044" w:rsidRPr="00C00F2E">
        <w:rPr>
          <w:u w:val="single"/>
        </w:rPr>
        <w:t>s</w:t>
      </w:r>
    </w:p>
    <w:p w14:paraId="67E545F7" w14:textId="0404F51A" w:rsidR="00D55B0E" w:rsidRDefault="00D55B0E" w:rsidP="00D55B0E">
      <w:pPr>
        <w:spacing w:after="120" w:line="408" w:lineRule="auto"/>
        <w:rPr>
          <w:u w:val="single"/>
        </w:rPr>
      </w:pPr>
      <w:r>
        <w:t xml:space="preserve">The device in Figure S3a is the HBTSC prototype with independent power extraction from the two junctions, characterized in Figures 2 and 3 in the main text. The device in Figure S3b is called </w:t>
      </w:r>
      <w:r w:rsidR="008575C1">
        <w:t xml:space="preserve">test </w:t>
      </w:r>
      <w:r w:rsidR="008575C1">
        <w:lastRenderedPageBreak/>
        <w:t>device</w:t>
      </w:r>
      <w:r>
        <w:t xml:space="preserve"> in the main text</w:t>
      </w:r>
      <w:r w:rsidR="000B0A3C">
        <w:t xml:space="preserve">, see </w:t>
      </w:r>
      <w:r>
        <w:t xml:space="preserve">Figure 5. </w:t>
      </w:r>
      <w:r w:rsidR="002E7BEC">
        <w:t xml:space="preserve">Both have been fabricated following the same process on the same epitaxial structure. </w:t>
      </w:r>
      <w:r w:rsidR="00AE59ED">
        <w:t>The test device</w:t>
      </w:r>
      <w:r>
        <w:t xml:space="preserve"> </w:t>
      </w:r>
      <w:r w:rsidR="005B5875">
        <w:t>does not behave as an HBTSC (no independent power extraction)</w:t>
      </w:r>
      <w:r>
        <w:t xml:space="preserve"> </w:t>
      </w:r>
      <w:proofErr w:type="gramStart"/>
      <w:r>
        <w:t>as a result of</w:t>
      </w:r>
      <w:proofErr w:type="gramEnd"/>
      <w:r>
        <w:t xml:space="preserve"> a resistive voltage drop across the base layer.</w:t>
      </w:r>
    </w:p>
    <w:p w14:paraId="61BA0199" w14:textId="77777777" w:rsidR="00D55B0E" w:rsidRDefault="00D55B0E" w:rsidP="00D55B0E">
      <w:pPr>
        <w:spacing w:after="120" w:line="408" w:lineRule="auto"/>
      </w:pPr>
      <w:r w:rsidRPr="00C00F2E">
        <w:t>Table S1 compiles th</w:t>
      </w:r>
      <w:r>
        <w:t>ree definitions of</w:t>
      </w:r>
      <w:r w:rsidRPr="00C00F2E">
        <w:t xml:space="preserve"> area </w:t>
      </w:r>
      <w:r>
        <w:t>for</w:t>
      </w:r>
      <w:r w:rsidRPr="00C00F2E">
        <w:t xml:space="preserve"> the two junctions in each device</w:t>
      </w:r>
      <w:r>
        <w:t>:</w:t>
      </w:r>
    </w:p>
    <w:p w14:paraId="37DC47DD" w14:textId="47DE65BF" w:rsidR="00D55B0E" w:rsidRDefault="00D55B0E" w:rsidP="00D55B0E">
      <w:pPr>
        <w:spacing w:after="120" w:line="408" w:lineRule="auto"/>
      </w:pPr>
      <w:r>
        <w:t>(</w:t>
      </w:r>
      <w:proofErr w:type="spellStart"/>
      <w:r>
        <w:t>i</w:t>
      </w:r>
      <w:proofErr w:type="spellEnd"/>
      <w:r>
        <w:t>)</w:t>
      </w:r>
      <w:r w:rsidRPr="005837F4">
        <w:t xml:space="preserve"> </w:t>
      </w:r>
      <w:r>
        <w:t>The junction areas. The bottom junction area (white dashed rectangles in Figure S3) is defined by the mesa etch and the top junction area (white dashed rectangles) is defined by the GaInP (emitter) etch. Junction area measurements</w:t>
      </w:r>
      <w:bookmarkStart w:id="0" w:name="_Hlk56194464"/>
      <w:r>
        <w:t xml:space="preserve"> have </w:t>
      </w:r>
      <w:r w:rsidR="00440ABF">
        <w:t xml:space="preserve">a </w:t>
      </w:r>
      <w:r>
        <w:t xml:space="preserve">relatively high uncertainty because </w:t>
      </w:r>
      <w:r w:rsidR="00A3772C">
        <w:t>of irregularit</w:t>
      </w:r>
      <w:r w:rsidR="00440ABF">
        <w:t>ies</w:t>
      </w:r>
      <w:r w:rsidR="00A3772C">
        <w:t xml:space="preserve"> </w:t>
      </w:r>
      <w:r w:rsidR="00440ABF">
        <w:t xml:space="preserve">in </w:t>
      </w:r>
      <w:r>
        <w:t>the etch walls</w:t>
      </w:r>
      <w:r w:rsidR="00855B3D">
        <w:t>, e</w:t>
      </w:r>
      <w:r>
        <w:t>specially the GaInP etch</w:t>
      </w:r>
      <w:bookmarkEnd w:id="0"/>
      <w:r>
        <w:t>.</w:t>
      </w:r>
    </w:p>
    <w:p w14:paraId="18BDB7BD" w14:textId="6D872076" w:rsidR="00D55B0E" w:rsidRDefault="00D55B0E" w:rsidP="00D55B0E">
      <w:pPr>
        <w:spacing w:after="120" w:line="408" w:lineRule="auto"/>
      </w:pPr>
      <w:r>
        <w:t>(ii)</w:t>
      </w:r>
      <w:r w:rsidRPr="00C00F2E">
        <w:t xml:space="preserve"> </w:t>
      </w:r>
      <w:proofErr w:type="gramStart"/>
      <w:r>
        <w:t>The illumination areas</w:t>
      </w:r>
      <w:r w:rsidR="0050572B">
        <w:t>,</w:t>
      </w:r>
      <w:proofErr w:type="gramEnd"/>
      <w:r>
        <w:t xml:space="preserve"> obtained by subtracting the area covered by metal from the junction area. </w:t>
      </w:r>
    </w:p>
    <w:p w14:paraId="413E87F4" w14:textId="20B4DA82" w:rsidR="00D55B0E" w:rsidRPr="00C00F2E" w:rsidRDefault="00D55B0E" w:rsidP="00D55B0E">
      <w:pPr>
        <w:spacing w:after="120" w:line="408" w:lineRule="auto"/>
      </w:pPr>
      <w:r>
        <w:t>(ii</w:t>
      </w:r>
      <w:r w:rsidR="008B35F0">
        <w:t>i</w:t>
      </w:r>
      <w:r>
        <w:t xml:space="preserve">) The </w:t>
      </w:r>
      <w:r w:rsidR="00770EE2">
        <w:t xml:space="preserve">whole </w:t>
      </w:r>
      <w:r>
        <w:t xml:space="preserve">mesa area. In this case we apply the bottom junction area to both junctions. </w:t>
      </w:r>
    </w:p>
    <w:p w14:paraId="16F2819F" w14:textId="25315C0B" w:rsidR="00D55B0E" w:rsidRPr="002413F8" w:rsidRDefault="00D55B0E" w:rsidP="00D55B0E">
      <w:pPr>
        <w:spacing w:after="120" w:line="408" w:lineRule="auto"/>
      </w:pPr>
      <w:r>
        <w:t>Table S1 also contains the AM1.5G photoconversion efficiencies (</w:t>
      </w:r>
      <w:r w:rsidRPr="00A41013">
        <w:rPr>
          <w:rFonts w:cs="Times"/>
          <w:i/>
          <w:iCs/>
        </w:rPr>
        <w:t>η</w:t>
      </w:r>
      <w:r>
        <w:t>) calculated using the illumination</w:t>
      </w:r>
      <w:r w:rsidR="000561F8">
        <w:t>, junction,</w:t>
      </w:r>
      <w:r>
        <w:t xml:space="preserve"> and full mesa area</w:t>
      </w:r>
      <w:r w:rsidR="0050572B">
        <w:t>s</w:t>
      </w:r>
      <w:r>
        <w:t xml:space="preserve">. </w:t>
      </w:r>
      <w:r w:rsidR="00770EE2">
        <w:t xml:space="preserve">The large discrepancy between the efficiencies calculated scaling by the illumination areas and the full mesa area </w:t>
      </w:r>
      <w:r w:rsidR="00CE461D">
        <w:t>is explained by</w:t>
      </w:r>
      <w:r w:rsidR="00770EE2">
        <w:t xml:space="preserve"> the fact that</w:t>
      </w:r>
      <w:r>
        <w:t xml:space="preserve"> in these proof-of-concept devices the emitter has been etched to deposit the base contact</w:t>
      </w:r>
      <w:r w:rsidR="00770EE2">
        <w:t xml:space="preserve"> </w:t>
      </w:r>
      <w:r>
        <w:t>and the metal pads have not been minimized</w:t>
      </w:r>
      <w:r>
        <w:rPr>
          <w:rFonts w:cs="Times"/>
        </w:rPr>
        <w:t>.</w:t>
      </w:r>
    </w:p>
    <w:p w14:paraId="3F44D687" w14:textId="4E81B754" w:rsidR="00097A26" w:rsidRDefault="00097A26" w:rsidP="00DB21B0">
      <w:pPr>
        <w:spacing w:after="0"/>
        <w:jc w:val="left"/>
      </w:pPr>
    </w:p>
    <w:p w14:paraId="083AB985" w14:textId="6F5BDCD5" w:rsidR="00097A26" w:rsidRDefault="00097A26" w:rsidP="00DB21B0">
      <w:pPr>
        <w:spacing w:after="0"/>
        <w:jc w:val="left"/>
        <w:rPr>
          <w:u w:val="single"/>
        </w:rPr>
      </w:pPr>
      <w:r w:rsidRPr="00E949C7">
        <w:rPr>
          <w:rFonts w:asciiTheme="minorHAnsi" w:hAnsiTheme="minorHAnsi" w:cstheme="minorHAnsi"/>
          <w:b/>
          <w:noProof/>
          <w:kern w:val="22"/>
          <w:szCs w:val="24"/>
        </w:rPr>
        <w:lastRenderedPageBreak/>
        <mc:AlternateContent>
          <mc:Choice Requires="wps">
            <w:drawing>
              <wp:inline distT="0" distB="0" distL="0" distR="0" wp14:anchorId="14634BFC" wp14:editId="09906727">
                <wp:extent cx="5921375" cy="4191000"/>
                <wp:effectExtent l="0" t="0" r="3175" b="0"/>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4191000"/>
                        </a:xfrm>
                        <a:prstGeom prst="rect">
                          <a:avLst/>
                        </a:prstGeom>
                        <a:solidFill>
                          <a:srgbClr val="FFFFFF"/>
                        </a:solidFill>
                        <a:ln w="9525">
                          <a:noFill/>
                          <a:miter lim="800000"/>
                          <a:headEnd/>
                          <a:tailEnd/>
                        </a:ln>
                      </wps:spPr>
                      <wps:txbx>
                        <w:txbxContent>
                          <w:p w14:paraId="3FDC3C1D" w14:textId="77777777" w:rsidR="004D5334" w:rsidRDefault="004D5334" w:rsidP="00097A26">
                            <w:pPr>
                              <w:jc w:val="center"/>
                            </w:pPr>
                            <w:r>
                              <w:rPr>
                                <w:noProof/>
                              </w:rPr>
                              <w:drawing>
                                <wp:inline distT="0" distB="0" distL="0" distR="0" wp14:anchorId="46FB4479" wp14:editId="52E0134B">
                                  <wp:extent cx="5760720" cy="3364991"/>
                                  <wp:effectExtent l="0" t="0" r="0" b="6985"/>
                                  <wp:docPr id="58" name="plot_SIMS_ACS_energy_letters_0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ot_SIMS_ACS_energy_letters_03.svg"/>
                                          <pic:cNvPicPr/>
                                        </pic:nvPicPr>
                                        <pic:blipFill>
                                          <a:blip r:embed="rId10">
                                            <a:extLst>
                                              <a:ext uri="{28A0092B-C50C-407E-A947-70E740481C1C}">
                                                <a14:useLocalDpi xmlns:a14="http://schemas.microsoft.com/office/drawing/2010/main" val="0"/>
                                              </a:ext>
                                            </a:extLst>
                                          </a:blip>
                                          <a:stretch>
                                            <a:fillRect/>
                                          </a:stretch>
                                        </pic:blipFill>
                                        <pic:spPr>
                                          <a:xfrm>
                                            <a:off x="0" y="0"/>
                                            <a:ext cx="5760720" cy="3364991"/>
                                          </a:xfrm>
                                          <a:prstGeom prst="rect">
                                            <a:avLst/>
                                          </a:prstGeom>
                                        </pic:spPr>
                                      </pic:pic>
                                    </a:graphicData>
                                  </a:graphic>
                                </wp:inline>
                              </w:drawing>
                            </w:r>
                          </w:p>
                          <w:p w14:paraId="7EFB07D0" w14:textId="5B7C7A36" w:rsidR="004D5334" w:rsidRPr="00F5505F" w:rsidRDefault="004D5334" w:rsidP="00097A26">
                            <w:pPr>
                              <w:pStyle w:val="VAFigureCaption"/>
                              <w:spacing w:line="264" w:lineRule="auto"/>
                              <w:rPr>
                                <w:sz w:val="22"/>
                                <w:szCs w:val="18"/>
                              </w:rPr>
                            </w:pPr>
                            <w:r w:rsidRPr="00F5505F">
                              <w:rPr>
                                <w:sz w:val="22"/>
                                <w:szCs w:val="18"/>
                              </w:rPr>
                              <w:t xml:space="preserve">Figure S3: Micrographs of the two HBTSC devices discussed in the main text. (a), HBTSC prototype, (b) test device. In both cases, the area of the bottom (top) junction is highlighted by a white dashed square (dotted rectangle). Scalebars are 500 µm long. </w:t>
                            </w:r>
                          </w:p>
                        </w:txbxContent>
                      </wps:txbx>
                      <wps:bodyPr rot="0" vert="horz" wrap="square" lIns="91440" tIns="45720" rIns="91440" bIns="45720" anchor="t" anchorCtr="0">
                        <a:noAutofit/>
                      </wps:bodyPr>
                    </wps:wsp>
                  </a:graphicData>
                </a:graphic>
              </wp:inline>
            </w:drawing>
          </mc:Choice>
          <mc:Fallback>
            <w:pict>
              <v:shape w14:anchorId="14634BFC" id="_x0000_s1028" type="#_x0000_t202" style="width:466.25pt;height:3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" stroked="f">
                <v:textbox>
                  <w:txbxContent>
                    <w:p w14:paraId="3FDC3C1D" w14:textId="77777777" w:rsidR="004D5334" w:rsidRDefault="004D5334" w:rsidP="00097A26">
                      <w:pPr>
                        <w:jc w:val="center"/>
                      </w:pPr>
                      <w:r>
                        <w:rPr>
                          <w:noProof/>
                        </w:rPr>
                        <w:drawing>
                          <wp:inline distT="0" distB="0" distL="0" distR="0" wp14:anchorId="46FB4479" wp14:editId="52E0134B">
                            <wp:extent cx="5760720" cy="3364991"/>
                            <wp:effectExtent l="0" t="0" r="0" b="6985"/>
                            <wp:docPr id="58" name="plot_SIMS_ACS_energy_letters_0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ot_SIMS_ACS_energy_letters_03.svg"/>
                                    <pic:cNvPicPr/>
                                  </pic:nvPicPr>
                                  <pic:blipFill>
                                    <a:blip r:embed="rId10">
                                      <a:extLst>
                                        <a:ext uri="{28A0092B-C50C-407E-A947-70E740481C1C}">
                                          <a14:useLocalDpi xmlns:a14="http://schemas.microsoft.com/office/drawing/2010/main" val="0"/>
                                        </a:ext>
                                      </a:extLst>
                                    </a:blip>
                                    <a:stretch>
                                      <a:fillRect/>
                                    </a:stretch>
                                  </pic:blipFill>
                                  <pic:spPr>
                                    <a:xfrm>
                                      <a:off x="0" y="0"/>
                                      <a:ext cx="5760720" cy="3364991"/>
                                    </a:xfrm>
                                    <a:prstGeom prst="rect">
                                      <a:avLst/>
                                    </a:prstGeom>
                                  </pic:spPr>
                                </pic:pic>
                              </a:graphicData>
                            </a:graphic>
                          </wp:inline>
                        </w:drawing>
                      </w:r>
                    </w:p>
                    <w:p w14:paraId="7EFB07D0" w14:textId="5B7C7A36" w:rsidR="004D5334" w:rsidRPr="00F5505F" w:rsidRDefault="004D5334" w:rsidP="00097A26">
                      <w:pPr>
                        <w:pStyle w:val="VAFigureCaption"/>
                        <w:spacing w:line="264" w:lineRule="auto"/>
                        <w:rPr>
                          <w:sz w:val="22"/>
                          <w:szCs w:val="18"/>
                        </w:rPr>
                      </w:pPr>
                      <w:r w:rsidRPr="00F5505F">
                        <w:rPr>
                          <w:sz w:val="22"/>
                          <w:szCs w:val="18"/>
                        </w:rPr>
                        <w:t xml:space="preserve">Figure S3: Micrographs of the two HBTSC devices discussed in the main text. (a), HBTSC prototype, (b) test device. In both cases, the area of the bottom (top) junction is highlighted by a white dashed square (dotted rectangle). Scalebars are 500 µm long. </w:t>
                      </w:r>
                    </w:p>
                  </w:txbxContent>
                </v:textbox>
                <w10:anchorlock/>
              </v:shape>
            </w:pict>
          </mc:Fallback>
        </mc:AlternateContent>
      </w:r>
    </w:p>
    <w:p w14:paraId="782BB56E" w14:textId="49C74AE4" w:rsidR="00097A26" w:rsidRPr="001E2AAE" w:rsidRDefault="00097A26" w:rsidP="001E2AAE">
      <w:pPr>
        <w:spacing w:after="120" w:line="408" w:lineRule="auto"/>
      </w:pPr>
    </w:p>
    <w:p w14:paraId="7D90F773" w14:textId="45DC59BB" w:rsidR="001E2AAE" w:rsidRDefault="001E2AAE" w:rsidP="00DB21B0">
      <w:pPr>
        <w:spacing w:after="0"/>
        <w:jc w:val="left"/>
        <w:rPr>
          <w:u w:val="single"/>
        </w:rPr>
      </w:pPr>
      <w:r w:rsidRPr="00E949C7">
        <w:rPr>
          <w:rFonts w:asciiTheme="minorHAnsi" w:hAnsiTheme="minorHAnsi" w:cstheme="minorHAnsi"/>
          <w:b/>
          <w:noProof/>
          <w:kern w:val="22"/>
          <w:szCs w:val="24"/>
        </w:rPr>
        <mc:AlternateContent>
          <mc:Choice Requires="wps">
            <w:drawing>
              <wp:inline distT="0" distB="0" distL="0" distR="0" wp14:anchorId="316B3D9E" wp14:editId="53D2E705">
                <wp:extent cx="5921375" cy="3314700"/>
                <wp:effectExtent l="0" t="0" r="3175" b="0"/>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3314700"/>
                        </a:xfrm>
                        <a:prstGeom prst="rect">
                          <a:avLst/>
                        </a:prstGeom>
                        <a:solidFill>
                          <a:srgbClr val="FFFFFF"/>
                        </a:solidFill>
                        <a:ln w="9525">
                          <a:noFill/>
                          <a:miter lim="800000"/>
                          <a:headEnd/>
                          <a:tailEnd/>
                        </a:ln>
                      </wps:spPr>
                      <wps:txbx>
                        <w:txbxContent>
                          <w:p w14:paraId="06B1E59C" w14:textId="484EF36C" w:rsidR="004D5334" w:rsidRPr="00F5505F" w:rsidRDefault="004D5334" w:rsidP="001E2AAE">
                            <w:pPr>
                              <w:pStyle w:val="VAFigureCaption"/>
                              <w:spacing w:line="264" w:lineRule="auto"/>
                              <w:rPr>
                                <w:sz w:val="22"/>
                                <w:szCs w:val="18"/>
                              </w:rPr>
                            </w:pPr>
                            <w:r w:rsidRPr="00F5505F">
                              <w:rPr>
                                <w:sz w:val="22"/>
                                <w:szCs w:val="18"/>
                              </w:rPr>
                              <w:t>Table S1: Area definitions and photoconversion efficiencies (</w:t>
                            </w:r>
                            <w:r w:rsidRPr="00F5505F">
                              <w:rPr>
                                <w:rFonts w:cs="Times"/>
                                <w:i/>
                                <w:iCs/>
                                <w:sz w:val="22"/>
                                <w:szCs w:val="18"/>
                              </w:rPr>
                              <w:t>η</w:t>
                            </w:r>
                            <w:r w:rsidRPr="00F5505F">
                              <w:rPr>
                                <w:sz w:val="22"/>
                                <w:szCs w:val="18"/>
                              </w:rPr>
                              <w:t xml:space="preserve">) calculated using different area definitions. </w:t>
                            </w:r>
                          </w:p>
                          <w:tbl>
                            <w:tblPr>
                              <w:tblW w:w="9240" w:type="dxa"/>
                              <w:tblLook w:val="04A0" w:firstRow="1" w:lastRow="0" w:firstColumn="1" w:lastColumn="0" w:noHBand="0" w:noVBand="1"/>
                            </w:tblPr>
                            <w:tblGrid>
                              <w:gridCol w:w="1800"/>
                              <w:gridCol w:w="1286"/>
                              <w:gridCol w:w="1286"/>
                              <w:gridCol w:w="1148"/>
                              <w:gridCol w:w="1286"/>
                              <w:gridCol w:w="1286"/>
                              <w:gridCol w:w="1148"/>
                            </w:tblGrid>
                            <w:tr w:rsidR="004D5334" w:rsidRPr="00F64A2F" w14:paraId="2DA921A5" w14:textId="77777777" w:rsidTr="00F55E7F">
                              <w:trPr>
                                <w:trHeight w:val="408"/>
                              </w:trPr>
                              <w:tc>
                                <w:tcPr>
                                  <w:tcW w:w="1800" w:type="dxa"/>
                                  <w:tcBorders>
                                    <w:top w:val="nil"/>
                                    <w:left w:val="nil"/>
                                    <w:bottom w:val="single" w:sz="4" w:space="0" w:color="auto"/>
                                    <w:right w:val="single" w:sz="4" w:space="0" w:color="auto"/>
                                  </w:tcBorders>
                                  <w:shd w:val="clear" w:color="000000" w:fill="FFFFFF"/>
                                  <w:vAlign w:val="center"/>
                                  <w:hideMark/>
                                </w:tcPr>
                                <w:p w14:paraId="02A02449"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 </w:t>
                                  </w:r>
                                </w:p>
                              </w:tc>
                              <w:tc>
                                <w:tcPr>
                                  <w:tcW w:w="3720" w:type="dxa"/>
                                  <w:gridSpan w:val="3"/>
                                  <w:tcBorders>
                                    <w:top w:val="nil"/>
                                    <w:left w:val="nil"/>
                                    <w:bottom w:val="single" w:sz="4" w:space="0" w:color="auto"/>
                                    <w:right w:val="single" w:sz="4" w:space="0" w:color="000000"/>
                                  </w:tcBorders>
                                  <w:shd w:val="clear" w:color="000000" w:fill="FFFFFF"/>
                                  <w:noWrap/>
                                  <w:vAlign w:val="center"/>
                                  <w:hideMark/>
                                </w:tcPr>
                                <w:p w14:paraId="549CA51D"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HBTSC prototype</w:t>
                                  </w:r>
                                </w:p>
                              </w:tc>
                              <w:tc>
                                <w:tcPr>
                                  <w:tcW w:w="3720" w:type="dxa"/>
                                  <w:gridSpan w:val="3"/>
                                  <w:tcBorders>
                                    <w:top w:val="nil"/>
                                    <w:left w:val="nil"/>
                                    <w:bottom w:val="single" w:sz="4" w:space="0" w:color="auto"/>
                                    <w:right w:val="nil"/>
                                  </w:tcBorders>
                                  <w:shd w:val="clear" w:color="000000" w:fill="FFFFFF"/>
                                  <w:noWrap/>
                                  <w:vAlign w:val="center"/>
                                  <w:hideMark/>
                                </w:tcPr>
                                <w:p w14:paraId="187723E7" w14:textId="515AFA5C" w:rsidR="004D5334" w:rsidRPr="00F64A2F" w:rsidRDefault="004D5334" w:rsidP="00F55E7F">
                                  <w:pPr>
                                    <w:spacing w:after="0"/>
                                    <w:jc w:val="center"/>
                                    <w:rPr>
                                      <w:rFonts w:ascii="Times New Roman" w:hAnsi="Times New Roman"/>
                                      <w:color w:val="000000"/>
                                      <w:sz w:val="20"/>
                                    </w:rPr>
                                  </w:pPr>
                                  <w:r>
                                    <w:rPr>
                                      <w:rFonts w:ascii="Times New Roman" w:hAnsi="Times New Roman"/>
                                      <w:color w:val="000000"/>
                                      <w:sz w:val="20"/>
                                    </w:rPr>
                                    <w:t>test device</w:t>
                                  </w:r>
                                </w:p>
                              </w:tc>
                            </w:tr>
                            <w:tr w:rsidR="004D5334" w:rsidRPr="00F64A2F" w14:paraId="7CDB858D" w14:textId="77777777" w:rsidTr="00F55E7F">
                              <w:trPr>
                                <w:trHeight w:val="288"/>
                              </w:trPr>
                              <w:tc>
                                <w:tcPr>
                                  <w:tcW w:w="1800" w:type="dxa"/>
                                  <w:tcBorders>
                                    <w:top w:val="nil"/>
                                    <w:left w:val="nil"/>
                                    <w:bottom w:val="single" w:sz="4" w:space="0" w:color="auto"/>
                                    <w:right w:val="single" w:sz="4" w:space="0" w:color="auto"/>
                                  </w:tcBorders>
                                  <w:shd w:val="clear" w:color="000000" w:fill="FFFFFF"/>
                                  <w:vAlign w:val="center"/>
                                  <w:hideMark/>
                                </w:tcPr>
                                <w:p w14:paraId="4C7C90C8" w14:textId="77777777" w:rsidR="004D5334" w:rsidRPr="00F64A2F" w:rsidRDefault="004D5334" w:rsidP="00F55E7F">
                                  <w:pPr>
                                    <w:spacing w:after="0"/>
                                    <w:jc w:val="right"/>
                                    <w:rPr>
                                      <w:rFonts w:ascii="Times New Roman" w:hAnsi="Times New Roman"/>
                                      <w:color w:val="000000"/>
                                      <w:sz w:val="20"/>
                                    </w:rPr>
                                  </w:pPr>
                                  <w:r w:rsidRPr="00F64A2F">
                                    <w:rPr>
                                      <w:rFonts w:ascii="Times New Roman" w:hAnsi="Times New Roman"/>
                                      <w:color w:val="000000"/>
                                      <w:sz w:val="20"/>
                                    </w:rPr>
                                    <w:t>junction</w:t>
                                  </w:r>
                                </w:p>
                              </w:tc>
                              <w:tc>
                                <w:tcPr>
                                  <w:tcW w:w="1286" w:type="dxa"/>
                                  <w:tcBorders>
                                    <w:top w:val="nil"/>
                                    <w:left w:val="nil"/>
                                    <w:bottom w:val="single" w:sz="4" w:space="0" w:color="auto"/>
                                    <w:right w:val="single" w:sz="4" w:space="0" w:color="auto"/>
                                  </w:tcBorders>
                                  <w:shd w:val="clear" w:color="000000" w:fill="FFFFFF"/>
                                  <w:noWrap/>
                                  <w:vAlign w:val="center"/>
                                  <w:hideMark/>
                                </w:tcPr>
                                <w:p w14:paraId="61CB1A54"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top</w:t>
                                  </w:r>
                                </w:p>
                              </w:tc>
                              <w:tc>
                                <w:tcPr>
                                  <w:tcW w:w="1286" w:type="dxa"/>
                                  <w:tcBorders>
                                    <w:top w:val="nil"/>
                                    <w:left w:val="nil"/>
                                    <w:bottom w:val="single" w:sz="4" w:space="0" w:color="auto"/>
                                    <w:right w:val="single" w:sz="4" w:space="0" w:color="auto"/>
                                  </w:tcBorders>
                                  <w:shd w:val="clear" w:color="000000" w:fill="FFFFFF"/>
                                  <w:noWrap/>
                                  <w:vAlign w:val="center"/>
                                  <w:hideMark/>
                                </w:tcPr>
                                <w:p w14:paraId="47BDE1E8"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bottom</w:t>
                                  </w:r>
                                </w:p>
                              </w:tc>
                              <w:tc>
                                <w:tcPr>
                                  <w:tcW w:w="1148" w:type="dxa"/>
                                  <w:tcBorders>
                                    <w:top w:val="nil"/>
                                    <w:left w:val="nil"/>
                                    <w:bottom w:val="single" w:sz="4" w:space="0" w:color="auto"/>
                                    <w:right w:val="single" w:sz="4" w:space="0" w:color="auto"/>
                                  </w:tcBorders>
                                  <w:shd w:val="clear" w:color="000000" w:fill="FFFFFF"/>
                                  <w:noWrap/>
                                  <w:vAlign w:val="center"/>
                                  <w:hideMark/>
                                </w:tcPr>
                                <w:p w14:paraId="5A904F81"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total</w:t>
                                  </w:r>
                                </w:p>
                              </w:tc>
                              <w:tc>
                                <w:tcPr>
                                  <w:tcW w:w="1286" w:type="dxa"/>
                                  <w:tcBorders>
                                    <w:top w:val="nil"/>
                                    <w:left w:val="nil"/>
                                    <w:bottom w:val="single" w:sz="4" w:space="0" w:color="auto"/>
                                    <w:right w:val="single" w:sz="4" w:space="0" w:color="auto"/>
                                  </w:tcBorders>
                                  <w:shd w:val="clear" w:color="000000" w:fill="FFFFFF"/>
                                  <w:noWrap/>
                                  <w:vAlign w:val="center"/>
                                  <w:hideMark/>
                                </w:tcPr>
                                <w:p w14:paraId="6D46F9FA"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top</w:t>
                                  </w:r>
                                </w:p>
                              </w:tc>
                              <w:tc>
                                <w:tcPr>
                                  <w:tcW w:w="1286" w:type="dxa"/>
                                  <w:tcBorders>
                                    <w:top w:val="nil"/>
                                    <w:left w:val="nil"/>
                                    <w:bottom w:val="single" w:sz="4" w:space="0" w:color="auto"/>
                                    <w:right w:val="single" w:sz="4" w:space="0" w:color="auto"/>
                                  </w:tcBorders>
                                  <w:shd w:val="clear" w:color="000000" w:fill="FFFFFF"/>
                                  <w:noWrap/>
                                  <w:vAlign w:val="center"/>
                                  <w:hideMark/>
                                </w:tcPr>
                                <w:p w14:paraId="56F0DE29"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bottom</w:t>
                                  </w:r>
                                </w:p>
                              </w:tc>
                              <w:tc>
                                <w:tcPr>
                                  <w:tcW w:w="1148" w:type="dxa"/>
                                  <w:tcBorders>
                                    <w:top w:val="nil"/>
                                    <w:left w:val="nil"/>
                                    <w:bottom w:val="single" w:sz="4" w:space="0" w:color="auto"/>
                                    <w:right w:val="nil"/>
                                  </w:tcBorders>
                                  <w:shd w:val="clear" w:color="000000" w:fill="FFFFFF"/>
                                  <w:noWrap/>
                                  <w:vAlign w:val="center"/>
                                  <w:hideMark/>
                                </w:tcPr>
                                <w:p w14:paraId="7187ABED"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total</w:t>
                                  </w:r>
                                </w:p>
                              </w:tc>
                            </w:tr>
                            <w:tr w:rsidR="004D5334" w:rsidRPr="00F64A2F" w14:paraId="27DE2C1D" w14:textId="77777777" w:rsidTr="00F55E7F">
                              <w:trPr>
                                <w:trHeight w:val="288"/>
                              </w:trPr>
                              <w:tc>
                                <w:tcPr>
                                  <w:tcW w:w="1800" w:type="dxa"/>
                                  <w:tcBorders>
                                    <w:top w:val="nil"/>
                                    <w:left w:val="nil"/>
                                    <w:bottom w:val="single" w:sz="4" w:space="0" w:color="auto"/>
                                    <w:right w:val="single" w:sz="4" w:space="0" w:color="auto"/>
                                  </w:tcBorders>
                                  <w:shd w:val="clear" w:color="000000" w:fill="FFFFFF"/>
                                  <w:vAlign w:val="center"/>
                                  <w:hideMark/>
                                </w:tcPr>
                                <w:p w14:paraId="0C9F6624" w14:textId="77777777" w:rsidR="004D5334" w:rsidRPr="00F64A2F" w:rsidRDefault="004D5334" w:rsidP="00F55E7F">
                                  <w:pPr>
                                    <w:spacing w:after="0"/>
                                    <w:jc w:val="right"/>
                                    <w:rPr>
                                      <w:rFonts w:ascii="Times New Roman" w:hAnsi="Times New Roman"/>
                                      <w:color w:val="000000"/>
                                      <w:sz w:val="20"/>
                                    </w:rPr>
                                  </w:pPr>
                                  <w:r w:rsidRPr="00F64A2F">
                                    <w:rPr>
                                      <w:rFonts w:ascii="Times New Roman" w:hAnsi="Times New Roman"/>
                                      <w:color w:val="000000"/>
                                      <w:sz w:val="20"/>
                                    </w:rPr>
                                    <w:t>illumination area [mm²]</w:t>
                                  </w:r>
                                </w:p>
                              </w:tc>
                              <w:tc>
                                <w:tcPr>
                                  <w:tcW w:w="1286" w:type="dxa"/>
                                  <w:tcBorders>
                                    <w:top w:val="nil"/>
                                    <w:left w:val="nil"/>
                                    <w:bottom w:val="single" w:sz="4" w:space="0" w:color="auto"/>
                                    <w:right w:val="single" w:sz="4" w:space="0" w:color="auto"/>
                                  </w:tcBorders>
                                  <w:shd w:val="clear" w:color="000000" w:fill="FFFFFF"/>
                                  <w:noWrap/>
                                  <w:vAlign w:val="center"/>
                                  <w:hideMark/>
                                </w:tcPr>
                                <w:p w14:paraId="5A1E268D"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1.03 ± 0.06</w:t>
                                  </w:r>
                                </w:p>
                              </w:tc>
                              <w:tc>
                                <w:tcPr>
                                  <w:tcW w:w="1286" w:type="dxa"/>
                                  <w:tcBorders>
                                    <w:top w:val="nil"/>
                                    <w:left w:val="nil"/>
                                    <w:bottom w:val="single" w:sz="4" w:space="0" w:color="auto"/>
                                    <w:right w:val="single" w:sz="4" w:space="0" w:color="auto"/>
                                  </w:tcBorders>
                                  <w:shd w:val="clear" w:color="000000" w:fill="FFFFFF"/>
                                  <w:noWrap/>
                                  <w:vAlign w:val="center"/>
                                  <w:hideMark/>
                                </w:tcPr>
                                <w:p w14:paraId="51B9E742"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1.57 ± 0.11</w:t>
                                  </w:r>
                                </w:p>
                              </w:tc>
                              <w:tc>
                                <w:tcPr>
                                  <w:tcW w:w="1148" w:type="dxa"/>
                                  <w:tcBorders>
                                    <w:top w:val="nil"/>
                                    <w:left w:val="nil"/>
                                    <w:bottom w:val="single" w:sz="4" w:space="0" w:color="auto"/>
                                    <w:right w:val="single" w:sz="4" w:space="0" w:color="auto"/>
                                  </w:tcBorders>
                                  <w:shd w:val="clear" w:color="000000" w:fill="FFFFFF"/>
                                  <w:noWrap/>
                                  <w:vAlign w:val="center"/>
                                  <w:hideMark/>
                                </w:tcPr>
                                <w:p w14:paraId="63E9A85D"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 </w:t>
                                  </w:r>
                                </w:p>
                              </w:tc>
                              <w:tc>
                                <w:tcPr>
                                  <w:tcW w:w="1286" w:type="dxa"/>
                                  <w:tcBorders>
                                    <w:top w:val="nil"/>
                                    <w:left w:val="nil"/>
                                    <w:bottom w:val="single" w:sz="4" w:space="0" w:color="auto"/>
                                    <w:right w:val="single" w:sz="4" w:space="0" w:color="auto"/>
                                  </w:tcBorders>
                                  <w:shd w:val="clear" w:color="000000" w:fill="FFFFFF"/>
                                  <w:noWrap/>
                                  <w:vAlign w:val="center"/>
                                  <w:hideMark/>
                                </w:tcPr>
                                <w:p w14:paraId="15ECEC60"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2.84 ± 0.12</w:t>
                                  </w:r>
                                </w:p>
                              </w:tc>
                              <w:tc>
                                <w:tcPr>
                                  <w:tcW w:w="1286" w:type="dxa"/>
                                  <w:tcBorders>
                                    <w:top w:val="nil"/>
                                    <w:left w:val="nil"/>
                                    <w:bottom w:val="single" w:sz="4" w:space="0" w:color="auto"/>
                                    <w:right w:val="single" w:sz="4" w:space="0" w:color="auto"/>
                                  </w:tcBorders>
                                  <w:shd w:val="clear" w:color="000000" w:fill="FFFFFF"/>
                                  <w:noWrap/>
                                  <w:vAlign w:val="center"/>
                                  <w:hideMark/>
                                </w:tcPr>
                                <w:p w14:paraId="3D34EAA1"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3.32 ± 0.12</w:t>
                                  </w:r>
                                </w:p>
                              </w:tc>
                              <w:tc>
                                <w:tcPr>
                                  <w:tcW w:w="1148" w:type="dxa"/>
                                  <w:tcBorders>
                                    <w:top w:val="nil"/>
                                    <w:left w:val="nil"/>
                                    <w:bottom w:val="single" w:sz="4" w:space="0" w:color="auto"/>
                                    <w:right w:val="nil"/>
                                  </w:tcBorders>
                                  <w:shd w:val="clear" w:color="000000" w:fill="FFFFFF"/>
                                  <w:noWrap/>
                                  <w:vAlign w:val="center"/>
                                  <w:hideMark/>
                                </w:tcPr>
                                <w:p w14:paraId="3219EE77"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 </w:t>
                                  </w:r>
                                </w:p>
                              </w:tc>
                            </w:tr>
                            <w:tr w:rsidR="004D5334" w:rsidRPr="00F64A2F" w14:paraId="7365A5BD" w14:textId="77777777" w:rsidTr="00F55E7F">
                              <w:trPr>
                                <w:trHeight w:val="288"/>
                              </w:trPr>
                              <w:tc>
                                <w:tcPr>
                                  <w:tcW w:w="1800" w:type="dxa"/>
                                  <w:tcBorders>
                                    <w:top w:val="nil"/>
                                    <w:left w:val="nil"/>
                                    <w:bottom w:val="single" w:sz="4" w:space="0" w:color="auto"/>
                                    <w:right w:val="single" w:sz="4" w:space="0" w:color="auto"/>
                                  </w:tcBorders>
                                  <w:shd w:val="clear" w:color="000000" w:fill="FFFFFF"/>
                                  <w:vAlign w:val="center"/>
                                  <w:hideMark/>
                                </w:tcPr>
                                <w:p w14:paraId="114F290F" w14:textId="77777777" w:rsidR="004D5334" w:rsidRPr="00F64A2F" w:rsidRDefault="004D5334" w:rsidP="00F55E7F">
                                  <w:pPr>
                                    <w:spacing w:after="0"/>
                                    <w:jc w:val="right"/>
                                    <w:rPr>
                                      <w:rFonts w:ascii="Times New Roman" w:hAnsi="Times New Roman"/>
                                      <w:color w:val="000000"/>
                                      <w:sz w:val="20"/>
                                    </w:rPr>
                                  </w:pPr>
                                  <w:r w:rsidRPr="00F64A2F">
                                    <w:rPr>
                                      <w:rFonts w:ascii="Times New Roman" w:hAnsi="Times New Roman"/>
                                      <w:color w:val="000000"/>
                                      <w:sz w:val="20"/>
                                    </w:rPr>
                                    <w:t>junction area [mm²]</w:t>
                                  </w:r>
                                </w:p>
                              </w:tc>
                              <w:tc>
                                <w:tcPr>
                                  <w:tcW w:w="1286" w:type="dxa"/>
                                  <w:tcBorders>
                                    <w:top w:val="nil"/>
                                    <w:left w:val="nil"/>
                                    <w:bottom w:val="single" w:sz="4" w:space="0" w:color="auto"/>
                                    <w:right w:val="single" w:sz="4" w:space="0" w:color="auto"/>
                                  </w:tcBorders>
                                  <w:shd w:val="clear" w:color="000000" w:fill="FFFFFF"/>
                                  <w:noWrap/>
                                  <w:vAlign w:val="center"/>
                                  <w:hideMark/>
                                </w:tcPr>
                                <w:p w14:paraId="24E6D3BB"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1.16 ± 0.05</w:t>
                                  </w:r>
                                </w:p>
                              </w:tc>
                              <w:tc>
                                <w:tcPr>
                                  <w:tcW w:w="1286" w:type="dxa"/>
                                  <w:tcBorders>
                                    <w:top w:val="nil"/>
                                    <w:left w:val="nil"/>
                                    <w:bottom w:val="single" w:sz="4" w:space="0" w:color="auto"/>
                                    <w:right w:val="single" w:sz="4" w:space="0" w:color="auto"/>
                                  </w:tcBorders>
                                  <w:shd w:val="clear" w:color="000000" w:fill="FFFFFF"/>
                                  <w:noWrap/>
                                  <w:vAlign w:val="center"/>
                                  <w:hideMark/>
                                </w:tcPr>
                                <w:p w14:paraId="46557803"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1.93 ± 0.10</w:t>
                                  </w:r>
                                </w:p>
                              </w:tc>
                              <w:tc>
                                <w:tcPr>
                                  <w:tcW w:w="1148" w:type="dxa"/>
                                  <w:tcBorders>
                                    <w:top w:val="nil"/>
                                    <w:left w:val="nil"/>
                                    <w:bottom w:val="single" w:sz="4" w:space="0" w:color="auto"/>
                                    <w:right w:val="single" w:sz="4" w:space="0" w:color="auto"/>
                                  </w:tcBorders>
                                  <w:shd w:val="clear" w:color="000000" w:fill="FFFFFF"/>
                                  <w:noWrap/>
                                  <w:vAlign w:val="center"/>
                                  <w:hideMark/>
                                </w:tcPr>
                                <w:p w14:paraId="57E9E514"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 </w:t>
                                  </w:r>
                                </w:p>
                              </w:tc>
                              <w:tc>
                                <w:tcPr>
                                  <w:tcW w:w="1286" w:type="dxa"/>
                                  <w:tcBorders>
                                    <w:top w:val="nil"/>
                                    <w:left w:val="nil"/>
                                    <w:bottom w:val="single" w:sz="4" w:space="0" w:color="auto"/>
                                    <w:right w:val="single" w:sz="4" w:space="0" w:color="auto"/>
                                  </w:tcBorders>
                                  <w:shd w:val="clear" w:color="000000" w:fill="FFFFFF"/>
                                  <w:noWrap/>
                                  <w:vAlign w:val="center"/>
                                  <w:hideMark/>
                                </w:tcPr>
                                <w:p w14:paraId="43060FE0"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3.28 ± 0.10</w:t>
                                  </w:r>
                                </w:p>
                              </w:tc>
                              <w:tc>
                                <w:tcPr>
                                  <w:tcW w:w="1286" w:type="dxa"/>
                                  <w:tcBorders>
                                    <w:top w:val="nil"/>
                                    <w:left w:val="nil"/>
                                    <w:bottom w:val="single" w:sz="4" w:space="0" w:color="auto"/>
                                    <w:right w:val="single" w:sz="4" w:space="0" w:color="auto"/>
                                  </w:tcBorders>
                                  <w:shd w:val="clear" w:color="000000" w:fill="FFFFFF"/>
                                  <w:noWrap/>
                                  <w:vAlign w:val="center"/>
                                  <w:hideMark/>
                                </w:tcPr>
                                <w:p w14:paraId="5A9BD585"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4.01 ± 0.09</w:t>
                                  </w:r>
                                </w:p>
                              </w:tc>
                              <w:tc>
                                <w:tcPr>
                                  <w:tcW w:w="1148" w:type="dxa"/>
                                  <w:tcBorders>
                                    <w:top w:val="nil"/>
                                    <w:left w:val="nil"/>
                                    <w:bottom w:val="single" w:sz="4" w:space="0" w:color="auto"/>
                                    <w:right w:val="nil"/>
                                  </w:tcBorders>
                                  <w:shd w:val="clear" w:color="000000" w:fill="FFFFFF"/>
                                  <w:noWrap/>
                                  <w:vAlign w:val="center"/>
                                  <w:hideMark/>
                                </w:tcPr>
                                <w:p w14:paraId="275B44A8"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 </w:t>
                                  </w:r>
                                </w:p>
                              </w:tc>
                            </w:tr>
                            <w:tr w:rsidR="004D5334" w:rsidRPr="00F64A2F" w14:paraId="78E34FAE" w14:textId="77777777" w:rsidTr="00F55E7F">
                              <w:trPr>
                                <w:trHeight w:val="288"/>
                              </w:trPr>
                              <w:tc>
                                <w:tcPr>
                                  <w:tcW w:w="1800" w:type="dxa"/>
                                  <w:tcBorders>
                                    <w:top w:val="nil"/>
                                    <w:left w:val="nil"/>
                                    <w:bottom w:val="single" w:sz="4" w:space="0" w:color="auto"/>
                                    <w:right w:val="single" w:sz="4" w:space="0" w:color="auto"/>
                                  </w:tcBorders>
                                  <w:shd w:val="clear" w:color="000000" w:fill="FFFFFF"/>
                                  <w:vAlign w:val="center"/>
                                  <w:hideMark/>
                                </w:tcPr>
                                <w:p w14:paraId="1D943328" w14:textId="77777777" w:rsidR="004D5334" w:rsidRPr="00F64A2F" w:rsidRDefault="004D5334" w:rsidP="00F55E7F">
                                  <w:pPr>
                                    <w:spacing w:after="0"/>
                                    <w:jc w:val="right"/>
                                    <w:rPr>
                                      <w:rFonts w:ascii="Times New Roman" w:hAnsi="Times New Roman"/>
                                      <w:color w:val="000000"/>
                                      <w:sz w:val="20"/>
                                    </w:rPr>
                                  </w:pPr>
                                  <w:r w:rsidRPr="00F64A2F">
                                    <w:rPr>
                                      <w:rFonts w:ascii="Times New Roman" w:hAnsi="Times New Roman"/>
                                      <w:color w:val="000000"/>
                                      <w:sz w:val="20"/>
                                    </w:rPr>
                                    <w:t>full mesa area [mm²]</w:t>
                                  </w:r>
                                </w:p>
                              </w:tc>
                              <w:tc>
                                <w:tcPr>
                                  <w:tcW w:w="1286" w:type="dxa"/>
                                  <w:tcBorders>
                                    <w:top w:val="nil"/>
                                    <w:left w:val="nil"/>
                                    <w:bottom w:val="single" w:sz="4" w:space="0" w:color="auto"/>
                                    <w:right w:val="single" w:sz="4" w:space="0" w:color="auto"/>
                                  </w:tcBorders>
                                  <w:shd w:val="clear" w:color="000000" w:fill="FFFFFF"/>
                                  <w:noWrap/>
                                  <w:vAlign w:val="center"/>
                                  <w:hideMark/>
                                </w:tcPr>
                                <w:p w14:paraId="597B43CC"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1.93 ± 0.10</w:t>
                                  </w:r>
                                </w:p>
                              </w:tc>
                              <w:tc>
                                <w:tcPr>
                                  <w:tcW w:w="1286" w:type="dxa"/>
                                  <w:tcBorders>
                                    <w:top w:val="nil"/>
                                    <w:left w:val="nil"/>
                                    <w:bottom w:val="single" w:sz="4" w:space="0" w:color="auto"/>
                                    <w:right w:val="single" w:sz="4" w:space="0" w:color="auto"/>
                                  </w:tcBorders>
                                  <w:shd w:val="clear" w:color="000000" w:fill="FFFFFF"/>
                                  <w:noWrap/>
                                  <w:vAlign w:val="center"/>
                                  <w:hideMark/>
                                </w:tcPr>
                                <w:p w14:paraId="68E4C0C6"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1.93 ± 0.10</w:t>
                                  </w:r>
                                </w:p>
                              </w:tc>
                              <w:tc>
                                <w:tcPr>
                                  <w:tcW w:w="1148" w:type="dxa"/>
                                  <w:tcBorders>
                                    <w:top w:val="nil"/>
                                    <w:left w:val="nil"/>
                                    <w:bottom w:val="single" w:sz="4" w:space="0" w:color="auto"/>
                                    <w:right w:val="single" w:sz="4" w:space="0" w:color="auto"/>
                                  </w:tcBorders>
                                  <w:shd w:val="clear" w:color="000000" w:fill="FFFFFF"/>
                                  <w:noWrap/>
                                  <w:vAlign w:val="center"/>
                                  <w:hideMark/>
                                </w:tcPr>
                                <w:p w14:paraId="2AC459B4"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 </w:t>
                                  </w:r>
                                </w:p>
                              </w:tc>
                              <w:tc>
                                <w:tcPr>
                                  <w:tcW w:w="1286" w:type="dxa"/>
                                  <w:tcBorders>
                                    <w:top w:val="nil"/>
                                    <w:left w:val="nil"/>
                                    <w:bottom w:val="single" w:sz="4" w:space="0" w:color="auto"/>
                                    <w:right w:val="single" w:sz="4" w:space="0" w:color="auto"/>
                                  </w:tcBorders>
                                  <w:shd w:val="clear" w:color="000000" w:fill="FFFFFF"/>
                                  <w:noWrap/>
                                  <w:vAlign w:val="center"/>
                                  <w:hideMark/>
                                </w:tcPr>
                                <w:p w14:paraId="49B205D6"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4.01 ± 0.09</w:t>
                                  </w:r>
                                </w:p>
                              </w:tc>
                              <w:tc>
                                <w:tcPr>
                                  <w:tcW w:w="1286" w:type="dxa"/>
                                  <w:tcBorders>
                                    <w:top w:val="nil"/>
                                    <w:left w:val="nil"/>
                                    <w:bottom w:val="single" w:sz="4" w:space="0" w:color="auto"/>
                                    <w:right w:val="single" w:sz="4" w:space="0" w:color="auto"/>
                                  </w:tcBorders>
                                  <w:shd w:val="clear" w:color="000000" w:fill="FFFFFF"/>
                                  <w:noWrap/>
                                  <w:vAlign w:val="center"/>
                                  <w:hideMark/>
                                </w:tcPr>
                                <w:p w14:paraId="4D96CC77"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4.01 ± 0.09</w:t>
                                  </w:r>
                                </w:p>
                              </w:tc>
                              <w:tc>
                                <w:tcPr>
                                  <w:tcW w:w="1148" w:type="dxa"/>
                                  <w:tcBorders>
                                    <w:top w:val="nil"/>
                                    <w:left w:val="nil"/>
                                    <w:bottom w:val="single" w:sz="4" w:space="0" w:color="auto"/>
                                    <w:right w:val="nil"/>
                                  </w:tcBorders>
                                  <w:shd w:val="clear" w:color="000000" w:fill="FFFFFF"/>
                                  <w:noWrap/>
                                  <w:vAlign w:val="center"/>
                                  <w:hideMark/>
                                </w:tcPr>
                                <w:p w14:paraId="2D2ED663"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 </w:t>
                                  </w:r>
                                </w:p>
                              </w:tc>
                            </w:tr>
                            <w:tr w:rsidR="004D5334" w:rsidRPr="00F64A2F" w14:paraId="43B776FD" w14:textId="77777777" w:rsidTr="00F55E7F">
                              <w:trPr>
                                <w:trHeight w:val="528"/>
                              </w:trPr>
                              <w:tc>
                                <w:tcPr>
                                  <w:tcW w:w="1800" w:type="dxa"/>
                                  <w:tcBorders>
                                    <w:top w:val="nil"/>
                                    <w:left w:val="nil"/>
                                    <w:bottom w:val="single" w:sz="4" w:space="0" w:color="auto"/>
                                    <w:right w:val="single" w:sz="4" w:space="0" w:color="auto"/>
                                  </w:tcBorders>
                                  <w:shd w:val="clear" w:color="000000" w:fill="FFFFFF"/>
                                  <w:vAlign w:val="center"/>
                                  <w:hideMark/>
                                </w:tcPr>
                                <w:p w14:paraId="4374BD7F" w14:textId="77777777" w:rsidR="004D5334" w:rsidRPr="00F64A2F" w:rsidRDefault="004D5334" w:rsidP="00F55E7F">
                                  <w:pPr>
                                    <w:spacing w:after="0"/>
                                    <w:jc w:val="right"/>
                                    <w:rPr>
                                      <w:rFonts w:ascii="Times New Roman" w:hAnsi="Times New Roman"/>
                                      <w:color w:val="000000"/>
                                      <w:sz w:val="20"/>
                                    </w:rPr>
                                  </w:pPr>
                                  <w:r w:rsidRPr="00F64A2F">
                                    <w:rPr>
                                      <w:rFonts w:ascii="Times New Roman" w:hAnsi="Times New Roman"/>
                                      <w:i/>
                                      <w:iCs/>
                                      <w:color w:val="000000"/>
                                      <w:sz w:val="20"/>
                                    </w:rPr>
                                    <w:t>η</w:t>
                                  </w:r>
                                  <w:r w:rsidRPr="00F64A2F">
                                    <w:rPr>
                                      <w:rFonts w:ascii="Times New Roman" w:hAnsi="Times New Roman"/>
                                      <w:color w:val="000000"/>
                                      <w:sz w:val="20"/>
                                    </w:rPr>
                                    <w:t xml:space="preserve"> calculated using illumination area [%]</w:t>
                                  </w:r>
                                </w:p>
                              </w:tc>
                              <w:tc>
                                <w:tcPr>
                                  <w:tcW w:w="1286" w:type="dxa"/>
                                  <w:tcBorders>
                                    <w:top w:val="nil"/>
                                    <w:left w:val="nil"/>
                                    <w:bottom w:val="single" w:sz="4" w:space="0" w:color="auto"/>
                                    <w:right w:val="single" w:sz="4" w:space="0" w:color="auto"/>
                                  </w:tcBorders>
                                  <w:shd w:val="clear" w:color="000000" w:fill="FFFFFF"/>
                                  <w:noWrap/>
                                  <w:vAlign w:val="center"/>
                                  <w:hideMark/>
                                </w:tcPr>
                                <w:p w14:paraId="70969191"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15.9 ± 1.5</w:t>
                                  </w:r>
                                </w:p>
                              </w:tc>
                              <w:tc>
                                <w:tcPr>
                                  <w:tcW w:w="1286" w:type="dxa"/>
                                  <w:tcBorders>
                                    <w:top w:val="nil"/>
                                    <w:left w:val="nil"/>
                                    <w:bottom w:val="single" w:sz="4" w:space="0" w:color="auto"/>
                                    <w:right w:val="single" w:sz="4" w:space="0" w:color="auto"/>
                                  </w:tcBorders>
                                  <w:shd w:val="clear" w:color="000000" w:fill="FFFFFF"/>
                                  <w:noWrap/>
                                  <w:vAlign w:val="center"/>
                                  <w:hideMark/>
                                </w:tcPr>
                                <w:p w14:paraId="5B5B5F1C"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11.9 ± 1.3</w:t>
                                  </w:r>
                                </w:p>
                              </w:tc>
                              <w:tc>
                                <w:tcPr>
                                  <w:tcW w:w="1148" w:type="dxa"/>
                                  <w:tcBorders>
                                    <w:top w:val="nil"/>
                                    <w:left w:val="nil"/>
                                    <w:bottom w:val="single" w:sz="4" w:space="0" w:color="auto"/>
                                    <w:right w:val="single" w:sz="4" w:space="0" w:color="auto"/>
                                  </w:tcBorders>
                                  <w:shd w:val="clear" w:color="000000" w:fill="FFFFFF"/>
                                  <w:noWrap/>
                                  <w:vAlign w:val="center"/>
                                  <w:hideMark/>
                                </w:tcPr>
                                <w:p w14:paraId="5B5CA3B1"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27.8 ± 2.9</w:t>
                                  </w:r>
                                </w:p>
                              </w:tc>
                              <w:tc>
                                <w:tcPr>
                                  <w:tcW w:w="1286" w:type="dxa"/>
                                  <w:tcBorders>
                                    <w:top w:val="nil"/>
                                    <w:left w:val="nil"/>
                                    <w:bottom w:val="single" w:sz="4" w:space="0" w:color="auto"/>
                                    <w:right w:val="single" w:sz="4" w:space="0" w:color="auto"/>
                                  </w:tcBorders>
                                  <w:shd w:val="clear" w:color="000000" w:fill="FFFFFF"/>
                                  <w:noWrap/>
                                  <w:vAlign w:val="center"/>
                                  <w:hideMark/>
                                </w:tcPr>
                                <w:p w14:paraId="0C009412"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14.4 ± 1.2</w:t>
                                  </w:r>
                                </w:p>
                              </w:tc>
                              <w:tc>
                                <w:tcPr>
                                  <w:tcW w:w="1286" w:type="dxa"/>
                                  <w:tcBorders>
                                    <w:top w:val="nil"/>
                                    <w:left w:val="nil"/>
                                    <w:bottom w:val="single" w:sz="4" w:space="0" w:color="auto"/>
                                    <w:right w:val="single" w:sz="4" w:space="0" w:color="auto"/>
                                  </w:tcBorders>
                                  <w:shd w:val="clear" w:color="000000" w:fill="FFFFFF"/>
                                  <w:noWrap/>
                                  <w:vAlign w:val="center"/>
                                  <w:hideMark/>
                                </w:tcPr>
                                <w:p w14:paraId="0D3D370E"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10.4 ± 0.8</w:t>
                                  </w:r>
                                </w:p>
                              </w:tc>
                              <w:tc>
                                <w:tcPr>
                                  <w:tcW w:w="1148" w:type="dxa"/>
                                  <w:tcBorders>
                                    <w:top w:val="nil"/>
                                    <w:left w:val="nil"/>
                                    <w:bottom w:val="single" w:sz="4" w:space="0" w:color="auto"/>
                                    <w:right w:val="nil"/>
                                  </w:tcBorders>
                                  <w:shd w:val="clear" w:color="000000" w:fill="FFFFFF"/>
                                  <w:noWrap/>
                                  <w:vAlign w:val="center"/>
                                  <w:hideMark/>
                                </w:tcPr>
                                <w:p w14:paraId="0075D6A0"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24.8 ± 2.0</w:t>
                                  </w:r>
                                </w:p>
                              </w:tc>
                            </w:tr>
                            <w:tr w:rsidR="004D5334" w:rsidRPr="00F64A2F" w14:paraId="6D152EFD" w14:textId="77777777" w:rsidTr="00F55E7F">
                              <w:trPr>
                                <w:trHeight w:val="528"/>
                              </w:trPr>
                              <w:tc>
                                <w:tcPr>
                                  <w:tcW w:w="1800" w:type="dxa"/>
                                  <w:tcBorders>
                                    <w:top w:val="nil"/>
                                    <w:left w:val="nil"/>
                                    <w:bottom w:val="nil"/>
                                    <w:right w:val="single" w:sz="4" w:space="0" w:color="auto"/>
                                  </w:tcBorders>
                                  <w:shd w:val="clear" w:color="000000" w:fill="FFFFFF"/>
                                  <w:vAlign w:val="center"/>
                                  <w:hideMark/>
                                </w:tcPr>
                                <w:p w14:paraId="705CB0F5" w14:textId="77777777" w:rsidR="004D5334" w:rsidRPr="00F64A2F" w:rsidRDefault="004D5334" w:rsidP="00F55E7F">
                                  <w:pPr>
                                    <w:spacing w:after="0"/>
                                    <w:jc w:val="right"/>
                                    <w:rPr>
                                      <w:rFonts w:ascii="Times New Roman" w:hAnsi="Times New Roman"/>
                                      <w:color w:val="000000"/>
                                      <w:sz w:val="20"/>
                                    </w:rPr>
                                  </w:pPr>
                                  <w:r w:rsidRPr="00F64A2F">
                                    <w:rPr>
                                      <w:rFonts w:ascii="Times New Roman" w:hAnsi="Times New Roman"/>
                                      <w:i/>
                                      <w:iCs/>
                                      <w:color w:val="000000"/>
                                      <w:sz w:val="20"/>
                                    </w:rPr>
                                    <w:t>η</w:t>
                                  </w:r>
                                  <w:r w:rsidRPr="00F64A2F">
                                    <w:rPr>
                                      <w:rFonts w:ascii="Times New Roman" w:hAnsi="Times New Roman"/>
                                      <w:color w:val="000000"/>
                                      <w:sz w:val="20"/>
                                    </w:rPr>
                                    <w:t xml:space="preserve"> calculated using junction area [%]</w:t>
                                  </w:r>
                                </w:p>
                              </w:tc>
                              <w:tc>
                                <w:tcPr>
                                  <w:tcW w:w="1286" w:type="dxa"/>
                                  <w:tcBorders>
                                    <w:top w:val="nil"/>
                                    <w:left w:val="nil"/>
                                    <w:bottom w:val="nil"/>
                                    <w:right w:val="single" w:sz="4" w:space="0" w:color="auto"/>
                                  </w:tcBorders>
                                  <w:shd w:val="clear" w:color="000000" w:fill="FFFFFF"/>
                                  <w:noWrap/>
                                  <w:vAlign w:val="center"/>
                                  <w:hideMark/>
                                </w:tcPr>
                                <w:p w14:paraId="2EFDA5A2"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14.0 ± 1.1</w:t>
                                  </w:r>
                                </w:p>
                              </w:tc>
                              <w:tc>
                                <w:tcPr>
                                  <w:tcW w:w="1286" w:type="dxa"/>
                                  <w:tcBorders>
                                    <w:top w:val="nil"/>
                                    <w:left w:val="nil"/>
                                    <w:bottom w:val="nil"/>
                                    <w:right w:val="single" w:sz="4" w:space="0" w:color="auto"/>
                                  </w:tcBorders>
                                  <w:shd w:val="clear" w:color="000000" w:fill="FFFFFF"/>
                                  <w:noWrap/>
                                  <w:vAlign w:val="center"/>
                                  <w:hideMark/>
                                </w:tcPr>
                                <w:p w14:paraId="53C810CA"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9.7 ± 0.9</w:t>
                                  </w:r>
                                </w:p>
                              </w:tc>
                              <w:tc>
                                <w:tcPr>
                                  <w:tcW w:w="1148" w:type="dxa"/>
                                  <w:tcBorders>
                                    <w:top w:val="nil"/>
                                    <w:left w:val="nil"/>
                                    <w:bottom w:val="nil"/>
                                    <w:right w:val="single" w:sz="4" w:space="0" w:color="auto"/>
                                  </w:tcBorders>
                                  <w:shd w:val="clear" w:color="000000" w:fill="FFFFFF"/>
                                  <w:noWrap/>
                                  <w:vAlign w:val="center"/>
                                  <w:hideMark/>
                                </w:tcPr>
                                <w:p w14:paraId="3D390686"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23.7 ± 2.0</w:t>
                                  </w:r>
                                </w:p>
                              </w:tc>
                              <w:tc>
                                <w:tcPr>
                                  <w:tcW w:w="1286" w:type="dxa"/>
                                  <w:tcBorders>
                                    <w:top w:val="nil"/>
                                    <w:left w:val="nil"/>
                                    <w:bottom w:val="nil"/>
                                    <w:right w:val="single" w:sz="4" w:space="0" w:color="auto"/>
                                  </w:tcBorders>
                                  <w:shd w:val="clear" w:color="000000" w:fill="FFFFFF"/>
                                  <w:noWrap/>
                                  <w:vAlign w:val="center"/>
                                  <w:hideMark/>
                                </w:tcPr>
                                <w:p w14:paraId="4FBC2728"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12.8 ± 0.9</w:t>
                                  </w:r>
                                </w:p>
                              </w:tc>
                              <w:tc>
                                <w:tcPr>
                                  <w:tcW w:w="1286" w:type="dxa"/>
                                  <w:tcBorders>
                                    <w:top w:val="nil"/>
                                    <w:left w:val="nil"/>
                                    <w:bottom w:val="nil"/>
                                    <w:right w:val="single" w:sz="4" w:space="0" w:color="auto"/>
                                  </w:tcBorders>
                                  <w:shd w:val="clear" w:color="000000" w:fill="FFFFFF"/>
                                  <w:noWrap/>
                                  <w:vAlign w:val="center"/>
                                  <w:hideMark/>
                                </w:tcPr>
                                <w:p w14:paraId="003719A1"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8.5 ± 0.5</w:t>
                                  </w:r>
                                </w:p>
                              </w:tc>
                              <w:tc>
                                <w:tcPr>
                                  <w:tcW w:w="1148" w:type="dxa"/>
                                  <w:tcBorders>
                                    <w:top w:val="nil"/>
                                    <w:left w:val="nil"/>
                                    <w:bottom w:val="nil"/>
                                    <w:right w:val="nil"/>
                                  </w:tcBorders>
                                  <w:shd w:val="clear" w:color="000000" w:fill="FFFFFF"/>
                                  <w:noWrap/>
                                  <w:vAlign w:val="center"/>
                                  <w:hideMark/>
                                </w:tcPr>
                                <w:p w14:paraId="5CDEDEC6"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21.3 ± 1.4</w:t>
                                  </w:r>
                                </w:p>
                              </w:tc>
                            </w:tr>
                            <w:tr w:rsidR="004D5334" w:rsidRPr="00F64A2F" w14:paraId="56378E04" w14:textId="77777777" w:rsidTr="00F55E7F">
                              <w:trPr>
                                <w:trHeight w:val="528"/>
                              </w:trPr>
                              <w:tc>
                                <w:tcPr>
                                  <w:tcW w:w="1800" w:type="dxa"/>
                                  <w:tcBorders>
                                    <w:top w:val="single" w:sz="4" w:space="0" w:color="auto"/>
                                    <w:left w:val="nil"/>
                                    <w:bottom w:val="nil"/>
                                    <w:right w:val="single" w:sz="4" w:space="0" w:color="auto"/>
                                  </w:tcBorders>
                                  <w:shd w:val="clear" w:color="000000" w:fill="FFFFFF"/>
                                  <w:vAlign w:val="center"/>
                                  <w:hideMark/>
                                </w:tcPr>
                                <w:p w14:paraId="60B89F10" w14:textId="06B52FA7" w:rsidR="004D5334" w:rsidRPr="00F64A2F" w:rsidRDefault="004D5334" w:rsidP="00F55E7F">
                                  <w:pPr>
                                    <w:spacing w:after="0"/>
                                    <w:jc w:val="right"/>
                                    <w:rPr>
                                      <w:rFonts w:ascii="Times New Roman" w:hAnsi="Times New Roman"/>
                                      <w:color w:val="000000"/>
                                      <w:sz w:val="20"/>
                                    </w:rPr>
                                  </w:pPr>
                                  <w:r w:rsidRPr="00F64A2F">
                                    <w:rPr>
                                      <w:rFonts w:ascii="Times New Roman" w:hAnsi="Times New Roman"/>
                                      <w:i/>
                                      <w:iCs/>
                                      <w:color w:val="000000"/>
                                      <w:sz w:val="20"/>
                                    </w:rPr>
                                    <w:t>η</w:t>
                                  </w:r>
                                  <w:r w:rsidRPr="00F64A2F">
                                    <w:rPr>
                                      <w:rFonts w:ascii="Times New Roman" w:hAnsi="Times New Roman"/>
                                      <w:color w:val="000000"/>
                                      <w:sz w:val="20"/>
                                    </w:rPr>
                                    <w:t xml:space="preserve"> calculated using </w:t>
                                  </w:r>
                                  <w:r>
                                    <w:rPr>
                                      <w:rFonts w:ascii="Times New Roman" w:hAnsi="Times New Roman"/>
                                      <w:color w:val="000000"/>
                                      <w:sz w:val="20"/>
                                    </w:rPr>
                                    <w:t>whole</w:t>
                                  </w:r>
                                  <w:r w:rsidRPr="00F64A2F">
                                    <w:rPr>
                                      <w:rFonts w:ascii="Times New Roman" w:hAnsi="Times New Roman"/>
                                      <w:color w:val="000000"/>
                                      <w:sz w:val="20"/>
                                    </w:rPr>
                                    <w:t xml:space="preserve"> mesa area [%]</w:t>
                                  </w:r>
                                </w:p>
                              </w:tc>
                              <w:tc>
                                <w:tcPr>
                                  <w:tcW w:w="1286" w:type="dxa"/>
                                  <w:tcBorders>
                                    <w:top w:val="single" w:sz="4" w:space="0" w:color="auto"/>
                                    <w:left w:val="nil"/>
                                    <w:bottom w:val="nil"/>
                                    <w:right w:val="single" w:sz="4" w:space="0" w:color="auto"/>
                                  </w:tcBorders>
                                  <w:shd w:val="clear" w:color="000000" w:fill="FFFFFF"/>
                                  <w:noWrap/>
                                  <w:vAlign w:val="center"/>
                                  <w:hideMark/>
                                </w:tcPr>
                                <w:p w14:paraId="25BB0C18"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8.5 ± 0.8</w:t>
                                  </w:r>
                                </w:p>
                              </w:tc>
                              <w:tc>
                                <w:tcPr>
                                  <w:tcW w:w="1286" w:type="dxa"/>
                                  <w:tcBorders>
                                    <w:top w:val="single" w:sz="4" w:space="0" w:color="auto"/>
                                    <w:left w:val="nil"/>
                                    <w:bottom w:val="nil"/>
                                    <w:right w:val="single" w:sz="4" w:space="0" w:color="auto"/>
                                  </w:tcBorders>
                                  <w:shd w:val="clear" w:color="000000" w:fill="FFFFFF"/>
                                  <w:noWrap/>
                                  <w:vAlign w:val="center"/>
                                  <w:hideMark/>
                                </w:tcPr>
                                <w:p w14:paraId="13CBC20C"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9.7 ± 0.9</w:t>
                                  </w:r>
                                </w:p>
                              </w:tc>
                              <w:tc>
                                <w:tcPr>
                                  <w:tcW w:w="1148" w:type="dxa"/>
                                  <w:tcBorders>
                                    <w:top w:val="single" w:sz="4" w:space="0" w:color="auto"/>
                                    <w:left w:val="nil"/>
                                    <w:bottom w:val="nil"/>
                                    <w:right w:val="single" w:sz="4" w:space="0" w:color="auto"/>
                                  </w:tcBorders>
                                  <w:shd w:val="clear" w:color="000000" w:fill="FFFFFF"/>
                                  <w:noWrap/>
                                  <w:vAlign w:val="center"/>
                                  <w:hideMark/>
                                </w:tcPr>
                                <w:p w14:paraId="0AE00B39"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18.2 ± 1.6</w:t>
                                  </w:r>
                                </w:p>
                              </w:tc>
                              <w:tc>
                                <w:tcPr>
                                  <w:tcW w:w="1286" w:type="dxa"/>
                                  <w:tcBorders>
                                    <w:top w:val="single" w:sz="4" w:space="0" w:color="auto"/>
                                    <w:left w:val="nil"/>
                                    <w:bottom w:val="nil"/>
                                    <w:right w:val="single" w:sz="4" w:space="0" w:color="auto"/>
                                  </w:tcBorders>
                                  <w:shd w:val="clear" w:color="000000" w:fill="FFFFFF"/>
                                  <w:noWrap/>
                                  <w:vAlign w:val="center"/>
                                  <w:hideMark/>
                                </w:tcPr>
                                <w:p w14:paraId="501B3A69"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10.5 ± 0.7</w:t>
                                  </w:r>
                                </w:p>
                              </w:tc>
                              <w:tc>
                                <w:tcPr>
                                  <w:tcW w:w="1286" w:type="dxa"/>
                                  <w:tcBorders>
                                    <w:top w:val="single" w:sz="4" w:space="0" w:color="auto"/>
                                    <w:left w:val="nil"/>
                                    <w:bottom w:val="nil"/>
                                    <w:right w:val="single" w:sz="4" w:space="0" w:color="auto"/>
                                  </w:tcBorders>
                                  <w:shd w:val="clear" w:color="000000" w:fill="FFFFFF"/>
                                  <w:noWrap/>
                                  <w:vAlign w:val="center"/>
                                  <w:hideMark/>
                                </w:tcPr>
                                <w:p w14:paraId="3F9CAA88"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8.5 ± 0.5</w:t>
                                  </w:r>
                                </w:p>
                              </w:tc>
                              <w:tc>
                                <w:tcPr>
                                  <w:tcW w:w="1148" w:type="dxa"/>
                                  <w:tcBorders>
                                    <w:top w:val="single" w:sz="4" w:space="0" w:color="auto"/>
                                    <w:left w:val="nil"/>
                                    <w:bottom w:val="nil"/>
                                    <w:right w:val="nil"/>
                                  </w:tcBorders>
                                  <w:shd w:val="clear" w:color="000000" w:fill="FFFFFF"/>
                                  <w:noWrap/>
                                  <w:vAlign w:val="center"/>
                                  <w:hideMark/>
                                </w:tcPr>
                                <w:p w14:paraId="7846FBD2"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19.0 ± 1.2</w:t>
                                  </w:r>
                                </w:p>
                              </w:tc>
                            </w:tr>
                          </w:tbl>
                          <w:p w14:paraId="1B91DD1D" w14:textId="77777777" w:rsidR="004D5334" w:rsidRPr="00F64A2F" w:rsidRDefault="004D5334" w:rsidP="001E2AAE">
                            <w:pPr>
                              <w:rPr>
                                <w:rFonts w:ascii="Times New Roman" w:hAnsi="Times New Roman"/>
                              </w:rPr>
                            </w:pPr>
                          </w:p>
                        </w:txbxContent>
                      </wps:txbx>
                      <wps:bodyPr rot="0" vert="horz" wrap="square" lIns="91440" tIns="45720" rIns="91440" bIns="45720" anchor="t" anchorCtr="0">
                        <a:noAutofit/>
                      </wps:bodyPr>
                    </wps:wsp>
                  </a:graphicData>
                </a:graphic>
              </wp:inline>
            </w:drawing>
          </mc:Choice>
          <mc:Fallback>
            <w:pict>
              <v:shape w14:anchorId="316B3D9E" id="_x0000_s1029" type="#_x0000_t202" style="width:466.25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" stroked="f">
                <v:textbox>
                  <w:txbxContent>
                    <w:p w14:paraId="06B1E59C" w14:textId="484EF36C" w:rsidR="004D5334" w:rsidRPr="00F5505F" w:rsidRDefault="004D5334" w:rsidP="001E2AAE">
                      <w:pPr>
                        <w:pStyle w:val="VAFigureCaption"/>
                        <w:spacing w:line="264" w:lineRule="auto"/>
                        <w:rPr>
                          <w:sz w:val="22"/>
                          <w:szCs w:val="18"/>
                        </w:rPr>
                      </w:pPr>
                      <w:r w:rsidRPr="00F5505F">
                        <w:rPr>
                          <w:sz w:val="22"/>
                          <w:szCs w:val="18"/>
                        </w:rPr>
                        <w:t>Table S1: Area definitions and photoconversion efficiencies (</w:t>
                      </w:r>
                      <w:r w:rsidRPr="00F5505F">
                        <w:rPr>
                          <w:rFonts w:cs="Times"/>
                          <w:i/>
                          <w:iCs/>
                          <w:sz w:val="22"/>
                          <w:szCs w:val="18"/>
                        </w:rPr>
                        <w:t>η</w:t>
                      </w:r>
                      <w:r w:rsidRPr="00F5505F">
                        <w:rPr>
                          <w:sz w:val="22"/>
                          <w:szCs w:val="18"/>
                        </w:rPr>
                        <w:t xml:space="preserve">) calculated using different area definitions. </w:t>
                      </w:r>
                    </w:p>
                    <w:tbl>
                      <w:tblPr>
                        <w:tblW w:w="9240" w:type="dxa"/>
                        <w:tblLook w:val="04A0" w:firstRow="1" w:lastRow="0" w:firstColumn="1" w:lastColumn="0" w:noHBand="0" w:noVBand="1"/>
                      </w:tblPr>
                      <w:tblGrid>
                        <w:gridCol w:w="1800"/>
                        <w:gridCol w:w="1286"/>
                        <w:gridCol w:w="1286"/>
                        <w:gridCol w:w="1148"/>
                        <w:gridCol w:w="1286"/>
                        <w:gridCol w:w="1286"/>
                        <w:gridCol w:w="1148"/>
                      </w:tblGrid>
                      <w:tr w:rsidR="004D5334" w:rsidRPr="00F64A2F" w14:paraId="2DA921A5" w14:textId="77777777" w:rsidTr="00F55E7F">
                        <w:trPr>
                          <w:trHeight w:val="408"/>
                        </w:trPr>
                        <w:tc>
                          <w:tcPr>
                            <w:tcW w:w="1800" w:type="dxa"/>
                            <w:tcBorders>
                              <w:top w:val="nil"/>
                              <w:left w:val="nil"/>
                              <w:bottom w:val="single" w:sz="4" w:space="0" w:color="auto"/>
                              <w:right w:val="single" w:sz="4" w:space="0" w:color="auto"/>
                            </w:tcBorders>
                            <w:shd w:val="clear" w:color="000000" w:fill="FFFFFF"/>
                            <w:vAlign w:val="center"/>
                            <w:hideMark/>
                          </w:tcPr>
                          <w:p w14:paraId="02A02449"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 </w:t>
                            </w:r>
                          </w:p>
                        </w:tc>
                        <w:tc>
                          <w:tcPr>
                            <w:tcW w:w="3720" w:type="dxa"/>
                            <w:gridSpan w:val="3"/>
                            <w:tcBorders>
                              <w:top w:val="nil"/>
                              <w:left w:val="nil"/>
                              <w:bottom w:val="single" w:sz="4" w:space="0" w:color="auto"/>
                              <w:right w:val="single" w:sz="4" w:space="0" w:color="000000"/>
                            </w:tcBorders>
                            <w:shd w:val="clear" w:color="000000" w:fill="FFFFFF"/>
                            <w:noWrap/>
                            <w:vAlign w:val="center"/>
                            <w:hideMark/>
                          </w:tcPr>
                          <w:p w14:paraId="549CA51D"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HBTSC prototype</w:t>
                            </w:r>
                          </w:p>
                        </w:tc>
                        <w:tc>
                          <w:tcPr>
                            <w:tcW w:w="3720" w:type="dxa"/>
                            <w:gridSpan w:val="3"/>
                            <w:tcBorders>
                              <w:top w:val="nil"/>
                              <w:left w:val="nil"/>
                              <w:bottom w:val="single" w:sz="4" w:space="0" w:color="auto"/>
                              <w:right w:val="nil"/>
                            </w:tcBorders>
                            <w:shd w:val="clear" w:color="000000" w:fill="FFFFFF"/>
                            <w:noWrap/>
                            <w:vAlign w:val="center"/>
                            <w:hideMark/>
                          </w:tcPr>
                          <w:p w14:paraId="187723E7" w14:textId="515AFA5C" w:rsidR="004D5334" w:rsidRPr="00F64A2F" w:rsidRDefault="004D5334" w:rsidP="00F55E7F">
                            <w:pPr>
                              <w:spacing w:after="0"/>
                              <w:jc w:val="center"/>
                              <w:rPr>
                                <w:rFonts w:ascii="Times New Roman" w:hAnsi="Times New Roman"/>
                                <w:color w:val="000000"/>
                                <w:sz w:val="20"/>
                              </w:rPr>
                            </w:pPr>
                            <w:r>
                              <w:rPr>
                                <w:rFonts w:ascii="Times New Roman" w:hAnsi="Times New Roman"/>
                                <w:color w:val="000000"/>
                                <w:sz w:val="20"/>
                              </w:rPr>
                              <w:t>test device</w:t>
                            </w:r>
                          </w:p>
                        </w:tc>
                      </w:tr>
                      <w:tr w:rsidR="004D5334" w:rsidRPr="00F64A2F" w14:paraId="7CDB858D" w14:textId="77777777" w:rsidTr="00F55E7F">
                        <w:trPr>
                          <w:trHeight w:val="288"/>
                        </w:trPr>
                        <w:tc>
                          <w:tcPr>
                            <w:tcW w:w="1800" w:type="dxa"/>
                            <w:tcBorders>
                              <w:top w:val="nil"/>
                              <w:left w:val="nil"/>
                              <w:bottom w:val="single" w:sz="4" w:space="0" w:color="auto"/>
                              <w:right w:val="single" w:sz="4" w:space="0" w:color="auto"/>
                            </w:tcBorders>
                            <w:shd w:val="clear" w:color="000000" w:fill="FFFFFF"/>
                            <w:vAlign w:val="center"/>
                            <w:hideMark/>
                          </w:tcPr>
                          <w:p w14:paraId="4C7C90C8" w14:textId="77777777" w:rsidR="004D5334" w:rsidRPr="00F64A2F" w:rsidRDefault="004D5334" w:rsidP="00F55E7F">
                            <w:pPr>
                              <w:spacing w:after="0"/>
                              <w:jc w:val="right"/>
                              <w:rPr>
                                <w:rFonts w:ascii="Times New Roman" w:hAnsi="Times New Roman"/>
                                <w:color w:val="000000"/>
                                <w:sz w:val="20"/>
                              </w:rPr>
                            </w:pPr>
                            <w:r w:rsidRPr="00F64A2F">
                              <w:rPr>
                                <w:rFonts w:ascii="Times New Roman" w:hAnsi="Times New Roman"/>
                                <w:color w:val="000000"/>
                                <w:sz w:val="20"/>
                              </w:rPr>
                              <w:t>junction</w:t>
                            </w:r>
                          </w:p>
                        </w:tc>
                        <w:tc>
                          <w:tcPr>
                            <w:tcW w:w="1286" w:type="dxa"/>
                            <w:tcBorders>
                              <w:top w:val="nil"/>
                              <w:left w:val="nil"/>
                              <w:bottom w:val="single" w:sz="4" w:space="0" w:color="auto"/>
                              <w:right w:val="single" w:sz="4" w:space="0" w:color="auto"/>
                            </w:tcBorders>
                            <w:shd w:val="clear" w:color="000000" w:fill="FFFFFF"/>
                            <w:noWrap/>
                            <w:vAlign w:val="center"/>
                            <w:hideMark/>
                          </w:tcPr>
                          <w:p w14:paraId="61CB1A54"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top</w:t>
                            </w:r>
                          </w:p>
                        </w:tc>
                        <w:tc>
                          <w:tcPr>
                            <w:tcW w:w="1286" w:type="dxa"/>
                            <w:tcBorders>
                              <w:top w:val="nil"/>
                              <w:left w:val="nil"/>
                              <w:bottom w:val="single" w:sz="4" w:space="0" w:color="auto"/>
                              <w:right w:val="single" w:sz="4" w:space="0" w:color="auto"/>
                            </w:tcBorders>
                            <w:shd w:val="clear" w:color="000000" w:fill="FFFFFF"/>
                            <w:noWrap/>
                            <w:vAlign w:val="center"/>
                            <w:hideMark/>
                          </w:tcPr>
                          <w:p w14:paraId="47BDE1E8"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bottom</w:t>
                            </w:r>
                          </w:p>
                        </w:tc>
                        <w:tc>
                          <w:tcPr>
                            <w:tcW w:w="1148" w:type="dxa"/>
                            <w:tcBorders>
                              <w:top w:val="nil"/>
                              <w:left w:val="nil"/>
                              <w:bottom w:val="single" w:sz="4" w:space="0" w:color="auto"/>
                              <w:right w:val="single" w:sz="4" w:space="0" w:color="auto"/>
                            </w:tcBorders>
                            <w:shd w:val="clear" w:color="000000" w:fill="FFFFFF"/>
                            <w:noWrap/>
                            <w:vAlign w:val="center"/>
                            <w:hideMark/>
                          </w:tcPr>
                          <w:p w14:paraId="5A904F81"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total</w:t>
                            </w:r>
                          </w:p>
                        </w:tc>
                        <w:tc>
                          <w:tcPr>
                            <w:tcW w:w="1286" w:type="dxa"/>
                            <w:tcBorders>
                              <w:top w:val="nil"/>
                              <w:left w:val="nil"/>
                              <w:bottom w:val="single" w:sz="4" w:space="0" w:color="auto"/>
                              <w:right w:val="single" w:sz="4" w:space="0" w:color="auto"/>
                            </w:tcBorders>
                            <w:shd w:val="clear" w:color="000000" w:fill="FFFFFF"/>
                            <w:noWrap/>
                            <w:vAlign w:val="center"/>
                            <w:hideMark/>
                          </w:tcPr>
                          <w:p w14:paraId="6D46F9FA"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top</w:t>
                            </w:r>
                          </w:p>
                        </w:tc>
                        <w:tc>
                          <w:tcPr>
                            <w:tcW w:w="1286" w:type="dxa"/>
                            <w:tcBorders>
                              <w:top w:val="nil"/>
                              <w:left w:val="nil"/>
                              <w:bottom w:val="single" w:sz="4" w:space="0" w:color="auto"/>
                              <w:right w:val="single" w:sz="4" w:space="0" w:color="auto"/>
                            </w:tcBorders>
                            <w:shd w:val="clear" w:color="000000" w:fill="FFFFFF"/>
                            <w:noWrap/>
                            <w:vAlign w:val="center"/>
                            <w:hideMark/>
                          </w:tcPr>
                          <w:p w14:paraId="56F0DE29"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bottom</w:t>
                            </w:r>
                          </w:p>
                        </w:tc>
                        <w:tc>
                          <w:tcPr>
                            <w:tcW w:w="1148" w:type="dxa"/>
                            <w:tcBorders>
                              <w:top w:val="nil"/>
                              <w:left w:val="nil"/>
                              <w:bottom w:val="single" w:sz="4" w:space="0" w:color="auto"/>
                              <w:right w:val="nil"/>
                            </w:tcBorders>
                            <w:shd w:val="clear" w:color="000000" w:fill="FFFFFF"/>
                            <w:noWrap/>
                            <w:vAlign w:val="center"/>
                            <w:hideMark/>
                          </w:tcPr>
                          <w:p w14:paraId="7187ABED"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total</w:t>
                            </w:r>
                          </w:p>
                        </w:tc>
                      </w:tr>
                      <w:tr w:rsidR="004D5334" w:rsidRPr="00F64A2F" w14:paraId="27DE2C1D" w14:textId="77777777" w:rsidTr="00F55E7F">
                        <w:trPr>
                          <w:trHeight w:val="288"/>
                        </w:trPr>
                        <w:tc>
                          <w:tcPr>
                            <w:tcW w:w="1800" w:type="dxa"/>
                            <w:tcBorders>
                              <w:top w:val="nil"/>
                              <w:left w:val="nil"/>
                              <w:bottom w:val="single" w:sz="4" w:space="0" w:color="auto"/>
                              <w:right w:val="single" w:sz="4" w:space="0" w:color="auto"/>
                            </w:tcBorders>
                            <w:shd w:val="clear" w:color="000000" w:fill="FFFFFF"/>
                            <w:vAlign w:val="center"/>
                            <w:hideMark/>
                          </w:tcPr>
                          <w:p w14:paraId="0C9F6624" w14:textId="77777777" w:rsidR="004D5334" w:rsidRPr="00F64A2F" w:rsidRDefault="004D5334" w:rsidP="00F55E7F">
                            <w:pPr>
                              <w:spacing w:after="0"/>
                              <w:jc w:val="right"/>
                              <w:rPr>
                                <w:rFonts w:ascii="Times New Roman" w:hAnsi="Times New Roman"/>
                                <w:color w:val="000000"/>
                                <w:sz w:val="20"/>
                              </w:rPr>
                            </w:pPr>
                            <w:r w:rsidRPr="00F64A2F">
                              <w:rPr>
                                <w:rFonts w:ascii="Times New Roman" w:hAnsi="Times New Roman"/>
                                <w:color w:val="000000"/>
                                <w:sz w:val="20"/>
                              </w:rPr>
                              <w:t>illumination area [mm²]</w:t>
                            </w:r>
                          </w:p>
                        </w:tc>
                        <w:tc>
                          <w:tcPr>
                            <w:tcW w:w="1286" w:type="dxa"/>
                            <w:tcBorders>
                              <w:top w:val="nil"/>
                              <w:left w:val="nil"/>
                              <w:bottom w:val="single" w:sz="4" w:space="0" w:color="auto"/>
                              <w:right w:val="single" w:sz="4" w:space="0" w:color="auto"/>
                            </w:tcBorders>
                            <w:shd w:val="clear" w:color="000000" w:fill="FFFFFF"/>
                            <w:noWrap/>
                            <w:vAlign w:val="center"/>
                            <w:hideMark/>
                          </w:tcPr>
                          <w:p w14:paraId="5A1E268D"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1.03 ± 0.06</w:t>
                            </w:r>
                          </w:p>
                        </w:tc>
                        <w:tc>
                          <w:tcPr>
                            <w:tcW w:w="1286" w:type="dxa"/>
                            <w:tcBorders>
                              <w:top w:val="nil"/>
                              <w:left w:val="nil"/>
                              <w:bottom w:val="single" w:sz="4" w:space="0" w:color="auto"/>
                              <w:right w:val="single" w:sz="4" w:space="0" w:color="auto"/>
                            </w:tcBorders>
                            <w:shd w:val="clear" w:color="000000" w:fill="FFFFFF"/>
                            <w:noWrap/>
                            <w:vAlign w:val="center"/>
                            <w:hideMark/>
                          </w:tcPr>
                          <w:p w14:paraId="51B9E742"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1.57 ± 0.11</w:t>
                            </w:r>
                          </w:p>
                        </w:tc>
                        <w:tc>
                          <w:tcPr>
                            <w:tcW w:w="1148" w:type="dxa"/>
                            <w:tcBorders>
                              <w:top w:val="nil"/>
                              <w:left w:val="nil"/>
                              <w:bottom w:val="single" w:sz="4" w:space="0" w:color="auto"/>
                              <w:right w:val="single" w:sz="4" w:space="0" w:color="auto"/>
                            </w:tcBorders>
                            <w:shd w:val="clear" w:color="000000" w:fill="FFFFFF"/>
                            <w:noWrap/>
                            <w:vAlign w:val="center"/>
                            <w:hideMark/>
                          </w:tcPr>
                          <w:p w14:paraId="63E9A85D"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 </w:t>
                            </w:r>
                          </w:p>
                        </w:tc>
                        <w:tc>
                          <w:tcPr>
                            <w:tcW w:w="1286" w:type="dxa"/>
                            <w:tcBorders>
                              <w:top w:val="nil"/>
                              <w:left w:val="nil"/>
                              <w:bottom w:val="single" w:sz="4" w:space="0" w:color="auto"/>
                              <w:right w:val="single" w:sz="4" w:space="0" w:color="auto"/>
                            </w:tcBorders>
                            <w:shd w:val="clear" w:color="000000" w:fill="FFFFFF"/>
                            <w:noWrap/>
                            <w:vAlign w:val="center"/>
                            <w:hideMark/>
                          </w:tcPr>
                          <w:p w14:paraId="15ECEC60"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2.84 ± 0.12</w:t>
                            </w:r>
                          </w:p>
                        </w:tc>
                        <w:tc>
                          <w:tcPr>
                            <w:tcW w:w="1286" w:type="dxa"/>
                            <w:tcBorders>
                              <w:top w:val="nil"/>
                              <w:left w:val="nil"/>
                              <w:bottom w:val="single" w:sz="4" w:space="0" w:color="auto"/>
                              <w:right w:val="single" w:sz="4" w:space="0" w:color="auto"/>
                            </w:tcBorders>
                            <w:shd w:val="clear" w:color="000000" w:fill="FFFFFF"/>
                            <w:noWrap/>
                            <w:vAlign w:val="center"/>
                            <w:hideMark/>
                          </w:tcPr>
                          <w:p w14:paraId="3D34EAA1"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3.32 ± 0.12</w:t>
                            </w:r>
                          </w:p>
                        </w:tc>
                        <w:tc>
                          <w:tcPr>
                            <w:tcW w:w="1148" w:type="dxa"/>
                            <w:tcBorders>
                              <w:top w:val="nil"/>
                              <w:left w:val="nil"/>
                              <w:bottom w:val="single" w:sz="4" w:space="0" w:color="auto"/>
                              <w:right w:val="nil"/>
                            </w:tcBorders>
                            <w:shd w:val="clear" w:color="000000" w:fill="FFFFFF"/>
                            <w:noWrap/>
                            <w:vAlign w:val="center"/>
                            <w:hideMark/>
                          </w:tcPr>
                          <w:p w14:paraId="3219EE77"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 </w:t>
                            </w:r>
                          </w:p>
                        </w:tc>
                      </w:tr>
                      <w:tr w:rsidR="004D5334" w:rsidRPr="00F64A2F" w14:paraId="7365A5BD" w14:textId="77777777" w:rsidTr="00F55E7F">
                        <w:trPr>
                          <w:trHeight w:val="288"/>
                        </w:trPr>
                        <w:tc>
                          <w:tcPr>
                            <w:tcW w:w="1800" w:type="dxa"/>
                            <w:tcBorders>
                              <w:top w:val="nil"/>
                              <w:left w:val="nil"/>
                              <w:bottom w:val="single" w:sz="4" w:space="0" w:color="auto"/>
                              <w:right w:val="single" w:sz="4" w:space="0" w:color="auto"/>
                            </w:tcBorders>
                            <w:shd w:val="clear" w:color="000000" w:fill="FFFFFF"/>
                            <w:vAlign w:val="center"/>
                            <w:hideMark/>
                          </w:tcPr>
                          <w:p w14:paraId="114F290F" w14:textId="77777777" w:rsidR="004D5334" w:rsidRPr="00F64A2F" w:rsidRDefault="004D5334" w:rsidP="00F55E7F">
                            <w:pPr>
                              <w:spacing w:after="0"/>
                              <w:jc w:val="right"/>
                              <w:rPr>
                                <w:rFonts w:ascii="Times New Roman" w:hAnsi="Times New Roman"/>
                                <w:color w:val="000000"/>
                                <w:sz w:val="20"/>
                              </w:rPr>
                            </w:pPr>
                            <w:r w:rsidRPr="00F64A2F">
                              <w:rPr>
                                <w:rFonts w:ascii="Times New Roman" w:hAnsi="Times New Roman"/>
                                <w:color w:val="000000"/>
                                <w:sz w:val="20"/>
                              </w:rPr>
                              <w:t>junction area [mm²]</w:t>
                            </w:r>
                          </w:p>
                        </w:tc>
                        <w:tc>
                          <w:tcPr>
                            <w:tcW w:w="1286" w:type="dxa"/>
                            <w:tcBorders>
                              <w:top w:val="nil"/>
                              <w:left w:val="nil"/>
                              <w:bottom w:val="single" w:sz="4" w:space="0" w:color="auto"/>
                              <w:right w:val="single" w:sz="4" w:space="0" w:color="auto"/>
                            </w:tcBorders>
                            <w:shd w:val="clear" w:color="000000" w:fill="FFFFFF"/>
                            <w:noWrap/>
                            <w:vAlign w:val="center"/>
                            <w:hideMark/>
                          </w:tcPr>
                          <w:p w14:paraId="24E6D3BB"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1.16 ± 0.05</w:t>
                            </w:r>
                          </w:p>
                        </w:tc>
                        <w:tc>
                          <w:tcPr>
                            <w:tcW w:w="1286" w:type="dxa"/>
                            <w:tcBorders>
                              <w:top w:val="nil"/>
                              <w:left w:val="nil"/>
                              <w:bottom w:val="single" w:sz="4" w:space="0" w:color="auto"/>
                              <w:right w:val="single" w:sz="4" w:space="0" w:color="auto"/>
                            </w:tcBorders>
                            <w:shd w:val="clear" w:color="000000" w:fill="FFFFFF"/>
                            <w:noWrap/>
                            <w:vAlign w:val="center"/>
                            <w:hideMark/>
                          </w:tcPr>
                          <w:p w14:paraId="46557803"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1.93 ± 0.10</w:t>
                            </w:r>
                          </w:p>
                        </w:tc>
                        <w:tc>
                          <w:tcPr>
                            <w:tcW w:w="1148" w:type="dxa"/>
                            <w:tcBorders>
                              <w:top w:val="nil"/>
                              <w:left w:val="nil"/>
                              <w:bottom w:val="single" w:sz="4" w:space="0" w:color="auto"/>
                              <w:right w:val="single" w:sz="4" w:space="0" w:color="auto"/>
                            </w:tcBorders>
                            <w:shd w:val="clear" w:color="000000" w:fill="FFFFFF"/>
                            <w:noWrap/>
                            <w:vAlign w:val="center"/>
                            <w:hideMark/>
                          </w:tcPr>
                          <w:p w14:paraId="57E9E514"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 </w:t>
                            </w:r>
                          </w:p>
                        </w:tc>
                        <w:tc>
                          <w:tcPr>
                            <w:tcW w:w="1286" w:type="dxa"/>
                            <w:tcBorders>
                              <w:top w:val="nil"/>
                              <w:left w:val="nil"/>
                              <w:bottom w:val="single" w:sz="4" w:space="0" w:color="auto"/>
                              <w:right w:val="single" w:sz="4" w:space="0" w:color="auto"/>
                            </w:tcBorders>
                            <w:shd w:val="clear" w:color="000000" w:fill="FFFFFF"/>
                            <w:noWrap/>
                            <w:vAlign w:val="center"/>
                            <w:hideMark/>
                          </w:tcPr>
                          <w:p w14:paraId="43060FE0"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3.28 ± 0.10</w:t>
                            </w:r>
                          </w:p>
                        </w:tc>
                        <w:tc>
                          <w:tcPr>
                            <w:tcW w:w="1286" w:type="dxa"/>
                            <w:tcBorders>
                              <w:top w:val="nil"/>
                              <w:left w:val="nil"/>
                              <w:bottom w:val="single" w:sz="4" w:space="0" w:color="auto"/>
                              <w:right w:val="single" w:sz="4" w:space="0" w:color="auto"/>
                            </w:tcBorders>
                            <w:shd w:val="clear" w:color="000000" w:fill="FFFFFF"/>
                            <w:noWrap/>
                            <w:vAlign w:val="center"/>
                            <w:hideMark/>
                          </w:tcPr>
                          <w:p w14:paraId="5A9BD585"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4.01 ± 0.09</w:t>
                            </w:r>
                          </w:p>
                        </w:tc>
                        <w:tc>
                          <w:tcPr>
                            <w:tcW w:w="1148" w:type="dxa"/>
                            <w:tcBorders>
                              <w:top w:val="nil"/>
                              <w:left w:val="nil"/>
                              <w:bottom w:val="single" w:sz="4" w:space="0" w:color="auto"/>
                              <w:right w:val="nil"/>
                            </w:tcBorders>
                            <w:shd w:val="clear" w:color="000000" w:fill="FFFFFF"/>
                            <w:noWrap/>
                            <w:vAlign w:val="center"/>
                            <w:hideMark/>
                          </w:tcPr>
                          <w:p w14:paraId="275B44A8"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 </w:t>
                            </w:r>
                          </w:p>
                        </w:tc>
                      </w:tr>
                      <w:tr w:rsidR="004D5334" w:rsidRPr="00F64A2F" w14:paraId="78E34FAE" w14:textId="77777777" w:rsidTr="00F55E7F">
                        <w:trPr>
                          <w:trHeight w:val="288"/>
                        </w:trPr>
                        <w:tc>
                          <w:tcPr>
                            <w:tcW w:w="1800" w:type="dxa"/>
                            <w:tcBorders>
                              <w:top w:val="nil"/>
                              <w:left w:val="nil"/>
                              <w:bottom w:val="single" w:sz="4" w:space="0" w:color="auto"/>
                              <w:right w:val="single" w:sz="4" w:space="0" w:color="auto"/>
                            </w:tcBorders>
                            <w:shd w:val="clear" w:color="000000" w:fill="FFFFFF"/>
                            <w:vAlign w:val="center"/>
                            <w:hideMark/>
                          </w:tcPr>
                          <w:p w14:paraId="1D943328" w14:textId="77777777" w:rsidR="004D5334" w:rsidRPr="00F64A2F" w:rsidRDefault="004D5334" w:rsidP="00F55E7F">
                            <w:pPr>
                              <w:spacing w:after="0"/>
                              <w:jc w:val="right"/>
                              <w:rPr>
                                <w:rFonts w:ascii="Times New Roman" w:hAnsi="Times New Roman"/>
                                <w:color w:val="000000"/>
                                <w:sz w:val="20"/>
                              </w:rPr>
                            </w:pPr>
                            <w:r w:rsidRPr="00F64A2F">
                              <w:rPr>
                                <w:rFonts w:ascii="Times New Roman" w:hAnsi="Times New Roman"/>
                                <w:color w:val="000000"/>
                                <w:sz w:val="20"/>
                              </w:rPr>
                              <w:t>full mesa area [mm²]</w:t>
                            </w:r>
                          </w:p>
                        </w:tc>
                        <w:tc>
                          <w:tcPr>
                            <w:tcW w:w="1286" w:type="dxa"/>
                            <w:tcBorders>
                              <w:top w:val="nil"/>
                              <w:left w:val="nil"/>
                              <w:bottom w:val="single" w:sz="4" w:space="0" w:color="auto"/>
                              <w:right w:val="single" w:sz="4" w:space="0" w:color="auto"/>
                            </w:tcBorders>
                            <w:shd w:val="clear" w:color="000000" w:fill="FFFFFF"/>
                            <w:noWrap/>
                            <w:vAlign w:val="center"/>
                            <w:hideMark/>
                          </w:tcPr>
                          <w:p w14:paraId="597B43CC"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1.93 ± 0.10</w:t>
                            </w:r>
                          </w:p>
                        </w:tc>
                        <w:tc>
                          <w:tcPr>
                            <w:tcW w:w="1286" w:type="dxa"/>
                            <w:tcBorders>
                              <w:top w:val="nil"/>
                              <w:left w:val="nil"/>
                              <w:bottom w:val="single" w:sz="4" w:space="0" w:color="auto"/>
                              <w:right w:val="single" w:sz="4" w:space="0" w:color="auto"/>
                            </w:tcBorders>
                            <w:shd w:val="clear" w:color="000000" w:fill="FFFFFF"/>
                            <w:noWrap/>
                            <w:vAlign w:val="center"/>
                            <w:hideMark/>
                          </w:tcPr>
                          <w:p w14:paraId="68E4C0C6"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1.93 ± 0.10</w:t>
                            </w:r>
                          </w:p>
                        </w:tc>
                        <w:tc>
                          <w:tcPr>
                            <w:tcW w:w="1148" w:type="dxa"/>
                            <w:tcBorders>
                              <w:top w:val="nil"/>
                              <w:left w:val="nil"/>
                              <w:bottom w:val="single" w:sz="4" w:space="0" w:color="auto"/>
                              <w:right w:val="single" w:sz="4" w:space="0" w:color="auto"/>
                            </w:tcBorders>
                            <w:shd w:val="clear" w:color="000000" w:fill="FFFFFF"/>
                            <w:noWrap/>
                            <w:vAlign w:val="center"/>
                            <w:hideMark/>
                          </w:tcPr>
                          <w:p w14:paraId="2AC459B4"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 </w:t>
                            </w:r>
                          </w:p>
                        </w:tc>
                        <w:tc>
                          <w:tcPr>
                            <w:tcW w:w="1286" w:type="dxa"/>
                            <w:tcBorders>
                              <w:top w:val="nil"/>
                              <w:left w:val="nil"/>
                              <w:bottom w:val="single" w:sz="4" w:space="0" w:color="auto"/>
                              <w:right w:val="single" w:sz="4" w:space="0" w:color="auto"/>
                            </w:tcBorders>
                            <w:shd w:val="clear" w:color="000000" w:fill="FFFFFF"/>
                            <w:noWrap/>
                            <w:vAlign w:val="center"/>
                            <w:hideMark/>
                          </w:tcPr>
                          <w:p w14:paraId="49B205D6"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4.01 ± 0.09</w:t>
                            </w:r>
                          </w:p>
                        </w:tc>
                        <w:tc>
                          <w:tcPr>
                            <w:tcW w:w="1286" w:type="dxa"/>
                            <w:tcBorders>
                              <w:top w:val="nil"/>
                              <w:left w:val="nil"/>
                              <w:bottom w:val="single" w:sz="4" w:space="0" w:color="auto"/>
                              <w:right w:val="single" w:sz="4" w:space="0" w:color="auto"/>
                            </w:tcBorders>
                            <w:shd w:val="clear" w:color="000000" w:fill="FFFFFF"/>
                            <w:noWrap/>
                            <w:vAlign w:val="center"/>
                            <w:hideMark/>
                          </w:tcPr>
                          <w:p w14:paraId="4D96CC77"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4.01 ± 0.09</w:t>
                            </w:r>
                          </w:p>
                        </w:tc>
                        <w:tc>
                          <w:tcPr>
                            <w:tcW w:w="1148" w:type="dxa"/>
                            <w:tcBorders>
                              <w:top w:val="nil"/>
                              <w:left w:val="nil"/>
                              <w:bottom w:val="single" w:sz="4" w:space="0" w:color="auto"/>
                              <w:right w:val="nil"/>
                            </w:tcBorders>
                            <w:shd w:val="clear" w:color="000000" w:fill="FFFFFF"/>
                            <w:noWrap/>
                            <w:vAlign w:val="center"/>
                            <w:hideMark/>
                          </w:tcPr>
                          <w:p w14:paraId="2D2ED663"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 </w:t>
                            </w:r>
                          </w:p>
                        </w:tc>
                      </w:tr>
                      <w:tr w:rsidR="004D5334" w:rsidRPr="00F64A2F" w14:paraId="43B776FD" w14:textId="77777777" w:rsidTr="00F55E7F">
                        <w:trPr>
                          <w:trHeight w:val="528"/>
                        </w:trPr>
                        <w:tc>
                          <w:tcPr>
                            <w:tcW w:w="1800" w:type="dxa"/>
                            <w:tcBorders>
                              <w:top w:val="nil"/>
                              <w:left w:val="nil"/>
                              <w:bottom w:val="single" w:sz="4" w:space="0" w:color="auto"/>
                              <w:right w:val="single" w:sz="4" w:space="0" w:color="auto"/>
                            </w:tcBorders>
                            <w:shd w:val="clear" w:color="000000" w:fill="FFFFFF"/>
                            <w:vAlign w:val="center"/>
                            <w:hideMark/>
                          </w:tcPr>
                          <w:p w14:paraId="4374BD7F" w14:textId="77777777" w:rsidR="004D5334" w:rsidRPr="00F64A2F" w:rsidRDefault="004D5334" w:rsidP="00F55E7F">
                            <w:pPr>
                              <w:spacing w:after="0"/>
                              <w:jc w:val="right"/>
                              <w:rPr>
                                <w:rFonts w:ascii="Times New Roman" w:hAnsi="Times New Roman"/>
                                <w:color w:val="000000"/>
                                <w:sz w:val="20"/>
                              </w:rPr>
                            </w:pPr>
                            <w:r w:rsidRPr="00F64A2F">
                              <w:rPr>
                                <w:rFonts w:ascii="Times New Roman" w:hAnsi="Times New Roman"/>
                                <w:i/>
                                <w:iCs/>
                                <w:color w:val="000000"/>
                                <w:sz w:val="20"/>
                              </w:rPr>
                              <w:t>η</w:t>
                            </w:r>
                            <w:r w:rsidRPr="00F64A2F">
                              <w:rPr>
                                <w:rFonts w:ascii="Times New Roman" w:hAnsi="Times New Roman"/>
                                <w:color w:val="000000"/>
                                <w:sz w:val="20"/>
                              </w:rPr>
                              <w:t xml:space="preserve"> calculated using illumination area [%]</w:t>
                            </w:r>
                          </w:p>
                        </w:tc>
                        <w:tc>
                          <w:tcPr>
                            <w:tcW w:w="1286" w:type="dxa"/>
                            <w:tcBorders>
                              <w:top w:val="nil"/>
                              <w:left w:val="nil"/>
                              <w:bottom w:val="single" w:sz="4" w:space="0" w:color="auto"/>
                              <w:right w:val="single" w:sz="4" w:space="0" w:color="auto"/>
                            </w:tcBorders>
                            <w:shd w:val="clear" w:color="000000" w:fill="FFFFFF"/>
                            <w:noWrap/>
                            <w:vAlign w:val="center"/>
                            <w:hideMark/>
                          </w:tcPr>
                          <w:p w14:paraId="70969191"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15.9 ± 1.5</w:t>
                            </w:r>
                          </w:p>
                        </w:tc>
                        <w:tc>
                          <w:tcPr>
                            <w:tcW w:w="1286" w:type="dxa"/>
                            <w:tcBorders>
                              <w:top w:val="nil"/>
                              <w:left w:val="nil"/>
                              <w:bottom w:val="single" w:sz="4" w:space="0" w:color="auto"/>
                              <w:right w:val="single" w:sz="4" w:space="0" w:color="auto"/>
                            </w:tcBorders>
                            <w:shd w:val="clear" w:color="000000" w:fill="FFFFFF"/>
                            <w:noWrap/>
                            <w:vAlign w:val="center"/>
                            <w:hideMark/>
                          </w:tcPr>
                          <w:p w14:paraId="5B5B5F1C"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11.9 ± 1.3</w:t>
                            </w:r>
                          </w:p>
                        </w:tc>
                        <w:tc>
                          <w:tcPr>
                            <w:tcW w:w="1148" w:type="dxa"/>
                            <w:tcBorders>
                              <w:top w:val="nil"/>
                              <w:left w:val="nil"/>
                              <w:bottom w:val="single" w:sz="4" w:space="0" w:color="auto"/>
                              <w:right w:val="single" w:sz="4" w:space="0" w:color="auto"/>
                            </w:tcBorders>
                            <w:shd w:val="clear" w:color="000000" w:fill="FFFFFF"/>
                            <w:noWrap/>
                            <w:vAlign w:val="center"/>
                            <w:hideMark/>
                          </w:tcPr>
                          <w:p w14:paraId="5B5CA3B1"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27.8 ± 2.9</w:t>
                            </w:r>
                          </w:p>
                        </w:tc>
                        <w:tc>
                          <w:tcPr>
                            <w:tcW w:w="1286" w:type="dxa"/>
                            <w:tcBorders>
                              <w:top w:val="nil"/>
                              <w:left w:val="nil"/>
                              <w:bottom w:val="single" w:sz="4" w:space="0" w:color="auto"/>
                              <w:right w:val="single" w:sz="4" w:space="0" w:color="auto"/>
                            </w:tcBorders>
                            <w:shd w:val="clear" w:color="000000" w:fill="FFFFFF"/>
                            <w:noWrap/>
                            <w:vAlign w:val="center"/>
                            <w:hideMark/>
                          </w:tcPr>
                          <w:p w14:paraId="0C009412"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14.4 ± 1.2</w:t>
                            </w:r>
                          </w:p>
                        </w:tc>
                        <w:tc>
                          <w:tcPr>
                            <w:tcW w:w="1286" w:type="dxa"/>
                            <w:tcBorders>
                              <w:top w:val="nil"/>
                              <w:left w:val="nil"/>
                              <w:bottom w:val="single" w:sz="4" w:space="0" w:color="auto"/>
                              <w:right w:val="single" w:sz="4" w:space="0" w:color="auto"/>
                            </w:tcBorders>
                            <w:shd w:val="clear" w:color="000000" w:fill="FFFFFF"/>
                            <w:noWrap/>
                            <w:vAlign w:val="center"/>
                            <w:hideMark/>
                          </w:tcPr>
                          <w:p w14:paraId="0D3D370E"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10.4 ± 0.8</w:t>
                            </w:r>
                          </w:p>
                        </w:tc>
                        <w:tc>
                          <w:tcPr>
                            <w:tcW w:w="1148" w:type="dxa"/>
                            <w:tcBorders>
                              <w:top w:val="nil"/>
                              <w:left w:val="nil"/>
                              <w:bottom w:val="single" w:sz="4" w:space="0" w:color="auto"/>
                              <w:right w:val="nil"/>
                            </w:tcBorders>
                            <w:shd w:val="clear" w:color="000000" w:fill="FFFFFF"/>
                            <w:noWrap/>
                            <w:vAlign w:val="center"/>
                            <w:hideMark/>
                          </w:tcPr>
                          <w:p w14:paraId="0075D6A0"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24.8 ± 2.0</w:t>
                            </w:r>
                          </w:p>
                        </w:tc>
                      </w:tr>
                      <w:tr w:rsidR="004D5334" w:rsidRPr="00F64A2F" w14:paraId="6D152EFD" w14:textId="77777777" w:rsidTr="00F55E7F">
                        <w:trPr>
                          <w:trHeight w:val="528"/>
                        </w:trPr>
                        <w:tc>
                          <w:tcPr>
                            <w:tcW w:w="1800" w:type="dxa"/>
                            <w:tcBorders>
                              <w:top w:val="nil"/>
                              <w:left w:val="nil"/>
                              <w:bottom w:val="nil"/>
                              <w:right w:val="single" w:sz="4" w:space="0" w:color="auto"/>
                            </w:tcBorders>
                            <w:shd w:val="clear" w:color="000000" w:fill="FFFFFF"/>
                            <w:vAlign w:val="center"/>
                            <w:hideMark/>
                          </w:tcPr>
                          <w:p w14:paraId="705CB0F5" w14:textId="77777777" w:rsidR="004D5334" w:rsidRPr="00F64A2F" w:rsidRDefault="004D5334" w:rsidP="00F55E7F">
                            <w:pPr>
                              <w:spacing w:after="0"/>
                              <w:jc w:val="right"/>
                              <w:rPr>
                                <w:rFonts w:ascii="Times New Roman" w:hAnsi="Times New Roman"/>
                                <w:color w:val="000000"/>
                                <w:sz w:val="20"/>
                              </w:rPr>
                            </w:pPr>
                            <w:r w:rsidRPr="00F64A2F">
                              <w:rPr>
                                <w:rFonts w:ascii="Times New Roman" w:hAnsi="Times New Roman"/>
                                <w:i/>
                                <w:iCs/>
                                <w:color w:val="000000"/>
                                <w:sz w:val="20"/>
                              </w:rPr>
                              <w:t>η</w:t>
                            </w:r>
                            <w:r w:rsidRPr="00F64A2F">
                              <w:rPr>
                                <w:rFonts w:ascii="Times New Roman" w:hAnsi="Times New Roman"/>
                                <w:color w:val="000000"/>
                                <w:sz w:val="20"/>
                              </w:rPr>
                              <w:t xml:space="preserve"> calculated using junction area [%]</w:t>
                            </w:r>
                          </w:p>
                        </w:tc>
                        <w:tc>
                          <w:tcPr>
                            <w:tcW w:w="1286" w:type="dxa"/>
                            <w:tcBorders>
                              <w:top w:val="nil"/>
                              <w:left w:val="nil"/>
                              <w:bottom w:val="nil"/>
                              <w:right w:val="single" w:sz="4" w:space="0" w:color="auto"/>
                            </w:tcBorders>
                            <w:shd w:val="clear" w:color="000000" w:fill="FFFFFF"/>
                            <w:noWrap/>
                            <w:vAlign w:val="center"/>
                            <w:hideMark/>
                          </w:tcPr>
                          <w:p w14:paraId="2EFDA5A2"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14.0 ± 1.1</w:t>
                            </w:r>
                          </w:p>
                        </w:tc>
                        <w:tc>
                          <w:tcPr>
                            <w:tcW w:w="1286" w:type="dxa"/>
                            <w:tcBorders>
                              <w:top w:val="nil"/>
                              <w:left w:val="nil"/>
                              <w:bottom w:val="nil"/>
                              <w:right w:val="single" w:sz="4" w:space="0" w:color="auto"/>
                            </w:tcBorders>
                            <w:shd w:val="clear" w:color="000000" w:fill="FFFFFF"/>
                            <w:noWrap/>
                            <w:vAlign w:val="center"/>
                            <w:hideMark/>
                          </w:tcPr>
                          <w:p w14:paraId="53C810CA"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9.7 ± 0.9</w:t>
                            </w:r>
                          </w:p>
                        </w:tc>
                        <w:tc>
                          <w:tcPr>
                            <w:tcW w:w="1148" w:type="dxa"/>
                            <w:tcBorders>
                              <w:top w:val="nil"/>
                              <w:left w:val="nil"/>
                              <w:bottom w:val="nil"/>
                              <w:right w:val="single" w:sz="4" w:space="0" w:color="auto"/>
                            </w:tcBorders>
                            <w:shd w:val="clear" w:color="000000" w:fill="FFFFFF"/>
                            <w:noWrap/>
                            <w:vAlign w:val="center"/>
                            <w:hideMark/>
                          </w:tcPr>
                          <w:p w14:paraId="3D390686"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23.7 ± 2.0</w:t>
                            </w:r>
                          </w:p>
                        </w:tc>
                        <w:tc>
                          <w:tcPr>
                            <w:tcW w:w="1286" w:type="dxa"/>
                            <w:tcBorders>
                              <w:top w:val="nil"/>
                              <w:left w:val="nil"/>
                              <w:bottom w:val="nil"/>
                              <w:right w:val="single" w:sz="4" w:space="0" w:color="auto"/>
                            </w:tcBorders>
                            <w:shd w:val="clear" w:color="000000" w:fill="FFFFFF"/>
                            <w:noWrap/>
                            <w:vAlign w:val="center"/>
                            <w:hideMark/>
                          </w:tcPr>
                          <w:p w14:paraId="4FBC2728"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12.8 ± 0.9</w:t>
                            </w:r>
                          </w:p>
                        </w:tc>
                        <w:tc>
                          <w:tcPr>
                            <w:tcW w:w="1286" w:type="dxa"/>
                            <w:tcBorders>
                              <w:top w:val="nil"/>
                              <w:left w:val="nil"/>
                              <w:bottom w:val="nil"/>
                              <w:right w:val="single" w:sz="4" w:space="0" w:color="auto"/>
                            </w:tcBorders>
                            <w:shd w:val="clear" w:color="000000" w:fill="FFFFFF"/>
                            <w:noWrap/>
                            <w:vAlign w:val="center"/>
                            <w:hideMark/>
                          </w:tcPr>
                          <w:p w14:paraId="003719A1"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8.5 ± 0.5</w:t>
                            </w:r>
                          </w:p>
                        </w:tc>
                        <w:tc>
                          <w:tcPr>
                            <w:tcW w:w="1148" w:type="dxa"/>
                            <w:tcBorders>
                              <w:top w:val="nil"/>
                              <w:left w:val="nil"/>
                              <w:bottom w:val="nil"/>
                              <w:right w:val="nil"/>
                            </w:tcBorders>
                            <w:shd w:val="clear" w:color="000000" w:fill="FFFFFF"/>
                            <w:noWrap/>
                            <w:vAlign w:val="center"/>
                            <w:hideMark/>
                          </w:tcPr>
                          <w:p w14:paraId="5CDEDEC6"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21.3 ± 1.4</w:t>
                            </w:r>
                          </w:p>
                        </w:tc>
                      </w:tr>
                      <w:tr w:rsidR="004D5334" w:rsidRPr="00F64A2F" w14:paraId="56378E04" w14:textId="77777777" w:rsidTr="00F55E7F">
                        <w:trPr>
                          <w:trHeight w:val="528"/>
                        </w:trPr>
                        <w:tc>
                          <w:tcPr>
                            <w:tcW w:w="1800" w:type="dxa"/>
                            <w:tcBorders>
                              <w:top w:val="single" w:sz="4" w:space="0" w:color="auto"/>
                              <w:left w:val="nil"/>
                              <w:bottom w:val="nil"/>
                              <w:right w:val="single" w:sz="4" w:space="0" w:color="auto"/>
                            </w:tcBorders>
                            <w:shd w:val="clear" w:color="000000" w:fill="FFFFFF"/>
                            <w:vAlign w:val="center"/>
                            <w:hideMark/>
                          </w:tcPr>
                          <w:p w14:paraId="60B89F10" w14:textId="06B52FA7" w:rsidR="004D5334" w:rsidRPr="00F64A2F" w:rsidRDefault="004D5334" w:rsidP="00F55E7F">
                            <w:pPr>
                              <w:spacing w:after="0"/>
                              <w:jc w:val="right"/>
                              <w:rPr>
                                <w:rFonts w:ascii="Times New Roman" w:hAnsi="Times New Roman"/>
                                <w:color w:val="000000"/>
                                <w:sz w:val="20"/>
                              </w:rPr>
                            </w:pPr>
                            <w:r w:rsidRPr="00F64A2F">
                              <w:rPr>
                                <w:rFonts w:ascii="Times New Roman" w:hAnsi="Times New Roman"/>
                                <w:i/>
                                <w:iCs/>
                                <w:color w:val="000000"/>
                                <w:sz w:val="20"/>
                              </w:rPr>
                              <w:t>η</w:t>
                            </w:r>
                            <w:r w:rsidRPr="00F64A2F">
                              <w:rPr>
                                <w:rFonts w:ascii="Times New Roman" w:hAnsi="Times New Roman"/>
                                <w:color w:val="000000"/>
                                <w:sz w:val="20"/>
                              </w:rPr>
                              <w:t xml:space="preserve"> calculated using </w:t>
                            </w:r>
                            <w:r>
                              <w:rPr>
                                <w:rFonts w:ascii="Times New Roman" w:hAnsi="Times New Roman"/>
                                <w:color w:val="000000"/>
                                <w:sz w:val="20"/>
                              </w:rPr>
                              <w:t>whole</w:t>
                            </w:r>
                            <w:r w:rsidRPr="00F64A2F">
                              <w:rPr>
                                <w:rFonts w:ascii="Times New Roman" w:hAnsi="Times New Roman"/>
                                <w:color w:val="000000"/>
                                <w:sz w:val="20"/>
                              </w:rPr>
                              <w:t xml:space="preserve"> mesa area [%]</w:t>
                            </w:r>
                          </w:p>
                        </w:tc>
                        <w:tc>
                          <w:tcPr>
                            <w:tcW w:w="1286" w:type="dxa"/>
                            <w:tcBorders>
                              <w:top w:val="single" w:sz="4" w:space="0" w:color="auto"/>
                              <w:left w:val="nil"/>
                              <w:bottom w:val="nil"/>
                              <w:right w:val="single" w:sz="4" w:space="0" w:color="auto"/>
                            </w:tcBorders>
                            <w:shd w:val="clear" w:color="000000" w:fill="FFFFFF"/>
                            <w:noWrap/>
                            <w:vAlign w:val="center"/>
                            <w:hideMark/>
                          </w:tcPr>
                          <w:p w14:paraId="25BB0C18"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8.5 ± 0.8</w:t>
                            </w:r>
                          </w:p>
                        </w:tc>
                        <w:tc>
                          <w:tcPr>
                            <w:tcW w:w="1286" w:type="dxa"/>
                            <w:tcBorders>
                              <w:top w:val="single" w:sz="4" w:space="0" w:color="auto"/>
                              <w:left w:val="nil"/>
                              <w:bottom w:val="nil"/>
                              <w:right w:val="single" w:sz="4" w:space="0" w:color="auto"/>
                            </w:tcBorders>
                            <w:shd w:val="clear" w:color="000000" w:fill="FFFFFF"/>
                            <w:noWrap/>
                            <w:vAlign w:val="center"/>
                            <w:hideMark/>
                          </w:tcPr>
                          <w:p w14:paraId="13CBC20C"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9.7 ± 0.9</w:t>
                            </w:r>
                          </w:p>
                        </w:tc>
                        <w:tc>
                          <w:tcPr>
                            <w:tcW w:w="1148" w:type="dxa"/>
                            <w:tcBorders>
                              <w:top w:val="single" w:sz="4" w:space="0" w:color="auto"/>
                              <w:left w:val="nil"/>
                              <w:bottom w:val="nil"/>
                              <w:right w:val="single" w:sz="4" w:space="0" w:color="auto"/>
                            </w:tcBorders>
                            <w:shd w:val="clear" w:color="000000" w:fill="FFFFFF"/>
                            <w:noWrap/>
                            <w:vAlign w:val="center"/>
                            <w:hideMark/>
                          </w:tcPr>
                          <w:p w14:paraId="0AE00B39"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18.2 ± 1.6</w:t>
                            </w:r>
                          </w:p>
                        </w:tc>
                        <w:tc>
                          <w:tcPr>
                            <w:tcW w:w="1286" w:type="dxa"/>
                            <w:tcBorders>
                              <w:top w:val="single" w:sz="4" w:space="0" w:color="auto"/>
                              <w:left w:val="nil"/>
                              <w:bottom w:val="nil"/>
                              <w:right w:val="single" w:sz="4" w:space="0" w:color="auto"/>
                            </w:tcBorders>
                            <w:shd w:val="clear" w:color="000000" w:fill="FFFFFF"/>
                            <w:noWrap/>
                            <w:vAlign w:val="center"/>
                            <w:hideMark/>
                          </w:tcPr>
                          <w:p w14:paraId="501B3A69"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10.5 ± 0.7</w:t>
                            </w:r>
                          </w:p>
                        </w:tc>
                        <w:tc>
                          <w:tcPr>
                            <w:tcW w:w="1286" w:type="dxa"/>
                            <w:tcBorders>
                              <w:top w:val="single" w:sz="4" w:space="0" w:color="auto"/>
                              <w:left w:val="nil"/>
                              <w:bottom w:val="nil"/>
                              <w:right w:val="single" w:sz="4" w:space="0" w:color="auto"/>
                            </w:tcBorders>
                            <w:shd w:val="clear" w:color="000000" w:fill="FFFFFF"/>
                            <w:noWrap/>
                            <w:vAlign w:val="center"/>
                            <w:hideMark/>
                          </w:tcPr>
                          <w:p w14:paraId="3F9CAA88"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8.5 ± 0.5</w:t>
                            </w:r>
                          </w:p>
                        </w:tc>
                        <w:tc>
                          <w:tcPr>
                            <w:tcW w:w="1148" w:type="dxa"/>
                            <w:tcBorders>
                              <w:top w:val="single" w:sz="4" w:space="0" w:color="auto"/>
                              <w:left w:val="nil"/>
                              <w:bottom w:val="nil"/>
                              <w:right w:val="nil"/>
                            </w:tcBorders>
                            <w:shd w:val="clear" w:color="000000" w:fill="FFFFFF"/>
                            <w:noWrap/>
                            <w:vAlign w:val="center"/>
                            <w:hideMark/>
                          </w:tcPr>
                          <w:p w14:paraId="7846FBD2" w14:textId="77777777" w:rsidR="004D5334" w:rsidRPr="00F64A2F" w:rsidRDefault="004D5334" w:rsidP="00F55E7F">
                            <w:pPr>
                              <w:spacing w:after="0"/>
                              <w:jc w:val="center"/>
                              <w:rPr>
                                <w:rFonts w:ascii="Times New Roman" w:hAnsi="Times New Roman"/>
                                <w:color w:val="000000"/>
                                <w:sz w:val="20"/>
                              </w:rPr>
                            </w:pPr>
                            <w:r w:rsidRPr="00F64A2F">
                              <w:rPr>
                                <w:rFonts w:ascii="Times New Roman" w:hAnsi="Times New Roman"/>
                                <w:color w:val="000000"/>
                                <w:sz w:val="20"/>
                              </w:rPr>
                              <w:t>19.0 ± 1.2</w:t>
                            </w:r>
                          </w:p>
                        </w:tc>
                      </w:tr>
                    </w:tbl>
                    <w:p w14:paraId="1B91DD1D" w14:textId="77777777" w:rsidR="004D5334" w:rsidRPr="00F64A2F" w:rsidRDefault="004D5334" w:rsidP="001E2AAE">
                      <w:pPr>
                        <w:rPr>
                          <w:rFonts w:ascii="Times New Roman" w:hAnsi="Times New Roman"/>
                        </w:rPr>
                      </w:pPr>
                    </w:p>
                  </w:txbxContent>
                </v:textbox>
                <w10:anchorlock/>
              </v:shape>
            </w:pict>
          </mc:Fallback>
        </mc:AlternateContent>
      </w:r>
    </w:p>
    <w:p w14:paraId="2525E1C1" w14:textId="65542C4E" w:rsidR="00D36666" w:rsidRPr="00847190" w:rsidRDefault="00D36666" w:rsidP="00D36666">
      <w:pPr>
        <w:spacing w:after="0"/>
        <w:jc w:val="left"/>
        <w:rPr>
          <w:u w:val="single"/>
        </w:rPr>
      </w:pPr>
      <w:r w:rsidRPr="00E949C7">
        <w:rPr>
          <w:rFonts w:asciiTheme="minorHAnsi" w:hAnsiTheme="minorHAnsi" w:cstheme="minorHAnsi"/>
          <w:b/>
          <w:noProof/>
          <w:kern w:val="22"/>
          <w:szCs w:val="24"/>
        </w:rPr>
        <w:lastRenderedPageBreak/>
        <mc:AlternateContent>
          <mc:Choice Requires="wps">
            <w:drawing>
              <wp:anchor distT="45720" distB="45720" distL="114300" distR="114300" simplePos="0" relativeHeight="251711488" behindDoc="0" locked="0" layoutInCell="1" allowOverlap="1" wp14:anchorId="39527517" wp14:editId="458ACD3E">
                <wp:simplePos x="0" y="0"/>
                <wp:positionH relativeFrom="margin">
                  <wp:align>right</wp:align>
                </wp:positionH>
                <wp:positionV relativeFrom="paragraph">
                  <wp:posOffset>382270</wp:posOffset>
                </wp:positionV>
                <wp:extent cx="5921375" cy="2806700"/>
                <wp:effectExtent l="0" t="0" r="317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2806700"/>
                        </a:xfrm>
                        <a:prstGeom prst="rect">
                          <a:avLst/>
                        </a:prstGeom>
                        <a:solidFill>
                          <a:srgbClr val="FFFFFF"/>
                        </a:solidFill>
                        <a:ln w="9525">
                          <a:noFill/>
                          <a:miter lim="800000"/>
                          <a:headEnd/>
                          <a:tailEnd/>
                        </a:ln>
                      </wps:spPr>
                      <wps:txbx>
                        <w:txbxContent>
                          <w:p w14:paraId="04E072CC" w14:textId="5E9518DD" w:rsidR="004D5334" w:rsidRDefault="004D5334" w:rsidP="00D36666">
                            <w:pPr>
                              <w:jc w:val="center"/>
                            </w:pPr>
                            <w:r>
                              <w:rPr>
                                <w:noProof/>
                              </w:rPr>
                              <w:drawing>
                                <wp:inline distT="0" distB="0" distL="0" distR="0" wp14:anchorId="0F8867DB" wp14:editId="498F722C">
                                  <wp:extent cx="5751576" cy="2156840"/>
                                  <wp:effectExtent l="0" t="0" r="1905" b="0"/>
                                  <wp:docPr id="59"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1">
                                            <a:extLst>
                                              <a:ext uri="{28A0092B-C50C-407E-A947-70E740481C1C}">
                                                <a14:useLocalDpi xmlns:a14="http://schemas.microsoft.com/office/drawing/2010/main" val="0"/>
                                              </a:ext>
                                            </a:extLst>
                                          </a:blip>
                                          <a:stretch>
                                            <a:fillRect/>
                                          </a:stretch>
                                        </pic:blipFill>
                                        <pic:spPr>
                                          <a:xfrm>
                                            <a:off x="0" y="0"/>
                                            <a:ext cx="5751576" cy="2156840"/>
                                          </a:xfrm>
                                          <a:prstGeom prst="rect">
                                            <a:avLst/>
                                          </a:prstGeom>
                                        </pic:spPr>
                                      </pic:pic>
                                    </a:graphicData>
                                  </a:graphic>
                                </wp:inline>
                              </w:drawing>
                            </w:r>
                          </w:p>
                          <w:p w14:paraId="31A0BE6C" w14:textId="514195E2" w:rsidR="004D5334" w:rsidRPr="00F5505F" w:rsidRDefault="004D5334" w:rsidP="00D36666">
                            <w:pPr>
                              <w:pStyle w:val="VAFigureCaption"/>
                              <w:spacing w:line="264" w:lineRule="auto"/>
                              <w:rPr>
                                <w:sz w:val="22"/>
                                <w:szCs w:val="18"/>
                              </w:rPr>
                            </w:pPr>
                            <w:r w:rsidRPr="00F5505F">
                              <w:rPr>
                                <w:sz w:val="22"/>
                                <w:szCs w:val="18"/>
                              </w:rPr>
                              <w:t>Figure S4</w:t>
                            </w:r>
                            <w:r>
                              <w:rPr>
                                <w:sz w:val="22"/>
                                <w:szCs w:val="18"/>
                              </w:rPr>
                              <w:t>.1</w:t>
                            </w:r>
                            <w:r w:rsidRPr="00F5505F">
                              <w:rPr>
                                <w:sz w:val="22"/>
                                <w:szCs w:val="18"/>
                              </w:rPr>
                              <w:t xml:space="preserve">: External quantum efficiency (EQE) measurements of the two devices depicted in Figure S3. (a) EQE of the bottom junctions. (b) EQE of the top junctions.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27517" id="_x0000_s1030" type="#_x0000_t202" style="position:absolute;margin-left:415.05pt;margin-top:30.1pt;width:466.25pt;height:221pt;z-index:251711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" stroked="f">
                <v:textbox>
                  <w:txbxContent>
                    <w:p w14:paraId="04E072CC" w14:textId="5E9518DD" w:rsidR="004D5334" w:rsidRDefault="004D5334" w:rsidP="00D36666">
                      <w:pPr>
                        <w:jc w:val="center"/>
                      </w:pPr>
                      <w:r>
                        <w:rPr>
                          <w:noProof/>
                        </w:rPr>
                        <w:drawing>
                          <wp:inline distT="0" distB="0" distL="0" distR="0" wp14:anchorId="0F8867DB" wp14:editId="498F722C">
                            <wp:extent cx="5751576" cy="2156840"/>
                            <wp:effectExtent l="0" t="0" r="1905" b="0"/>
                            <wp:docPr id="59"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1">
                                      <a:extLst>
                                        <a:ext uri="{28A0092B-C50C-407E-A947-70E740481C1C}">
                                          <a14:useLocalDpi xmlns:a14="http://schemas.microsoft.com/office/drawing/2010/main" val="0"/>
                                        </a:ext>
                                      </a:extLst>
                                    </a:blip>
                                    <a:stretch>
                                      <a:fillRect/>
                                    </a:stretch>
                                  </pic:blipFill>
                                  <pic:spPr>
                                    <a:xfrm>
                                      <a:off x="0" y="0"/>
                                      <a:ext cx="5751576" cy="2156840"/>
                                    </a:xfrm>
                                    <a:prstGeom prst="rect">
                                      <a:avLst/>
                                    </a:prstGeom>
                                  </pic:spPr>
                                </pic:pic>
                              </a:graphicData>
                            </a:graphic>
                          </wp:inline>
                        </w:drawing>
                      </w:r>
                    </w:p>
                    <w:p w14:paraId="31A0BE6C" w14:textId="514195E2" w:rsidR="004D5334" w:rsidRPr="00F5505F" w:rsidRDefault="004D5334" w:rsidP="00D36666">
                      <w:pPr>
                        <w:pStyle w:val="VAFigureCaption"/>
                        <w:spacing w:line="264" w:lineRule="auto"/>
                        <w:rPr>
                          <w:sz w:val="22"/>
                          <w:szCs w:val="18"/>
                        </w:rPr>
                      </w:pPr>
                      <w:r w:rsidRPr="00F5505F">
                        <w:rPr>
                          <w:sz w:val="22"/>
                          <w:szCs w:val="18"/>
                        </w:rPr>
                        <w:t>Figure S4</w:t>
                      </w:r>
                      <w:r>
                        <w:rPr>
                          <w:sz w:val="22"/>
                          <w:szCs w:val="18"/>
                        </w:rPr>
                        <w:t>.1</w:t>
                      </w:r>
                      <w:r w:rsidRPr="00F5505F">
                        <w:rPr>
                          <w:sz w:val="22"/>
                          <w:szCs w:val="18"/>
                        </w:rPr>
                        <w:t xml:space="preserve">: External quantum efficiency (EQE) measurements of the two devices depicted in Figure S3. (a) EQE of the bottom junctions. (b) EQE of the top junctions. </w:t>
                      </w:r>
                    </w:p>
                  </w:txbxContent>
                </v:textbox>
                <w10:wrap type="square" anchorx="margin"/>
              </v:shape>
            </w:pict>
          </mc:Fallback>
        </mc:AlternateContent>
      </w:r>
      <w:r w:rsidRPr="00847190">
        <w:rPr>
          <w:u w:val="single"/>
        </w:rPr>
        <w:t>S</w:t>
      </w:r>
      <w:r w:rsidR="005036F1">
        <w:rPr>
          <w:u w:val="single"/>
        </w:rPr>
        <w:t>4</w:t>
      </w:r>
      <w:r w:rsidRPr="00847190">
        <w:rPr>
          <w:u w:val="single"/>
        </w:rPr>
        <w:t xml:space="preserve">: Supplementary </w:t>
      </w:r>
      <w:r w:rsidR="00C14461">
        <w:rPr>
          <w:u w:val="single"/>
        </w:rPr>
        <w:t>EQE data</w:t>
      </w:r>
    </w:p>
    <w:p w14:paraId="32A0A0FF" w14:textId="781374EB" w:rsidR="00394877" w:rsidRDefault="00394877" w:rsidP="008A3669">
      <w:pPr>
        <w:spacing w:after="120" w:line="408" w:lineRule="auto"/>
        <w:jc w:val="left"/>
        <w:rPr>
          <w:u w:val="single"/>
        </w:rPr>
      </w:pPr>
    </w:p>
    <w:p w14:paraId="18F31BAD" w14:textId="1ABE6CED" w:rsidR="00EA6BB4" w:rsidRDefault="00EF4FA6" w:rsidP="00EF4FA6">
      <w:pPr>
        <w:pStyle w:val="VAFigureCaption"/>
        <w:spacing w:after="120" w:line="408" w:lineRule="auto"/>
      </w:pPr>
      <w:r>
        <w:t xml:space="preserve">The HBTSC prototype has a region in which the emitter has been etched. To obtain </w:t>
      </w:r>
      <w:r w:rsidR="00512E73">
        <w:t>the</w:t>
      </w:r>
      <w:r>
        <w:t xml:space="preserve"> EQE that is representative of the intact HBTSC structure</w:t>
      </w:r>
      <w:r w:rsidR="00512E73">
        <w:t xml:space="preserve"> (Figure 2e in the main text)</w:t>
      </w:r>
      <w:r>
        <w:t xml:space="preserve">, we have </w:t>
      </w:r>
      <w:r w:rsidR="00E02A9C">
        <w:t xml:space="preserve">combined the measurements of the two device geometries. </w:t>
      </w:r>
      <w:r w:rsidR="00D82A0E">
        <w:t>In the</w:t>
      </w:r>
      <w:r w:rsidR="00EA6BB4">
        <w:t xml:space="preserve"> device in Figure S3a 35% </w:t>
      </w:r>
      <w:r w:rsidR="00D82A0E">
        <w:t xml:space="preserve">of the bottom-junction area </w:t>
      </w:r>
      <w:r w:rsidR="00EA6BB4">
        <w:t xml:space="preserve">exposed </w:t>
      </w:r>
      <w:r w:rsidR="00D82A0E">
        <w:t>(</w:t>
      </w:r>
      <w:r w:rsidR="00EA6BB4">
        <w:t xml:space="preserve">the emitter </w:t>
      </w:r>
      <w:r w:rsidR="00D82A0E">
        <w:t>has been etched</w:t>
      </w:r>
      <w:r w:rsidR="00EA6BB4">
        <w:t xml:space="preserve">) and </w:t>
      </w:r>
      <w:r w:rsidR="00D82A0E">
        <w:t xml:space="preserve">in </w:t>
      </w:r>
      <w:r w:rsidR="00EA6BB4">
        <w:t xml:space="preserve">the device in Figure S3b </w:t>
      </w:r>
      <w:r w:rsidR="00D82A0E">
        <w:t>it is</w:t>
      </w:r>
      <w:r w:rsidR="00EA6BB4">
        <w:t xml:space="preserve"> 11%. </w:t>
      </w:r>
      <w:r w:rsidR="00117E01">
        <w:t>The corresponding EQE measurements are plotted in Figure S4a.</w:t>
      </w:r>
    </w:p>
    <w:p w14:paraId="41796D60" w14:textId="3FD2399A" w:rsidR="00EA6BB4" w:rsidRDefault="00EA6BB4" w:rsidP="00EA6BB4">
      <w:pPr>
        <w:pStyle w:val="VAFigureCaption"/>
        <w:spacing w:after="120" w:line="408" w:lineRule="auto"/>
      </w:pPr>
      <w:r>
        <w:t xml:space="preserve">We </w:t>
      </w:r>
      <w:r w:rsidR="00D82A0E">
        <w:t>call</w:t>
      </w:r>
      <w:r>
        <w:t xml:space="preserve"> the measured EQEs of the two samples </w:t>
      </w:r>
      <m:oMath>
        <m:sSub>
          <m:sSubPr>
            <m:ctrlPr>
              <w:rPr>
                <w:rFonts w:ascii="Cambria Math" w:hAnsi="Cambria Math"/>
                <w:i/>
              </w:rPr>
            </m:ctrlPr>
          </m:sSubPr>
          <m:e>
            <m:r>
              <w:rPr>
                <w:rFonts w:ascii="Cambria Math" w:hAnsi="Cambria Math"/>
              </w:rPr>
              <m:t>EQE</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EQE</m:t>
            </m:r>
          </m:e>
          <m:sub>
            <m:r>
              <w:rPr>
                <w:rFonts w:ascii="Cambria Math" w:hAnsi="Cambria Math"/>
              </w:rPr>
              <m:t>2</m:t>
            </m:r>
          </m:sub>
        </m:sSub>
      </m:oMath>
      <w:r w:rsidR="00D82A0E">
        <w:t>, and</w:t>
      </w:r>
      <w:r>
        <w:t xml:space="preserve"> define the exposed (</w:t>
      </w:r>
      <m:oMath>
        <m:sSub>
          <m:sSubPr>
            <m:ctrlPr>
              <w:rPr>
                <w:rFonts w:ascii="Cambria Math" w:hAnsi="Cambria Math"/>
                <w:i/>
              </w:rPr>
            </m:ctrlPr>
          </m:sSubPr>
          <m:e>
            <m:r>
              <w:rPr>
                <w:rFonts w:ascii="Cambria Math" w:hAnsi="Cambria Math"/>
              </w:rPr>
              <m:t>B</m:t>
            </m:r>
          </m:e>
          <m:sub>
            <m:r>
              <w:rPr>
                <w:rFonts w:ascii="Cambria Math" w:hAnsi="Cambria Math"/>
              </w:rPr>
              <m:t>i</m:t>
            </m:r>
          </m:sub>
        </m:sSub>
      </m:oMath>
      <w:r>
        <w:t xml:space="preserve">) </w:t>
      </w:r>
      <w:r w:rsidR="00117E01">
        <w:t>and</w:t>
      </w:r>
      <w:r>
        <w:t xml:space="preserve"> covered </w:t>
      </w:r>
      <w:r w:rsidR="00117E01">
        <w:t>(</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117E01">
        <w:t xml:space="preserve">) normalized </w:t>
      </w:r>
      <w:r>
        <w:t>area fractions</w:t>
      </w:r>
      <w:r w:rsidR="00117E01">
        <w:t xml:space="preserve">, where </w:t>
      </w:r>
      <w:proofErr w:type="spellStart"/>
      <w:r w:rsidR="00117E01" w:rsidRPr="00117E01">
        <w:rPr>
          <w:i/>
          <w:iCs/>
        </w:rPr>
        <w:t>i</w:t>
      </w:r>
      <w:proofErr w:type="spellEnd"/>
      <w:r w:rsidR="00117E01">
        <w:t xml:space="preserve"> </w:t>
      </w:r>
      <w:r w:rsidR="00E33443">
        <w:t xml:space="preserve">is either </w:t>
      </w:r>
      <w:r w:rsidR="00117E01">
        <w:t xml:space="preserve">1 or 2. Because </w:t>
      </w:r>
      <w:r>
        <w:t xml:space="preserve">the measured </w:t>
      </w:r>
      <w:r w:rsidR="00117E01">
        <w:t xml:space="preserve">bottom junction </w:t>
      </w:r>
      <w:r>
        <w:t>EQEs result from two</w:t>
      </w:r>
      <w:r w:rsidR="003E5052">
        <w:t xml:space="preserve"> regions</w:t>
      </w:r>
      <w:r>
        <w:t xml:space="preserve"> in parallel, one covered (</w:t>
      </w:r>
      <m:oMath>
        <m:sSub>
          <m:sSubPr>
            <m:ctrlPr>
              <w:rPr>
                <w:rFonts w:ascii="Cambria Math" w:hAnsi="Cambria Math"/>
                <w:i/>
              </w:rPr>
            </m:ctrlPr>
          </m:sSubPr>
          <m:e>
            <m:r>
              <w:rPr>
                <w:rFonts w:ascii="Cambria Math" w:hAnsi="Cambria Math"/>
              </w:rPr>
              <m:t>EQE</m:t>
            </m:r>
          </m:e>
          <m:sub>
            <m:r>
              <w:rPr>
                <w:rFonts w:ascii="Cambria Math" w:hAnsi="Cambria Math"/>
              </w:rPr>
              <m:t>covered</m:t>
            </m:r>
          </m:sub>
        </m:sSub>
      </m:oMath>
      <w:r>
        <w:t>) and the other exposed (</w:t>
      </w:r>
      <m:oMath>
        <m:sSub>
          <m:sSubPr>
            <m:ctrlPr>
              <w:rPr>
                <w:rFonts w:ascii="Cambria Math" w:hAnsi="Cambria Math"/>
                <w:i/>
              </w:rPr>
            </m:ctrlPr>
          </m:sSubPr>
          <m:e>
            <m:r>
              <w:rPr>
                <w:rFonts w:ascii="Cambria Math" w:hAnsi="Cambria Math"/>
              </w:rPr>
              <m:t>EQE</m:t>
            </m:r>
          </m:e>
          <m:sub>
            <m:r>
              <w:rPr>
                <w:rFonts w:ascii="Cambria Math" w:hAnsi="Cambria Math"/>
              </w:rPr>
              <m:t>exposed</m:t>
            </m:r>
          </m:sub>
        </m:sSub>
      </m:oMath>
      <w:r>
        <w:t xml:space="preserve">), we </w:t>
      </w:r>
      <w:r w:rsidR="00117E01">
        <w:t>can write</w:t>
      </w:r>
      <w:r w:rsidR="003E5052">
        <w:t xml:space="preserve"> the following linear combination</w:t>
      </w:r>
      <w:r>
        <w:t>:</w:t>
      </w:r>
    </w:p>
    <w:p w14:paraId="6A65D82F" w14:textId="31982C68" w:rsidR="00EA6BB4" w:rsidRDefault="004D5334" w:rsidP="003E5052">
      <w:pPr>
        <w:pStyle w:val="VAFigureCaption"/>
        <w:spacing w:after="120" w:line="408" w:lineRule="auto"/>
        <w:jc w:val="center"/>
      </w:pPr>
      <m:oMathPara>
        <m:oMath>
          <m:sSub>
            <m:sSubPr>
              <m:ctrlPr>
                <w:rPr>
                  <w:rFonts w:ascii="Cambria Math" w:hAnsi="Cambria Math"/>
                  <w:i/>
                </w:rPr>
              </m:ctrlPr>
            </m:sSubPr>
            <m:e>
              <m:r>
                <w:rPr>
                  <w:rFonts w:ascii="Cambria Math" w:hAnsi="Cambria Math"/>
                </w:rPr>
                <m:t>EQE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EQE</m:t>
              </m:r>
            </m:e>
            <m:sub>
              <m:r>
                <w:rPr>
                  <w:rFonts w:ascii="Cambria Math" w:hAnsi="Cambria Math"/>
                </w:rPr>
                <m:t>covered</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sSub>
            <m:sSubPr>
              <m:ctrlPr>
                <w:rPr>
                  <w:rFonts w:ascii="Cambria Math" w:hAnsi="Cambria Math"/>
                  <w:i/>
                </w:rPr>
              </m:ctrlPr>
            </m:sSubPr>
            <m:e>
              <m:r>
                <w:rPr>
                  <w:rFonts w:ascii="Cambria Math" w:hAnsi="Cambria Math"/>
                </w:rPr>
                <m:t xml:space="preserve"> EQE</m:t>
              </m:r>
            </m:e>
            <m:sub>
              <m:r>
                <w:rPr>
                  <w:rFonts w:ascii="Cambria Math" w:hAnsi="Cambria Math"/>
                </w:rPr>
                <m:t>exposed</m:t>
              </m:r>
            </m:sub>
          </m:sSub>
        </m:oMath>
      </m:oMathPara>
    </w:p>
    <w:p w14:paraId="20CACA26" w14:textId="6B234D00" w:rsidR="003E5052" w:rsidRDefault="003E5052" w:rsidP="00EA6BB4">
      <w:pPr>
        <w:pStyle w:val="VAFigureCaption"/>
        <w:spacing w:after="120" w:line="408" w:lineRule="auto"/>
      </w:pPr>
      <w:r>
        <w:t xml:space="preserve">The resulting curves are </w:t>
      </w:r>
      <w:r w:rsidR="007E3B38">
        <w:t xml:space="preserve">also </w:t>
      </w:r>
      <w:r>
        <w:t>plotted in Figure S4</w:t>
      </w:r>
      <w:r w:rsidR="00A768B3">
        <w:t>.1</w:t>
      </w:r>
      <w:r>
        <w:t xml:space="preserve">a. </w:t>
      </w:r>
      <w:r w:rsidR="00117E01">
        <w:t xml:space="preserve">The </w:t>
      </w:r>
      <m:oMath>
        <m:sSub>
          <m:sSubPr>
            <m:ctrlPr>
              <w:rPr>
                <w:rFonts w:ascii="Cambria Math" w:hAnsi="Cambria Math"/>
                <w:i/>
              </w:rPr>
            </m:ctrlPr>
          </m:sSubPr>
          <m:e>
            <m:r>
              <w:rPr>
                <w:rFonts w:ascii="Cambria Math" w:hAnsi="Cambria Math"/>
              </w:rPr>
              <m:t>EQE</m:t>
            </m:r>
          </m:e>
          <m:sub>
            <m:r>
              <w:rPr>
                <w:rFonts w:ascii="Cambria Math" w:hAnsi="Cambria Math"/>
              </w:rPr>
              <m:t>covered</m:t>
            </m:r>
          </m:sub>
        </m:sSub>
      </m:oMath>
      <w:r w:rsidR="00117E01">
        <w:t xml:space="preserve"> curve is th</w:t>
      </w:r>
      <w:r w:rsidR="00BA4127">
        <w:t xml:space="preserve">e one shown </w:t>
      </w:r>
      <w:r w:rsidR="00117E01">
        <w:t>in Figure 2</w:t>
      </w:r>
      <w:r w:rsidR="00512E73">
        <w:t>e</w:t>
      </w:r>
      <w:r w:rsidR="00117E01">
        <w:t xml:space="preserve"> in the main text. </w:t>
      </w:r>
      <w:r w:rsidR="00C8078D">
        <w:t xml:space="preserve">Because it represents the intact HBTSC layer structure, it is fitted with the theoretical model to analyze the contribution of the base absorption to the photocurrent of either junction. </w:t>
      </w:r>
      <w:r>
        <w:t xml:space="preserve">As expected, this curve is lower than the measured curves in the spectral range </w:t>
      </w:r>
      <w:r>
        <w:lastRenderedPageBreak/>
        <w:t>where the emitter absorbs.</w:t>
      </w:r>
      <w:r w:rsidR="000E2D71">
        <w:t xml:space="preserve"> Note that the oscillations caused by optical resonance are a non-linear effect and, therefore, they cannot be reproduced with precision using this method.</w:t>
      </w:r>
    </w:p>
    <w:p w14:paraId="60237AE2" w14:textId="00C4C278" w:rsidR="00EA6BB4" w:rsidRDefault="003E5052" w:rsidP="00EA6BB4">
      <w:pPr>
        <w:pStyle w:val="VAFigureCaption"/>
        <w:spacing w:after="120" w:line="408" w:lineRule="auto"/>
      </w:pPr>
      <w:r>
        <w:t>Figure S4</w:t>
      </w:r>
      <w:r w:rsidR="005D66E1">
        <w:t>.1</w:t>
      </w:r>
      <w:r>
        <w:t xml:space="preserve">b shows the </w:t>
      </w:r>
      <w:r w:rsidRPr="00A41013">
        <w:t>EQE</w:t>
      </w:r>
      <w:r>
        <w:t xml:space="preserve"> of the top junctions of both devices. The shadowed </w:t>
      </w:r>
      <w:r w:rsidR="00E678B2">
        <w:t xml:space="preserve">areas </w:t>
      </w:r>
      <w:r>
        <w:t xml:space="preserve">represent the uncertainty resulting from measuring the </w:t>
      </w:r>
      <w:r w:rsidR="00194060">
        <w:t xml:space="preserve">illumination </w:t>
      </w:r>
      <w:r>
        <w:t>area</w:t>
      </w:r>
      <w:r w:rsidR="00750417">
        <w:t>s</w:t>
      </w:r>
      <w:r>
        <w:t xml:space="preserve">. Both EQEs are </w:t>
      </w:r>
      <w:r w:rsidR="00750417">
        <w:t xml:space="preserve">in good agreement within the measurement error, which implies that </w:t>
      </w:r>
      <w:r w:rsidR="008F2D73">
        <w:t xml:space="preserve">resistive effects related to the different device geometries do not have a significant impact on the EQE </w:t>
      </w:r>
      <w:r w:rsidR="00750417">
        <w:t>and supports the use of a linear combination to eliminate the problem of the exposed area in the bottom junction EQE.</w:t>
      </w:r>
    </w:p>
    <w:p w14:paraId="31E624B5" w14:textId="4175E3AA" w:rsidR="00F3038C" w:rsidRDefault="00F3038C" w:rsidP="00F3038C">
      <w:r w:rsidRPr="00E949C7">
        <w:rPr>
          <w:rFonts w:asciiTheme="minorHAnsi" w:hAnsiTheme="minorHAnsi" w:cstheme="minorHAnsi"/>
          <w:b/>
          <w:noProof/>
          <w:kern w:val="22"/>
          <w:szCs w:val="24"/>
        </w:rPr>
        <mc:AlternateContent>
          <mc:Choice Requires="wps">
            <w:drawing>
              <wp:anchor distT="45720" distB="45720" distL="114300" distR="114300" simplePos="0" relativeHeight="251719680" behindDoc="0" locked="0" layoutInCell="1" allowOverlap="1" wp14:anchorId="62ABC01B" wp14:editId="39D90D11">
                <wp:simplePos x="0" y="0"/>
                <wp:positionH relativeFrom="margin">
                  <wp:align>left</wp:align>
                </wp:positionH>
                <wp:positionV relativeFrom="paragraph">
                  <wp:posOffset>336550</wp:posOffset>
                </wp:positionV>
                <wp:extent cx="5921375" cy="3571875"/>
                <wp:effectExtent l="0" t="0" r="3175" b="952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3571875"/>
                        </a:xfrm>
                        <a:prstGeom prst="rect">
                          <a:avLst/>
                        </a:prstGeom>
                        <a:solidFill>
                          <a:srgbClr val="FFFFFF"/>
                        </a:solidFill>
                        <a:ln w="9525">
                          <a:noFill/>
                          <a:miter lim="800000"/>
                          <a:headEnd/>
                          <a:tailEnd/>
                        </a:ln>
                      </wps:spPr>
                      <wps:txbx>
                        <w:txbxContent>
                          <w:p w14:paraId="51A06D61" w14:textId="77777777" w:rsidR="004D5334" w:rsidRDefault="004D5334" w:rsidP="00F3038C">
                            <w:pPr>
                              <w:jc w:val="center"/>
                            </w:pPr>
                            <w:r>
                              <w:rPr>
                                <w:noProof/>
                              </w:rPr>
                              <w:drawing>
                                <wp:inline distT="0" distB="0" distL="0" distR="0" wp14:anchorId="5F9D8767" wp14:editId="051F817C">
                                  <wp:extent cx="3270394" cy="2459736"/>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270394" cy="2459736"/>
                                          </a:xfrm>
                                          <a:prstGeom prst="rect">
                                            <a:avLst/>
                                          </a:prstGeom>
                                          <a:noFill/>
                                          <a:ln>
                                            <a:noFill/>
                                          </a:ln>
                                        </pic:spPr>
                                      </pic:pic>
                                    </a:graphicData>
                                  </a:graphic>
                                </wp:inline>
                              </w:drawing>
                            </w:r>
                          </w:p>
                          <w:p w14:paraId="1290FF44" w14:textId="7B7B52F2" w:rsidR="004D5334" w:rsidRPr="00F5505F" w:rsidRDefault="004D5334" w:rsidP="00F3038C">
                            <w:pPr>
                              <w:pStyle w:val="VAFigureCaption"/>
                              <w:spacing w:line="264" w:lineRule="auto"/>
                              <w:rPr>
                                <w:sz w:val="22"/>
                                <w:szCs w:val="18"/>
                              </w:rPr>
                            </w:pPr>
                            <w:r w:rsidRPr="00F5505F">
                              <w:rPr>
                                <w:sz w:val="22"/>
                                <w:szCs w:val="18"/>
                              </w:rPr>
                              <w:t>Figure S</w:t>
                            </w:r>
                            <w:r>
                              <w:rPr>
                                <w:sz w:val="22"/>
                                <w:szCs w:val="18"/>
                              </w:rPr>
                              <w:t>4.2</w:t>
                            </w:r>
                            <w:r w:rsidRPr="00F5505F">
                              <w:rPr>
                                <w:sz w:val="22"/>
                                <w:szCs w:val="18"/>
                              </w:rPr>
                              <w:t>: External quantum efficiency (EQE) for a fully exposed bottom junction obtained from experimental data compared to the theoretical modelling. All parameters used for this modelling are the same used for Figure 2e and compiled in Table 2 in the main text (modelling of a fully covered bottom junction) except for the ones affected by the etch. The contributions of the base and collector layers to the modelled EQE are also shown.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BC01B" id="Text Box 20" o:spid="_x0000_s1031" type="#_x0000_t202" style="position:absolute;left:0;text-align:left;margin-left:0;margin-top:26.5pt;width:466.25pt;height:281.25pt;z-index:251719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" stroked="f">
                <v:textbox>
                  <w:txbxContent>
                    <w:p w14:paraId="51A06D61" w14:textId="77777777" w:rsidR="004D5334" w:rsidRDefault="004D5334" w:rsidP="00F3038C">
                      <w:pPr>
                        <w:jc w:val="center"/>
                      </w:pPr>
                      <w:r>
                        <w:rPr>
                          <w:noProof/>
                        </w:rPr>
                        <w:drawing>
                          <wp:inline distT="0" distB="0" distL="0" distR="0" wp14:anchorId="5F9D8767" wp14:editId="051F817C">
                            <wp:extent cx="3270394" cy="2459736"/>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270394" cy="2459736"/>
                                    </a:xfrm>
                                    <a:prstGeom prst="rect">
                                      <a:avLst/>
                                    </a:prstGeom>
                                    <a:noFill/>
                                    <a:ln>
                                      <a:noFill/>
                                    </a:ln>
                                  </pic:spPr>
                                </pic:pic>
                              </a:graphicData>
                            </a:graphic>
                          </wp:inline>
                        </w:drawing>
                      </w:r>
                    </w:p>
                    <w:p w14:paraId="1290FF44" w14:textId="7B7B52F2" w:rsidR="004D5334" w:rsidRPr="00F5505F" w:rsidRDefault="004D5334" w:rsidP="00F3038C">
                      <w:pPr>
                        <w:pStyle w:val="VAFigureCaption"/>
                        <w:spacing w:line="264" w:lineRule="auto"/>
                        <w:rPr>
                          <w:sz w:val="22"/>
                          <w:szCs w:val="18"/>
                        </w:rPr>
                      </w:pPr>
                      <w:r w:rsidRPr="00F5505F">
                        <w:rPr>
                          <w:sz w:val="22"/>
                          <w:szCs w:val="18"/>
                        </w:rPr>
                        <w:t>Figure S</w:t>
                      </w:r>
                      <w:r>
                        <w:rPr>
                          <w:sz w:val="22"/>
                          <w:szCs w:val="18"/>
                        </w:rPr>
                        <w:t>4.2</w:t>
                      </w:r>
                      <w:r w:rsidRPr="00F5505F">
                        <w:rPr>
                          <w:sz w:val="22"/>
                          <w:szCs w:val="18"/>
                        </w:rPr>
                        <w:t>: External quantum efficiency (EQE) for a fully exposed bottom junction obtained from experimental data compared to the theoretical modelling. All parameters used for this modelling are the same used for Figure 2e and compiled in Table 2 in the main text (modelling of a fully covered bottom junction) except for the ones affected by the etch. The contributions of the base and collector layers to the modelled EQE are also shown.</w:t>
                      </w:r>
                    </w:p>
                  </w:txbxContent>
                </v:textbox>
                <w10:wrap type="square" anchorx="margin"/>
              </v:shape>
            </w:pict>
          </mc:Fallback>
        </mc:AlternateContent>
      </w:r>
    </w:p>
    <w:p w14:paraId="55F73F27" w14:textId="77777777" w:rsidR="00F3038C" w:rsidRPr="00F3038C" w:rsidRDefault="00F3038C" w:rsidP="00F3038C"/>
    <w:p w14:paraId="2644616A" w14:textId="55D53C3F" w:rsidR="00954266" w:rsidRDefault="00954266" w:rsidP="0007278F">
      <w:pPr>
        <w:spacing w:after="120" w:line="408" w:lineRule="auto"/>
      </w:pPr>
      <w:r>
        <w:t xml:space="preserve">Now we </w:t>
      </w:r>
      <w:r w:rsidR="0007278F">
        <w:t>quantify the effect of the emitter etch on the measured bottom-junction photocurrent (</w:t>
      </w:r>
      <w:proofErr w:type="spellStart"/>
      <w:r w:rsidR="0007278F" w:rsidRPr="0007278F">
        <w:rPr>
          <w:i/>
          <w:iCs/>
        </w:rPr>
        <w:t>J</w:t>
      </w:r>
      <w:r w:rsidR="0007278F" w:rsidRPr="0007278F">
        <w:rPr>
          <w:vertAlign w:val="subscript"/>
        </w:rPr>
        <w:t>SC</w:t>
      </w:r>
      <w:r w:rsidR="0007278F" w:rsidRPr="0007278F">
        <w:rPr>
          <w:vertAlign w:val="superscript"/>
        </w:rPr>
        <w:t>bot</w:t>
      </w:r>
      <w:proofErr w:type="spellEnd"/>
      <w:r w:rsidR="0007278F">
        <w:t xml:space="preserve">). In the device regions where the emitter has been etched, the light </w:t>
      </w:r>
      <w:r w:rsidR="00722275">
        <w:t xml:space="preserve">reaching </w:t>
      </w:r>
      <w:r w:rsidR="0007278F">
        <w:t>the bottom junction is unfiltered by the top junction</w:t>
      </w:r>
      <w:r w:rsidR="00722275">
        <w:t>.</w:t>
      </w:r>
      <w:r w:rsidR="00E9503B">
        <w:t xml:space="preserve"> This </w:t>
      </w:r>
      <w:r w:rsidR="0007278F">
        <w:t>leads to an overestimation of the photocurrent</w:t>
      </w:r>
      <w:r w:rsidR="00E9503B">
        <w:t>, but t</w:t>
      </w:r>
      <w:r w:rsidR="005843E5">
        <w:t xml:space="preserve">he extent of this overestimation is limited by the </w:t>
      </w:r>
      <w:r w:rsidR="00722275">
        <w:t xml:space="preserve">large </w:t>
      </w:r>
      <w:r w:rsidR="005843E5">
        <w:t xml:space="preserve">surface recombination velocity </w:t>
      </w:r>
      <w:r w:rsidR="00722275">
        <w:t>(</w:t>
      </w:r>
      <w:r w:rsidR="00722275" w:rsidRPr="00722275">
        <w:rPr>
          <w:i/>
          <w:iCs/>
        </w:rPr>
        <w:t>S</w:t>
      </w:r>
      <w:r w:rsidR="00722275" w:rsidRPr="00722275">
        <w:rPr>
          <w:vertAlign w:val="subscript"/>
        </w:rPr>
        <w:t>B</w:t>
      </w:r>
      <w:r w:rsidR="00722275">
        <w:t xml:space="preserve">) </w:t>
      </w:r>
      <w:r w:rsidR="005843E5">
        <w:t xml:space="preserve">of the base </w:t>
      </w:r>
      <w:r w:rsidR="00722275">
        <w:t>front surface</w:t>
      </w:r>
      <w:r w:rsidR="005843E5">
        <w:t xml:space="preserve"> that is exposed </w:t>
      </w:r>
      <w:r w:rsidR="00E9503B">
        <w:t>in the etching</w:t>
      </w:r>
      <w:r w:rsidR="005843E5">
        <w:t xml:space="preserve">. </w:t>
      </w:r>
      <w:r>
        <w:t xml:space="preserve">To </w:t>
      </w:r>
      <w:r w:rsidR="001A76A6">
        <w:t xml:space="preserve">prove </w:t>
      </w:r>
      <w:r>
        <w:t xml:space="preserve">this, </w:t>
      </w:r>
      <w:r w:rsidR="00194060">
        <w:t>Figure S</w:t>
      </w:r>
      <w:r w:rsidR="005D66E1">
        <w:t>4.2</w:t>
      </w:r>
      <w:r w:rsidR="0007278F">
        <w:t xml:space="preserve"> shows </w:t>
      </w:r>
      <w:r w:rsidR="00E9503B">
        <w:t xml:space="preserve">again the </w:t>
      </w:r>
      <w:r w:rsidR="004A47E0">
        <w:t xml:space="preserve">empirical </w:t>
      </w:r>
      <w:r w:rsidR="00E9503B">
        <w:t>EQE extrapolated for a hypothetical fully exposed bottom junction (</w:t>
      </w:r>
      <w:r w:rsidR="007D0D84" w:rsidRPr="00CB73A4">
        <w:t>yellow dash-dotted</w:t>
      </w:r>
      <w:r w:rsidR="00E9503B" w:rsidRPr="00CB73A4">
        <w:t xml:space="preserve"> </w:t>
      </w:r>
      <w:r w:rsidR="00E9503B" w:rsidRPr="00CB73A4">
        <w:lastRenderedPageBreak/>
        <w:t>line</w:t>
      </w:r>
      <w:r w:rsidR="00E9503B">
        <w:t xml:space="preserve">) and compares it to a modelled EQE </w:t>
      </w:r>
      <w:r>
        <w:t xml:space="preserve">curve </w:t>
      </w:r>
      <w:r w:rsidR="00E9503B">
        <w:t>(</w:t>
      </w:r>
      <w:r w:rsidR="007D0D84" w:rsidRPr="00CB73A4">
        <w:t>green solid</w:t>
      </w:r>
      <w:r w:rsidR="00E9503B" w:rsidRPr="00CB73A4">
        <w:t xml:space="preserve"> line</w:t>
      </w:r>
      <w:r w:rsidR="00E9503B">
        <w:t>)</w:t>
      </w:r>
      <w:r w:rsidR="00722275">
        <w:t>.</w:t>
      </w:r>
      <w:r w:rsidR="00E9503B">
        <w:t xml:space="preserve"> The modelled curve results from </w:t>
      </w:r>
      <w:r>
        <w:t xml:space="preserve">solving the continuity equations for minority carriers in each layer as </w:t>
      </w:r>
      <w:r w:rsidR="00C8078D">
        <w:t xml:space="preserve">we did </w:t>
      </w:r>
      <w:r w:rsidR="00312F6C">
        <w:t>for</w:t>
      </w:r>
      <w:r>
        <w:t xml:space="preserve"> Figure 2e in the main text, but this time we remove the emitter layer, assume a </w:t>
      </w:r>
      <w:r w:rsidR="00312F6C">
        <w:t>430</w:t>
      </w:r>
      <w:r>
        <w:t xml:space="preserve"> nm thickness for the base layer (</w:t>
      </w:r>
      <w:r w:rsidR="006431C1">
        <w:rPr>
          <w:rFonts w:cs="Times"/>
        </w:rPr>
        <w:t xml:space="preserve"> ̴ </w:t>
      </w:r>
      <w:r w:rsidR="00C8078D">
        <w:t>2</w:t>
      </w:r>
      <w:r w:rsidR="006431C1">
        <w:t>0</w:t>
      </w:r>
      <w:r>
        <w:t xml:space="preserve">0 nm </w:t>
      </w:r>
      <w:r w:rsidR="00312F6C">
        <w:t>were</w:t>
      </w:r>
      <w:r>
        <w:t xml:space="preserve"> removed from the base layer to isolate the base contact) and set </w:t>
      </w:r>
      <w:r w:rsidRPr="00722275">
        <w:rPr>
          <w:i/>
          <w:iCs/>
        </w:rPr>
        <w:t>S</w:t>
      </w:r>
      <w:r w:rsidRPr="00722275">
        <w:rPr>
          <w:vertAlign w:val="subscript"/>
        </w:rPr>
        <w:t>B</w:t>
      </w:r>
      <w:r>
        <w:t xml:space="preserve"> = </w:t>
      </w:r>
      <w:r>
        <w:rPr>
          <w:rFonts w:cs="Times"/>
        </w:rPr>
        <w:t>∞</w:t>
      </w:r>
      <w:r>
        <w:t xml:space="preserve">. All other parameters, such as mobilities and diffusion lengths, are kept the same. It is </w:t>
      </w:r>
      <w:r w:rsidR="00312F6C">
        <w:t>observed</w:t>
      </w:r>
      <w:r>
        <w:t xml:space="preserve"> that the condition of very high </w:t>
      </w:r>
      <w:r w:rsidRPr="00722275">
        <w:rPr>
          <w:i/>
          <w:iCs/>
        </w:rPr>
        <w:t>S</w:t>
      </w:r>
      <w:r w:rsidRPr="00722275">
        <w:rPr>
          <w:vertAlign w:val="subscript"/>
        </w:rPr>
        <w:t>B</w:t>
      </w:r>
      <w:r>
        <w:t xml:space="preserve"> </w:t>
      </w:r>
      <w:r w:rsidR="00C8078D">
        <w:t xml:space="preserve">can </w:t>
      </w:r>
      <w:r>
        <w:t>reproduc</w:t>
      </w:r>
      <w:r w:rsidR="00C8078D">
        <w:t>e</w:t>
      </w:r>
      <w:r>
        <w:t xml:space="preserve"> the empirical EQE </w:t>
      </w:r>
      <w:r w:rsidR="00A04F70">
        <w:t>of</w:t>
      </w:r>
      <w:r>
        <w:t xml:space="preserve"> the exposed regions</w:t>
      </w:r>
      <w:r w:rsidR="00A04F70">
        <w:t xml:space="preserve"> in the short-wavelength range</w:t>
      </w:r>
      <w:r>
        <w:t xml:space="preserve">. </w:t>
      </w:r>
    </w:p>
    <w:p w14:paraId="1C29A093" w14:textId="75A92A2D" w:rsidR="00194060" w:rsidRPr="00954266" w:rsidRDefault="00954266" w:rsidP="0007278F">
      <w:pPr>
        <w:spacing w:after="120" w:line="408" w:lineRule="auto"/>
      </w:pPr>
      <w:r>
        <w:t xml:space="preserve">Table S2 compiles the </w:t>
      </w:r>
      <w:proofErr w:type="spellStart"/>
      <w:r w:rsidRPr="0007278F">
        <w:rPr>
          <w:i/>
          <w:iCs/>
        </w:rPr>
        <w:t>J</w:t>
      </w:r>
      <w:r w:rsidRPr="0007278F">
        <w:rPr>
          <w:vertAlign w:val="subscript"/>
        </w:rPr>
        <w:t>SC</w:t>
      </w:r>
      <w:r w:rsidRPr="0007278F">
        <w:rPr>
          <w:vertAlign w:val="superscript"/>
        </w:rPr>
        <w:t>bot</w:t>
      </w:r>
      <w:proofErr w:type="spellEnd"/>
      <w:r>
        <w:t xml:space="preserve"> values obtained by integrating the four EQE curves shown in Figure </w:t>
      </w:r>
      <w:r w:rsidR="00F3038C">
        <w:t xml:space="preserve">S4 over the AM1.5G spectrum. From those values it is inferred that in our HBTSC prototype the contribution of exposed regions leads to an increase of 13% in </w:t>
      </w:r>
      <w:proofErr w:type="spellStart"/>
      <w:r w:rsidR="00F3038C" w:rsidRPr="0007278F">
        <w:rPr>
          <w:i/>
          <w:iCs/>
        </w:rPr>
        <w:t>J</w:t>
      </w:r>
      <w:r w:rsidR="00F3038C" w:rsidRPr="0007278F">
        <w:rPr>
          <w:vertAlign w:val="subscript"/>
        </w:rPr>
        <w:t>SC</w:t>
      </w:r>
      <w:r w:rsidR="00F3038C" w:rsidRPr="0007278F">
        <w:rPr>
          <w:vertAlign w:val="superscript"/>
        </w:rPr>
        <w:t>bot</w:t>
      </w:r>
      <w:proofErr w:type="spellEnd"/>
      <w:r w:rsidR="00F3038C">
        <w:t xml:space="preserve"> with respect to a hypothetical non-etched structure.</w:t>
      </w:r>
    </w:p>
    <w:p w14:paraId="382CBAE2" w14:textId="75B5F851" w:rsidR="00EE58DD" w:rsidRPr="00EE58DD" w:rsidRDefault="000816AC" w:rsidP="00EE58DD">
      <w:r w:rsidRPr="00E949C7">
        <w:rPr>
          <w:rFonts w:asciiTheme="minorHAnsi" w:hAnsiTheme="minorHAnsi" w:cstheme="minorHAnsi"/>
          <w:b/>
          <w:noProof/>
          <w:kern w:val="22"/>
          <w:szCs w:val="24"/>
        </w:rPr>
        <mc:AlternateContent>
          <mc:Choice Requires="wps">
            <w:drawing>
              <wp:inline distT="0" distB="0" distL="0" distR="0" wp14:anchorId="61043089" wp14:editId="5F495808">
                <wp:extent cx="5921375" cy="1463040"/>
                <wp:effectExtent l="0" t="0" r="3175" b="3810"/>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1463040"/>
                        </a:xfrm>
                        <a:prstGeom prst="rect">
                          <a:avLst/>
                        </a:prstGeom>
                        <a:solidFill>
                          <a:srgbClr val="FFFFFF"/>
                        </a:solidFill>
                        <a:ln w="9525">
                          <a:noFill/>
                          <a:miter lim="800000"/>
                          <a:headEnd/>
                          <a:tailEnd/>
                        </a:ln>
                      </wps:spPr>
                      <wps:txbx>
                        <w:txbxContent>
                          <w:p w14:paraId="06D78E13" w14:textId="37FD70AE" w:rsidR="004D5334" w:rsidRPr="00F5505F" w:rsidRDefault="004D5334" w:rsidP="000816AC">
                            <w:pPr>
                              <w:pStyle w:val="VAFigureCaption"/>
                              <w:spacing w:line="264" w:lineRule="auto"/>
                              <w:rPr>
                                <w:sz w:val="22"/>
                                <w:szCs w:val="18"/>
                              </w:rPr>
                            </w:pPr>
                            <w:r w:rsidRPr="00F5505F">
                              <w:rPr>
                                <w:sz w:val="22"/>
                                <w:szCs w:val="18"/>
                              </w:rPr>
                              <w:t xml:space="preserve">Table S2: Bottom junction current densities under AM1.5G illumination calculated from the integration of empirical EQEs. </w:t>
                            </w:r>
                          </w:p>
                          <w:tbl>
                            <w:tblPr>
                              <w:tblW w:w="9072" w:type="dxa"/>
                              <w:jc w:val="center"/>
                              <w:tblLayout w:type="fixed"/>
                              <w:tblLook w:val="04A0" w:firstRow="1" w:lastRow="0" w:firstColumn="1" w:lastColumn="0" w:noHBand="0" w:noVBand="1"/>
                            </w:tblPr>
                            <w:tblGrid>
                              <w:gridCol w:w="1763"/>
                              <w:gridCol w:w="1827"/>
                              <w:gridCol w:w="1827"/>
                              <w:gridCol w:w="1827"/>
                              <w:gridCol w:w="1828"/>
                            </w:tblGrid>
                            <w:tr w:rsidR="004D5334" w:rsidRPr="00A521E9" w14:paraId="62164EBE" w14:textId="77777777" w:rsidTr="005843E5">
                              <w:trPr>
                                <w:trHeight w:val="288"/>
                                <w:jc w:val="center"/>
                              </w:trPr>
                              <w:tc>
                                <w:tcPr>
                                  <w:tcW w:w="1763" w:type="dxa"/>
                                  <w:tcBorders>
                                    <w:top w:val="nil"/>
                                    <w:left w:val="nil"/>
                                    <w:bottom w:val="single" w:sz="4" w:space="0" w:color="auto"/>
                                    <w:right w:val="single" w:sz="4" w:space="0" w:color="auto"/>
                                  </w:tcBorders>
                                  <w:shd w:val="clear" w:color="auto" w:fill="auto"/>
                                  <w:noWrap/>
                                  <w:vAlign w:val="center"/>
                                  <w:hideMark/>
                                </w:tcPr>
                                <w:p w14:paraId="0CF6F5F7" w14:textId="77777777" w:rsidR="004D5334" w:rsidRPr="00A521E9" w:rsidRDefault="004D5334" w:rsidP="0007278F">
                                  <w:pPr>
                                    <w:spacing w:before="60" w:after="60" w:line="264" w:lineRule="auto"/>
                                    <w:jc w:val="center"/>
                                    <w:rPr>
                                      <w:rFonts w:ascii="Times New Roman" w:hAnsi="Times New Roman"/>
                                      <w:color w:val="000000"/>
                                      <w:sz w:val="22"/>
                                      <w:szCs w:val="22"/>
                                    </w:rPr>
                                  </w:pPr>
                                  <w:r w:rsidRPr="00A521E9">
                                    <w:rPr>
                                      <w:rFonts w:ascii="Times New Roman" w:hAnsi="Times New Roman"/>
                                      <w:color w:val="000000"/>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7946C457" w14:textId="6132F53D" w:rsidR="004D5334" w:rsidRPr="00A521E9" w:rsidRDefault="004D5334" w:rsidP="0007278F">
                                  <w:pPr>
                                    <w:spacing w:before="60" w:after="60" w:line="264" w:lineRule="auto"/>
                                    <w:jc w:val="center"/>
                                    <w:rPr>
                                      <w:rFonts w:ascii="Times New Roman" w:hAnsi="Times New Roman"/>
                                      <w:color w:val="000000"/>
                                      <w:sz w:val="22"/>
                                      <w:szCs w:val="22"/>
                                    </w:rPr>
                                  </w:pPr>
                                  <w:r w:rsidRPr="00A521E9">
                                    <w:rPr>
                                      <w:rFonts w:ascii="Times New Roman" w:hAnsi="Times New Roman"/>
                                      <w:color w:val="000000"/>
                                      <w:sz w:val="22"/>
                                      <w:szCs w:val="22"/>
                                    </w:rPr>
                                    <w:t xml:space="preserve">HBTSC prototype       </w:t>
                                  </w:r>
                                  <w:proofErr w:type="gramStart"/>
                                  <w:r w:rsidRPr="00A521E9">
                                    <w:rPr>
                                      <w:rFonts w:ascii="Times New Roman" w:hAnsi="Times New Roman"/>
                                      <w:color w:val="000000"/>
                                      <w:sz w:val="22"/>
                                      <w:szCs w:val="22"/>
                                    </w:rPr>
                                    <w:t xml:space="preserve">   (</w:t>
                                  </w:r>
                                  <w:proofErr w:type="gramEnd"/>
                                  <w:r w:rsidRPr="00A521E9">
                                    <w:rPr>
                                      <w:rFonts w:ascii="Times New Roman" w:hAnsi="Times New Roman"/>
                                      <w:color w:val="000000"/>
                                      <w:sz w:val="22"/>
                                      <w:szCs w:val="22"/>
                                    </w:rPr>
                                    <w:t>35% exposed)</w:t>
                                  </w:r>
                                </w:p>
                              </w:tc>
                              <w:tc>
                                <w:tcPr>
                                  <w:tcW w:w="1827" w:type="dxa"/>
                                  <w:tcBorders>
                                    <w:top w:val="nil"/>
                                    <w:left w:val="nil"/>
                                    <w:bottom w:val="single" w:sz="4" w:space="0" w:color="auto"/>
                                    <w:right w:val="single" w:sz="4" w:space="0" w:color="auto"/>
                                  </w:tcBorders>
                                  <w:shd w:val="clear" w:color="auto" w:fill="auto"/>
                                  <w:noWrap/>
                                  <w:vAlign w:val="center"/>
                                  <w:hideMark/>
                                </w:tcPr>
                                <w:p w14:paraId="2AE745FA" w14:textId="24F89548" w:rsidR="004D5334" w:rsidRPr="00A521E9" w:rsidRDefault="004D5334" w:rsidP="0007278F">
                                  <w:pPr>
                                    <w:spacing w:before="60" w:after="60" w:line="264" w:lineRule="auto"/>
                                    <w:jc w:val="center"/>
                                    <w:rPr>
                                      <w:rFonts w:ascii="Times New Roman" w:hAnsi="Times New Roman"/>
                                      <w:color w:val="000000"/>
                                      <w:sz w:val="22"/>
                                      <w:szCs w:val="22"/>
                                    </w:rPr>
                                  </w:pPr>
                                  <w:r>
                                    <w:rPr>
                                      <w:rFonts w:ascii="Times New Roman" w:hAnsi="Times New Roman"/>
                                      <w:color w:val="000000"/>
                                      <w:sz w:val="22"/>
                                      <w:szCs w:val="22"/>
                                    </w:rPr>
                                    <w:t>Test device</w:t>
                                  </w:r>
                                  <w:r w:rsidRPr="00A521E9">
                                    <w:rPr>
                                      <w:rFonts w:ascii="Times New Roman" w:hAnsi="Times New Roman"/>
                                      <w:color w:val="000000"/>
                                      <w:sz w:val="22"/>
                                      <w:szCs w:val="22"/>
                                    </w:rPr>
                                    <w:t xml:space="preserve">       </w:t>
                                  </w:r>
                                  <w:proofErr w:type="gramStart"/>
                                  <w:r w:rsidRPr="00A521E9">
                                    <w:rPr>
                                      <w:rFonts w:ascii="Times New Roman" w:hAnsi="Times New Roman"/>
                                      <w:color w:val="000000"/>
                                      <w:sz w:val="22"/>
                                      <w:szCs w:val="22"/>
                                    </w:rPr>
                                    <w:t xml:space="preserve">   (</w:t>
                                  </w:r>
                                  <w:proofErr w:type="gramEnd"/>
                                  <w:r w:rsidRPr="00A521E9">
                                    <w:rPr>
                                      <w:rFonts w:ascii="Times New Roman" w:hAnsi="Times New Roman"/>
                                      <w:color w:val="000000"/>
                                      <w:sz w:val="22"/>
                                      <w:szCs w:val="22"/>
                                    </w:rPr>
                                    <w:t>11% exposed)</w:t>
                                  </w:r>
                                </w:p>
                              </w:tc>
                              <w:tc>
                                <w:tcPr>
                                  <w:tcW w:w="1827" w:type="dxa"/>
                                  <w:tcBorders>
                                    <w:top w:val="nil"/>
                                    <w:left w:val="nil"/>
                                    <w:bottom w:val="single" w:sz="4" w:space="0" w:color="auto"/>
                                    <w:right w:val="single" w:sz="4" w:space="0" w:color="auto"/>
                                  </w:tcBorders>
                                  <w:shd w:val="clear" w:color="auto" w:fill="auto"/>
                                  <w:noWrap/>
                                  <w:vAlign w:val="center"/>
                                  <w:hideMark/>
                                </w:tcPr>
                                <w:p w14:paraId="057451C7" w14:textId="1D1892A2" w:rsidR="004D5334" w:rsidRPr="00A521E9" w:rsidRDefault="004D5334" w:rsidP="0007278F">
                                  <w:pPr>
                                    <w:spacing w:before="60" w:after="60" w:line="264" w:lineRule="auto"/>
                                    <w:jc w:val="center"/>
                                    <w:rPr>
                                      <w:rFonts w:ascii="Times New Roman" w:hAnsi="Times New Roman"/>
                                      <w:color w:val="000000"/>
                                      <w:sz w:val="22"/>
                                      <w:szCs w:val="22"/>
                                    </w:rPr>
                                  </w:pPr>
                                  <w:r w:rsidRPr="00A521E9">
                                    <w:rPr>
                                      <w:rFonts w:ascii="Times New Roman" w:hAnsi="Times New Roman"/>
                                      <w:color w:val="000000"/>
                                      <w:sz w:val="22"/>
                                      <w:szCs w:val="22"/>
                                    </w:rPr>
                                    <w:t xml:space="preserve">Hypothetical      fully covered </w:t>
                                  </w:r>
                                </w:p>
                              </w:tc>
                              <w:tc>
                                <w:tcPr>
                                  <w:tcW w:w="1828" w:type="dxa"/>
                                  <w:tcBorders>
                                    <w:top w:val="nil"/>
                                    <w:left w:val="nil"/>
                                    <w:bottom w:val="single" w:sz="4" w:space="0" w:color="auto"/>
                                    <w:right w:val="nil"/>
                                  </w:tcBorders>
                                  <w:shd w:val="clear" w:color="auto" w:fill="auto"/>
                                  <w:noWrap/>
                                  <w:vAlign w:val="center"/>
                                  <w:hideMark/>
                                </w:tcPr>
                                <w:p w14:paraId="5A71FD7B" w14:textId="2FF462C9" w:rsidR="004D5334" w:rsidRPr="00A521E9" w:rsidRDefault="004D5334" w:rsidP="0007278F">
                                  <w:pPr>
                                    <w:spacing w:before="60" w:after="60" w:line="264" w:lineRule="auto"/>
                                    <w:jc w:val="center"/>
                                    <w:rPr>
                                      <w:rFonts w:ascii="Times New Roman" w:hAnsi="Times New Roman"/>
                                      <w:color w:val="000000"/>
                                      <w:sz w:val="22"/>
                                      <w:szCs w:val="22"/>
                                    </w:rPr>
                                  </w:pPr>
                                  <w:r w:rsidRPr="00A521E9">
                                    <w:rPr>
                                      <w:rFonts w:ascii="Times New Roman" w:hAnsi="Times New Roman"/>
                                      <w:color w:val="000000"/>
                                      <w:sz w:val="22"/>
                                      <w:szCs w:val="22"/>
                                    </w:rPr>
                                    <w:t xml:space="preserve">Hypothetical      fully exposed </w:t>
                                  </w:r>
                                </w:p>
                              </w:tc>
                            </w:tr>
                            <w:tr w:rsidR="004D5334" w:rsidRPr="00A521E9" w14:paraId="4C757A92" w14:textId="77777777" w:rsidTr="005843E5">
                              <w:trPr>
                                <w:trHeight w:val="312"/>
                                <w:jc w:val="center"/>
                              </w:trPr>
                              <w:tc>
                                <w:tcPr>
                                  <w:tcW w:w="1763" w:type="dxa"/>
                                  <w:tcBorders>
                                    <w:top w:val="nil"/>
                                    <w:left w:val="nil"/>
                                    <w:bottom w:val="nil"/>
                                    <w:right w:val="single" w:sz="4" w:space="0" w:color="auto"/>
                                  </w:tcBorders>
                                  <w:shd w:val="clear" w:color="auto" w:fill="auto"/>
                                  <w:noWrap/>
                                  <w:vAlign w:val="center"/>
                                  <w:hideMark/>
                                </w:tcPr>
                                <w:p w14:paraId="0CD7C0EB" w14:textId="770FFDF8" w:rsidR="004D5334" w:rsidRPr="00A521E9" w:rsidRDefault="004D5334" w:rsidP="0007278F">
                                  <w:pPr>
                                    <w:spacing w:before="60" w:after="60" w:line="264" w:lineRule="auto"/>
                                    <w:jc w:val="right"/>
                                    <w:rPr>
                                      <w:rFonts w:ascii="Times New Roman" w:hAnsi="Times New Roman"/>
                                      <w:color w:val="000000"/>
                                      <w:sz w:val="22"/>
                                      <w:szCs w:val="22"/>
                                    </w:rPr>
                                  </w:pPr>
                                  <w:proofErr w:type="spellStart"/>
                                  <w:r w:rsidRPr="00A521E9">
                                    <w:rPr>
                                      <w:rFonts w:ascii="Times New Roman" w:hAnsi="Times New Roman"/>
                                      <w:i/>
                                      <w:iCs/>
                                      <w:color w:val="000000"/>
                                      <w:sz w:val="22"/>
                                      <w:szCs w:val="22"/>
                                    </w:rPr>
                                    <w:t>J</w:t>
                                  </w:r>
                                  <w:r w:rsidRPr="00A521E9">
                                    <w:rPr>
                                      <w:rFonts w:ascii="Times New Roman" w:hAnsi="Times New Roman"/>
                                      <w:color w:val="000000"/>
                                      <w:sz w:val="22"/>
                                      <w:szCs w:val="22"/>
                                      <w:vertAlign w:val="subscript"/>
                                    </w:rPr>
                                    <w:t>SC</w:t>
                                  </w:r>
                                  <w:r w:rsidRPr="00A521E9">
                                    <w:rPr>
                                      <w:rFonts w:ascii="Times New Roman" w:hAnsi="Times New Roman"/>
                                      <w:color w:val="000000"/>
                                      <w:sz w:val="22"/>
                                      <w:szCs w:val="22"/>
                                      <w:vertAlign w:val="superscript"/>
                                    </w:rPr>
                                    <w:t>bot</w:t>
                                  </w:r>
                                  <w:proofErr w:type="spellEnd"/>
                                  <w:r w:rsidRPr="00A521E9">
                                    <w:rPr>
                                      <w:rFonts w:ascii="Times New Roman" w:hAnsi="Times New Roman"/>
                                      <w:color w:val="000000"/>
                                      <w:sz w:val="22"/>
                                      <w:szCs w:val="22"/>
                                    </w:rPr>
                                    <w:t xml:space="preserve"> [mA </w:t>
                                  </w:r>
                                  <w:proofErr w:type="gramStart"/>
                                  <w:r w:rsidRPr="00A521E9">
                                    <w:rPr>
                                      <w:rFonts w:ascii="Times New Roman" w:hAnsi="Times New Roman"/>
                                      <w:color w:val="000000"/>
                                      <w:sz w:val="22"/>
                                      <w:szCs w:val="22"/>
                                    </w:rPr>
                                    <w:t>cm</w:t>
                                  </w:r>
                                  <w:r w:rsidRPr="00A521E9">
                                    <w:rPr>
                                      <w:rFonts w:ascii="Times New Roman" w:hAnsi="Times New Roman"/>
                                      <w:color w:val="000000"/>
                                      <w:sz w:val="22"/>
                                      <w:szCs w:val="22"/>
                                      <w:vertAlign w:val="superscript"/>
                                    </w:rPr>
                                    <w:t>-2</w:t>
                                  </w:r>
                                  <w:proofErr w:type="gramEnd"/>
                                  <w:r w:rsidRPr="00A521E9">
                                    <w:rPr>
                                      <w:rFonts w:ascii="Times New Roman" w:hAnsi="Times New Roman"/>
                                      <w:color w:val="000000"/>
                                      <w:sz w:val="22"/>
                                      <w:szCs w:val="22"/>
                                    </w:rPr>
                                    <w:t>]</w:t>
                                  </w:r>
                                </w:p>
                              </w:tc>
                              <w:tc>
                                <w:tcPr>
                                  <w:tcW w:w="1827" w:type="dxa"/>
                                  <w:tcBorders>
                                    <w:top w:val="nil"/>
                                    <w:left w:val="nil"/>
                                    <w:bottom w:val="nil"/>
                                    <w:right w:val="single" w:sz="4" w:space="0" w:color="auto"/>
                                  </w:tcBorders>
                                  <w:shd w:val="clear" w:color="auto" w:fill="auto"/>
                                  <w:noWrap/>
                                  <w:vAlign w:val="center"/>
                                  <w:hideMark/>
                                </w:tcPr>
                                <w:p w14:paraId="4C10AE71" w14:textId="77777777" w:rsidR="004D5334" w:rsidRPr="00A521E9" w:rsidRDefault="004D5334" w:rsidP="0007278F">
                                  <w:pPr>
                                    <w:spacing w:before="60" w:after="60" w:line="264" w:lineRule="auto"/>
                                    <w:jc w:val="center"/>
                                    <w:rPr>
                                      <w:rFonts w:ascii="Times New Roman" w:hAnsi="Times New Roman"/>
                                      <w:color w:val="000000"/>
                                      <w:sz w:val="22"/>
                                      <w:szCs w:val="22"/>
                                    </w:rPr>
                                  </w:pPr>
                                  <w:r w:rsidRPr="00A521E9">
                                    <w:rPr>
                                      <w:rFonts w:ascii="Times New Roman" w:hAnsi="Times New Roman"/>
                                      <w:color w:val="000000"/>
                                      <w:sz w:val="22"/>
                                      <w:szCs w:val="22"/>
                                    </w:rPr>
                                    <w:t>15.9 ± 1.1</w:t>
                                  </w:r>
                                </w:p>
                              </w:tc>
                              <w:tc>
                                <w:tcPr>
                                  <w:tcW w:w="1827" w:type="dxa"/>
                                  <w:tcBorders>
                                    <w:top w:val="nil"/>
                                    <w:left w:val="nil"/>
                                    <w:bottom w:val="nil"/>
                                    <w:right w:val="single" w:sz="4" w:space="0" w:color="auto"/>
                                  </w:tcBorders>
                                  <w:shd w:val="clear" w:color="auto" w:fill="auto"/>
                                  <w:noWrap/>
                                  <w:vAlign w:val="center"/>
                                  <w:hideMark/>
                                </w:tcPr>
                                <w:p w14:paraId="3701124C" w14:textId="77777777" w:rsidR="004D5334" w:rsidRPr="00A521E9" w:rsidRDefault="004D5334" w:rsidP="0007278F">
                                  <w:pPr>
                                    <w:spacing w:before="60" w:after="60" w:line="264" w:lineRule="auto"/>
                                    <w:jc w:val="center"/>
                                    <w:rPr>
                                      <w:rFonts w:ascii="Times New Roman" w:hAnsi="Times New Roman"/>
                                      <w:color w:val="000000"/>
                                      <w:sz w:val="22"/>
                                      <w:szCs w:val="22"/>
                                    </w:rPr>
                                  </w:pPr>
                                  <w:r w:rsidRPr="00A521E9">
                                    <w:rPr>
                                      <w:rFonts w:ascii="Times New Roman" w:hAnsi="Times New Roman"/>
                                      <w:color w:val="000000"/>
                                      <w:sz w:val="22"/>
                                      <w:szCs w:val="22"/>
                                    </w:rPr>
                                    <w:t>14.7 ± 0.5</w:t>
                                  </w:r>
                                </w:p>
                              </w:tc>
                              <w:tc>
                                <w:tcPr>
                                  <w:tcW w:w="1827" w:type="dxa"/>
                                  <w:tcBorders>
                                    <w:top w:val="nil"/>
                                    <w:left w:val="nil"/>
                                    <w:bottom w:val="nil"/>
                                    <w:right w:val="single" w:sz="4" w:space="0" w:color="auto"/>
                                  </w:tcBorders>
                                  <w:shd w:val="clear" w:color="auto" w:fill="auto"/>
                                  <w:noWrap/>
                                  <w:vAlign w:val="center"/>
                                  <w:hideMark/>
                                </w:tcPr>
                                <w:p w14:paraId="3F27C101" w14:textId="77777777" w:rsidR="004D5334" w:rsidRPr="00A521E9" w:rsidRDefault="004D5334" w:rsidP="0007278F">
                                  <w:pPr>
                                    <w:spacing w:before="60" w:after="60" w:line="264" w:lineRule="auto"/>
                                    <w:jc w:val="center"/>
                                    <w:rPr>
                                      <w:rFonts w:ascii="Times New Roman" w:hAnsi="Times New Roman"/>
                                      <w:color w:val="000000"/>
                                      <w:sz w:val="22"/>
                                      <w:szCs w:val="22"/>
                                    </w:rPr>
                                  </w:pPr>
                                  <w:r w:rsidRPr="00A521E9">
                                    <w:rPr>
                                      <w:rFonts w:ascii="Times New Roman" w:hAnsi="Times New Roman"/>
                                      <w:color w:val="000000"/>
                                      <w:sz w:val="22"/>
                                      <w:szCs w:val="22"/>
                                    </w:rPr>
                                    <w:t>14.0 ± 2.1</w:t>
                                  </w:r>
                                </w:p>
                              </w:tc>
                              <w:tc>
                                <w:tcPr>
                                  <w:tcW w:w="1828" w:type="dxa"/>
                                  <w:tcBorders>
                                    <w:top w:val="nil"/>
                                    <w:left w:val="nil"/>
                                    <w:bottom w:val="nil"/>
                                    <w:right w:val="nil"/>
                                  </w:tcBorders>
                                  <w:shd w:val="clear" w:color="auto" w:fill="auto"/>
                                  <w:noWrap/>
                                  <w:vAlign w:val="center"/>
                                  <w:hideMark/>
                                </w:tcPr>
                                <w:p w14:paraId="73242392" w14:textId="77777777" w:rsidR="004D5334" w:rsidRPr="00A521E9" w:rsidRDefault="004D5334" w:rsidP="0007278F">
                                  <w:pPr>
                                    <w:spacing w:before="60" w:after="60" w:line="264" w:lineRule="auto"/>
                                    <w:jc w:val="center"/>
                                    <w:rPr>
                                      <w:rFonts w:ascii="Times New Roman" w:hAnsi="Times New Roman"/>
                                      <w:color w:val="000000"/>
                                      <w:sz w:val="22"/>
                                      <w:szCs w:val="22"/>
                                    </w:rPr>
                                  </w:pPr>
                                  <w:r w:rsidRPr="00A521E9">
                                    <w:rPr>
                                      <w:rFonts w:ascii="Times New Roman" w:hAnsi="Times New Roman"/>
                                      <w:color w:val="000000"/>
                                      <w:sz w:val="22"/>
                                      <w:szCs w:val="22"/>
                                    </w:rPr>
                                    <w:t>19.5 ± 8.7</w:t>
                                  </w:r>
                                </w:p>
                              </w:tc>
                            </w:tr>
                          </w:tbl>
                          <w:p w14:paraId="12E5BF1E" w14:textId="77777777" w:rsidR="004D5334" w:rsidRPr="00F64A2F" w:rsidRDefault="004D5334" w:rsidP="000816AC">
                            <w:pPr>
                              <w:rPr>
                                <w:rFonts w:ascii="Times New Roman" w:hAnsi="Times New Roman"/>
                              </w:rPr>
                            </w:pPr>
                          </w:p>
                        </w:txbxContent>
                      </wps:txbx>
                      <wps:bodyPr rot="0" vert="horz" wrap="square" lIns="91440" tIns="45720" rIns="91440" bIns="45720" anchor="t" anchorCtr="0">
                        <a:noAutofit/>
                      </wps:bodyPr>
                    </wps:wsp>
                  </a:graphicData>
                </a:graphic>
              </wp:inline>
            </w:drawing>
          </mc:Choice>
          <mc:Fallback>
            <w:pict>
              <v:shape w14:anchorId="61043089" id="_x0000_s1032" type="#_x0000_t202" style="width:466.25pt;height:1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" stroked="f">
                <v:textbox>
                  <w:txbxContent>
                    <w:p w14:paraId="06D78E13" w14:textId="37FD70AE" w:rsidR="004D5334" w:rsidRPr="00F5505F" w:rsidRDefault="004D5334" w:rsidP="000816AC">
                      <w:pPr>
                        <w:pStyle w:val="VAFigureCaption"/>
                        <w:spacing w:line="264" w:lineRule="auto"/>
                        <w:rPr>
                          <w:sz w:val="22"/>
                          <w:szCs w:val="18"/>
                        </w:rPr>
                      </w:pPr>
                      <w:r w:rsidRPr="00F5505F">
                        <w:rPr>
                          <w:sz w:val="22"/>
                          <w:szCs w:val="18"/>
                        </w:rPr>
                        <w:t xml:space="preserve">Table S2: Bottom junction current densities under AM1.5G illumination calculated from the integration of empirical EQEs. </w:t>
                      </w:r>
                    </w:p>
                    <w:tbl>
                      <w:tblPr>
                        <w:tblW w:w="9072" w:type="dxa"/>
                        <w:jc w:val="center"/>
                        <w:tblLayout w:type="fixed"/>
                        <w:tblLook w:val="04A0" w:firstRow="1" w:lastRow="0" w:firstColumn="1" w:lastColumn="0" w:noHBand="0" w:noVBand="1"/>
                      </w:tblPr>
                      <w:tblGrid>
                        <w:gridCol w:w="1763"/>
                        <w:gridCol w:w="1827"/>
                        <w:gridCol w:w="1827"/>
                        <w:gridCol w:w="1827"/>
                        <w:gridCol w:w="1828"/>
                      </w:tblGrid>
                      <w:tr w:rsidR="004D5334" w:rsidRPr="00A521E9" w14:paraId="62164EBE" w14:textId="77777777" w:rsidTr="005843E5">
                        <w:trPr>
                          <w:trHeight w:val="288"/>
                          <w:jc w:val="center"/>
                        </w:trPr>
                        <w:tc>
                          <w:tcPr>
                            <w:tcW w:w="1763" w:type="dxa"/>
                            <w:tcBorders>
                              <w:top w:val="nil"/>
                              <w:left w:val="nil"/>
                              <w:bottom w:val="single" w:sz="4" w:space="0" w:color="auto"/>
                              <w:right w:val="single" w:sz="4" w:space="0" w:color="auto"/>
                            </w:tcBorders>
                            <w:shd w:val="clear" w:color="auto" w:fill="auto"/>
                            <w:noWrap/>
                            <w:vAlign w:val="center"/>
                            <w:hideMark/>
                          </w:tcPr>
                          <w:p w14:paraId="0CF6F5F7" w14:textId="77777777" w:rsidR="004D5334" w:rsidRPr="00A521E9" w:rsidRDefault="004D5334" w:rsidP="0007278F">
                            <w:pPr>
                              <w:spacing w:before="60" w:after="60" w:line="264" w:lineRule="auto"/>
                              <w:jc w:val="center"/>
                              <w:rPr>
                                <w:rFonts w:ascii="Times New Roman" w:hAnsi="Times New Roman"/>
                                <w:color w:val="000000"/>
                                <w:sz w:val="22"/>
                                <w:szCs w:val="22"/>
                              </w:rPr>
                            </w:pPr>
                            <w:r w:rsidRPr="00A521E9">
                              <w:rPr>
                                <w:rFonts w:ascii="Times New Roman" w:hAnsi="Times New Roman"/>
                                <w:color w:val="000000"/>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7946C457" w14:textId="6132F53D" w:rsidR="004D5334" w:rsidRPr="00A521E9" w:rsidRDefault="004D5334" w:rsidP="0007278F">
                            <w:pPr>
                              <w:spacing w:before="60" w:after="60" w:line="264" w:lineRule="auto"/>
                              <w:jc w:val="center"/>
                              <w:rPr>
                                <w:rFonts w:ascii="Times New Roman" w:hAnsi="Times New Roman"/>
                                <w:color w:val="000000"/>
                                <w:sz w:val="22"/>
                                <w:szCs w:val="22"/>
                              </w:rPr>
                            </w:pPr>
                            <w:r w:rsidRPr="00A521E9">
                              <w:rPr>
                                <w:rFonts w:ascii="Times New Roman" w:hAnsi="Times New Roman"/>
                                <w:color w:val="000000"/>
                                <w:sz w:val="22"/>
                                <w:szCs w:val="22"/>
                              </w:rPr>
                              <w:t xml:space="preserve">HBTSC prototype       </w:t>
                            </w:r>
                            <w:proofErr w:type="gramStart"/>
                            <w:r w:rsidRPr="00A521E9">
                              <w:rPr>
                                <w:rFonts w:ascii="Times New Roman" w:hAnsi="Times New Roman"/>
                                <w:color w:val="000000"/>
                                <w:sz w:val="22"/>
                                <w:szCs w:val="22"/>
                              </w:rPr>
                              <w:t xml:space="preserve">   (</w:t>
                            </w:r>
                            <w:proofErr w:type="gramEnd"/>
                            <w:r w:rsidRPr="00A521E9">
                              <w:rPr>
                                <w:rFonts w:ascii="Times New Roman" w:hAnsi="Times New Roman"/>
                                <w:color w:val="000000"/>
                                <w:sz w:val="22"/>
                                <w:szCs w:val="22"/>
                              </w:rPr>
                              <w:t>35% exposed)</w:t>
                            </w:r>
                          </w:p>
                        </w:tc>
                        <w:tc>
                          <w:tcPr>
                            <w:tcW w:w="1827" w:type="dxa"/>
                            <w:tcBorders>
                              <w:top w:val="nil"/>
                              <w:left w:val="nil"/>
                              <w:bottom w:val="single" w:sz="4" w:space="0" w:color="auto"/>
                              <w:right w:val="single" w:sz="4" w:space="0" w:color="auto"/>
                            </w:tcBorders>
                            <w:shd w:val="clear" w:color="auto" w:fill="auto"/>
                            <w:noWrap/>
                            <w:vAlign w:val="center"/>
                            <w:hideMark/>
                          </w:tcPr>
                          <w:p w14:paraId="2AE745FA" w14:textId="24F89548" w:rsidR="004D5334" w:rsidRPr="00A521E9" w:rsidRDefault="004D5334" w:rsidP="0007278F">
                            <w:pPr>
                              <w:spacing w:before="60" w:after="60" w:line="264" w:lineRule="auto"/>
                              <w:jc w:val="center"/>
                              <w:rPr>
                                <w:rFonts w:ascii="Times New Roman" w:hAnsi="Times New Roman"/>
                                <w:color w:val="000000"/>
                                <w:sz w:val="22"/>
                                <w:szCs w:val="22"/>
                              </w:rPr>
                            </w:pPr>
                            <w:r>
                              <w:rPr>
                                <w:rFonts w:ascii="Times New Roman" w:hAnsi="Times New Roman"/>
                                <w:color w:val="000000"/>
                                <w:sz w:val="22"/>
                                <w:szCs w:val="22"/>
                              </w:rPr>
                              <w:t>Test device</w:t>
                            </w:r>
                            <w:r w:rsidRPr="00A521E9">
                              <w:rPr>
                                <w:rFonts w:ascii="Times New Roman" w:hAnsi="Times New Roman"/>
                                <w:color w:val="000000"/>
                                <w:sz w:val="22"/>
                                <w:szCs w:val="22"/>
                              </w:rPr>
                              <w:t xml:space="preserve">       </w:t>
                            </w:r>
                            <w:proofErr w:type="gramStart"/>
                            <w:r w:rsidRPr="00A521E9">
                              <w:rPr>
                                <w:rFonts w:ascii="Times New Roman" w:hAnsi="Times New Roman"/>
                                <w:color w:val="000000"/>
                                <w:sz w:val="22"/>
                                <w:szCs w:val="22"/>
                              </w:rPr>
                              <w:t xml:space="preserve">   (</w:t>
                            </w:r>
                            <w:proofErr w:type="gramEnd"/>
                            <w:r w:rsidRPr="00A521E9">
                              <w:rPr>
                                <w:rFonts w:ascii="Times New Roman" w:hAnsi="Times New Roman"/>
                                <w:color w:val="000000"/>
                                <w:sz w:val="22"/>
                                <w:szCs w:val="22"/>
                              </w:rPr>
                              <w:t>11% exposed)</w:t>
                            </w:r>
                          </w:p>
                        </w:tc>
                        <w:tc>
                          <w:tcPr>
                            <w:tcW w:w="1827" w:type="dxa"/>
                            <w:tcBorders>
                              <w:top w:val="nil"/>
                              <w:left w:val="nil"/>
                              <w:bottom w:val="single" w:sz="4" w:space="0" w:color="auto"/>
                              <w:right w:val="single" w:sz="4" w:space="0" w:color="auto"/>
                            </w:tcBorders>
                            <w:shd w:val="clear" w:color="auto" w:fill="auto"/>
                            <w:noWrap/>
                            <w:vAlign w:val="center"/>
                            <w:hideMark/>
                          </w:tcPr>
                          <w:p w14:paraId="057451C7" w14:textId="1D1892A2" w:rsidR="004D5334" w:rsidRPr="00A521E9" w:rsidRDefault="004D5334" w:rsidP="0007278F">
                            <w:pPr>
                              <w:spacing w:before="60" w:after="60" w:line="264" w:lineRule="auto"/>
                              <w:jc w:val="center"/>
                              <w:rPr>
                                <w:rFonts w:ascii="Times New Roman" w:hAnsi="Times New Roman"/>
                                <w:color w:val="000000"/>
                                <w:sz w:val="22"/>
                                <w:szCs w:val="22"/>
                              </w:rPr>
                            </w:pPr>
                            <w:r w:rsidRPr="00A521E9">
                              <w:rPr>
                                <w:rFonts w:ascii="Times New Roman" w:hAnsi="Times New Roman"/>
                                <w:color w:val="000000"/>
                                <w:sz w:val="22"/>
                                <w:szCs w:val="22"/>
                              </w:rPr>
                              <w:t xml:space="preserve">Hypothetical      fully covered </w:t>
                            </w:r>
                          </w:p>
                        </w:tc>
                        <w:tc>
                          <w:tcPr>
                            <w:tcW w:w="1828" w:type="dxa"/>
                            <w:tcBorders>
                              <w:top w:val="nil"/>
                              <w:left w:val="nil"/>
                              <w:bottom w:val="single" w:sz="4" w:space="0" w:color="auto"/>
                              <w:right w:val="nil"/>
                            </w:tcBorders>
                            <w:shd w:val="clear" w:color="auto" w:fill="auto"/>
                            <w:noWrap/>
                            <w:vAlign w:val="center"/>
                            <w:hideMark/>
                          </w:tcPr>
                          <w:p w14:paraId="5A71FD7B" w14:textId="2FF462C9" w:rsidR="004D5334" w:rsidRPr="00A521E9" w:rsidRDefault="004D5334" w:rsidP="0007278F">
                            <w:pPr>
                              <w:spacing w:before="60" w:after="60" w:line="264" w:lineRule="auto"/>
                              <w:jc w:val="center"/>
                              <w:rPr>
                                <w:rFonts w:ascii="Times New Roman" w:hAnsi="Times New Roman"/>
                                <w:color w:val="000000"/>
                                <w:sz w:val="22"/>
                                <w:szCs w:val="22"/>
                              </w:rPr>
                            </w:pPr>
                            <w:r w:rsidRPr="00A521E9">
                              <w:rPr>
                                <w:rFonts w:ascii="Times New Roman" w:hAnsi="Times New Roman"/>
                                <w:color w:val="000000"/>
                                <w:sz w:val="22"/>
                                <w:szCs w:val="22"/>
                              </w:rPr>
                              <w:t xml:space="preserve">Hypothetical      fully exposed </w:t>
                            </w:r>
                          </w:p>
                        </w:tc>
                      </w:tr>
                      <w:tr w:rsidR="004D5334" w:rsidRPr="00A521E9" w14:paraId="4C757A92" w14:textId="77777777" w:rsidTr="005843E5">
                        <w:trPr>
                          <w:trHeight w:val="312"/>
                          <w:jc w:val="center"/>
                        </w:trPr>
                        <w:tc>
                          <w:tcPr>
                            <w:tcW w:w="1763" w:type="dxa"/>
                            <w:tcBorders>
                              <w:top w:val="nil"/>
                              <w:left w:val="nil"/>
                              <w:bottom w:val="nil"/>
                              <w:right w:val="single" w:sz="4" w:space="0" w:color="auto"/>
                            </w:tcBorders>
                            <w:shd w:val="clear" w:color="auto" w:fill="auto"/>
                            <w:noWrap/>
                            <w:vAlign w:val="center"/>
                            <w:hideMark/>
                          </w:tcPr>
                          <w:p w14:paraId="0CD7C0EB" w14:textId="770FFDF8" w:rsidR="004D5334" w:rsidRPr="00A521E9" w:rsidRDefault="004D5334" w:rsidP="0007278F">
                            <w:pPr>
                              <w:spacing w:before="60" w:after="60" w:line="264" w:lineRule="auto"/>
                              <w:jc w:val="right"/>
                              <w:rPr>
                                <w:rFonts w:ascii="Times New Roman" w:hAnsi="Times New Roman"/>
                                <w:color w:val="000000"/>
                                <w:sz w:val="22"/>
                                <w:szCs w:val="22"/>
                              </w:rPr>
                            </w:pPr>
                            <w:proofErr w:type="spellStart"/>
                            <w:r w:rsidRPr="00A521E9">
                              <w:rPr>
                                <w:rFonts w:ascii="Times New Roman" w:hAnsi="Times New Roman"/>
                                <w:i/>
                                <w:iCs/>
                                <w:color w:val="000000"/>
                                <w:sz w:val="22"/>
                                <w:szCs w:val="22"/>
                              </w:rPr>
                              <w:t>J</w:t>
                            </w:r>
                            <w:r w:rsidRPr="00A521E9">
                              <w:rPr>
                                <w:rFonts w:ascii="Times New Roman" w:hAnsi="Times New Roman"/>
                                <w:color w:val="000000"/>
                                <w:sz w:val="22"/>
                                <w:szCs w:val="22"/>
                                <w:vertAlign w:val="subscript"/>
                              </w:rPr>
                              <w:t>SC</w:t>
                            </w:r>
                            <w:r w:rsidRPr="00A521E9">
                              <w:rPr>
                                <w:rFonts w:ascii="Times New Roman" w:hAnsi="Times New Roman"/>
                                <w:color w:val="000000"/>
                                <w:sz w:val="22"/>
                                <w:szCs w:val="22"/>
                                <w:vertAlign w:val="superscript"/>
                              </w:rPr>
                              <w:t>bot</w:t>
                            </w:r>
                            <w:proofErr w:type="spellEnd"/>
                            <w:r w:rsidRPr="00A521E9">
                              <w:rPr>
                                <w:rFonts w:ascii="Times New Roman" w:hAnsi="Times New Roman"/>
                                <w:color w:val="000000"/>
                                <w:sz w:val="22"/>
                                <w:szCs w:val="22"/>
                              </w:rPr>
                              <w:t xml:space="preserve"> [mA </w:t>
                            </w:r>
                            <w:proofErr w:type="gramStart"/>
                            <w:r w:rsidRPr="00A521E9">
                              <w:rPr>
                                <w:rFonts w:ascii="Times New Roman" w:hAnsi="Times New Roman"/>
                                <w:color w:val="000000"/>
                                <w:sz w:val="22"/>
                                <w:szCs w:val="22"/>
                              </w:rPr>
                              <w:t>cm</w:t>
                            </w:r>
                            <w:r w:rsidRPr="00A521E9">
                              <w:rPr>
                                <w:rFonts w:ascii="Times New Roman" w:hAnsi="Times New Roman"/>
                                <w:color w:val="000000"/>
                                <w:sz w:val="22"/>
                                <w:szCs w:val="22"/>
                                <w:vertAlign w:val="superscript"/>
                              </w:rPr>
                              <w:t>-2</w:t>
                            </w:r>
                            <w:proofErr w:type="gramEnd"/>
                            <w:r w:rsidRPr="00A521E9">
                              <w:rPr>
                                <w:rFonts w:ascii="Times New Roman" w:hAnsi="Times New Roman"/>
                                <w:color w:val="000000"/>
                                <w:sz w:val="22"/>
                                <w:szCs w:val="22"/>
                              </w:rPr>
                              <w:t>]</w:t>
                            </w:r>
                          </w:p>
                        </w:tc>
                        <w:tc>
                          <w:tcPr>
                            <w:tcW w:w="1827" w:type="dxa"/>
                            <w:tcBorders>
                              <w:top w:val="nil"/>
                              <w:left w:val="nil"/>
                              <w:bottom w:val="nil"/>
                              <w:right w:val="single" w:sz="4" w:space="0" w:color="auto"/>
                            </w:tcBorders>
                            <w:shd w:val="clear" w:color="auto" w:fill="auto"/>
                            <w:noWrap/>
                            <w:vAlign w:val="center"/>
                            <w:hideMark/>
                          </w:tcPr>
                          <w:p w14:paraId="4C10AE71" w14:textId="77777777" w:rsidR="004D5334" w:rsidRPr="00A521E9" w:rsidRDefault="004D5334" w:rsidP="0007278F">
                            <w:pPr>
                              <w:spacing w:before="60" w:after="60" w:line="264" w:lineRule="auto"/>
                              <w:jc w:val="center"/>
                              <w:rPr>
                                <w:rFonts w:ascii="Times New Roman" w:hAnsi="Times New Roman"/>
                                <w:color w:val="000000"/>
                                <w:sz w:val="22"/>
                                <w:szCs w:val="22"/>
                              </w:rPr>
                            </w:pPr>
                            <w:r w:rsidRPr="00A521E9">
                              <w:rPr>
                                <w:rFonts w:ascii="Times New Roman" w:hAnsi="Times New Roman"/>
                                <w:color w:val="000000"/>
                                <w:sz w:val="22"/>
                                <w:szCs w:val="22"/>
                              </w:rPr>
                              <w:t>15.9 ± 1.1</w:t>
                            </w:r>
                          </w:p>
                        </w:tc>
                        <w:tc>
                          <w:tcPr>
                            <w:tcW w:w="1827" w:type="dxa"/>
                            <w:tcBorders>
                              <w:top w:val="nil"/>
                              <w:left w:val="nil"/>
                              <w:bottom w:val="nil"/>
                              <w:right w:val="single" w:sz="4" w:space="0" w:color="auto"/>
                            </w:tcBorders>
                            <w:shd w:val="clear" w:color="auto" w:fill="auto"/>
                            <w:noWrap/>
                            <w:vAlign w:val="center"/>
                            <w:hideMark/>
                          </w:tcPr>
                          <w:p w14:paraId="3701124C" w14:textId="77777777" w:rsidR="004D5334" w:rsidRPr="00A521E9" w:rsidRDefault="004D5334" w:rsidP="0007278F">
                            <w:pPr>
                              <w:spacing w:before="60" w:after="60" w:line="264" w:lineRule="auto"/>
                              <w:jc w:val="center"/>
                              <w:rPr>
                                <w:rFonts w:ascii="Times New Roman" w:hAnsi="Times New Roman"/>
                                <w:color w:val="000000"/>
                                <w:sz w:val="22"/>
                                <w:szCs w:val="22"/>
                              </w:rPr>
                            </w:pPr>
                            <w:r w:rsidRPr="00A521E9">
                              <w:rPr>
                                <w:rFonts w:ascii="Times New Roman" w:hAnsi="Times New Roman"/>
                                <w:color w:val="000000"/>
                                <w:sz w:val="22"/>
                                <w:szCs w:val="22"/>
                              </w:rPr>
                              <w:t>14.7 ± 0.5</w:t>
                            </w:r>
                          </w:p>
                        </w:tc>
                        <w:tc>
                          <w:tcPr>
                            <w:tcW w:w="1827" w:type="dxa"/>
                            <w:tcBorders>
                              <w:top w:val="nil"/>
                              <w:left w:val="nil"/>
                              <w:bottom w:val="nil"/>
                              <w:right w:val="single" w:sz="4" w:space="0" w:color="auto"/>
                            </w:tcBorders>
                            <w:shd w:val="clear" w:color="auto" w:fill="auto"/>
                            <w:noWrap/>
                            <w:vAlign w:val="center"/>
                            <w:hideMark/>
                          </w:tcPr>
                          <w:p w14:paraId="3F27C101" w14:textId="77777777" w:rsidR="004D5334" w:rsidRPr="00A521E9" w:rsidRDefault="004D5334" w:rsidP="0007278F">
                            <w:pPr>
                              <w:spacing w:before="60" w:after="60" w:line="264" w:lineRule="auto"/>
                              <w:jc w:val="center"/>
                              <w:rPr>
                                <w:rFonts w:ascii="Times New Roman" w:hAnsi="Times New Roman"/>
                                <w:color w:val="000000"/>
                                <w:sz w:val="22"/>
                                <w:szCs w:val="22"/>
                              </w:rPr>
                            </w:pPr>
                            <w:r w:rsidRPr="00A521E9">
                              <w:rPr>
                                <w:rFonts w:ascii="Times New Roman" w:hAnsi="Times New Roman"/>
                                <w:color w:val="000000"/>
                                <w:sz w:val="22"/>
                                <w:szCs w:val="22"/>
                              </w:rPr>
                              <w:t>14.0 ± 2.1</w:t>
                            </w:r>
                          </w:p>
                        </w:tc>
                        <w:tc>
                          <w:tcPr>
                            <w:tcW w:w="1828" w:type="dxa"/>
                            <w:tcBorders>
                              <w:top w:val="nil"/>
                              <w:left w:val="nil"/>
                              <w:bottom w:val="nil"/>
                              <w:right w:val="nil"/>
                            </w:tcBorders>
                            <w:shd w:val="clear" w:color="auto" w:fill="auto"/>
                            <w:noWrap/>
                            <w:vAlign w:val="center"/>
                            <w:hideMark/>
                          </w:tcPr>
                          <w:p w14:paraId="73242392" w14:textId="77777777" w:rsidR="004D5334" w:rsidRPr="00A521E9" w:rsidRDefault="004D5334" w:rsidP="0007278F">
                            <w:pPr>
                              <w:spacing w:before="60" w:after="60" w:line="264" w:lineRule="auto"/>
                              <w:jc w:val="center"/>
                              <w:rPr>
                                <w:rFonts w:ascii="Times New Roman" w:hAnsi="Times New Roman"/>
                                <w:color w:val="000000"/>
                                <w:sz w:val="22"/>
                                <w:szCs w:val="22"/>
                              </w:rPr>
                            </w:pPr>
                            <w:r w:rsidRPr="00A521E9">
                              <w:rPr>
                                <w:rFonts w:ascii="Times New Roman" w:hAnsi="Times New Roman"/>
                                <w:color w:val="000000"/>
                                <w:sz w:val="22"/>
                                <w:szCs w:val="22"/>
                              </w:rPr>
                              <w:t>19.5 ± 8.7</w:t>
                            </w:r>
                          </w:p>
                        </w:tc>
                      </w:tr>
                    </w:tbl>
                    <w:p w14:paraId="12E5BF1E" w14:textId="77777777" w:rsidR="004D5334" w:rsidRPr="00F64A2F" w:rsidRDefault="004D5334" w:rsidP="000816AC">
                      <w:pPr>
                        <w:rPr>
                          <w:rFonts w:ascii="Times New Roman" w:hAnsi="Times New Roman"/>
                        </w:rPr>
                      </w:pPr>
                    </w:p>
                  </w:txbxContent>
                </v:textbox>
                <w10:anchorlock/>
              </v:shape>
            </w:pict>
          </mc:Fallback>
        </mc:AlternateContent>
      </w:r>
    </w:p>
    <w:p w14:paraId="7960B403" w14:textId="31CE47AC" w:rsidR="009538D0" w:rsidRDefault="009538D0" w:rsidP="0000331B">
      <w:pPr>
        <w:pStyle w:val="VAFigureCaption"/>
        <w:spacing w:after="120" w:line="408" w:lineRule="auto"/>
        <w:rPr>
          <w:u w:val="single"/>
        </w:rPr>
      </w:pPr>
    </w:p>
    <w:p w14:paraId="12024004" w14:textId="204E2F8A" w:rsidR="0088329F" w:rsidRDefault="000A649F" w:rsidP="0000331B">
      <w:pPr>
        <w:pStyle w:val="VAFigureCaption"/>
        <w:spacing w:after="120" w:line="408" w:lineRule="auto"/>
        <w:rPr>
          <w:rFonts w:asciiTheme="minorHAnsi" w:hAnsiTheme="minorHAnsi" w:cstheme="minorHAnsi"/>
          <w:b/>
          <w:noProof/>
          <w:kern w:val="22"/>
          <w:szCs w:val="24"/>
        </w:rPr>
      </w:pPr>
      <w:r>
        <w:rPr>
          <w:u w:val="single"/>
        </w:rPr>
        <w:t>S</w:t>
      </w:r>
      <w:r w:rsidR="005036F1">
        <w:rPr>
          <w:u w:val="single"/>
        </w:rPr>
        <w:t>5</w:t>
      </w:r>
      <w:r>
        <w:rPr>
          <w:u w:val="single"/>
        </w:rPr>
        <w:t>:</w:t>
      </w:r>
      <w:r w:rsidRPr="00847190">
        <w:rPr>
          <w:u w:val="single"/>
        </w:rPr>
        <w:t xml:space="preserve"> </w:t>
      </w:r>
      <w:r w:rsidR="00B4621D">
        <w:rPr>
          <w:u w:val="single"/>
        </w:rPr>
        <w:t>M</w:t>
      </w:r>
      <w:r w:rsidRPr="00847190">
        <w:rPr>
          <w:u w:val="single"/>
        </w:rPr>
        <w:t>odelling of optical absorption</w:t>
      </w:r>
      <w:r w:rsidRPr="00E949C7">
        <w:rPr>
          <w:rFonts w:asciiTheme="minorHAnsi" w:hAnsiTheme="minorHAnsi" w:cstheme="minorHAnsi"/>
          <w:b/>
          <w:noProof/>
          <w:kern w:val="22"/>
          <w:szCs w:val="24"/>
        </w:rPr>
        <w:t xml:space="preserve"> </w:t>
      </w:r>
    </w:p>
    <w:p w14:paraId="4885B4A1" w14:textId="78722D97" w:rsidR="0088329F" w:rsidRDefault="0088329F" w:rsidP="0088329F">
      <w:pPr>
        <w:pStyle w:val="VAFigureCaption"/>
        <w:spacing w:after="120" w:line="408" w:lineRule="auto"/>
      </w:pPr>
      <w:r w:rsidRPr="0088329F">
        <w:t>Figure 2e</w:t>
      </w:r>
      <w:r>
        <w:t xml:space="preserve"> in the main text shows the measured and modeled EQE of the HBTSC prototype before depositing the ARC. Figure S</w:t>
      </w:r>
      <w:r w:rsidR="00A54AA1">
        <w:t>5</w:t>
      </w:r>
      <w:r>
        <w:t xml:space="preserve"> shows the same measurement and compares it to the calculated absorptance of each layer (colored areas). Note that, for simplicity, we have added the base absorptance to the bottom junction EQE, although the EQE modeling shows that it contributes to both junctions</w:t>
      </w:r>
      <w:r w:rsidR="00EE58DD">
        <w:t>.</w:t>
      </w:r>
    </w:p>
    <w:p w14:paraId="4B3B026A" w14:textId="6F94B509" w:rsidR="0000331B" w:rsidRDefault="0000331B" w:rsidP="0000331B">
      <w:r w:rsidRPr="0088329F">
        <w:rPr>
          <w:noProof/>
        </w:rPr>
        <w:lastRenderedPageBreak/>
        <mc:AlternateContent>
          <mc:Choice Requires="wps">
            <w:drawing>
              <wp:inline distT="0" distB="0" distL="0" distR="0" wp14:anchorId="36F21946" wp14:editId="2ABABF2A">
                <wp:extent cx="5921375" cy="3174797"/>
                <wp:effectExtent l="0" t="0" r="3175" b="6985"/>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3174797"/>
                        </a:xfrm>
                        <a:prstGeom prst="rect">
                          <a:avLst/>
                        </a:prstGeom>
                        <a:solidFill>
                          <a:srgbClr val="FFFFFF"/>
                        </a:solidFill>
                        <a:ln w="9525">
                          <a:noFill/>
                          <a:miter lim="800000"/>
                          <a:headEnd/>
                          <a:tailEnd/>
                        </a:ln>
                      </wps:spPr>
                      <wps:txbx>
                        <w:txbxContent>
                          <w:p w14:paraId="368FB5F4" w14:textId="77777777" w:rsidR="004D5334" w:rsidRDefault="004D5334" w:rsidP="0000331B">
                            <w:pPr>
                              <w:jc w:val="center"/>
                            </w:pPr>
                            <w:r w:rsidRPr="006725E4">
                              <w:rPr>
                                <w:noProof/>
                              </w:rPr>
                              <w:drawing>
                                <wp:inline distT="0" distB="0" distL="0" distR="0" wp14:anchorId="492B830D" wp14:editId="0CAB5310">
                                  <wp:extent cx="3361535" cy="2528285"/>
                                  <wp:effectExtent l="0" t="0" r="0" b="5715"/>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361535" cy="2528285"/>
                                          </a:xfrm>
                                          <a:prstGeom prst="rect">
                                            <a:avLst/>
                                          </a:prstGeom>
                                        </pic:spPr>
                                      </pic:pic>
                                    </a:graphicData>
                                  </a:graphic>
                                </wp:inline>
                              </w:drawing>
                            </w:r>
                          </w:p>
                          <w:p w14:paraId="424416CD" w14:textId="2F5AB37E" w:rsidR="004D5334" w:rsidRPr="00F5505F" w:rsidRDefault="004D5334" w:rsidP="0000331B">
                            <w:pPr>
                              <w:pStyle w:val="VAFigureCaption"/>
                              <w:spacing w:line="264" w:lineRule="auto"/>
                              <w:rPr>
                                <w:sz w:val="22"/>
                                <w:szCs w:val="18"/>
                              </w:rPr>
                            </w:pPr>
                            <w:r w:rsidRPr="00F5505F">
                              <w:rPr>
                                <w:sz w:val="22"/>
                                <w:szCs w:val="18"/>
                              </w:rPr>
                              <w:t>Figure S</w:t>
                            </w:r>
                            <w:r>
                              <w:rPr>
                                <w:sz w:val="22"/>
                                <w:szCs w:val="18"/>
                              </w:rPr>
                              <w:t>5</w:t>
                            </w:r>
                            <w:r w:rsidRPr="00F5505F">
                              <w:rPr>
                                <w:sz w:val="22"/>
                                <w:szCs w:val="18"/>
                              </w:rPr>
                              <w:t>: EQEs</w:t>
                            </w:r>
                            <w:r w:rsidRPr="00F5505F" w:rsidDel="006725E4">
                              <w:rPr>
                                <w:sz w:val="22"/>
                                <w:szCs w:val="18"/>
                              </w:rPr>
                              <w:t xml:space="preserve"> </w:t>
                            </w:r>
                            <w:r w:rsidRPr="00F5505F">
                              <w:rPr>
                                <w:sz w:val="22"/>
                                <w:szCs w:val="18"/>
                              </w:rPr>
                              <w:t>of the HBTSC prototype before depositing the ARC, together with the calculated absorptance of each layer (colored areas). Experimental EQE values are marked by crosses.</w:t>
                            </w:r>
                          </w:p>
                        </w:txbxContent>
                      </wps:txbx>
                      <wps:bodyPr rot="0" vert="horz" wrap="square" lIns="91440" tIns="45720" rIns="91440" bIns="45720" anchor="t" anchorCtr="0">
                        <a:noAutofit/>
                      </wps:bodyPr>
                    </wps:wsp>
                  </a:graphicData>
                </a:graphic>
              </wp:inline>
            </w:drawing>
          </mc:Choice>
          <mc:Fallback>
            <w:pict>
              <v:shape w14:anchorId="36F21946" id="Text Box 7" o:spid="_x0000_s1033" type="#_x0000_t202" style="width:466.25pt;height:2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" stroked="f">
                <v:textbox>
                  <w:txbxContent>
                    <w:p w14:paraId="368FB5F4" w14:textId="77777777" w:rsidR="004D5334" w:rsidRDefault="004D5334" w:rsidP="0000331B">
                      <w:pPr>
                        <w:jc w:val="center"/>
                      </w:pPr>
                      <w:r w:rsidRPr="006725E4">
                        <w:rPr>
                          <w:noProof/>
                        </w:rPr>
                        <w:drawing>
                          <wp:inline distT="0" distB="0" distL="0" distR="0" wp14:anchorId="492B830D" wp14:editId="0CAB5310">
                            <wp:extent cx="3361535" cy="2528285"/>
                            <wp:effectExtent l="0" t="0" r="0" b="5715"/>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361535" cy="2528285"/>
                                    </a:xfrm>
                                    <a:prstGeom prst="rect">
                                      <a:avLst/>
                                    </a:prstGeom>
                                  </pic:spPr>
                                </pic:pic>
                              </a:graphicData>
                            </a:graphic>
                          </wp:inline>
                        </w:drawing>
                      </w:r>
                    </w:p>
                    <w:p w14:paraId="424416CD" w14:textId="2F5AB37E" w:rsidR="004D5334" w:rsidRPr="00F5505F" w:rsidRDefault="004D5334" w:rsidP="0000331B">
                      <w:pPr>
                        <w:pStyle w:val="VAFigureCaption"/>
                        <w:spacing w:line="264" w:lineRule="auto"/>
                        <w:rPr>
                          <w:sz w:val="22"/>
                          <w:szCs w:val="18"/>
                        </w:rPr>
                      </w:pPr>
                      <w:r w:rsidRPr="00F5505F">
                        <w:rPr>
                          <w:sz w:val="22"/>
                          <w:szCs w:val="18"/>
                        </w:rPr>
                        <w:t>Figure S</w:t>
                      </w:r>
                      <w:r>
                        <w:rPr>
                          <w:sz w:val="22"/>
                          <w:szCs w:val="18"/>
                        </w:rPr>
                        <w:t>5</w:t>
                      </w:r>
                      <w:r w:rsidRPr="00F5505F">
                        <w:rPr>
                          <w:sz w:val="22"/>
                          <w:szCs w:val="18"/>
                        </w:rPr>
                        <w:t>: EQEs</w:t>
                      </w:r>
                      <w:r w:rsidRPr="00F5505F" w:rsidDel="006725E4">
                        <w:rPr>
                          <w:sz w:val="22"/>
                          <w:szCs w:val="18"/>
                        </w:rPr>
                        <w:t xml:space="preserve"> </w:t>
                      </w:r>
                      <w:r w:rsidRPr="00F5505F">
                        <w:rPr>
                          <w:sz w:val="22"/>
                          <w:szCs w:val="18"/>
                        </w:rPr>
                        <w:t>of the HBTSC prototype before depositing the ARC, together with the calculated absorptance of each layer (colored areas). Experimental EQE values are marked by crosses.</w:t>
                      </w:r>
                    </w:p>
                  </w:txbxContent>
                </v:textbox>
                <w10:anchorlock/>
              </v:shape>
            </w:pict>
          </mc:Fallback>
        </mc:AlternateContent>
      </w:r>
    </w:p>
    <w:p w14:paraId="1EB92158" w14:textId="77777777" w:rsidR="00F70060" w:rsidRDefault="00F70060" w:rsidP="00F70060">
      <w:pPr>
        <w:pStyle w:val="VAFigureCaption"/>
        <w:spacing w:after="0" w:line="408" w:lineRule="auto"/>
        <w:rPr>
          <w:u w:val="single"/>
        </w:rPr>
      </w:pPr>
    </w:p>
    <w:p w14:paraId="79527F01" w14:textId="11811931" w:rsidR="00AE5665" w:rsidRDefault="00847190" w:rsidP="00B4621D">
      <w:pPr>
        <w:pStyle w:val="VAFigureCaption"/>
        <w:spacing w:after="120" w:line="408" w:lineRule="auto"/>
        <w:rPr>
          <w:u w:val="single"/>
        </w:rPr>
      </w:pPr>
      <w:r w:rsidRPr="00847190">
        <w:rPr>
          <w:u w:val="single"/>
        </w:rPr>
        <w:t>S</w:t>
      </w:r>
      <w:r w:rsidR="005036F1">
        <w:rPr>
          <w:u w:val="single"/>
        </w:rPr>
        <w:t>6</w:t>
      </w:r>
      <w:r w:rsidRPr="00847190">
        <w:rPr>
          <w:u w:val="single"/>
        </w:rPr>
        <w:t>: Supplementary characterization of luminescent coupling</w:t>
      </w:r>
    </w:p>
    <w:p w14:paraId="00DE21A4" w14:textId="50DE0257" w:rsidR="00D76FE0" w:rsidRDefault="0000331B" w:rsidP="0000331B">
      <w:r w:rsidRPr="00E949C7">
        <w:rPr>
          <w:rFonts w:asciiTheme="minorHAnsi" w:hAnsiTheme="minorHAnsi" w:cstheme="minorHAnsi"/>
          <w:b/>
          <w:noProof/>
          <w:kern w:val="22"/>
          <w:szCs w:val="24"/>
        </w:rPr>
        <mc:AlternateContent>
          <mc:Choice Requires="wps">
            <w:drawing>
              <wp:inline distT="0" distB="0" distL="0" distR="0" wp14:anchorId="556B0BBC" wp14:editId="2334752E">
                <wp:extent cx="5921375" cy="3781958"/>
                <wp:effectExtent l="0" t="0" r="3175" b="9525"/>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3781958"/>
                        </a:xfrm>
                        <a:prstGeom prst="rect">
                          <a:avLst/>
                        </a:prstGeom>
                        <a:solidFill>
                          <a:srgbClr val="FFFFFF"/>
                        </a:solidFill>
                        <a:ln w="9525">
                          <a:noFill/>
                          <a:miter lim="800000"/>
                          <a:headEnd/>
                          <a:tailEnd/>
                        </a:ln>
                      </wps:spPr>
                      <wps:txbx>
                        <w:txbxContent>
                          <w:p w14:paraId="570AC9F2" w14:textId="77777777" w:rsidR="004D5334" w:rsidRDefault="004D5334" w:rsidP="0000331B">
                            <w:pPr>
                              <w:jc w:val="center"/>
                            </w:pPr>
                            <w:r w:rsidRPr="006725E4">
                              <w:rPr>
                                <w:noProof/>
                              </w:rPr>
                              <w:drawing>
                                <wp:inline distT="0" distB="0" distL="0" distR="0" wp14:anchorId="0A0F8498" wp14:editId="34E01111">
                                  <wp:extent cx="5387310" cy="2488340"/>
                                  <wp:effectExtent l="0" t="0" r="4445" b="7620"/>
                                  <wp:docPr id="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387310" cy="2488340"/>
                                          </a:xfrm>
                                          <a:prstGeom prst="rect">
                                            <a:avLst/>
                                          </a:prstGeom>
                                        </pic:spPr>
                                      </pic:pic>
                                    </a:graphicData>
                                  </a:graphic>
                                </wp:inline>
                              </w:drawing>
                            </w:r>
                          </w:p>
                          <w:p w14:paraId="53F21B56" w14:textId="5B18C63C" w:rsidR="004D5334" w:rsidRPr="00F5505F" w:rsidRDefault="004D5334" w:rsidP="0000331B">
                            <w:pPr>
                              <w:pStyle w:val="VAFigureCaption"/>
                              <w:spacing w:after="120" w:line="264" w:lineRule="auto"/>
                              <w:rPr>
                                <w:sz w:val="22"/>
                                <w:szCs w:val="18"/>
                              </w:rPr>
                            </w:pPr>
                            <w:r w:rsidRPr="00F5505F">
                              <w:rPr>
                                <w:sz w:val="22"/>
                                <w:szCs w:val="18"/>
                              </w:rPr>
                              <w:t>Figure S</w:t>
                            </w:r>
                            <w:r>
                              <w:rPr>
                                <w:sz w:val="22"/>
                                <w:szCs w:val="18"/>
                              </w:rPr>
                              <w:t>6</w:t>
                            </w:r>
                            <w:r w:rsidRPr="00F5505F">
                              <w:rPr>
                                <w:sz w:val="22"/>
                                <w:szCs w:val="18"/>
                              </w:rPr>
                              <w:t xml:space="preserve">: Alternative measurement of the absolute EQE of the HTBSC prototype, performed with the LED solar simulator by powering one wavelength at a time. The slight difference in the 390-660 nm range between  the bottom junction EQEs measured when the top junction was in OC and when the top junction was in SC is consistent with the existence of photon coupling, which is also perceived in the </w:t>
                            </w:r>
                            <w:r w:rsidRPr="00F5505F">
                              <w:rPr>
                                <w:i/>
                                <w:iCs/>
                                <w:sz w:val="22"/>
                                <w:szCs w:val="18"/>
                              </w:rPr>
                              <w:t>J-V</w:t>
                            </w:r>
                            <w:r w:rsidRPr="00F5505F">
                              <w:rPr>
                                <w:sz w:val="22"/>
                                <w:szCs w:val="18"/>
                              </w:rPr>
                              <w:t xml:space="preserve"> curves. This difference was not observable in the EQE measurements taken with the monochromator because the low light intensity produces a low voltage bias of the top cell. </w:t>
                            </w:r>
                          </w:p>
                        </w:txbxContent>
                      </wps:txbx>
                      <wps:bodyPr rot="0" vert="horz" wrap="square" lIns="91440" tIns="45720" rIns="91440" bIns="45720" anchor="t" anchorCtr="0">
                        <a:noAutofit/>
                      </wps:bodyPr>
                    </wps:wsp>
                  </a:graphicData>
                </a:graphic>
              </wp:inline>
            </w:drawing>
          </mc:Choice>
          <mc:Fallback>
            <w:pict>
              <v:shape w14:anchorId="556B0BBC" id="_x0000_s1034" type="#_x0000_t202" style="width:466.25pt;height:29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" stroked="f">
                <v:textbox>
                  <w:txbxContent>
                    <w:p w14:paraId="570AC9F2" w14:textId="77777777" w:rsidR="004D5334" w:rsidRDefault="004D5334" w:rsidP="0000331B">
                      <w:pPr>
                        <w:jc w:val="center"/>
                      </w:pPr>
                      <w:r w:rsidRPr="006725E4">
                        <w:rPr>
                          <w:noProof/>
                        </w:rPr>
                        <w:drawing>
                          <wp:inline distT="0" distB="0" distL="0" distR="0" wp14:anchorId="0A0F8498" wp14:editId="34E01111">
                            <wp:extent cx="5387310" cy="2488340"/>
                            <wp:effectExtent l="0" t="0" r="4445" b="7620"/>
                            <wp:docPr id="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387310" cy="2488340"/>
                                    </a:xfrm>
                                    <a:prstGeom prst="rect">
                                      <a:avLst/>
                                    </a:prstGeom>
                                  </pic:spPr>
                                </pic:pic>
                              </a:graphicData>
                            </a:graphic>
                          </wp:inline>
                        </w:drawing>
                      </w:r>
                    </w:p>
                    <w:p w14:paraId="53F21B56" w14:textId="5B18C63C" w:rsidR="004D5334" w:rsidRPr="00F5505F" w:rsidRDefault="004D5334" w:rsidP="0000331B">
                      <w:pPr>
                        <w:pStyle w:val="VAFigureCaption"/>
                        <w:spacing w:after="120" w:line="264" w:lineRule="auto"/>
                        <w:rPr>
                          <w:sz w:val="22"/>
                          <w:szCs w:val="18"/>
                        </w:rPr>
                      </w:pPr>
                      <w:r w:rsidRPr="00F5505F">
                        <w:rPr>
                          <w:sz w:val="22"/>
                          <w:szCs w:val="18"/>
                        </w:rPr>
                        <w:t>Figure S</w:t>
                      </w:r>
                      <w:r>
                        <w:rPr>
                          <w:sz w:val="22"/>
                          <w:szCs w:val="18"/>
                        </w:rPr>
                        <w:t>6</w:t>
                      </w:r>
                      <w:r w:rsidRPr="00F5505F">
                        <w:rPr>
                          <w:sz w:val="22"/>
                          <w:szCs w:val="18"/>
                        </w:rPr>
                        <w:t xml:space="preserve">: Alternative measurement of the absolute EQE of the HTBSC prototype, performed with the LED solar simulator by powering one wavelength at a time. The slight difference in the 390-660 nm range between  the bottom junction EQEs measured when the top junction was in OC and when the top junction was in SC is consistent with the existence of photon coupling, which is also perceived in the </w:t>
                      </w:r>
                      <w:r w:rsidRPr="00F5505F">
                        <w:rPr>
                          <w:i/>
                          <w:iCs/>
                          <w:sz w:val="22"/>
                          <w:szCs w:val="18"/>
                        </w:rPr>
                        <w:t>J-V</w:t>
                      </w:r>
                      <w:r w:rsidRPr="00F5505F">
                        <w:rPr>
                          <w:sz w:val="22"/>
                          <w:szCs w:val="18"/>
                        </w:rPr>
                        <w:t xml:space="preserve"> curves. This difference was not observable in the EQE measurements taken with the monochromator because the low light intensity produces a low voltage bias of the top cell. </w:t>
                      </w:r>
                    </w:p>
                  </w:txbxContent>
                </v:textbox>
                <w10:anchorlock/>
              </v:shape>
            </w:pict>
          </mc:Fallback>
        </mc:AlternateContent>
      </w:r>
    </w:p>
    <w:p w14:paraId="31263EF5" w14:textId="77777777" w:rsidR="00FA63E9" w:rsidRDefault="00FA63E9" w:rsidP="0089683A">
      <w:pPr>
        <w:spacing w:after="120" w:line="408" w:lineRule="auto"/>
        <w:jc w:val="left"/>
        <w:rPr>
          <w:u w:val="single"/>
        </w:rPr>
      </w:pPr>
    </w:p>
    <w:p w14:paraId="6107FA89" w14:textId="2911F665" w:rsidR="0089683A" w:rsidRDefault="0089683A" w:rsidP="0089683A">
      <w:pPr>
        <w:spacing w:after="120" w:line="408" w:lineRule="auto"/>
        <w:jc w:val="left"/>
        <w:rPr>
          <w:u w:val="single"/>
        </w:rPr>
      </w:pPr>
      <w:r w:rsidRPr="00583DE0">
        <w:rPr>
          <w:u w:val="single"/>
        </w:rPr>
        <w:lastRenderedPageBreak/>
        <w:t>S</w:t>
      </w:r>
      <w:r w:rsidR="005036F1">
        <w:rPr>
          <w:u w:val="single"/>
        </w:rPr>
        <w:t>7</w:t>
      </w:r>
      <w:r w:rsidRPr="00583DE0">
        <w:rPr>
          <w:u w:val="single"/>
        </w:rPr>
        <w:t xml:space="preserve">: Dark </w:t>
      </w:r>
      <w:r w:rsidRPr="0000331B">
        <w:rPr>
          <w:i/>
          <w:iCs/>
          <w:u w:val="single"/>
        </w:rPr>
        <w:t>J-V</w:t>
      </w:r>
      <w:r w:rsidRPr="00583DE0">
        <w:rPr>
          <w:u w:val="single"/>
        </w:rPr>
        <w:t xml:space="preserve"> curves</w:t>
      </w:r>
    </w:p>
    <w:p w14:paraId="02DE24BD" w14:textId="608D5809" w:rsidR="008A3669" w:rsidRDefault="0089683A" w:rsidP="00D6241B">
      <w:pPr>
        <w:spacing w:after="0"/>
        <w:jc w:val="left"/>
        <w:rPr>
          <w:u w:val="single"/>
        </w:rPr>
      </w:pPr>
      <w:r w:rsidRPr="00E949C7">
        <w:rPr>
          <w:rFonts w:asciiTheme="minorHAnsi" w:hAnsiTheme="minorHAnsi" w:cstheme="minorHAnsi"/>
          <w:b/>
          <w:noProof/>
          <w:kern w:val="22"/>
          <w:szCs w:val="24"/>
        </w:rPr>
        <mc:AlternateContent>
          <mc:Choice Requires="wps">
            <w:drawing>
              <wp:inline distT="0" distB="0" distL="0" distR="0" wp14:anchorId="29774A95" wp14:editId="57569073">
                <wp:extent cx="5921375" cy="3352800"/>
                <wp:effectExtent l="0" t="0" r="3175" b="0"/>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3352800"/>
                        </a:xfrm>
                        <a:prstGeom prst="rect">
                          <a:avLst/>
                        </a:prstGeom>
                        <a:solidFill>
                          <a:srgbClr val="FFFFFF"/>
                        </a:solidFill>
                        <a:ln w="9525">
                          <a:noFill/>
                          <a:miter lim="800000"/>
                          <a:headEnd/>
                          <a:tailEnd/>
                        </a:ln>
                      </wps:spPr>
                      <wps:txbx>
                        <w:txbxContent>
                          <w:p w14:paraId="34936AE6" w14:textId="77777777" w:rsidR="004D5334" w:rsidRDefault="004D5334" w:rsidP="0089683A">
                            <w:pPr>
                              <w:spacing w:after="0"/>
                              <w:jc w:val="center"/>
                            </w:pPr>
                            <w:r>
                              <w:rPr>
                                <w:noProof/>
                              </w:rPr>
                              <w:drawing>
                                <wp:inline distT="0" distB="0" distL="0" distR="0" wp14:anchorId="35668EF3" wp14:editId="649E57C9">
                                  <wp:extent cx="3528076" cy="2646989"/>
                                  <wp:effectExtent l="0" t="0" r="0" b="1270"/>
                                  <wp:docPr id="63" name="plot_SIMS_ACS_energy_letters_0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ot_SIMS_ACS_energy_letters_03.svg"/>
                                          <pic:cNvPicPr/>
                                        </pic:nvPicPr>
                                        <pic:blipFill>
                                          <a:blip r:embed="rId15">
                                            <a:extLst>
                                              <a:ext uri="{28A0092B-C50C-407E-A947-70E740481C1C}">
                                                <a14:useLocalDpi xmlns:a14="http://schemas.microsoft.com/office/drawing/2010/main" val="0"/>
                                              </a:ext>
                                            </a:extLst>
                                          </a:blip>
                                          <a:stretch>
                                            <a:fillRect/>
                                          </a:stretch>
                                        </pic:blipFill>
                                        <pic:spPr>
                                          <a:xfrm>
                                            <a:off x="0" y="0"/>
                                            <a:ext cx="3528076" cy="2646989"/>
                                          </a:xfrm>
                                          <a:prstGeom prst="rect">
                                            <a:avLst/>
                                          </a:prstGeom>
                                        </pic:spPr>
                                      </pic:pic>
                                    </a:graphicData>
                                  </a:graphic>
                                </wp:inline>
                              </w:drawing>
                            </w:r>
                          </w:p>
                          <w:p w14:paraId="1678DA97" w14:textId="3BD3620D" w:rsidR="004D5334" w:rsidRPr="00F5505F" w:rsidRDefault="004D5334" w:rsidP="0089683A">
                            <w:pPr>
                              <w:pStyle w:val="VAFigureCaption"/>
                              <w:spacing w:after="0" w:line="264" w:lineRule="auto"/>
                              <w:rPr>
                                <w:sz w:val="22"/>
                                <w:szCs w:val="18"/>
                              </w:rPr>
                            </w:pPr>
                            <w:r w:rsidRPr="00F5505F">
                              <w:rPr>
                                <w:sz w:val="22"/>
                                <w:szCs w:val="18"/>
                              </w:rPr>
                              <w:t>Figure S</w:t>
                            </w:r>
                            <w:r>
                              <w:rPr>
                                <w:sz w:val="22"/>
                                <w:szCs w:val="18"/>
                              </w:rPr>
                              <w:t>7</w:t>
                            </w:r>
                            <w:r w:rsidRPr="00F5505F">
                              <w:rPr>
                                <w:sz w:val="22"/>
                                <w:szCs w:val="18"/>
                              </w:rPr>
                              <w:t xml:space="preserve">: Dark </w:t>
                            </w:r>
                            <w:r w:rsidRPr="00F5505F">
                              <w:rPr>
                                <w:i/>
                                <w:sz w:val="22"/>
                                <w:szCs w:val="18"/>
                              </w:rPr>
                              <w:t>J-V</w:t>
                            </w:r>
                            <w:r w:rsidRPr="00F5505F">
                              <w:rPr>
                                <w:sz w:val="22"/>
                                <w:szCs w:val="18"/>
                              </w:rPr>
                              <w:t xml:space="preserve"> </w:t>
                            </w:r>
                            <w:r w:rsidRPr="00F5505F">
                              <w:rPr>
                                <w:sz w:val="22"/>
                                <w:szCs w:val="22"/>
                              </w:rPr>
                              <w:t>curves for top junction (blue solid line) and bottom junction (red solid line), and the fits to a two-exponential model (grey dashed lines) including series and parallel resistance components. The parameters for</w:t>
                            </w:r>
                            <w:r w:rsidRPr="00F5505F">
                              <w:rPr>
                                <w:sz w:val="22"/>
                                <w:szCs w:val="18"/>
                              </w:rPr>
                              <w:t xml:space="preserve"> the fits are given in the main text Table 1.</w:t>
                            </w:r>
                          </w:p>
                        </w:txbxContent>
                      </wps:txbx>
                      <wps:bodyPr rot="0" vert="horz" wrap="square" lIns="91440" tIns="45720" rIns="91440" bIns="45720" anchor="t" anchorCtr="0">
                        <a:noAutofit/>
                      </wps:bodyPr>
                    </wps:wsp>
                  </a:graphicData>
                </a:graphic>
              </wp:inline>
            </w:drawing>
          </mc:Choice>
          <mc:Fallback>
            <w:pict>
              <v:shape w14:anchorId="29774A95" id="_x0000_s1035" type="#_x0000_t202" style="width:466.25pt;height:2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" stroked="f">
                <v:textbox>
                  <w:txbxContent>
                    <w:p w14:paraId="34936AE6" w14:textId="77777777" w:rsidR="004D5334" w:rsidRDefault="004D5334" w:rsidP="0089683A">
                      <w:pPr>
                        <w:spacing w:after="0"/>
                        <w:jc w:val="center"/>
                      </w:pPr>
                      <w:r>
                        <w:rPr>
                          <w:noProof/>
                        </w:rPr>
                        <w:drawing>
                          <wp:inline distT="0" distB="0" distL="0" distR="0" wp14:anchorId="35668EF3" wp14:editId="649E57C9">
                            <wp:extent cx="3528076" cy="2646989"/>
                            <wp:effectExtent l="0" t="0" r="0" b="1270"/>
                            <wp:docPr id="63" name="plot_SIMS_ACS_energy_letters_0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ot_SIMS_ACS_energy_letters_03.svg"/>
                                    <pic:cNvPicPr/>
                                  </pic:nvPicPr>
                                  <pic:blipFill>
                                    <a:blip r:embed="rId15">
                                      <a:extLst>
                                        <a:ext uri="{28A0092B-C50C-407E-A947-70E740481C1C}">
                                          <a14:useLocalDpi xmlns:a14="http://schemas.microsoft.com/office/drawing/2010/main" val="0"/>
                                        </a:ext>
                                      </a:extLst>
                                    </a:blip>
                                    <a:stretch>
                                      <a:fillRect/>
                                    </a:stretch>
                                  </pic:blipFill>
                                  <pic:spPr>
                                    <a:xfrm>
                                      <a:off x="0" y="0"/>
                                      <a:ext cx="3528076" cy="2646989"/>
                                    </a:xfrm>
                                    <a:prstGeom prst="rect">
                                      <a:avLst/>
                                    </a:prstGeom>
                                  </pic:spPr>
                                </pic:pic>
                              </a:graphicData>
                            </a:graphic>
                          </wp:inline>
                        </w:drawing>
                      </w:r>
                    </w:p>
                    <w:p w14:paraId="1678DA97" w14:textId="3BD3620D" w:rsidR="004D5334" w:rsidRPr="00F5505F" w:rsidRDefault="004D5334" w:rsidP="0089683A">
                      <w:pPr>
                        <w:pStyle w:val="VAFigureCaption"/>
                        <w:spacing w:after="0" w:line="264" w:lineRule="auto"/>
                        <w:rPr>
                          <w:sz w:val="22"/>
                          <w:szCs w:val="18"/>
                        </w:rPr>
                      </w:pPr>
                      <w:r w:rsidRPr="00F5505F">
                        <w:rPr>
                          <w:sz w:val="22"/>
                          <w:szCs w:val="18"/>
                        </w:rPr>
                        <w:t>Figure S</w:t>
                      </w:r>
                      <w:r>
                        <w:rPr>
                          <w:sz w:val="22"/>
                          <w:szCs w:val="18"/>
                        </w:rPr>
                        <w:t>7</w:t>
                      </w:r>
                      <w:r w:rsidRPr="00F5505F">
                        <w:rPr>
                          <w:sz w:val="22"/>
                          <w:szCs w:val="18"/>
                        </w:rPr>
                        <w:t xml:space="preserve">: Dark </w:t>
                      </w:r>
                      <w:r w:rsidRPr="00F5505F">
                        <w:rPr>
                          <w:i/>
                          <w:sz w:val="22"/>
                          <w:szCs w:val="18"/>
                        </w:rPr>
                        <w:t>J-V</w:t>
                      </w:r>
                      <w:r w:rsidRPr="00F5505F">
                        <w:rPr>
                          <w:sz w:val="22"/>
                          <w:szCs w:val="18"/>
                        </w:rPr>
                        <w:t xml:space="preserve"> </w:t>
                      </w:r>
                      <w:r w:rsidRPr="00F5505F">
                        <w:rPr>
                          <w:sz w:val="22"/>
                          <w:szCs w:val="22"/>
                        </w:rPr>
                        <w:t>curves for top junction (blue solid line) and bottom junction (red solid line), and the fits to a two-exponential model (grey dashed lines) including series and parallel resistance components. The parameters for</w:t>
                      </w:r>
                      <w:r w:rsidRPr="00F5505F">
                        <w:rPr>
                          <w:sz w:val="22"/>
                          <w:szCs w:val="18"/>
                        </w:rPr>
                        <w:t xml:space="preserve"> the fits are given in the main text Table 1.</w:t>
                      </w:r>
                    </w:p>
                  </w:txbxContent>
                </v:textbox>
                <w10:anchorlock/>
              </v:shape>
            </w:pict>
          </mc:Fallback>
        </mc:AlternateContent>
      </w:r>
    </w:p>
    <w:p w14:paraId="2A96DC84" w14:textId="77777777" w:rsidR="008A3669" w:rsidRDefault="008A3669" w:rsidP="00D6241B">
      <w:pPr>
        <w:spacing w:after="0"/>
        <w:jc w:val="left"/>
        <w:rPr>
          <w:u w:val="single"/>
        </w:rPr>
      </w:pPr>
    </w:p>
    <w:p w14:paraId="5A51B60C" w14:textId="5302B97C" w:rsidR="00D6241B" w:rsidRDefault="00D6241B" w:rsidP="00D6241B">
      <w:pPr>
        <w:spacing w:after="0"/>
        <w:jc w:val="left"/>
        <w:rPr>
          <w:u w:val="single"/>
        </w:rPr>
      </w:pPr>
      <w:r w:rsidRPr="00E949C7">
        <w:rPr>
          <w:rFonts w:asciiTheme="minorHAnsi" w:hAnsiTheme="minorHAnsi" w:cstheme="minorHAnsi"/>
          <w:b/>
          <w:noProof/>
          <w:kern w:val="22"/>
          <w:szCs w:val="24"/>
        </w:rPr>
        <mc:AlternateContent>
          <mc:Choice Requires="wps">
            <w:drawing>
              <wp:anchor distT="45720" distB="45720" distL="114300" distR="114300" simplePos="0" relativeHeight="251713536" behindDoc="0" locked="0" layoutInCell="1" allowOverlap="1" wp14:anchorId="254DB97A" wp14:editId="14B6647D">
                <wp:simplePos x="0" y="0"/>
                <wp:positionH relativeFrom="margin">
                  <wp:align>left</wp:align>
                </wp:positionH>
                <wp:positionV relativeFrom="paragraph">
                  <wp:posOffset>282575</wp:posOffset>
                </wp:positionV>
                <wp:extent cx="5921375" cy="3867150"/>
                <wp:effectExtent l="0" t="0" r="3175"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3867150"/>
                        </a:xfrm>
                        <a:prstGeom prst="rect">
                          <a:avLst/>
                        </a:prstGeom>
                        <a:solidFill>
                          <a:srgbClr val="FFFFFF"/>
                        </a:solidFill>
                        <a:ln w="9525">
                          <a:noFill/>
                          <a:miter lim="800000"/>
                          <a:headEnd/>
                          <a:tailEnd/>
                        </a:ln>
                      </wps:spPr>
                      <wps:txbx>
                        <w:txbxContent>
                          <w:p w14:paraId="057F9EA3" w14:textId="77777777" w:rsidR="004D5334" w:rsidRDefault="004D5334" w:rsidP="00D6241B">
                            <w:pPr>
                              <w:jc w:val="center"/>
                            </w:pPr>
                            <w:r>
                              <w:rPr>
                                <w:noProof/>
                              </w:rPr>
                              <w:drawing>
                                <wp:inline distT="0" distB="0" distL="0" distR="0" wp14:anchorId="64AA6C91" wp14:editId="650C577B">
                                  <wp:extent cx="3296952" cy="2473586"/>
                                  <wp:effectExtent l="0" t="0" r="0" b="3175"/>
                                  <wp:docPr id="64" name="plot_SIMS_ACS_energy_letters_0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ot_SIMS_ACS_energy_letters_03.svg"/>
                                          <pic:cNvPicPr/>
                                        </pic:nvPicPr>
                                        <pic:blipFill>
                                          <a:blip r:embed="rId16">
                                            <a:extLst>
                                              <a:ext uri="{28A0092B-C50C-407E-A947-70E740481C1C}">
                                                <a14:useLocalDpi xmlns:a14="http://schemas.microsoft.com/office/drawing/2010/main" val="0"/>
                                              </a:ext>
                                            </a:extLst>
                                          </a:blip>
                                          <a:stretch>
                                            <a:fillRect/>
                                          </a:stretch>
                                        </pic:blipFill>
                                        <pic:spPr>
                                          <a:xfrm>
                                            <a:off x="0" y="0"/>
                                            <a:ext cx="3296952" cy="2473586"/>
                                          </a:xfrm>
                                          <a:prstGeom prst="rect">
                                            <a:avLst/>
                                          </a:prstGeom>
                                        </pic:spPr>
                                      </pic:pic>
                                    </a:graphicData>
                                  </a:graphic>
                                </wp:inline>
                              </w:drawing>
                            </w:r>
                          </w:p>
                          <w:p w14:paraId="0BF582DF" w14:textId="4533F57B" w:rsidR="004D5334" w:rsidRPr="00F5505F" w:rsidRDefault="004D5334" w:rsidP="0089683A">
                            <w:pPr>
                              <w:pStyle w:val="VAFigureCaption"/>
                              <w:spacing w:after="120" w:line="264" w:lineRule="auto"/>
                              <w:rPr>
                                <w:sz w:val="22"/>
                                <w:szCs w:val="18"/>
                              </w:rPr>
                            </w:pPr>
                            <w:r w:rsidRPr="00F5505F">
                              <w:rPr>
                                <w:sz w:val="22"/>
                                <w:szCs w:val="18"/>
                              </w:rPr>
                              <w:t>Figure S</w:t>
                            </w:r>
                            <w:r>
                              <w:rPr>
                                <w:sz w:val="22"/>
                                <w:szCs w:val="18"/>
                              </w:rPr>
                              <w:t>8</w:t>
                            </w:r>
                            <w:r w:rsidRPr="00F5505F">
                              <w:rPr>
                                <w:sz w:val="22"/>
                                <w:szCs w:val="18"/>
                              </w:rPr>
                              <w:t>: SIMS measurement of compensated contact. Doping atom concentration (</w:t>
                            </w:r>
                            <w:r w:rsidRPr="00F5505F">
                              <w:rPr>
                                <w:i/>
                                <w:sz w:val="22"/>
                                <w:szCs w:val="18"/>
                              </w:rPr>
                              <w:t>N</w:t>
                            </w:r>
                            <w:r w:rsidRPr="00F5505F">
                              <w:rPr>
                                <w:sz w:val="22"/>
                                <w:szCs w:val="18"/>
                              </w:rPr>
                              <w:t>) as function of distance from semiconductor-metal interface (</w:t>
                            </w:r>
                            <w:r w:rsidRPr="00F5505F">
                              <w:rPr>
                                <w:i/>
                                <w:sz w:val="22"/>
                                <w:szCs w:val="18"/>
                              </w:rPr>
                              <w:t>d</w:t>
                            </w:r>
                            <w:r w:rsidRPr="00F5505F">
                              <w:rPr>
                                <w:sz w:val="22"/>
                                <w:szCs w:val="18"/>
                              </w:rPr>
                              <w:t xml:space="preserve">) measured by SIMS on an epitaxial structure grown with the same conditions as our HBTSC prototype. The base contact (15 nm Au / 40 nm Zn / 500 nm Au) was evaporated on top of the 25 nm thick window layer and the 350 nm thick emitter. The contact was annealed for 180 s at 420 °C. A Zn concentration </w:t>
                            </w:r>
                            <w:r w:rsidRPr="00F5505F">
                              <w:rPr>
                                <w:rFonts w:cs="Times"/>
                                <w:sz w:val="22"/>
                                <w:szCs w:val="18"/>
                              </w:rPr>
                              <w:t xml:space="preserve">greater or equal to the base epitaxial Zn concentration is found down to a depth of 250 nm.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DB97A" id="_x0000_s1036" type="#_x0000_t202" style="position:absolute;margin-left:0;margin-top:22.25pt;width:466.25pt;height:304.5pt;z-index:251713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" stroked="f">
                <v:textbox>
                  <w:txbxContent>
                    <w:p w14:paraId="057F9EA3" w14:textId="77777777" w:rsidR="004D5334" w:rsidRDefault="004D5334" w:rsidP="00D6241B">
                      <w:pPr>
                        <w:jc w:val="center"/>
                      </w:pPr>
                      <w:r>
                        <w:rPr>
                          <w:noProof/>
                        </w:rPr>
                        <w:drawing>
                          <wp:inline distT="0" distB="0" distL="0" distR="0" wp14:anchorId="64AA6C91" wp14:editId="650C577B">
                            <wp:extent cx="3296952" cy="2473586"/>
                            <wp:effectExtent l="0" t="0" r="0" b="3175"/>
                            <wp:docPr id="64" name="plot_SIMS_ACS_energy_letters_0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ot_SIMS_ACS_energy_letters_03.svg"/>
                                    <pic:cNvPicPr/>
                                  </pic:nvPicPr>
                                  <pic:blipFill>
                                    <a:blip r:embed="rId16">
                                      <a:extLst>
                                        <a:ext uri="{28A0092B-C50C-407E-A947-70E740481C1C}">
                                          <a14:useLocalDpi xmlns:a14="http://schemas.microsoft.com/office/drawing/2010/main" val="0"/>
                                        </a:ext>
                                      </a:extLst>
                                    </a:blip>
                                    <a:stretch>
                                      <a:fillRect/>
                                    </a:stretch>
                                  </pic:blipFill>
                                  <pic:spPr>
                                    <a:xfrm>
                                      <a:off x="0" y="0"/>
                                      <a:ext cx="3296952" cy="2473586"/>
                                    </a:xfrm>
                                    <a:prstGeom prst="rect">
                                      <a:avLst/>
                                    </a:prstGeom>
                                  </pic:spPr>
                                </pic:pic>
                              </a:graphicData>
                            </a:graphic>
                          </wp:inline>
                        </w:drawing>
                      </w:r>
                    </w:p>
                    <w:p w14:paraId="0BF582DF" w14:textId="4533F57B" w:rsidR="004D5334" w:rsidRPr="00F5505F" w:rsidRDefault="004D5334" w:rsidP="0089683A">
                      <w:pPr>
                        <w:pStyle w:val="VAFigureCaption"/>
                        <w:spacing w:after="120" w:line="264" w:lineRule="auto"/>
                        <w:rPr>
                          <w:sz w:val="22"/>
                          <w:szCs w:val="18"/>
                        </w:rPr>
                      </w:pPr>
                      <w:r w:rsidRPr="00F5505F">
                        <w:rPr>
                          <w:sz w:val="22"/>
                          <w:szCs w:val="18"/>
                        </w:rPr>
                        <w:t>Figure S</w:t>
                      </w:r>
                      <w:r>
                        <w:rPr>
                          <w:sz w:val="22"/>
                          <w:szCs w:val="18"/>
                        </w:rPr>
                        <w:t>8</w:t>
                      </w:r>
                      <w:r w:rsidRPr="00F5505F">
                        <w:rPr>
                          <w:sz w:val="22"/>
                          <w:szCs w:val="18"/>
                        </w:rPr>
                        <w:t>: SIMS measurement of compensated contact. Doping atom concentration (</w:t>
                      </w:r>
                      <w:r w:rsidRPr="00F5505F">
                        <w:rPr>
                          <w:i/>
                          <w:sz w:val="22"/>
                          <w:szCs w:val="18"/>
                        </w:rPr>
                        <w:t>N</w:t>
                      </w:r>
                      <w:r w:rsidRPr="00F5505F">
                        <w:rPr>
                          <w:sz w:val="22"/>
                          <w:szCs w:val="18"/>
                        </w:rPr>
                        <w:t>) as function of distance from semiconductor-metal interface (</w:t>
                      </w:r>
                      <w:r w:rsidRPr="00F5505F">
                        <w:rPr>
                          <w:i/>
                          <w:sz w:val="22"/>
                          <w:szCs w:val="18"/>
                        </w:rPr>
                        <w:t>d</w:t>
                      </w:r>
                      <w:r w:rsidRPr="00F5505F">
                        <w:rPr>
                          <w:sz w:val="22"/>
                          <w:szCs w:val="18"/>
                        </w:rPr>
                        <w:t xml:space="preserve">) measured by SIMS on an epitaxial structure grown with the same conditions as our HBTSC prototype. The base contact (15 nm Au / 40 nm Zn / 500 nm Au) was evaporated on top of the 25 nm thick window layer and the 350 nm thick emitter. The contact was annealed for 180 s at 420 °C. A Zn concentration </w:t>
                      </w:r>
                      <w:r w:rsidRPr="00F5505F">
                        <w:rPr>
                          <w:rFonts w:cs="Times"/>
                          <w:sz w:val="22"/>
                          <w:szCs w:val="18"/>
                        </w:rPr>
                        <w:t xml:space="preserve">greater or equal to the base epitaxial Zn concentration is found down to a depth of 250 nm. </w:t>
                      </w:r>
                    </w:p>
                  </w:txbxContent>
                </v:textbox>
                <w10:wrap type="square" anchorx="margin"/>
              </v:shape>
            </w:pict>
          </mc:Fallback>
        </mc:AlternateContent>
      </w:r>
      <w:r w:rsidRPr="00583DE0">
        <w:rPr>
          <w:u w:val="single"/>
        </w:rPr>
        <w:t>S</w:t>
      </w:r>
      <w:r w:rsidR="005036F1">
        <w:rPr>
          <w:u w:val="single"/>
        </w:rPr>
        <w:t>8</w:t>
      </w:r>
      <w:r w:rsidRPr="00583DE0">
        <w:rPr>
          <w:u w:val="single"/>
        </w:rPr>
        <w:t>: SIMS profile of compensated contact</w:t>
      </w:r>
    </w:p>
    <w:p w14:paraId="211D7DB0" w14:textId="1A3DF3EA" w:rsidR="00B76BFE" w:rsidRDefault="00847190" w:rsidP="00E10364">
      <w:pPr>
        <w:pStyle w:val="VAFigureCaption"/>
        <w:spacing w:after="120" w:line="408" w:lineRule="auto"/>
        <w:rPr>
          <w:u w:val="single"/>
        </w:rPr>
      </w:pPr>
      <w:r w:rsidRPr="00847190">
        <w:rPr>
          <w:u w:val="single"/>
        </w:rPr>
        <w:lastRenderedPageBreak/>
        <w:t>S</w:t>
      </w:r>
      <w:r w:rsidR="005036F1">
        <w:rPr>
          <w:u w:val="single"/>
        </w:rPr>
        <w:t>9</w:t>
      </w:r>
      <w:r w:rsidRPr="00847190">
        <w:rPr>
          <w:u w:val="single"/>
        </w:rPr>
        <w:t xml:space="preserve">: </w:t>
      </w:r>
      <w:r w:rsidR="005D24D5">
        <w:rPr>
          <w:u w:val="single"/>
        </w:rPr>
        <w:t>S</w:t>
      </w:r>
      <w:r w:rsidRPr="00847190">
        <w:rPr>
          <w:u w:val="single"/>
        </w:rPr>
        <w:t>eries resistance model</w:t>
      </w:r>
    </w:p>
    <w:p w14:paraId="3CD20CC5" w14:textId="16946400" w:rsidR="00E10364" w:rsidRDefault="006075AA" w:rsidP="00E10364">
      <w:pPr>
        <w:spacing w:after="120" w:line="408" w:lineRule="auto"/>
      </w:pPr>
      <w:r>
        <w:t xml:space="preserve">The method to calculate the series resistance </w:t>
      </w:r>
      <w:r w:rsidR="00E10364">
        <w:t>has been taken from</w:t>
      </w:r>
      <w:r w:rsidR="00E678B2">
        <w:t xml:space="preserve"> </w:t>
      </w:r>
      <w:r w:rsidR="00FA63E9">
        <w:t>Luque</w:t>
      </w:r>
      <w:r w:rsidR="00E10364">
        <w:fldChar w:fldCharType="begin"/>
      </w:r>
      <w:r w:rsidR="00986A0F">
        <w:instrText xml:space="preserve"> ADDIN ZOTERO_ITEM CSL_CITATION {"citationID":"1bR166QN","properties":{"formattedCitation":"\\super 2\\nosupersub{}","plainCitation":"2","noteIndex":0},"citationItems":[{"id":2018,"uris":["http://zotero.org/users/local/8eqcxxhi/items/LCQ3ZPE2"],"uri":["http://zotero.org/users/local/8eqcxxhi/items/LCQ3ZPE2"],"itemData":{"id":2018,"type":"book","event-place":"Bristol, England; Philadelphia","ISBN":"978-0-85274-106-1","language":"English","note":"OCLC: 18134343","publisher":"A. Hilger","publisher-place":"Bristol, England; Philadelphia","source":"Open WorldCat","title":"Solar cells and optics for photovoltaic concentration","author":[{"family":"Luque","given":"A"},{"family":"Araújo","given":"Gerardo L"}],"issued":{"date-parts":[["1989"]]}}}],"schema":"https://github.com/citation-style-language/schema/raw/master/csl-citation.json"} </w:instrText>
      </w:r>
      <w:r w:rsidR="00E10364">
        <w:fldChar w:fldCharType="separate"/>
      </w:r>
      <w:r w:rsidR="00986A0F" w:rsidRPr="00986A0F">
        <w:rPr>
          <w:rFonts w:cs="Times"/>
          <w:szCs w:val="24"/>
          <w:vertAlign w:val="superscript"/>
        </w:rPr>
        <w:t>2</w:t>
      </w:r>
      <w:r w:rsidR="00E10364">
        <w:fldChar w:fldCharType="end"/>
      </w:r>
      <w:r w:rsidR="00E678B2">
        <w:t xml:space="preserve"> and adapted </w:t>
      </w:r>
      <w:r w:rsidR="00E10364">
        <w:t>to our geometry</w:t>
      </w:r>
      <w:r w:rsidR="005D24D5">
        <w:t xml:space="preserve">. In this method, a lumped resistance is </w:t>
      </w:r>
      <w:r w:rsidR="000061B7">
        <w:t>obtained</w:t>
      </w:r>
      <w:r w:rsidR="005D24D5">
        <w:t xml:space="preserve"> for each </w:t>
      </w:r>
      <w:r w:rsidR="00223F9F">
        <w:t>element</w:t>
      </w:r>
      <w:r w:rsidR="000061B7">
        <w:t xml:space="preserve"> of</w:t>
      </w:r>
      <w:r w:rsidR="005D24D5">
        <w:t xml:space="preserve"> the structure from the calculation of the power loss produced</w:t>
      </w:r>
      <w:r w:rsidR="000061B7">
        <w:t xml:space="preserve"> in that </w:t>
      </w:r>
      <w:r w:rsidR="00223F9F">
        <w:t>element</w:t>
      </w:r>
      <w:r w:rsidR="000061B7">
        <w:t xml:space="preserve">. </w:t>
      </w:r>
      <w:r w:rsidR="005D24D5">
        <w:t xml:space="preserve">The current path throughout the </w:t>
      </w:r>
      <w:r w:rsidR="000061B7">
        <w:t xml:space="preserve">HBTSC </w:t>
      </w:r>
      <w:r w:rsidR="005D24D5">
        <w:t>device and the resistance components can be seen in Figure S9.</w:t>
      </w:r>
    </w:p>
    <w:p w14:paraId="4278D868" w14:textId="35CFC30E" w:rsidR="00E10364" w:rsidRDefault="00223F9F" w:rsidP="00E10364">
      <w:pPr>
        <w:pStyle w:val="VAFigureCaption"/>
        <w:spacing w:after="120" w:line="408" w:lineRule="auto"/>
      </w:pPr>
      <w:r w:rsidRPr="00E949C7">
        <w:rPr>
          <w:rFonts w:asciiTheme="minorHAnsi" w:hAnsiTheme="minorHAnsi" w:cstheme="minorHAnsi"/>
          <w:b/>
          <w:noProof/>
          <w:kern w:val="22"/>
          <w:szCs w:val="24"/>
        </w:rPr>
        <mc:AlternateContent>
          <mc:Choice Requires="wps">
            <w:drawing>
              <wp:inline distT="0" distB="0" distL="0" distR="0" wp14:anchorId="703C40A1" wp14:editId="2B1151E4">
                <wp:extent cx="5921375" cy="3600450"/>
                <wp:effectExtent l="0" t="0" r="3175" b="0"/>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3600450"/>
                        </a:xfrm>
                        <a:prstGeom prst="rect">
                          <a:avLst/>
                        </a:prstGeom>
                        <a:solidFill>
                          <a:srgbClr val="FFFFFF"/>
                        </a:solidFill>
                        <a:ln w="9525">
                          <a:noFill/>
                          <a:miter lim="800000"/>
                          <a:headEnd/>
                          <a:tailEnd/>
                        </a:ln>
                      </wps:spPr>
                      <wps:txbx>
                        <w:txbxContent>
                          <w:p w14:paraId="55E2229D" w14:textId="77777777" w:rsidR="004D5334" w:rsidRDefault="004D5334" w:rsidP="00E57822">
                            <w:pPr>
                              <w:jc w:val="center"/>
                            </w:pPr>
                            <w:r w:rsidRPr="006725E4">
                              <w:rPr>
                                <w:noProof/>
                              </w:rPr>
                              <w:drawing>
                                <wp:inline distT="0" distB="0" distL="0" distR="0" wp14:anchorId="1D6B93A0" wp14:editId="5336415B">
                                  <wp:extent cx="3559049" cy="2670047"/>
                                  <wp:effectExtent l="0" t="0" r="3810" b="0"/>
                                  <wp:docPr id="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559049" cy="2670047"/>
                                          </a:xfrm>
                                          <a:prstGeom prst="rect">
                                            <a:avLst/>
                                          </a:prstGeom>
                                        </pic:spPr>
                                      </pic:pic>
                                    </a:graphicData>
                                  </a:graphic>
                                </wp:inline>
                              </w:drawing>
                            </w:r>
                          </w:p>
                          <w:p w14:paraId="5F56BBB2" w14:textId="0A97948C" w:rsidR="004D5334" w:rsidRPr="00923309" w:rsidRDefault="004D5334" w:rsidP="00BB0278">
                            <w:pPr>
                              <w:pStyle w:val="VAFigureCaption"/>
                              <w:spacing w:after="120" w:line="264" w:lineRule="auto"/>
                            </w:pPr>
                            <w:r w:rsidRPr="0025504B">
                              <w:t xml:space="preserve">Figure </w:t>
                            </w:r>
                            <w:r>
                              <w:t>S9: Series resistance model: current path throughout the solar cell. Charge carriers encounter different components of series resistance before leaving the solar cell.</w:t>
                            </w:r>
                          </w:p>
                        </w:txbxContent>
                      </wps:txbx>
                      <wps:bodyPr rot="0" vert="horz" wrap="square" lIns="91440" tIns="45720" rIns="91440" bIns="45720" anchor="t" anchorCtr="0">
                        <a:noAutofit/>
                      </wps:bodyPr>
                    </wps:wsp>
                  </a:graphicData>
                </a:graphic>
              </wp:inline>
            </w:drawing>
          </mc:Choice>
          <mc:Fallback>
            <w:pict>
              <v:shape w14:anchorId="703C40A1" id="_x0000_s1037" type="#_x0000_t202" style="width:466.2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" stroked="f">
                <v:textbox>
                  <w:txbxContent>
                    <w:p w14:paraId="55E2229D" w14:textId="77777777" w:rsidR="004D5334" w:rsidRDefault="004D5334" w:rsidP="00E57822">
                      <w:pPr>
                        <w:jc w:val="center"/>
                      </w:pPr>
                      <w:r w:rsidRPr="006725E4">
                        <w:rPr>
                          <w:noProof/>
                        </w:rPr>
                        <w:drawing>
                          <wp:inline distT="0" distB="0" distL="0" distR="0" wp14:anchorId="1D6B93A0" wp14:editId="5336415B">
                            <wp:extent cx="3559049" cy="2670047"/>
                            <wp:effectExtent l="0" t="0" r="3810" b="0"/>
                            <wp:docPr id="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559049" cy="2670047"/>
                                    </a:xfrm>
                                    <a:prstGeom prst="rect">
                                      <a:avLst/>
                                    </a:prstGeom>
                                  </pic:spPr>
                                </pic:pic>
                              </a:graphicData>
                            </a:graphic>
                          </wp:inline>
                        </w:drawing>
                      </w:r>
                    </w:p>
                    <w:p w14:paraId="5F56BBB2" w14:textId="0A97948C" w:rsidR="004D5334" w:rsidRPr="00923309" w:rsidRDefault="004D5334" w:rsidP="00BB0278">
                      <w:pPr>
                        <w:pStyle w:val="VAFigureCaption"/>
                        <w:spacing w:after="120" w:line="264" w:lineRule="auto"/>
                      </w:pPr>
                      <w:r w:rsidRPr="0025504B">
                        <w:t xml:space="preserve">Figure </w:t>
                      </w:r>
                      <w:r>
                        <w:t>S9: Series resistance model: current path throughout the solar cell. Charge carriers encounter different components of series resistance before leaving the solar cell.</w:t>
                      </w:r>
                    </w:p>
                  </w:txbxContent>
                </v:textbox>
                <w10:anchorlock/>
              </v:shape>
            </w:pict>
          </mc:Fallback>
        </mc:AlternateContent>
      </w:r>
      <w:r w:rsidR="00E10364">
        <w:t>The resistance of the collector (</w:t>
      </w:r>
      <w:proofErr w:type="spellStart"/>
      <w:r w:rsidR="00E10364" w:rsidRPr="00186B06">
        <w:rPr>
          <w:i/>
        </w:rPr>
        <w:t>R</w:t>
      </w:r>
      <w:r w:rsidR="00E10364" w:rsidRPr="00186B06">
        <w:rPr>
          <w:vertAlign w:val="subscript"/>
        </w:rPr>
        <w:t>collector</w:t>
      </w:r>
      <w:proofErr w:type="spellEnd"/>
      <w:r w:rsidR="00E10364">
        <w:t>), as well as the contact resistances (</w:t>
      </w:r>
      <w:proofErr w:type="spellStart"/>
      <w:r w:rsidR="00E10364">
        <w:rPr>
          <w:i/>
        </w:rPr>
        <w:t>R</w:t>
      </w:r>
      <w:r w:rsidR="00E10364">
        <w:rPr>
          <w:vertAlign w:val="subscript"/>
        </w:rPr>
        <w:t>c</w:t>
      </w:r>
      <w:proofErr w:type="spellEnd"/>
      <w:r w:rsidR="00E10364">
        <w:rPr>
          <w:vertAlign w:val="subscript"/>
        </w:rPr>
        <w:t xml:space="preserve"> (emitter, collector, base)</w:t>
      </w:r>
      <w:r w:rsidR="00E10364">
        <w:t xml:space="preserve">) are calculated straightforward. For the contributions of emitter, base and metal fingers, </w:t>
      </w:r>
      <w:r w:rsidR="00A06108">
        <w:t xml:space="preserve">the </w:t>
      </w:r>
      <w:r w:rsidR="00A36370">
        <w:t>model account</w:t>
      </w:r>
      <w:r>
        <w:t>s</w:t>
      </w:r>
      <w:r w:rsidR="00A36370">
        <w:t xml:space="preserve"> for the fact that </w:t>
      </w:r>
      <w:r w:rsidR="00E30E15">
        <w:t xml:space="preserve">current is photogenerated uniformly all over the layer and </w:t>
      </w:r>
      <w:r w:rsidR="00A36370">
        <w:t>photogenerated current accumulates along the transport lines.</w:t>
      </w:r>
      <w:r>
        <w:t xml:space="preserve"> </w:t>
      </w:r>
      <w:r w:rsidR="00140804">
        <w:t>Dep</w:t>
      </w:r>
      <w:r w:rsidR="00E10364">
        <w:t>arting from the majority carrier mobilities</w:t>
      </w:r>
      <w:r w:rsidR="00855B3D">
        <w:t xml:space="preserve"> </w:t>
      </w:r>
      <w:r w:rsidR="00E10364">
        <w:fldChar w:fldCharType="begin"/>
      </w:r>
      <w:r w:rsidR="004C6301">
        <w:instrText xml:space="preserve"> ADDIN ZOTERO_ITEM CSL_CITATION {"citationID":"w3haklxH","properties":{"formattedCitation":"\\super 3\\uc0\\u8211{}5\\nosupersub{}","plainCitation":"3–5","noteIndex":0},"citationItems":[{"id":1639,"uris":["http://zotero.org/users/local/8eqcxxhi/items/KTSKDDSA"],"uri":["http://zotero.org/users/local/8eqcxxhi/items/KTSKDDSA"],"itemData":{"id":1639,"type":"article-journal","container-title":"Applied Physics Letters","DOI":"10.1063/1.112373","ISSN":"0003-6951","issue":"3","journalAbbreviation":"Appl. Phys. Lett.","page":"356-358","source":"aip.scitation.org (Atypon)","title":"Electronic properties of InGaP grown by solid‐source molecular‐beam epitaxy with a GaP decomposition source","volume":"65","author":[{"family":"Shitara","given":"Tomoya"},{"family":"Eberl","given":"Karl"}],"issued":{"date-parts":[["1994",7,18]]}}},{"id":1658,"uris":["http://zotero.org/users/local/8eqcxxhi/items/FTEF2DRW"],"uri":["http://zotero.org/users/local/8eqcxxhi/items/FTEF2DRW"],"itemData":{"id":1658,"type":"article-journal","container-title":"Journal of Applied Physics","DOI":"10.1063/1.343718","ISSN":"0021-8979","issue":"11","journalAbbreviation":"Journal of Applied Physics","page":"5285-5289","source":"aip.scitation.org (Atypon)","title":"Selenium and zinc doping in Ga&lt;sub&gt;0.5&lt;/sub&gt;In&lt;sub&gt;0.5&lt;/sub&gt;P and (Al&lt;sub&gt;0.5&lt;/sub&gt;Ga&lt;sub&gt;0.5&lt;/sub&gt;)&lt;sub&gt;0.5&lt;/sub&gt;In&lt;sub&gt;0.5&lt;/sub&gt;P grown by metalorganic chemical vapor deposition","volume":"66","author":[{"family":"Ikeda","given":"M."},{"family":"Kaneko","given":"K."}],"issued":{"date-parts":[["1989",12,1]]}}},{"id":1954,"uris":["http://zotero.org/users/local/8eqcxxhi/items/4HA83PDN"],"uri":["http://zotero.org/users/local/8eqcxxhi/items/4HA83PDN"],"itemData":{"id":1954,"type":"article-journal","container-title":"Journal of Applied Physics","DOI":"10.1063/1.372274","ISSN":"0021-8979","issue":"6","journalAbbreviation":"Journal of Applied Physics","page":"2890-2900","source":"aip.scitation.org (Atypon)","title":"Empirical low-field mobility model for III–V compounds applicable in device simulation codes","volume":"87","author":[{"family":"Sotoodeh","given":"M."},{"family":"Khalid","given":"A. H."},{"family":"Rezazadeh","given":"A. A."}],"issued":{"date-parts":[["2000",2,25]]}}}],"schema":"https://github.com/citation-style-language/schema/raw/master/csl-citation.json"} </w:instrText>
      </w:r>
      <w:r w:rsidR="00E10364">
        <w:fldChar w:fldCharType="separate"/>
      </w:r>
      <w:r w:rsidR="00986A0F" w:rsidRPr="00986A0F">
        <w:rPr>
          <w:rFonts w:cs="Times"/>
          <w:szCs w:val="24"/>
          <w:vertAlign w:val="superscript"/>
        </w:rPr>
        <w:t>3–5</w:t>
      </w:r>
      <w:r w:rsidR="00E10364">
        <w:fldChar w:fldCharType="end"/>
      </w:r>
      <w:r w:rsidR="00E10364">
        <w:t xml:space="preserve"> (</w:t>
      </w:r>
      <w:r w:rsidR="00E10364" w:rsidRPr="00384DCB">
        <w:rPr>
          <w:i/>
        </w:rPr>
        <w:t>µ</w:t>
      </w:r>
      <w:proofErr w:type="spellStart"/>
      <w:r w:rsidR="00E10364" w:rsidRPr="00384DCB">
        <w:rPr>
          <w:vertAlign w:val="subscript"/>
        </w:rPr>
        <w:t>i</w:t>
      </w:r>
      <w:proofErr w:type="spellEnd"/>
      <w:r w:rsidR="00E10364">
        <w:t>), the doping level (</w:t>
      </w:r>
      <w:r w:rsidR="00E10364" w:rsidRPr="00384DCB">
        <w:rPr>
          <w:i/>
        </w:rPr>
        <w:t>N</w:t>
      </w:r>
      <w:r w:rsidR="00E10364" w:rsidRPr="00384DCB">
        <w:rPr>
          <w:vertAlign w:val="subscript"/>
        </w:rPr>
        <w:t>i</w:t>
      </w:r>
      <w:r w:rsidR="00E10364">
        <w:t>) (SIMS measurement, assuming complete ionization) and the elementary charge (</w:t>
      </w:r>
      <w:r w:rsidR="00E10364" w:rsidRPr="00384DCB">
        <w:rPr>
          <w:i/>
        </w:rPr>
        <w:t>q</w:t>
      </w:r>
      <w:r w:rsidR="00E10364">
        <w:t>) we calculate the resistivity (</w:t>
      </w:r>
      <w:proofErr w:type="spellStart"/>
      <w:r w:rsidR="00E10364" w:rsidRPr="004D11BB">
        <w:rPr>
          <w:rFonts w:cs="Times"/>
          <w:i/>
          <w:iCs/>
        </w:rPr>
        <w:t>ρ</w:t>
      </w:r>
      <w:r w:rsidR="00E10364" w:rsidRPr="00384DCB">
        <w:rPr>
          <w:vertAlign w:val="subscript"/>
        </w:rPr>
        <w:t>i</w:t>
      </w:r>
      <w:proofErr w:type="spellEnd"/>
      <w:r w:rsidR="00E10364">
        <w:t>) of each layer i:</w:t>
      </w:r>
    </w:p>
    <w:p w14:paraId="3112E500" w14:textId="77777777" w:rsidR="00E10364" w:rsidRDefault="004D5334" w:rsidP="00E10364">
      <w:pPr>
        <w:pStyle w:val="VAFigureCaption"/>
        <w:spacing w:after="120" w:line="408" w:lineRule="auto"/>
      </w:pPr>
      <m:oMathPara>
        <m:oMath>
          <m:sSub>
            <m:sSubPr>
              <m:ctrlPr>
                <w:rPr>
                  <w:rFonts w:ascii="Cambria Math" w:hAnsi="Cambria Math"/>
                  <w:i/>
                </w:rPr>
              </m:ctrlPr>
            </m:sSubPr>
            <m:e>
              <m:r>
                <w:rPr>
                  <w:rFonts w:ascii="Cambria Math" w:hAnsi="Cambria Math"/>
                </w:rPr>
                <m:t>ρ</m:t>
              </m:r>
            </m:e>
            <m:sub>
              <m:r>
                <m:rPr>
                  <m:sty m:val="p"/>
                </m:rP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rPr>
                  </m:ctrlPr>
                </m:sSubPr>
                <m:e>
                  <m:r>
                    <m:rPr>
                      <m:nor/>
                    </m:rPr>
                    <w:rPr>
                      <w:rFonts w:ascii="Cambria Math" w:hAnsi="Cambria Math"/>
                      <w:i/>
                    </w:rPr>
                    <m:t>N</m:t>
                  </m:r>
                </m:e>
                <m:sub>
                  <m:r>
                    <m:rPr>
                      <m:nor/>
                    </m:rPr>
                    <w:rPr>
                      <w:rFonts w:ascii="Cambria Math" w:hAnsi="Cambria Math"/>
                    </w:rPr>
                    <m:t>i</m:t>
                  </m:r>
                </m:sub>
              </m:sSub>
              <m:r>
                <w:rPr>
                  <w:rFonts w:ascii="Cambria Math" w:hAnsi="Cambria Math"/>
                </w:rPr>
                <m:t>*</m:t>
              </m:r>
              <m:sSub>
                <m:sSubPr>
                  <m:ctrlPr>
                    <w:rPr>
                      <w:rFonts w:ascii="Cambria Math" w:hAnsi="Cambria Math"/>
                    </w:rPr>
                  </m:ctrlPr>
                </m:sSubPr>
                <m:e>
                  <m:r>
                    <m:rPr>
                      <m:nor/>
                    </m:rPr>
                    <w:rPr>
                      <w:rFonts w:ascii="Cambria Math" w:hAnsi="Cambria Math"/>
                      <w:i/>
                    </w:rPr>
                    <m:t>μ</m:t>
                  </m:r>
                </m:e>
                <m:sub>
                  <m:r>
                    <m:rPr>
                      <m:nor/>
                    </m:rPr>
                    <w:rPr>
                      <w:rFonts w:ascii="Cambria Math" w:hAnsi="Cambria Math"/>
                    </w:rPr>
                    <m:t>i</m:t>
                  </m:r>
                </m:sub>
              </m:sSub>
              <m:r>
                <w:rPr>
                  <w:rFonts w:ascii="Cambria Math" w:hAnsi="Cambria Math"/>
                </w:rPr>
                <m:t>*q)</m:t>
              </m:r>
            </m:e>
            <m:sup>
              <m:r>
                <w:rPr>
                  <w:rFonts w:ascii="Cambria Math" w:hAnsi="Cambria Math"/>
                </w:rPr>
                <m:t>-1</m:t>
              </m:r>
            </m:sup>
          </m:sSup>
        </m:oMath>
      </m:oMathPara>
    </w:p>
    <w:p w14:paraId="481DB640" w14:textId="3E450C08" w:rsidR="00362C9B" w:rsidRDefault="00A95662" w:rsidP="00223F9F">
      <w:pPr>
        <w:pStyle w:val="VAFigureCaption"/>
        <w:spacing w:after="120" w:line="408" w:lineRule="auto"/>
      </w:pPr>
      <w:proofErr w:type="gramStart"/>
      <w:r>
        <w:t>Taking into account</w:t>
      </w:r>
      <w:proofErr w:type="gramEnd"/>
      <w:r>
        <w:t xml:space="preserve"> the </w:t>
      </w:r>
      <w:r w:rsidR="00362C9B">
        <w:t>thickness (</w:t>
      </w:r>
      <w:proofErr w:type="spellStart"/>
      <w:r w:rsidR="00362C9B" w:rsidRPr="00384DCB">
        <w:rPr>
          <w:i/>
        </w:rPr>
        <w:t>w</w:t>
      </w:r>
      <w:r w:rsidR="00362C9B" w:rsidRPr="00384DCB">
        <w:rPr>
          <w:vertAlign w:val="subscript"/>
        </w:rPr>
        <w:t>i</w:t>
      </w:r>
      <w:proofErr w:type="spellEnd"/>
      <w:r w:rsidR="00362C9B">
        <w:t xml:space="preserve">), </w:t>
      </w:r>
      <w:r>
        <w:t>we get the</w:t>
      </w:r>
      <w:r w:rsidR="00362C9B">
        <w:t xml:space="preserve"> sheet resistance (</w:t>
      </w:r>
      <w:r w:rsidR="00362C9B" w:rsidRPr="00384DCB">
        <w:rPr>
          <w:i/>
        </w:rPr>
        <w:t>R</w:t>
      </w:r>
      <w:r w:rsidR="00362C9B" w:rsidRPr="00384DCB">
        <w:rPr>
          <w:rFonts w:cs="Times"/>
          <w:vertAlign w:val="subscript"/>
        </w:rPr>
        <w:t>□</w:t>
      </w:r>
      <w:r w:rsidR="005302DD">
        <w:rPr>
          <w:rFonts w:cs="Times"/>
          <w:vertAlign w:val="subscript"/>
        </w:rPr>
        <w:t xml:space="preserve"> </w:t>
      </w:r>
      <w:proofErr w:type="spellStart"/>
      <w:r w:rsidR="00362C9B" w:rsidRPr="00384DCB">
        <w:rPr>
          <w:rFonts w:cs="Times"/>
          <w:vertAlign w:val="subscript"/>
        </w:rPr>
        <w:t>i</w:t>
      </w:r>
      <w:proofErr w:type="spellEnd"/>
      <w:r w:rsidR="00362C9B">
        <w:t>):</w:t>
      </w:r>
    </w:p>
    <w:p w14:paraId="01E41989" w14:textId="382632D1" w:rsidR="004C2E5E" w:rsidRDefault="004D5334" w:rsidP="00A95662">
      <w:pPr>
        <w:pStyle w:val="VAFigureCaption"/>
        <w:spacing w:after="120" w:line="408" w:lineRule="auto"/>
      </w:pPr>
      <m:oMathPara>
        <m:oMath>
          <m:sSub>
            <m:sSubPr>
              <m:ctrlPr>
                <w:rPr>
                  <w:rFonts w:ascii="Cambria Math" w:hAnsi="Cambria Math"/>
                  <w:i/>
                </w:rPr>
              </m:ctrlPr>
            </m:sSubPr>
            <m:e>
              <m:r>
                <w:rPr>
                  <w:rFonts w:ascii="Cambria Math" w:hAnsi="Cambria Math"/>
                </w:rPr>
                <m:t>R</m:t>
              </m:r>
            </m:e>
            <m:sub>
              <m:r>
                <m:rPr>
                  <m:sty m:val="p"/>
                </m:rPr>
                <w:rPr>
                  <w:rFonts w:ascii="Cambria Math" w:hAnsi="Cambria Math" w:cs="Times"/>
                  <w:vertAlign w:val="subscript"/>
                </w:rPr>
                <m:t>□ i</m:t>
              </m:r>
            </m:sub>
          </m:sSub>
          <m:r>
            <w:rPr>
              <w:rFonts w:ascii="Cambria Math" w:hAnsi="Cambria Math"/>
            </w:rPr>
            <m:t>=</m:t>
          </m:r>
          <m:sSub>
            <m:sSubPr>
              <m:ctrlPr>
                <w:rPr>
                  <w:rFonts w:ascii="Cambria Math" w:hAnsi="Cambria Math"/>
                  <w:i/>
                </w:rPr>
              </m:ctrlPr>
            </m:sSubPr>
            <m:e>
              <m:r>
                <w:rPr>
                  <w:rFonts w:ascii="Cambria Math" w:hAnsi="Cambria Math"/>
                </w:rPr>
                <m:t>ρ</m:t>
              </m:r>
            </m:e>
            <m:sub>
              <m:r>
                <m:rPr>
                  <m:sty m:val="p"/>
                </m:rPr>
                <w:rPr>
                  <w:rFonts w:ascii="Cambria Math" w:hAnsi="Cambria Math"/>
                </w:rPr>
                <m:t>i</m:t>
              </m:r>
            </m:sub>
          </m:sSub>
          <m:r>
            <w:rPr>
              <w:rFonts w:ascii="Cambria Math" w:hAnsi="Cambria Math"/>
            </w:rPr>
            <m:t xml:space="preserve"> </m:t>
          </m:r>
          <m:sSubSup>
            <m:sSubSupPr>
              <m:ctrlPr>
                <w:rPr>
                  <w:rFonts w:ascii="Cambria Math" w:hAnsi="Cambria Math"/>
                  <w:i/>
                </w:rPr>
              </m:ctrlPr>
            </m:sSubSupPr>
            <m:e>
              <m:r>
                <w:rPr>
                  <w:rFonts w:ascii="Cambria Math" w:hAnsi="Cambria Math"/>
                </w:rPr>
                <m:t>w</m:t>
              </m:r>
            </m:e>
            <m:sub>
              <m:r>
                <m:rPr>
                  <m:sty m:val="p"/>
                </m:rPr>
                <w:rPr>
                  <w:rFonts w:ascii="Cambria Math" w:hAnsi="Cambria Math"/>
                </w:rPr>
                <m:t>i</m:t>
              </m:r>
            </m:sub>
            <m:sup>
              <m:r>
                <w:rPr>
                  <w:rFonts w:ascii="Cambria Math" w:hAnsi="Cambria Math"/>
                </w:rPr>
                <m:t>-1</m:t>
              </m:r>
            </m:sup>
          </m:sSubSup>
        </m:oMath>
      </m:oMathPara>
    </w:p>
    <w:p w14:paraId="2D2DF4A2" w14:textId="31F013B4" w:rsidR="002D5E46" w:rsidRDefault="002D5E46" w:rsidP="00A95662">
      <w:pPr>
        <w:pStyle w:val="VAFigureCaption"/>
        <w:spacing w:after="120" w:line="408" w:lineRule="auto"/>
      </w:pPr>
      <w:r>
        <w:lastRenderedPageBreak/>
        <w:t xml:space="preserve">The resistance </w:t>
      </w:r>
      <w:proofErr w:type="spellStart"/>
      <w:r w:rsidRPr="00384DCB">
        <w:rPr>
          <w:i/>
        </w:rPr>
        <w:t>r</w:t>
      </w:r>
      <w:r w:rsidRPr="00384DCB">
        <w:rPr>
          <w:vertAlign w:val="subscript"/>
        </w:rPr>
        <w:t>s</w:t>
      </w:r>
      <w:proofErr w:type="spellEnd"/>
      <w:r w:rsidRPr="00384DCB">
        <w:rPr>
          <w:vertAlign w:val="subscript"/>
        </w:rPr>
        <w:t xml:space="preserve"> </w:t>
      </w:r>
      <w:proofErr w:type="spellStart"/>
      <w:r w:rsidRPr="00384DCB">
        <w:rPr>
          <w:vertAlign w:val="subscript"/>
        </w:rPr>
        <w:t>i</w:t>
      </w:r>
      <w:proofErr w:type="spellEnd"/>
      <w:r>
        <w:t xml:space="preserve"> of a layer of length </w:t>
      </w:r>
      <w:r w:rsidRPr="00384DCB">
        <w:rPr>
          <w:i/>
        </w:rPr>
        <w:t>l</w:t>
      </w:r>
      <w:r w:rsidRPr="00384DCB">
        <w:rPr>
          <w:vertAlign w:val="subscript"/>
        </w:rPr>
        <w:t>i</w:t>
      </w:r>
      <w:r>
        <w:t xml:space="preserve"> with crowding due to lateral current flow is then</w:t>
      </w:r>
      <w:r>
        <w:fldChar w:fldCharType="begin"/>
      </w:r>
      <w:r w:rsidR="00986A0F">
        <w:instrText xml:space="preserve"> ADDIN ZOTERO_ITEM CSL_CITATION {"citationID":"6mfPErBd","properties":{"formattedCitation":"\\super 2\\nosupersub{}","plainCitation":"2","noteIndex":0},"citationItems":[{"id":2018,"uris":["http://zotero.org/users/local/8eqcxxhi/items/LCQ3ZPE2"],"uri":["http://zotero.org/users/local/8eqcxxhi/items/LCQ3ZPE2"],"itemData":{"id":2018,"type":"book","event-place":"Bristol, England; Philadelphia","ISBN":"978-0-85274-106-1","language":"English","note":"OCLC: 18134343","publisher":"A. Hilger","publisher-place":"Bristol, England; Philadelphia","source":"Open WorldCat","title":"Solar cells and optics for photovoltaic concentration","author":[{"family":"Luque","given":"A"},{"family":"Araújo","given":"Gerardo L"}],"issued":{"date-parts":[["1989"]]}}}],"schema":"https://github.com/citation-style-language/schema/raw/master/csl-citation.json"} </w:instrText>
      </w:r>
      <w:r>
        <w:fldChar w:fldCharType="separate"/>
      </w:r>
      <w:r w:rsidR="00986A0F" w:rsidRPr="00986A0F">
        <w:rPr>
          <w:rFonts w:cs="Times"/>
          <w:szCs w:val="24"/>
          <w:vertAlign w:val="superscript"/>
        </w:rPr>
        <w:t>2</w:t>
      </w:r>
      <w:r>
        <w:fldChar w:fldCharType="end"/>
      </w:r>
      <w:r>
        <w:t>:</w:t>
      </w:r>
    </w:p>
    <w:p w14:paraId="03BA96D1" w14:textId="2C66028C" w:rsidR="00ED214C" w:rsidRDefault="004D5334" w:rsidP="00A95662">
      <w:pPr>
        <w:pStyle w:val="VAFigureCaption"/>
        <w:spacing w:after="120" w:line="408" w:lineRule="auto"/>
      </w:pPr>
      <m:oMathPara>
        <m:oMath>
          <m:sSub>
            <m:sSubPr>
              <m:ctrlPr>
                <w:rPr>
                  <w:rFonts w:ascii="Cambria Math" w:hAnsi="Cambria Math"/>
                  <w:i/>
                </w:rPr>
              </m:ctrlPr>
            </m:sSubPr>
            <m:e>
              <m:r>
                <w:rPr>
                  <w:rFonts w:ascii="Cambria Math" w:hAnsi="Cambria Math"/>
                </w:rPr>
                <m:t>r</m:t>
              </m:r>
            </m:e>
            <m:sub>
              <m:r>
                <m:rPr>
                  <m:sty m:val="p"/>
                </m:rPr>
                <w:rPr>
                  <w:rFonts w:ascii="Cambria Math" w:hAnsi="Cambria Math"/>
                  <w:vertAlign w:val="subscript"/>
                </w:rPr>
                <m:t>s i</m:t>
              </m:r>
            </m:sub>
          </m:sSub>
          <m:r>
            <m:rPr>
              <m:sty m:val="p"/>
            </m:rPr>
            <w:rPr>
              <w:rFonts w:ascii="Cambria Math"/>
              <w:vertAlign w:val="subscript"/>
            </w:rPr>
            <m:t xml:space="preserve">= </m:t>
          </m:r>
          <m:f>
            <m:fPr>
              <m:ctrlPr>
                <w:rPr>
                  <w:rFonts w:ascii="Cambria Math" w:hAnsi="Cambria Math"/>
                  <w:vertAlign w:val="subscript"/>
                </w:rPr>
              </m:ctrlPr>
            </m:fPr>
            <m:num>
              <m:r>
                <w:rPr>
                  <w:rFonts w:ascii="Cambria Math"/>
                  <w:vertAlign w:val="subscript"/>
                </w:rPr>
                <m:t>1</m:t>
              </m:r>
            </m:num>
            <m:den>
              <m:r>
                <w:rPr>
                  <w:rFonts w:ascii="Cambria Math"/>
                  <w:vertAlign w:val="subscript"/>
                </w:rPr>
                <m:t>3</m:t>
              </m:r>
            </m:den>
          </m:f>
          <m:sSub>
            <m:sSubPr>
              <m:ctrlPr>
                <w:rPr>
                  <w:rFonts w:ascii="Cambria Math" w:hAnsi="Cambria Math"/>
                  <w:i/>
                </w:rPr>
              </m:ctrlPr>
            </m:sSubPr>
            <m:e>
              <m:r>
                <w:rPr>
                  <w:rFonts w:ascii="Cambria Math" w:hAnsi="Cambria Math"/>
                </w:rPr>
                <m:t xml:space="preserve"> R</m:t>
              </m:r>
            </m:e>
            <m:sub>
              <m:r>
                <m:rPr>
                  <m:sty m:val="p"/>
                </m:rPr>
                <w:rPr>
                  <w:rFonts w:ascii="Cambria Math" w:hAnsi="Cambria Math" w:cs="Times"/>
                  <w:vertAlign w:val="subscript"/>
                </w:rPr>
                <m:t>□ i</m:t>
              </m:r>
            </m:sub>
          </m:sSub>
          <m:r>
            <w:rPr>
              <w:rFonts w:ascii="Cambria Math" w:hAnsi="Cambria Math"/>
            </w:rPr>
            <m:t xml:space="preserve"> </m:t>
          </m:r>
          <m:sSubSup>
            <m:sSubSupPr>
              <m:ctrlPr>
                <w:rPr>
                  <w:rFonts w:ascii="Cambria Math" w:hAnsi="Cambria Math"/>
                  <w:i/>
                </w:rPr>
              </m:ctrlPr>
            </m:sSubSupPr>
            <m:e>
              <m:r>
                <w:rPr>
                  <w:rFonts w:ascii="Cambria Math" w:hAnsi="Cambria Math"/>
                </w:rPr>
                <m:t>l</m:t>
              </m:r>
            </m:e>
            <m:sub>
              <m:r>
                <m:rPr>
                  <m:sty m:val="p"/>
                </m:rPr>
                <w:rPr>
                  <w:rFonts w:ascii="Cambria Math" w:hAnsi="Cambria Math"/>
                </w:rPr>
                <m:t>i</m:t>
              </m:r>
            </m:sub>
            <m:sup>
              <m:r>
                <w:rPr>
                  <w:rFonts w:ascii="Cambria Math" w:hAnsi="Cambria Math"/>
                </w:rPr>
                <m:t>2</m:t>
              </m:r>
            </m:sup>
          </m:sSubSup>
        </m:oMath>
      </m:oMathPara>
    </w:p>
    <w:p w14:paraId="071A226F" w14:textId="774AB3F1" w:rsidR="008F41AD" w:rsidRDefault="00CC2CA0" w:rsidP="00A95662">
      <w:pPr>
        <w:pStyle w:val="VAFigureCaption"/>
        <w:spacing w:after="120" w:line="408" w:lineRule="auto"/>
      </w:pPr>
      <w:r>
        <w:t>This formula can be applied directly to calculate the resistance</w:t>
      </w:r>
      <w:r w:rsidR="00EC716C">
        <w:t xml:space="preserve"> of </w:t>
      </w:r>
      <w:r>
        <w:t xml:space="preserve">the </w:t>
      </w:r>
      <w:r w:rsidR="00EC716C">
        <w:t>emitter</w:t>
      </w:r>
      <w:r>
        <w:t>,</w:t>
      </w:r>
      <w:r w:rsidR="00EC716C">
        <w:t xml:space="preserve"> </w:t>
      </w:r>
      <w:r w:rsidR="00EC716C" w:rsidRPr="00EC716C">
        <w:rPr>
          <w:i/>
        </w:rPr>
        <w:t>R</w:t>
      </w:r>
      <w:r w:rsidR="00EC716C" w:rsidRPr="00EC716C">
        <w:rPr>
          <w:vertAlign w:val="subscript"/>
        </w:rPr>
        <w:t>s emitter</w:t>
      </w:r>
      <w:r w:rsidRPr="00CC2CA0">
        <w:t>,</w:t>
      </w:r>
      <w:r w:rsidR="00EC716C">
        <w:t xml:space="preserve"> and </w:t>
      </w:r>
      <w:r>
        <w:t xml:space="preserve">its </w:t>
      </w:r>
      <w:r w:rsidR="00EC716C">
        <w:t>metallization</w:t>
      </w:r>
      <w:r>
        <w:t xml:space="preserve"> grid</w:t>
      </w:r>
      <w:r w:rsidR="00A95662">
        <w:t>,</w:t>
      </w:r>
      <w:r w:rsidR="00EC716C">
        <w:t xml:space="preserve"> </w:t>
      </w:r>
      <w:r w:rsidR="00EC716C" w:rsidRPr="00EC716C">
        <w:rPr>
          <w:i/>
        </w:rPr>
        <w:t>R</w:t>
      </w:r>
      <w:r w:rsidR="00EC716C">
        <w:rPr>
          <w:vertAlign w:val="subscript"/>
        </w:rPr>
        <w:t>m</w:t>
      </w:r>
      <w:r w:rsidR="00EC716C" w:rsidRPr="00EC716C">
        <w:rPr>
          <w:vertAlign w:val="subscript"/>
        </w:rPr>
        <w:t xml:space="preserve"> emitte</w:t>
      </w:r>
      <w:r>
        <w:rPr>
          <w:vertAlign w:val="subscript"/>
        </w:rPr>
        <w:t>r</w:t>
      </w:r>
      <w:r w:rsidR="00EC716C">
        <w:t xml:space="preserve">. For the </w:t>
      </w:r>
      <w:r w:rsidR="008D5AFA">
        <w:t xml:space="preserve">lateral </w:t>
      </w:r>
      <w:r w:rsidR="00EC716C">
        <w:t xml:space="preserve">contribution of the base we must </w:t>
      </w:r>
      <w:proofErr w:type="gramStart"/>
      <w:r w:rsidR="008D5AFA">
        <w:t>take into account</w:t>
      </w:r>
      <w:proofErr w:type="gramEnd"/>
      <w:r w:rsidR="008D5AFA">
        <w:t xml:space="preserve"> that there is an etched region where the base is thinner (the trench that isolate</w:t>
      </w:r>
      <w:r w:rsidR="00A36370">
        <w:t>s</w:t>
      </w:r>
      <w:r w:rsidR="008D5AFA">
        <w:t xml:space="preserve"> the base contact, with length </w:t>
      </w:r>
      <w:r w:rsidR="008D5AFA" w:rsidRPr="008D5AFA">
        <w:rPr>
          <w:i/>
          <w:iCs/>
        </w:rPr>
        <w:t>l</w:t>
      </w:r>
      <w:r w:rsidR="008D5AFA" w:rsidRPr="008D5AFA">
        <w:rPr>
          <w:vertAlign w:val="subscript"/>
        </w:rPr>
        <w:t>etch</w:t>
      </w:r>
      <w:r w:rsidR="008D5AFA" w:rsidRPr="008D5AFA">
        <w:t>)</w:t>
      </w:r>
      <w:r w:rsidR="008D5AFA">
        <w:rPr>
          <w:vertAlign w:val="subscript"/>
        </w:rPr>
        <w:t xml:space="preserve">. </w:t>
      </w:r>
      <w:r w:rsidR="008F41AD">
        <w:t>The contribution</w:t>
      </w:r>
      <w:r w:rsidR="008D5AFA">
        <w:t xml:space="preserve"> to</w:t>
      </w:r>
      <w:r w:rsidR="008F41AD">
        <w:t xml:space="preserve"> the top </w:t>
      </w:r>
      <w:r w:rsidR="00617EC8">
        <w:t>junction</w:t>
      </w:r>
      <w:r w:rsidR="008F41AD">
        <w:t xml:space="preserve"> </w:t>
      </w:r>
      <w:r w:rsidR="008D5AFA">
        <w:t xml:space="preserve">resistance arising </w:t>
      </w:r>
      <w:r w:rsidR="00A36370">
        <w:t xml:space="preserve">from </w:t>
      </w:r>
      <w:r w:rsidR="008D5AFA">
        <w:t>the lateral t</w:t>
      </w:r>
      <w:r w:rsidR="00A36370">
        <w:t xml:space="preserve">ransport in the </w:t>
      </w:r>
      <w:r w:rsidR="008D5AFA">
        <w:t xml:space="preserve">base is then: </w:t>
      </w:r>
    </w:p>
    <w:p w14:paraId="62402554" w14:textId="13ACD1CF" w:rsidR="00617EC8" w:rsidRDefault="004D5334" w:rsidP="00A95662">
      <w:pPr>
        <w:pStyle w:val="VAFigureCaption"/>
        <w:spacing w:after="120" w:line="408" w:lineRule="auto"/>
      </w:pPr>
      <m:oMathPara>
        <m:oMath>
          <m:sSubSup>
            <m:sSubSupPr>
              <m:ctrlPr>
                <w:rPr>
                  <w:rFonts w:ascii="Cambria Math" w:hAnsi="Cambria Math"/>
                  <w:i/>
                </w:rPr>
              </m:ctrlPr>
            </m:sSubSupPr>
            <m:e>
              <m:r>
                <w:rPr>
                  <w:rFonts w:ascii="Cambria Math" w:hAnsi="Cambria Math"/>
                </w:rPr>
                <m:t>R</m:t>
              </m:r>
            </m:e>
            <m:sub>
              <m:r>
                <m:rPr>
                  <m:sty m:val="p"/>
                </m:rPr>
                <w:rPr>
                  <w:rFonts w:ascii="Cambria Math" w:hAnsi="Cambria Math"/>
                </w:rPr>
                <m:t>s base</m:t>
              </m:r>
            </m:sub>
            <m:sup>
              <m:r>
                <m:rPr>
                  <m:sty m:val="p"/>
                </m:rPr>
                <w:rPr>
                  <w:rFonts w:ascii="Cambria Math" w:hAnsi="Cambria Math"/>
                </w:rPr>
                <m:t>top</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sSub>
            <m:sSubPr>
              <m:ctrlPr>
                <w:rPr>
                  <w:rFonts w:ascii="Cambria Math" w:hAnsi="Cambria Math"/>
                  <w:i/>
                </w:rPr>
              </m:ctrlPr>
            </m:sSubPr>
            <m:e>
              <m:r>
                <w:rPr>
                  <w:rFonts w:ascii="Cambria Math" w:hAnsi="Cambria Math"/>
                </w:rPr>
                <m:t xml:space="preserve"> R</m:t>
              </m:r>
            </m:e>
            <m:sub>
              <m:r>
                <m:rPr>
                  <m:sty m:val="p"/>
                </m:rPr>
                <w:rPr>
                  <w:rFonts w:ascii="Cambria Math" w:hAnsi="Cambria Math" w:cs="Times"/>
                  <w:vertAlign w:val="subscript"/>
                </w:rPr>
                <m:t>□ base</m:t>
              </m:r>
            </m:sub>
          </m:sSub>
          <m:r>
            <w:rPr>
              <w:rFonts w:ascii="Cambria Math" w:hAnsi="Cambria Math"/>
            </w:rPr>
            <m:t xml:space="preserve"> </m:t>
          </m:r>
          <m:sSubSup>
            <m:sSubSupPr>
              <m:ctrlPr>
                <w:rPr>
                  <w:rFonts w:ascii="Cambria Math" w:hAnsi="Cambria Math"/>
                  <w:i/>
                </w:rPr>
              </m:ctrlPr>
            </m:sSubSupPr>
            <m:e>
              <m:r>
                <w:rPr>
                  <w:rFonts w:ascii="Cambria Math" w:hAnsi="Cambria Math"/>
                </w:rPr>
                <m:t>l</m:t>
              </m:r>
            </m:e>
            <m:sub>
              <m:r>
                <m:rPr>
                  <m:sty m:val="p"/>
                </m:rPr>
                <w:rPr>
                  <w:rFonts w:ascii="Cambria Math" w:hAnsi="Cambria Math"/>
                </w:rPr>
                <m:t>e</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R</m:t>
              </m:r>
            </m:e>
            <m:sub>
              <m:r>
                <m:rPr>
                  <m:sty m:val="p"/>
                </m:rPr>
                <w:rPr>
                  <w:rFonts w:ascii="Cambria Math" w:hAnsi="Cambria Math" w:cs="Times"/>
                  <w:vertAlign w:val="subscript"/>
                </w:rPr>
                <m:t>□ base</m:t>
              </m:r>
            </m:sub>
            <m:sup>
              <m:r>
                <m:rPr>
                  <m:sty m:val="p"/>
                </m:rPr>
                <w:rPr>
                  <w:rFonts w:ascii="Cambria Math" w:hAnsi="Cambria Math"/>
                </w:rPr>
                <m:t>etched</m:t>
              </m:r>
            </m:sup>
          </m:sSubSup>
          <m:r>
            <w:rPr>
              <w:rFonts w:ascii="Cambria Math" w:hAnsi="Cambria Math"/>
            </w:rPr>
            <m:t xml:space="preserve">  </m:t>
          </m:r>
          <m:sSubSup>
            <m:sSubSupPr>
              <m:ctrlPr>
                <w:rPr>
                  <w:rFonts w:ascii="Cambria Math" w:hAnsi="Cambria Math"/>
                  <w:i/>
                </w:rPr>
              </m:ctrlPr>
            </m:sSubSupPr>
            <m:e>
              <m:r>
                <w:rPr>
                  <w:rFonts w:ascii="Cambria Math" w:hAnsi="Cambria Math"/>
                </w:rPr>
                <m:t>l</m:t>
              </m:r>
            </m:e>
            <m:sub>
              <m:r>
                <m:rPr>
                  <m:sty m:val="p"/>
                </m:rPr>
                <w:rPr>
                  <w:rFonts w:ascii="Cambria Math" w:hAnsi="Cambria Math"/>
                </w:rPr>
                <m:t>etch</m:t>
              </m:r>
            </m:sub>
            <m:sup/>
          </m:sSubSup>
          <m:sSubSup>
            <m:sSubSupPr>
              <m:ctrlPr>
                <w:rPr>
                  <w:rFonts w:ascii="Cambria Math" w:hAnsi="Cambria Math"/>
                  <w:i/>
                </w:rPr>
              </m:ctrlPr>
            </m:sSubSupPr>
            <m:e>
              <m:r>
                <w:rPr>
                  <w:rFonts w:ascii="Cambria Math" w:hAnsi="Cambria Math"/>
                </w:rPr>
                <m:t>l</m:t>
              </m:r>
            </m:e>
            <m:sub>
              <m:r>
                <m:rPr>
                  <m:sty m:val="p"/>
                </m:rPr>
                <w:rPr>
                  <w:rFonts w:ascii="Cambria Math" w:hAnsi="Cambria Math"/>
                </w:rPr>
                <m:t>e</m:t>
              </m:r>
            </m:sub>
            <m:sup/>
          </m:sSubSup>
        </m:oMath>
      </m:oMathPara>
    </w:p>
    <w:p w14:paraId="7FDE86E4" w14:textId="471EF180" w:rsidR="00A36370" w:rsidRDefault="00CC2CA0" w:rsidP="00A95662">
      <w:pPr>
        <w:pStyle w:val="VAFigureCaption"/>
        <w:spacing w:after="120" w:line="408" w:lineRule="auto"/>
      </w:pPr>
      <w:r>
        <w:t>w</w:t>
      </w:r>
      <w:r w:rsidR="008D5AFA">
        <w:t xml:space="preserve">here we have </w:t>
      </w:r>
      <w:r w:rsidR="00A36370">
        <w:t xml:space="preserve">neglected the collection of </w:t>
      </w:r>
      <w:proofErr w:type="gramStart"/>
      <w:r w:rsidR="00A36370">
        <w:t>photocurrent</w:t>
      </w:r>
      <w:proofErr w:type="gramEnd"/>
      <w:r w:rsidR="00A36370">
        <w:t xml:space="preserve"> from the trench. </w:t>
      </w:r>
    </w:p>
    <w:p w14:paraId="58438F7D" w14:textId="05E19248" w:rsidR="00617EC8" w:rsidRDefault="00617EC8" w:rsidP="00A95662">
      <w:pPr>
        <w:pStyle w:val="VAFigureCaption"/>
        <w:spacing w:after="120" w:line="408" w:lineRule="auto"/>
      </w:pPr>
      <w:r>
        <w:t>In the case of the bottom junction,</w:t>
      </w:r>
      <w:r w:rsidR="00F05E28">
        <w:t xml:space="preserve"> where current is also generated in the </w:t>
      </w:r>
      <w:r w:rsidR="00A36370">
        <w:t>trench</w:t>
      </w:r>
      <w:r w:rsidR="00F05E28">
        <w:t>,</w:t>
      </w:r>
      <w:r>
        <w:t xml:space="preserve"> </w:t>
      </w:r>
      <w:r w:rsidR="005B18B2">
        <w:t>we calculate the series res</w:t>
      </w:r>
      <w:r w:rsidR="004E6B8A">
        <w:t>istance by a weighted average of the sheet resistance in etched and unetched areas</w:t>
      </w:r>
      <w:r>
        <w:t>:</w:t>
      </w:r>
    </w:p>
    <w:p w14:paraId="255709FA" w14:textId="2C550688" w:rsidR="005E4E2D" w:rsidRDefault="004D5334" w:rsidP="00A95662">
      <w:pPr>
        <w:spacing w:after="120" w:line="408" w:lineRule="auto"/>
        <w:jc w:val="center"/>
      </w:pPr>
      <m:oMathPara>
        <m:oMath>
          <m:sSubSup>
            <m:sSubSupPr>
              <m:ctrlPr>
                <w:rPr>
                  <w:rFonts w:ascii="Cambria Math" w:hAnsi="Cambria Math"/>
                  <w:i/>
                </w:rPr>
              </m:ctrlPr>
            </m:sSubSupPr>
            <m:e>
              <m:r>
                <w:rPr>
                  <w:rFonts w:ascii="Cambria Math" w:hAnsi="Cambria Math"/>
                </w:rPr>
                <m:t>R</m:t>
              </m:r>
            </m:e>
            <m:sub>
              <m:r>
                <m:rPr>
                  <m:sty m:val="p"/>
                </m:rPr>
                <w:rPr>
                  <w:rFonts w:ascii="Cambria Math" w:hAnsi="Cambria Math"/>
                </w:rPr>
                <m:t>s base</m:t>
              </m:r>
            </m:sub>
            <m:sup>
              <m:r>
                <m:rPr>
                  <m:sty m:val="p"/>
                </m:rPr>
                <w:rPr>
                  <w:rFonts w:ascii="Cambria Math" w:hAnsi="Cambria Math"/>
                </w:rPr>
                <m:t>bot</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f>
            <m:fPr>
              <m:ctrlPr>
                <w:rPr>
                  <w:rFonts w:ascii="Cambria Math" w:hAnsi="Cambria Math"/>
                  <w:i/>
                </w:rPr>
              </m:ctrlPr>
            </m:fPr>
            <m:num>
              <m:sSub>
                <m:sSubPr>
                  <m:ctrlPr>
                    <w:rPr>
                      <w:rFonts w:ascii="Cambria Math" w:hAnsi="Cambria Math"/>
                      <w:i/>
                    </w:rPr>
                  </m:ctrlPr>
                </m:sSubPr>
                <m:e>
                  <m:r>
                    <w:rPr>
                      <w:rFonts w:ascii="Cambria Math" w:hAnsi="Cambria Math"/>
                    </w:rPr>
                    <m:t xml:space="preserve"> R</m:t>
                  </m:r>
                </m:e>
                <m:sub>
                  <m:box>
                    <m:boxPr>
                      <m:noBreak m:val="0"/>
                      <m:ctrlPr>
                        <w:rPr>
                          <w:rFonts w:ascii="Cambria Math" w:hAnsi="Cambria Math" w:cs="Times"/>
                          <w:vertAlign w:val="subscript"/>
                        </w:rPr>
                      </m:ctrlPr>
                    </m:boxPr>
                    <m:e>
                      <m:r>
                        <m:rPr>
                          <m:sty m:val="p"/>
                        </m:rPr>
                        <w:rPr>
                          <w:rFonts w:ascii="Cambria Math" w:hAnsi="Cambria Math" w:cs="Times"/>
                          <w:vertAlign w:val="subscript"/>
                        </w:rPr>
                        <m:t>□</m:t>
                      </m:r>
                    </m:e>
                  </m:box>
                  <m:r>
                    <m:rPr>
                      <m:sty m:val="p"/>
                    </m:rPr>
                    <w:rPr>
                      <w:rFonts w:ascii="Cambria Math" w:hAnsi="Cambria Math" w:cs="Times"/>
                      <w:vertAlign w:val="subscript"/>
                    </w:rPr>
                    <m:t>base</m:t>
                  </m:r>
                </m:sub>
              </m:sSub>
              <m:sSubSup>
                <m:sSubSupPr>
                  <m:ctrlPr>
                    <w:rPr>
                      <w:rFonts w:ascii="Cambria Math" w:hAnsi="Cambria Math"/>
                      <w:i/>
                    </w:rPr>
                  </m:ctrlPr>
                </m:sSubSupPr>
                <m:e>
                  <m:r>
                    <w:rPr>
                      <w:rFonts w:ascii="Cambria Math" w:hAnsi="Cambria Math"/>
                    </w:rPr>
                    <m:t xml:space="preserve"> </m:t>
                  </m:r>
                  <m:sSubSup>
                    <m:sSubSupPr>
                      <m:ctrlPr>
                        <w:rPr>
                          <w:rFonts w:ascii="Cambria Math" w:hAnsi="Cambria Math"/>
                          <w:i/>
                        </w:rPr>
                      </m:ctrlPr>
                    </m:sSubSupPr>
                    <m:e>
                      <m:r>
                        <w:rPr>
                          <w:rFonts w:ascii="Cambria Math" w:hAnsi="Cambria Math"/>
                        </w:rPr>
                        <m:t>l</m:t>
                      </m:r>
                    </m:e>
                    <m:sub>
                      <m:r>
                        <m:rPr>
                          <m:sty m:val="p"/>
                        </m:rPr>
                        <w:rPr>
                          <w:rFonts w:ascii="Cambria Math" w:hAnsi="Cambria Math"/>
                        </w:rPr>
                        <m:t>e</m:t>
                      </m:r>
                    </m:sub>
                    <m:sup/>
                  </m:sSubSup>
                  <m:r>
                    <w:rPr>
                      <w:rFonts w:ascii="Cambria Math" w:hAnsi="Cambria Math"/>
                    </w:rPr>
                    <m:t>+ R</m:t>
                  </m:r>
                </m:e>
                <m:sub>
                  <m:box>
                    <m:boxPr>
                      <m:noBreak m:val="0"/>
                      <m:ctrlPr>
                        <w:rPr>
                          <w:rFonts w:ascii="Cambria Math" w:hAnsi="Cambria Math" w:cs="Times"/>
                          <w:vertAlign w:val="subscript"/>
                        </w:rPr>
                      </m:ctrlPr>
                    </m:boxPr>
                    <m:e>
                      <m:r>
                        <m:rPr>
                          <m:sty m:val="p"/>
                        </m:rPr>
                        <w:rPr>
                          <w:rFonts w:ascii="Cambria Math" w:hAnsi="Cambria Math" w:cs="Times"/>
                          <w:vertAlign w:val="subscript"/>
                        </w:rPr>
                        <m:t>□</m:t>
                      </m:r>
                    </m:e>
                  </m:box>
                  <m:r>
                    <m:rPr>
                      <m:sty m:val="p"/>
                    </m:rPr>
                    <w:rPr>
                      <w:rFonts w:ascii="Cambria Math" w:hAnsi="Cambria Math" w:cs="Times"/>
                      <w:vertAlign w:val="subscript"/>
                    </w:rPr>
                    <m:t>base</m:t>
                  </m:r>
                </m:sub>
                <m:sup>
                  <m:r>
                    <m:rPr>
                      <m:sty m:val="p"/>
                    </m:rPr>
                    <w:rPr>
                      <w:rFonts w:ascii="Cambria Math" w:hAnsi="Cambria Math"/>
                    </w:rPr>
                    <m:t>etched</m:t>
                  </m:r>
                </m:sup>
              </m:sSubSup>
              <m:r>
                <w:rPr>
                  <w:rFonts w:ascii="Cambria Math" w:hAnsi="Cambria Math"/>
                </w:rPr>
                <m:t xml:space="preserve"> </m:t>
              </m:r>
              <m:sSubSup>
                <m:sSubSupPr>
                  <m:ctrlPr>
                    <w:rPr>
                      <w:rFonts w:ascii="Cambria Math" w:hAnsi="Cambria Math"/>
                      <w:i/>
                    </w:rPr>
                  </m:ctrlPr>
                </m:sSubSupPr>
                <m:e>
                  <m:r>
                    <w:rPr>
                      <w:rFonts w:ascii="Cambria Math" w:hAnsi="Cambria Math"/>
                    </w:rPr>
                    <m:t>l</m:t>
                  </m:r>
                </m:e>
                <m:sub>
                  <m:r>
                    <m:rPr>
                      <m:sty m:val="p"/>
                    </m:rPr>
                    <w:rPr>
                      <w:rFonts w:ascii="Cambria Math" w:hAnsi="Cambria Math"/>
                    </w:rPr>
                    <m:t>etch</m:t>
                  </m:r>
                </m:sub>
                <m:sup/>
              </m:sSubSup>
            </m:num>
            <m:den>
              <m:sSubSup>
                <m:sSubSupPr>
                  <m:ctrlPr>
                    <w:rPr>
                      <w:rFonts w:ascii="Cambria Math" w:hAnsi="Cambria Math"/>
                      <w:i/>
                    </w:rPr>
                  </m:ctrlPr>
                </m:sSubSupPr>
                <m:e>
                  <m:r>
                    <w:rPr>
                      <w:rFonts w:ascii="Cambria Math" w:hAnsi="Cambria Math"/>
                    </w:rPr>
                    <m:t xml:space="preserve"> </m:t>
                  </m:r>
                  <m:sSubSup>
                    <m:sSubSupPr>
                      <m:ctrlPr>
                        <w:rPr>
                          <w:rFonts w:ascii="Cambria Math" w:hAnsi="Cambria Math"/>
                          <w:i/>
                        </w:rPr>
                      </m:ctrlPr>
                    </m:sSubSupPr>
                    <m:e>
                      <m:r>
                        <w:rPr>
                          <w:rFonts w:ascii="Cambria Math" w:hAnsi="Cambria Math"/>
                        </w:rPr>
                        <m:t>l</m:t>
                      </m:r>
                    </m:e>
                    <m:sub>
                      <m:r>
                        <m:rPr>
                          <m:sty m:val="p"/>
                        </m:rPr>
                        <w:rPr>
                          <w:rFonts w:ascii="Cambria Math" w:hAnsi="Cambria Math"/>
                        </w:rPr>
                        <m:t>e</m:t>
                      </m:r>
                    </m:sub>
                    <m:sup/>
                  </m:sSubSup>
                  <m:r>
                    <w:rPr>
                      <w:rFonts w:ascii="Cambria Math" w:hAnsi="Cambria Math"/>
                    </w:rPr>
                    <m:t>+</m:t>
                  </m:r>
                </m:e>
                <m:sub/>
                <m:sup/>
              </m:sSubSup>
              <m:r>
                <w:rPr>
                  <w:rFonts w:ascii="Cambria Math" w:hAnsi="Cambria Math"/>
                </w:rPr>
                <m:t xml:space="preserve"> </m:t>
              </m:r>
              <m:sSubSup>
                <m:sSubSupPr>
                  <m:ctrlPr>
                    <w:rPr>
                      <w:rFonts w:ascii="Cambria Math" w:hAnsi="Cambria Math"/>
                      <w:i/>
                    </w:rPr>
                  </m:ctrlPr>
                </m:sSubSupPr>
                <m:e>
                  <m:r>
                    <w:rPr>
                      <w:rFonts w:ascii="Cambria Math" w:hAnsi="Cambria Math"/>
                    </w:rPr>
                    <m:t>l</m:t>
                  </m:r>
                </m:e>
                <m:sub>
                  <m:r>
                    <m:rPr>
                      <m:sty m:val="p"/>
                    </m:rPr>
                    <w:rPr>
                      <w:rFonts w:ascii="Cambria Math" w:hAnsi="Cambria Math"/>
                    </w:rPr>
                    <m:t>etch</m:t>
                  </m:r>
                </m:sub>
                <m:sup/>
              </m:sSubSup>
            </m:den>
          </m:f>
          <m:r>
            <w:rPr>
              <w:rFonts w:ascii="Cambria Math" w:hAnsi="Cambria Math"/>
            </w:rPr>
            <m:t xml:space="preserve"> </m:t>
          </m:r>
          <m:sSubSup>
            <m:sSubSupPr>
              <m:ctrlPr>
                <w:rPr>
                  <w:rFonts w:ascii="Cambria Math" w:hAnsi="Cambria Math"/>
                  <w:i/>
                </w:rPr>
              </m:ctrlPr>
            </m:sSubSupPr>
            <m:e>
              <m:r>
                <w:rPr>
                  <w:rFonts w:ascii="Cambria Math" w:hAnsi="Cambria Math"/>
                </w:rPr>
                <m:t>l</m:t>
              </m:r>
            </m:e>
            <m:sub>
              <m:r>
                <m:rPr>
                  <m:sty m:val="p"/>
                </m:rPr>
                <w:rPr>
                  <w:rFonts w:ascii="Cambria Math" w:hAnsi="Cambria Math"/>
                </w:rPr>
                <m:t>b</m:t>
              </m:r>
            </m:sub>
            <m:sup>
              <m:r>
                <w:rPr>
                  <w:rFonts w:ascii="Cambria Math" w:hAnsi="Cambria Math"/>
                </w:rPr>
                <m:t>2</m:t>
              </m:r>
            </m:sup>
          </m:sSubSup>
        </m:oMath>
      </m:oMathPara>
    </w:p>
    <w:p w14:paraId="0B861223" w14:textId="7CC42E03" w:rsidR="006C3AE6" w:rsidRDefault="004B09B1" w:rsidP="00E80501">
      <w:pPr>
        <w:pStyle w:val="VAFigureCaption"/>
        <w:spacing w:after="120" w:line="408" w:lineRule="auto"/>
        <w:rPr>
          <w:rFonts w:cs="Times"/>
          <w:color w:val="000000"/>
          <w:szCs w:val="24"/>
        </w:rPr>
      </w:pPr>
      <w:r>
        <w:t>In Table S3, w</w:t>
      </w:r>
      <w:r w:rsidR="00E80501" w:rsidRPr="00E80501">
        <w:t>e compare the</w:t>
      </w:r>
      <w:r>
        <w:t xml:space="preserve"> modeled with the experimental</w:t>
      </w:r>
      <w:r w:rsidR="00E80501" w:rsidRPr="00E80501">
        <w:t xml:space="preserve"> voltage </w:t>
      </w:r>
      <w:r w:rsidR="00E80501" w:rsidRPr="00E80501">
        <w:rPr>
          <w:rFonts w:cs="Times"/>
          <w:szCs w:val="24"/>
        </w:rPr>
        <w:t xml:space="preserve">drops </w:t>
      </w:r>
      <w:r w:rsidR="00E80501" w:rsidRPr="00E80501">
        <w:rPr>
          <w:rFonts w:eastAsia="Malgun Gothic" w:cs="Times"/>
          <w:szCs w:val="24"/>
        </w:rPr>
        <w:t>Δ</w:t>
      </w:r>
      <w:r w:rsidR="00E80501" w:rsidRPr="00E80501">
        <w:rPr>
          <w:rFonts w:eastAsia="Malgun Gothic" w:cs="Times"/>
          <w:i/>
          <w:szCs w:val="24"/>
        </w:rPr>
        <w:t>V</w:t>
      </w:r>
      <w:r w:rsidR="00E80501" w:rsidRPr="00E80501">
        <w:rPr>
          <w:rFonts w:cs="Times"/>
          <w:szCs w:val="24"/>
        </w:rPr>
        <w:t xml:space="preserve"> produced by </w:t>
      </w:r>
      <w:r w:rsidR="00E80501" w:rsidRPr="00E80501">
        <w:rPr>
          <w:rFonts w:cs="Times"/>
          <w:i/>
          <w:iCs/>
          <w:color w:val="000000"/>
          <w:szCs w:val="24"/>
        </w:rPr>
        <w:t>J</w:t>
      </w:r>
      <w:r w:rsidR="00E80501" w:rsidRPr="00E80501">
        <w:rPr>
          <w:rFonts w:cs="Times"/>
          <w:color w:val="000000"/>
          <w:szCs w:val="24"/>
          <w:vertAlign w:val="subscript"/>
        </w:rPr>
        <w:t>SC</w:t>
      </w:r>
      <w:r w:rsidR="00E80501">
        <w:rPr>
          <w:rFonts w:cs="Times"/>
          <w:color w:val="000000"/>
          <w:szCs w:val="24"/>
        </w:rPr>
        <w:t xml:space="preserve"> of one junction in the </w:t>
      </w:r>
      <w:r w:rsidR="00E80501" w:rsidRPr="00E80501">
        <w:rPr>
          <w:rFonts w:cs="Times"/>
          <w:i/>
          <w:color w:val="000000"/>
          <w:szCs w:val="24"/>
        </w:rPr>
        <w:t>J-V</w:t>
      </w:r>
      <w:r w:rsidR="00E80501">
        <w:rPr>
          <w:rFonts w:cs="Times"/>
          <w:color w:val="000000"/>
          <w:szCs w:val="24"/>
        </w:rPr>
        <w:t xml:space="preserve"> curves of the other junction</w:t>
      </w:r>
      <w:r>
        <w:rPr>
          <w:rFonts w:cs="Times"/>
          <w:color w:val="000000"/>
          <w:szCs w:val="24"/>
        </w:rPr>
        <w:t>.</w:t>
      </w:r>
    </w:p>
    <w:p w14:paraId="0D262FD0" w14:textId="77777777" w:rsidR="00A55B95" w:rsidRPr="00A55B95" w:rsidRDefault="00A55B95" w:rsidP="00A55B95"/>
    <w:p w14:paraId="7E3077DA" w14:textId="015F9CA0" w:rsidR="004B09B1" w:rsidRPr="004B09B1" w:rsidRDefault="004B09B1" w:rsidP="004B09B1">
      <w:r w:rsidRPr="00E949C7">
        <w:rPr>
          <w:rFonts w:asciiTheme="minorHAnsi" w:hAnsiTheme="minorHAnsi" w:cstheme="minorHAnsi"/>
          <w:b/>
          <w:noProof/>
          <w:kern w:val="22"/>
          <w:szCs w:val="24"/>
        </w:rPr>
        <mc:AlternateContent>
          <mc:Choice Requires="wps">
            <w:drawing>
              <wp:inline distT="0" distB="0" distL="0" distR="0" wp14:anchorId="4C08631E" wp14:editId="78CF4A31">
                <wp:extent cx="5921375" cy="1866900"/>
                <wp:effectExtent l="0" t="0" r="3175" b="0"/>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1866900"/>
                        </a:xfrm>
                        <a:prstGeom prst="rect">
                          <a:avLst/>
                        </a:prstGeom>
                        <a:solidFill>
                          <a:srgbClr val="FFFFFF"/>
                        </a:solidFill>
                        <a:ln w="9525">
                          <a:noFill/>
                          <a:miter lim="800000"/>
                          <a:headEnd/>
                          <a:tailEnd/>
                        </a:ln>
                      </wps:spPr>
                      <wps:txbx>
                        <w:txbxContent>
                          <w:p w14:paraId="2472D338" w14:textId="6B004966" w:rsidR="004D5334" w:rsidRPr="00F5505F" w:rsidRDefault="004D5334" w:rsidP="004B09B1">
                            <w:pPr>
                              <w:pStyle w:val="VAFigureCaption"/>
                              <w:spacing w:line="264" w:lineRule="auto"/>
                              <w:rPr>
                                <w:sz w:val="22"/>
                                <w:szCs w:val="18"/>
                              </w:rPr>
                            </w:pPr>
                            <w:r w:rsidRPr="00F5505F">
                              <w:rPr>
                                <w:sz w:val="22"/>
                                <w:szCs w:val="18"/>
                              </w:rPr>
                              <w:t xml:space="preserve">Table S3: Voltage drops at </w:t>
                            </w:r>
                            <w:r w:rsidRPr="00F5505F">
                              <w:rPr>
                                <w:i/>
                                <w:sz w:val="22"/>
                                <w:szCs w:val="18"/>
                              </w:rPr>
                              <w:t>V</w:t>
                            </w:r>
                            <w:r w:rsidRPr="00F5505F">
                              <w:rPr>
                                <w:sz w:val="22"/>
                                <w:szCs w:val="18"/>
                                <w:vertAlign w:val="subscript"/>
                              </w:rPr>
                              <w:t>OC</w:t>
                            </w:r>
                            <w:r w:rsidRPr="00F5505F">
                              <w:rPr>
                                <w:sz w:val="22"/>
                                <w:szCs w:val="18"/>
                              </w:rPr>
                              <w:t xml:space="preserve"> observed in </w:t>
                            </w:r>
                            <w:r w:rsidRPr="00F5505F">
                              <w:rPr>
                                <w:i/>
                                <w:sz w:val="22"/>
                                <w:szCs w:val="18"/>
                              </w:rPr>
                              <w:t>J-V</w:t>
                            </w:r>
                            <w:r w:rsidRPr="00F5505F">
                              <w:rPr>
                                <w:sz w:val="22"/>
                                <w:szCs w:val="18"/>
                              </w:rPr>
                              <w:t xml:space="preserve"> curves of one junction when changing the bias of the other junction from open circuit to short circuit.</w:t>
                            </w:r>
                          </w:p>
                          <w:tbl>
                            <w:tblPr>
                              <w:tblW w:w="6700" w:type="dxa"/>
                              <w:jc w:val="center"/>
                              <w:tblLook w:val="04A0" w:firstRow="1" w:lastRow="0" w:firstColumn="1" w:lastColumn="0" w:noHBand="0" w:noVBand="1"/>
                            </w:tblPr>
                            <w:tblGrid>
                              <w:gridCol w:w="2060"/>
                              <w:gridCol w:w="746"/>
                              <w:gridCol w:w="1574"/>
                              <w:gridCol w:w="746"/>
                              <w:gridCol w:w="1574"/>
                            </w:tblGrid>
                            <w:tr w:rsidR="004D5334" w:rsidRPr="00EC7769" w14:paraId="19C3B741" w14:textId="77777777" w:rsidTr="00EC7769">
                              <w:trPr>
                                <w:trHeight w:val="312"/>
                                <w:jc w:val="center"/>
                              </w:trPr>
                              <w:tc>
                                <w:tcPr>
                                  <w:tcW w:w="2060" w:type="dxa"/>
                                  <w:tcBorders>
                                    <w:top w:val="nil"/>
                                    <w:left w:val="nil"/>
                                    <w:bottom w:val="nil"/>
                                    <w:right w:val="single" w:sz="4" w:space="0" w:color="auto"/>
                                  </w:tcBorders>
                                  <w:shd w:val="clear" w:color="auto" w:fill="auto"/>
                                  <w:noWrap/>
                                  <w:vAlign w:val="center"/>
                                  <w:hideMark/>
                                </w:tcPr>
                                <w:p w14:paraId="712D036E" w14:textId="77777777" w:rsidR="004D5334" w:rsidRPr="00EC7769" w:rsidRDefault="004D5334" w:rsidP="00EC7769">
                                  <w:pPr>
                                    <w:spacing w:after="0"/>
                                    <w:jc w:val="left"/>
                                    <w:rPr>
                                      <w:rFonts w:ascii="Times New Roman" w:hAnsi="Times New Roman"/>
                                      <w:color w:val="000000"/>
                                      <w:szCs w:val="24"/>
                                    </w:rPr>
                                  </w:pPr>
                                  <w:r w:rsidRPr="00EC7769">
                                    <w:rPr>
                                      <w:rFonts w:ascii="Times New Roman" w:hAnsi="Times New Roman"/>
                                      <w:color w:val="000000"/>
                                      <w:szCs w:val="24"/>
                                    </w:rPr>
                                    <w:t> </w:t>
                                  </w:r>
                                </w:p>
                              </w:tc>
                              <w:tc>
                                <w:tcPr>
                                  <w:tcW w:w="2320" w:type="dxa"/>
                                  <w:gridSpan w:val="2"/>
                                  <w:tcBorders>
                                    <w:top w:val="nil"/>
                                    <w:left w:val="nil"/>
                                    <w:bottom w:val="single" w:sz="4" w:space="0" w:color="auto"/>
                                    <w:right w:val="single" w:sz="4" w:space="0" w:color="000000"/>
                                  </w:tcBorders>
                                  <w:shd w:val="clear" w:color="auto" w:fill="auto"/>
                                  <w:noWrap/>
                                  <w:vAlign w:val="center"/>
                                  <w:hideMark/>
                                </w:tcPr>
                                <w:p w14:paraId="66E98D51" w14:textId="77777777" w:rsidR="004D5334" w:rsidRPr="00EC7769" w:rsidRDefault="004D5334" w:rsidP="00EC7769">
                                  <w:pPr>
                                    <w:spacing w:after="0"/>
                                    <w:jc w:val="center"/>
                                    <w:rPr>
                                      <w:rFonts w:ascii="Times New Roman" w:hAnsi="Times New Roman"/>
                                      <w:color w:val="000000"/>
                                      <w:szCs w:val="24"/>
                                    </w:rPr>
                                  </w:pPr>
                                  <w:r w:rsidRPr="00EC7769">
                                    <w:rPr>
                                      <w:rFonts w:ascii="Times New Roman" w:hAnsi="Times New Roman"/>
                                      <w:color w:val="000000"/>
                                      <w:szCs w:val="24"/>
                                    </w:rPr>
                                    <w:t>HBTSC prototype</w:t>
                                  </w:r>
                                </w:p>
                              </w:tc>
                              <w:tc>
                                <w:tcPr>
                                  <w:tcW w:w="2320" w:type="dxa"/>
                                  <w:gridSpan w:val="2"/>
                                  <w:tcBorders>
                                    <w:top w:val="nil"/>
                                    <w:left w:val="nil"/>
                                    <w:bottom w:val="single" w:sz="4" w:space="0" w:color="auto"/>
                                    <w:right w:val="nil"/>
                                  </w:tcBorders>
                                  <w:shd w:val="clear" w:color="auto" w:fill="auto"/>
                                  <w:noWrap/>
                                  <w:vAlign w:val="center"/>
                                  <w:hideMark/>
                                </w:tcPr>
                                <w:p w14:paraId="28DF4E18" w14:textId="77777777" w:rsidR="004D5334" w:rsidRPr="00EC7769" w:rsidRDefault="004D5334" w:rsidP="00EC7769">
                                  <w:pPr>
                                    <w:spacing w:after="0"/>
                                    <w:jc w:val="center"/>
                                    <w:rPr>
                                      <w:rFonts w:ascii="Times New Roman" w:hAnsi="Times New Roman"/>
                                      <w:color w:val="000000"/>
                                      <w:szCs w:val="24"/>
                                    </w:rPr>
                                  </w:pPr>
                                  <w:r w:rsidRPr="00EC7769">
                                    <w:rPr>
                                      <w:rFonts w:ascii="Times New Roman" w:hAnsi="Times New Roman"/>
                                      <w:color w:val="000000"/>
                                      <w:szCs w:val="24"/>
                                    </w:rPr>
                                    <w:t>test device</w:t>
                                  </w:r>
                                </w:p>
                              </w:tc>
                            </w:tr>
                            <w:tr w:rsidR="004D5334" w:rsidRPr="00EC7769" w14:paraId="59776A88" w14:textId="77777777" w:rsidTr="00EC7769">
                              <w:trPr>
                                <w:trHeight w:val="312"/>
                                <w:jc w:val="center"/>
                              </w:trPr>
                              <w:tc>
                                <w:tcPr>
                                  <w:tcW w:w="2060" w:type="dxa"/>
                                  <w:tcBorders>
                                    <w:top w:val="nil"/>
                                    <w:left w:val="nil"/>
                                    <w:bottom w:val="single" w:sz="4" w:space="0" w:color="auto"/>
                                    <w:right w:val="single" w:sz="4" w:space="0" w:color="auto"/>
                                  </w:tcBorders>
                                  <w:shd w:val="clear" w:color="auto" w:fill="auto"/>
                                  <w:noWrap/>
                                  <w:vAlign w:val="bottom"/>
                                  <w:hideMark/>
                                </w:tcPr>
                                <w:p w14:paraId="0459E580" w14:textId="77777777" w:rsidR="004D5334" w:rsidRPr="00EC7769" w:rsidRDefault="004D5334" w:rsidP="00EC7769">
                                  <w:pPr>
                                    <w:spacing w:after="0"/>
                                    <w:jc w:val="left"/>
                                    <w:rPr>
                                      <w:rFonts w:ascii="Calibri" w:hAnsi="Calibri" w:cs="Calibri"/>
                                      <w:color w:val="000000"/>
                                      <w:szCs w:val="24"/>
                                    </w:rPr>
                                  </w:pPr>
                                  <w:r w:rsidRPr="00EC7769">
                                    <w:rPr>
                                      <w:rFonts w:ascii="Calibri" w:hAnsi="Calibri" w:cs="Calibri"/>
                                      <w:color w:val="000000"/>
                                      <w:szCs w:val="24"/>
                                    </w:rPr>
                                    <w:t> </w:t>
                                  </w:r>
                                </w:p>
                              </w:tc>
                              <w:tc>
                                <w:tcPr>
                                  <w:tcW w:w="746" w:type="dxa"/>
                                  <w:tcBorders>
                                    <w:top w:val="nil"/>
                                    <w:left w:val="nil"/>
                                    <w:bottom w:val="single" w:sz="4" w:space="0" w:color="auto"/>
                                    <w:right w:val="single" w:sz="4" w:space="0" w:color="auto"/>
                                  </w:tcBorders>
                                  <w:shd w:val="clear" w:color="auto" w:fill="auto"/>
                                  <w:noWrap/>
                                  <w:vAlign w:val="center"/>
                                  <w:hideMark/>
                                </w:tcPr>
                                <w:p w14:paraId="07C60B69" w14:textId="77777777" w:rsidR="004D5334" w:rsidRPr="00EC7769" w:rsidRDefault="004D5334" w:rsidP="00EC7769">
                                  <w:pPr>
                                    <w:spacing w:after="0"/>
                                    <w:jc w:val="center"/>
                                    <w:rPr>
                                      <w:rFonts w:ascii="Times New Roman" w:hAnsi="Times New Roman"/>
                                      <w:color w:val="000000"/>
                                      <w:szCs w:val="24"/>
                                    </w:rPr>
                                  </w:pPr>
                                  <w:r w:rsidRPr="00EC7769">
                                    <w:rPr>
                                      <w:rFonts w:ascii="Times New Roman" w:hAnsi="Times New Roman"/>
                                      <w:color w:val="000000"/>
                                      <w:szCs w:val="24"/>
                                    </w:rPr>
                                    <w:t>top</w:t>
                                  </w:r>
                                </w:p>
                              </w:tc>
                              <w:tc>
                                <w:tcPr>
                                  <w:tcW w:w="1574" w:type="dxa"/>
                                  <w:tcBorders>
                                    <w:top w:val="nil"/>
                                    <w:left w:val="nil"/>
                                    <w:bottom w:val="single" w:sz="4" w:space="0" w:color="auto"/>
                                    <w:right w:val="single" w:sz="4" w:space="0" w:color="auto"/>
                                  </w:tcBorders>
                                  <w:shd w:val="clear" w:color="auto" w:fill="auto"/>
                                  <w:noWrap/>
                                  <w:vAlign w:val="center"/>
                                  <w:hideMark/>
                                </w:tcPr>
                                <w:p w14:paraId="53B07F8E" w14:textId="77777777" w:rsidR="004D5334" w:rsidRPr="00EC7769" w:rsidRDefault="004D5334" w:rsidP="00EC7769">
                                  <w:pPr>
                                    <w:spacing w:after="0"/>
                                    <w:jc w:val="center"/>
                                    <w:rPr>
                                      <w:rFonts w:ascii="Times New Roman" w:hAnsi="Times New Roman"/>
                                      <w:color w:val="000000"/>
                                      <w:szCs w:val="24"/>
                                    </w:rPr>
                                  </w:pPr>
                                  <w:r w:rsidRPr="00EC7769">
                                    <w:rPr>
                                      <w:rFonts w:ascii="Times New Roman" w:hAnsi="Times New Roman"/>
                                      <w:color w:val="000000"/>
                                      <w:szCs w:val="24"/>
                                    </w:rPr>
                                    <w:t>bottom</w:t>
                                  </w:r>
                                </w:p>
                              </w:tc>
                              <w:tc>
                                <w:tcPr>
                                  <w:tcW w:w="746" w:type="dxa"/>
                                  <w:tcBorders>
                                    <w:top w:val="nil"/>
                                    <w:left w:val="nil"/>
                                    <w:bottom w:val="single" w:sz="4" w:space="0" w:color="auto"/>
                                    <w:right w:val="single" w:sz="4" w:space="0" w:color="auto"/>
                                  </w:tcBorders>
                                  <w:shd w:val="clear" w:color="auto" w:fill="auto"/>
                                  <w:noWrap/>
                                  <w:vAlign w:val="center"/>
                                  <w:hideMark/>
                                </w:tcPr>
                                <w:p w14:paraId="351A3E35" w14:textId="77777777" w:rsidR="004D5334" w:rsidRPr="00EC7769" w:rsidRDefault="004D5334" w:rsidP="00EC7769">
                                  <w:pPr>
                                    <w:spacing w:after="0"/>
                                    <w:jc w:val="center"/>
                                    <w:rPr>
                                      <w:rFonts w:ascii="Times New Roman" w:hAnsi="Times New Roman"/>
                                      <w:color w:val="000000"/>
                                      <w:szCs w:val="24"/>
                                    </w:rPr>
                                  </w:pPr>
                                  <w:r w:rsidRPr="00EC7769">
                                    <w:rPr>
                                      <w:rFonts w:ascii="Times New Roman" w:hAnsi="Times New Roman"/>
                                      <w:color w:val="000000"/>
                                      <w:szCs w:val="24"/>
                                    </w:rPr>
                                    <w:t>top</w:t>
                                  </w:r>
                                </w:p>
                              </w:tc>
                              <w:tc>
                                <w:tcPr>
                                  <w:tcW w:w="1574" w:type="dxa"/>
                                  <w:tcBorders>
                                    <w:top w:val="nil"/>
                                    <w:left w:val="nil"/>
                                    <w:bottom w:val="single" w:sz="4" w:space="0" w:color="auto"/>
                                    <w:right w:val="nil"/>
                                  </w:tcBorders>
                                  <w:shd w:val="clear" w:color="auto" w:fill="auto"/>
                                  <w:noWrap/>
                                  <w:vAlign w:val="center"/>
                                  <w:hideMark/>
                                </w:tcPr>
                                <w:p w14:paraId="4AD14601" w14:textId="77777777" w:rsidR="004D5334" w:rsidRPr="00EC7769" w:rsidRDefault="004D5334" w:rsidP="00EC7769">
                                  <w:pPr>
                                    <w:spacing w:after="0"/>
                                    <w:jc w:val="center"/>
                                    <w:rPr>
                                      <w:rFonts w:ascii="Times New Roman" w:hAnsi="Times New Roman"/>
                                      <w:color w:val="000000"/>
                                      <w:szCs w:val="24"/>
                                    </w:rPr>
                                  </w:pPr>
                                  <w:r w:rsidRPr="00EC7769">
                                    <w:rPr>
                                      <w:rFonts w:ascii="Times New Roman" w:hAnsi="Times New Roman"/>
                                      <w:color w:val="000000"/>
                                      <w:szCs w:val="24"/>
                                    </w:rPr>
                                    <w:t>bottom</w:t>
                                  </w:r>
                                </w:p>
                              </w:tc>
                            </w:tr>
                            <w:tr w:rsidR="004D5334" w:rsidRPr="00EC7769" w14:paraId="141243C2" w14:textId="77777777" w:rsidTr="00EC7769">
                              <w:trPr>
                                <w:trHeight w:val="360"/>
                                <w:jc w:val="center"/>
                              </w:trPr>
                              <w:tc>
                                <w:tcPr>
                                  <w:tcW w:w="2060" w:type="dxa"/>
                                  <w:tcBorders>
                                    <w:top w:val="nil"/>
                                    <w:left w:val="nil"/>
                                    <w:bottom w:val="single" w:sz="4" w:space="0" w:color="auto"/>
                                    <w:right w:val="single" w:sz="4" w:space="0" w:color="auto"/>
                                  </w:tcBorders>
                                  <w:shd w:val="clear" w:color="auto" w:fill="auto"/>
                                  <w:noWrap/>
                                  <w:vAlign w:val="center"/>
                                  <w:hideMark/>
                                </w:tcPr>
                                <w:p w14:paraId="553EB8E6" w14:textId="77777777" w:rsidR="004D5334" w:rsidRPr="00EC7769" w:rsidRDefault="004D5334" w:rsidP="00EC7769">
                                  <w:pPr>
                                    <w:spacing w:after="0"/>
                                    <w:jc w:val="left"/>
                                    <w:rPr>
                                      <w:rFonts w:ascii="Times New Roman" w:hAnsi="Times New Roman"/>
                                      <w:color w:val="000000"/>
                                      <w:szCs w:val="24"/>
                                    </w:rPr>
                                  </w:pPr>
                                  <w:r w:rsidRPr="00EC7769">
                                    <w:rPr>
                                      <w:rFonts w:ascii="Times New Roman" w:hAnsi="Times New Roman"/>
                                      <w:color w:val="000000"/>
                                      <w:szCs w:val="24"/>
                                    </w:rPr>
                                    <w:t>Δ</w:t>
                                  </w:r>
                                  <w:r w:rsidRPr="00EC7769">
                                    <w:rPr>
                                      <w:rFonts w:ascii="Times New Roman" w:hAnsi="Times New Roman"/>
                                      <w:i/>
                                      <w:iCs/>
                                      <w:color w:val="000000"/>
                                      <w:szCs w:val="24"/>
                                    </w:rPr>
                                    <w:t>V</w:t>
                                  </w:r>
                                  <w:r w:rsidRPr="00EC7769">
                                    <w:rPr>
                                      <w:rFonts w:ascii="Times New Roman" w:hAnsi="Times New Roman"/>
                                      <w:color w:val="000000"/>
                                      <w:szCs w:val="24"/>
                                      <w:vertAlign w:val="subscript"/>
                                    </w:rPr>
                                    <w:t>OC</w:t>
                                  </w:r>
                                  <w:r w:rsidRPr="00EC7769">
                                    <w:rPr>
                                      <w:rFonts w:ascii="Times New Roman" w:hAnsi="Times New Roman"/>
                                      <w:color w:val="000000"/>
                                      <w:szCs w:val="24"/>
                                    </w:rPr>
                                    <w:t xml:space="preserve"> experimental</w:t>
                                  </w:r>
                                </w:p>
                              </w:tc>
                              <w:tc>
                                <w:tcPr>
                                  <w:tcW w:w="746" w:type="dxa"/>
                                  <w:tcBorders>
                                    <w:top w:val="nil"/>
                                    <w:left w:val="nil"/>
                                    <w:bottom w:val="single" w:sz="4" w:space="0" w:color="auto"/>
                                    <w:right w:val="single" w:sz="4" w:space="0" w:color="auto"/>
                                  </w:tcBorders>
                                  <w:shd w:val="clear" w:color="auto" w:fill="auto"/>
                                  <w:noWrap/>
                                  <w:vAlign w:val="center"/>
                                  <w:hideMark/>
                                </w:tcPr>
                                <w:p w14:paraId="6248330F" w14:textId="77777777" w:rsidR="004D5334" w:rsidRPr="00EC7769" w:rsidRDefault="004D5334" w:rsidP="00EC7769">
                                  <w:pPr>
                                    <w:spacing w:after="0"/>
                                    <w:jc w:val="center"/>
                                    <w:rPr>
                                      <w:rFonts w:ascii="Times New Roman" w:hAnsi="Times New Roman"/>
                                      <w:color w:val="000000"/>
                                      <w:szCs w:val="24"/>
                                    </w:rPr>
                                  </w:pPr>
                                  <w:r w:rsidRPr="00EC7769">
                                    <w:rPr>
                                      <w:rFonts w:ascii="Times New Roman" w:hAnsi="Times New Roman"/>
                                      <w:color w:val="000000"/>
                                      <w:szCs w:val="24"/>
                                    </w:rPr>
                                    <w:t>9</w:t>
                                  </w:r>
                                </w:p>
                              </w:tc>
                              <w:tc>
                                <w:tcPr>
                                  <w:tcW w:w="1574" w:type="dxa"/>
                                  <w:tcBorders>
                                    <w:top w:val="nil"/>
                                    <w:left w:val="nil"/>
                                    <w:bottom w:val="single" w:sz="4" w:space="0" w:color="auto"/>
                                    <w:right w:val="single" w:sz="4" w:space="0" w:color="auto"/>
                                  </w:tcBorders>
                                  <w:shd w:val="clear" w:color="auto" w:fill="auto"/>
                                  <w:noWrap/>
                                  <w:vAlign w:val="center"/>
                                  <w:hideMark/>
                                </w:tcPr>
                                <w:p w14:paraId="06DBA8AF" w14:textId="77777777" w:rsidR="004D5334" w:rsidRPr="00EC7769" w:rsidRDefault="004D5334" w:rsidP="00EC7769">
                                  <w:pPr>
                                    <w:spacing w:after="0"/>
                                    <w:jc w:val="center"/>
                                    <w:rPr>
                                      <w:rFonts w:ascii="Times New Roman" w:hAnsi="Times New Roman"/>
                                      <w:color w:val="000000"/>
                                      <w:szCs w:val="24"/>
                                    </w:rPr>
                                  </w:pPr>
                                  <w:r w:rsidRPr="00EC7769">
                                    <w:rPr>
                                      <w:rFonts w:ascii="Times New Roman" w:hAnsi="Times New Roman"/>
                                      <w:color w:val="000000"/>
                                      <w:szCs w:val="24"/>
                                    </w:rPr>
                                    <w:t>6</w:t>
                                  </w:r>
                                </w:p>
                              </w:tc>
                              <w:tc>
                                <w:tcPr>
                                  <w:tcW w:w="746" w:type="dxa"/>
                                  <w:tcBorders>
                                    <w:top w:val="nil"/>
                                    <w:left w:val="nil"/>
                                    <w:bottom w:val="single" w:sz="4" w:space="0" w:color="auto"/>
                                    <w:right w:val="single" w:sz="4" w:space="0" w:color="auto"/>
                                  </w:tcBorders>
                                  <w:shd w:val="clear" w:color="auto" w:fill="auto"/>
                                  <w:noWrap/>
                                  <w:vAlign w:val="center"/>
                                  <w:hideMark/>
                                </w:tcPr>
                                <w:p w14:paraId="33E2FA12" w14:textId="77777777" w:rsidR="004D5334" w:rsidRPr="00EC7769" w:rsidRDefault="004D5334" w:rsidP="00EC7769">
                                  <w:pPr>
                                    <w:spacing w:after="0"/>
                                    <w:jc w:val="center"/>
                                    <w:rPr>
                                      <w:rFonts w:ascii="Times New Roman" w:hAnsi="Times New Roman"/>
                                      <w:color w:val="000000"/>
                                      <w:szCs w:val="24"/>
                                    </w:rPr>
                                  </w:pPr>
                                  <w:r w:rsidRPr="00EC7769">
                                    <w:rPr>
                                      <w:rFonts w:ascii="Times New Roman" w:hAnsi="Times New Roman"/>
                                      <w:color w:val="000000"/>
                                      <w:szCs w:val="24"/>
                                    </w:rPr>
                                    <w:t>74</w:t>
                                  </w:r>
                                </w:p>
                              </w:tc>
                              <w:tc>
                                <w:tcPr>
                                  <w:tcW w:w="1574" w:type="dxa"/>
                                  <w:tcBorders>
                                    <w:top w:val="nil"/>
                                    <w:left w:val="nil"/>
                                    <w:bottom w:val="single" w:sz="4" w:space="0" w:color="auto"/>
                                    <w:right w:val="nil"/>
                                  </w:tcBorders>
                                  <w:shd w:val="clear" w:color="auto" w:fill="auto"/>
                                  <w:noWrap/>
                                  <w:vAlign w:val="center"/>
                                  <w:hideMark/>
                                </w:tcPr>
                                <w:p w14:paraId="25A05CBB" w14:textId="77777777" w:rsidR="004D5334" w:rsidRPr="00EC7769" w:rsidRDefault="004D5334" w:rsidP="00EC7769">
                                  <w:pPr>
                                    <w:spacing w:after="0"/>
                                    <w:jc w:val="center"/>
                                    <w:rPr>
                                      <w:rFonts w:ascii="Times New Roman" w:hAnsi="Times New Roman"/>
                                      <w:color w:val="000000"/>
                                      <w:szCs w:val="24"/>
                                    </w:rPr>
                                  </w:pPr>
                                  <w:r w:rsidRPr="00EC7769">
                                    <w:rPr>
                                      <w:rFonts w:ascii="Times New Roman" w:hAnsi="Times New Roman"/>
                                      <w:color w:val="000000"/>
                                      <w:szCs w:val="24"/>
                                    </w:rPr>
                                    <w:t>51</w:t>
                                  </w:r>
                                </w:p>
                              </w:tc>
                            </w:tr>
                            <w:tr w:rsidR="004D5334" w:rsidRPr="00EC7769" w14:paraId="335EFE0E" w14:textId="77777777" w:rsidTr="00EC7769">
                              <w:trPr>
                                <w:trHeight w:val="360"/>
                                <w:jc w:val="center"/>
                              </w:trPr>
                              <w:tc>
                                <w:tcPr>
                                  <w:tcW w:w="2060" w:type="dxa"/>
                                  <w:tcBorders>
                                    <w:top w:val="nil"/>
                                    <w:left w:val="nil"/>
                                    <w:bottom w:val="nil"/>
                                    <w:right w:val="single" w:sz="4" w:space="0" w:color="auto"/>
                                  </w:tcBorders>
                                  <w:shd w:val="clear" w:color="auto" w:fill="auto"/>
                                  <w:noWrap/>
                                  <w:vAlign w:val="center"/>
                                  <w:hideMark/>
                                </w:tcPr>
                                <w:p w14:paraId="1BBE2A71" w14:textId="77777777" w:rsidR="004D5334" w:rsidRPr="00EC7769" w:rsidRDefault="004D5334" w:rsidP="00EC7769">
                                  <w:pPr>
                                    <w:spacing w:after="0"/>
                                    <w:jc w:val="left"/>
                                    <w:rPr>
                                      <w:rFonts w:ascii="Times New Roman" w:hAnsi="Times New Roman"/>
                                      <w:color w:val="000000"/>
                                      <w:szCs w:val="24"/>
                                    </w:rPr>
                                  </w:pPr>
                                  <w:r w:rsidRPr="00EC7769">
                                    <w:rPr>
                                      <w:rFonts w:ascii="Times New Roman" w:hAnsi="Times New Roman"/>
                                      <w:color w:val="000000"/>
                                      <w:szCs w:val="24"/>
                                    </w:rPr>
                                    <w:t>Δ</w:t>
                                  </w:r>
                                  <w:r w:rsidRPr="00EC7769">
                                    <w:rPr>
                                      <w:rFonts w:ascii="Times New Roman" w:hAnsi="Times New Roman"/>
                                      <w:i/>
                                      <w:iCs/>
                                      <w:color w:val="000000"/>
                                      <w:szCs w:val="24"/>
                                    </w:rPr>
                                    <w:t>V</w:t>
                                  </w:r>
                                  <w:r w:rsidRPr="00EC7769">
                                    <w:rPr>
                                      <w:rFonts w:ascii="Times New Roman" w:hAnsi="Times New Roman"/>
                                      <w:color w:val="000000"/>
                                      <w:szCs w:val="24"/>
                                      <w:vertAlign w:val="subscript"/>
                                    </w:rPr>
                                    <w:t>OC</w:t>
                                  </w:r>
                                  <w:r w:rsidRPr="00EC7769">
                                    <w:rPr>
                                      <w:rFonts w:ascii="Times New Roman" w:hAnsi="Times New Roman"/>
                                      <w:color w:val="000000"/>
                                      <w:szCs w:val="24"/>
                                    </w:rPr>
                                    <w:t xml:space="preserve"> modeled</w:t>
                                  </w:r>
                                </w:p>
                              </w:tc>
                              <w:tc>
                                <w:tcPr>
                                  <w:tcW w:w="746" w:type="dxa"/>
                                  <w:tcBorders>
                                    <w:top w:val="nil"/>
                                    <w:left w:val="nil"/>
                                    <w:bottom w:val="nil"/>
                                    <w:right w:val="single" w:sz="4" w:space="0" w:color="auto"/>
                                  </w:tcBorders>
                                  <w:shd w:val="clear" w:color="auto" w:fill="auto"/>
                                  <w:noWrap/>
                                  <w:vAlign w:val="center"/>
                                  <w:hideMark/>
                                </w:tcPr>
                                <w:p w14:paraId="696EF708" w14:textId="77777777" w:rsidR="004D5334" w:rsidRPr="00EC7769" w:rsidRDefault="004D5334" w:rsidP="00EC7769">
                                  <w:pPr>
                                    <w:spacing w:after="0"/>
                                    <w:jc w:val="center"/>
                                    <w:rPr>
                                      <w:rFonts w:ascii="Times New Roman" w:hAnsi="Times New Roman"/>
                                      <w:color w:val="000000"/>
                                      <w:szCs w:val="24"/>
                                    </w:rPr>
                                  </w:pPr>
                                  <w:r w:rsidRPr="00EC7769">
                                    <w:rPr>
                                      <w:rFonts w:ascii="Times New Roman" w:hAnsi="Times New Roman"/>
                                      <w:color w:val="000000"/>
                                      <w:szCs w:val="24"/>
                                    </w:rPr>
                                    <w:t>9</w:t>
                                  </w:r>
                                </w:p>
                              </w:tc>
                              <w:tc>
                                <w:tcPr>
                                  <w:tcW w:w="1574" w:type="dxa"/>
                                  <w:tcBorders>
                                    <w:top w:val="nil"/>
                                    <w:left w:val="nil"/>
                                    <w:bottom w:val="nil"/>
                                    <w:right w:val="single" w:sz="4" w:space="0" w:color="auto"/>
                                  </w:tcBorders>
                                  <w:shd w:val="clear" w:color="auto" w:fill="auto"/>
                                  <w:noWrap/>
                                  <w:vAlign w:val="center"/>
                                  <w:hideMark/>
                                </w:tcPr>
                                <w:p w14:paraId="6107E0C5" w14:textId="77777777" w:rsidR="004D5334" w:rsidRPr="00EC7769" w:rsidRDefault="004D5334" w:rsidP="00EC7769">
                                  <w:pPr>
                                    <w:spacing w:after="0"/>
                                    <w:jc w:val="center"/>
                                    <w:rPr>
                                      <w:rFonts w:ascii="Times New Roman" w:hAnsi="Times New Roman"/>
                                      <w:color w:val="000000"/>
                                      <w:szCs w:val="24"/>
                                    </w:rPr>
                                  </w:pPr>
                                  <w:r w:rsidRPr="00EC7769">
                                    <w:rPr>
                                      <w:rFonts w:ascii="Times New Roman" w:hAnsi="Times New Roman"/>
                                      <w:color w:val="000000"/>
                                      <w:szCs w:val="24"/>
                                    </w:rPr>
                                    <w:t>5</w:t>
                                  </w:r>
                                </w:p>
                              </w:tc>
                              <w:tc>
                                <w:tcPr>
                                  <w:tcW w:w="746" w:type="dxa"/>
                                  <w:tcBorders>
                                    <w:top w:val="nil"/>
                                    <w:left w:val="nil"/>
                                    <w:bottom w:val="nil"/>
                                    <w:right w:val="single" w:sz="4" w:space="0" w:color="auto"/>
                                  </w:tcBorders>
                                  <w:shd w:val="clear" w:color="auto" w:fill="auto"/>
                                  <w:noWrap/>
                                  <w:vAlign w:val="center"/>
                                  <w:hideMark/>
                                </w:tcPr>
                                <w:p w14:paraId="0646D0DE" w14:textId="77777777" w:rsidR="004D5334" w:rsidRPr="00EC7769" w:rsidRDefault="004D5334" w:rsidP="00EC7769">
                                  <w:pPr>
                                    <w:spacing w:after="0"/>
                                    <w:jc w:val="center"/>
                                    <w:rPr>
                                      <w:rFonts w:ascii="Times New Roman" w:hAnsi="Times New Roman"/>
                                      <w:color w:val="000000"/>
                                      <w:szCs w:val="24"/>
                                    </w:rPr>
                                  </w:pPr>
                                  <w:r w:rsidRPr="00EC7769">
                                    <w:rPr>
                                      <w:rFonts w:ascii="Times New Roman" w:hAnsi="Times New Roman"/>
                                      <w:color w:val="000000"/>
                                      <w:szCs w:val="24"/>
                                    </w:rPr>
                                    <w:t>78</w:t>
                                  </w:r>
                                </w:p>
                              </w:tc>
                              <w:tc>
                                <w:tcPr>
                                  <w:tcW w:w="1574" w:type="dxa"/>
                                  <w:tcBorders>
                                    <w:top w:val="nil"/>
                                    <w:left w:val="nil"/>
                                    <w:bottom w:val="nil"/>
                                    <w:right w:val="nil"/>
                                  </w:tcBorders>
                                  <w:shd w:val="clear" w:color="auto" w:fill="auto"/>
                                  <w:noWrap/>
                                  <w:vAlign w:val="center"/>
                                  <w:hideMark/>
                                </w:tcPr>
                                <w:p w14:paraId="65C78C51" w14:textId="77777777" w:rsidR="004D5334" w:rsidRPr="00EC7769" w:rsidRDefault="004D5334" w:rsidP="00EC7769">
                                  <w:pPr>
                                    <w:spacing w:after="0"/>
                                    <w:jc w:val="center"/>
                                    <w:rPr>
                                      <w:rFonts w:ascii="Times New Roman" w:hAnsi="Times New Roman"/>
                                      <w:color w:val="000000"/>
                                      <w:szCs w:val="24"/>
                                    </w:rPr>
                                  </w:pPr>
                                  <w:r w:rsidRPr="00EC7769">
                                    <w:rPr>
                                      <w:rFonts w:ascii="Times New Roman" w:hAnsi="Times New Roman"/>
                                      <w:color w:val="000000"/>
                                      <w:szCs w:val="24"/>
                                    </w:rPr>
                                    <w:t>64</w:t>
                                  </w:r>
                                </w:p>
                              </w:tc>
                            </w:tr>
                          </w:tbl>
                          <w:p w14:paraId="70FA77A7" w14:textId="77777777" w:rsidR="004D5334" w:rsidRPr="00F64A2F" w:rsidRDefault="004D5334" w:rsidP="004B09B1">
                            <w:pPr>
                              <w:rPr>
                                <w:rFonts w:ascii="Times New Roman" w:hAnsi="Times New Roman"/>
                              </w:rPr>
                            </w:pPr>
                          </w:p>
                        </w:txbxContent>
                      </wps:txbx>
                      <wps:bodyPr rot="0" vert="horz" wrap="square" lIns="91440" tIns="45720" rIns="91440" bIns="45720" anchor="t" anchorCtr="0">
                        <a:noAutofit/>
                      </wps:bodyPr>
                    </wps:wsp>
                  </a:graphicData>
                </a:graphic>
              </wp:inline>
            </w:drawing>
          </mc:Choice>
          <mc:Fallback>
            <w:pict>
              <v:shape w14:anchorId="4C08631E" id="_x0000_s1038" type="#_x0000_t202" style="width:466.25pt;height:1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" stroked="f">
                <v:textbox>
                  <w:txbxContent>
                    <w:p w14:paraId="2472D338" w14:textId="6B004966" w:rsidR="004D5334" w:rsidRPr="00F5505F" w:rsidRDefault="004D5334" w:rsidP="004B09B1">
                      <w:pPr>
                        <w:pStyle w:val="VAFigureCaption"/>
                        <w:spacing w:line="264" w:lineRule="auto"/>
                        <w:rPr>
                          <w:sz w:val="22"/>
                          <w:szCs w:val="18"/>
                        </w:rPr>
                      </w:pPr>
                      <w:r w:rsidRPr="00F5505F">
                        <w:rPr>
                          <w:sz w:val="22"/>
                          <w:szCs w:val="18"/>
                        </w:rPr>
                        <w:t xml:space="preserve">Table S3: Voltage drops at </w:t>
                      </w:r>
                      <w:r w:rsidRPr="00F5505F">
                        <w:rPr>
                          <w:i/>
                          <w:sz w:val="22"/>
                          <w:szCs w:val="18"/>
                        </w:rPr>
                        <w:t>V</w:t>
                      </w:r>
                      <w:r w:rsidRPr="00F5505F">
                        <w:rPr>
                          <w:sz w:val="22"/>
                          <w:szCs w:val="18"/>
                          <w:vertAlign w:val="subscript"/>
                        </w:rPr>
                        <w:t>OC</w:t>
                      </w:r>
                      <w:r w:rsidRPr="00F5505F">
                        <w:rPr>
                          <w:sz w:val="22"/>
                          <w:szCs w:val="18"/>
                        </w:rPr>
                        <w:t xml:space="preserve"> observed in </w:t>
                      </w:r>
                      <w:r w:rsidRPr="00F5505F">
                        <w:rPr>
                          <w:i/>
                          <w:sz w:val="22"/>
                          <w:szCs w:val="18"/>
                        </w:rPr>
                        <w:t>J-V</w:t>
                      </w:r>
                      <w:r w:rsidRPr="00F5505F">
                        <w:rPr>
                          <w:sz w:val="22"/>
                          <w:szCs w:val="18"/>
                        </w:rPr>
                        <w:t xml:space="preserve"> curves of one junction when changing the bias of the other junction from open circuit to short circuit.</w:t>
                      </w:r>
                    </w:p>
                    <w:tbl>
                      <w:tblPr>
                        <w:tblW w:w="6700" w:type="dxa"/>
                        <w:jc w:val="center"/>
                        <w:tblLook w:val="04A0" w:firstRow="1" w:lastRow="0" w:firstColumn="1" w:lastColumn="0" w:noHBand="0" w:noVBand="1"/>
                      </w:tblPr>
                      <w:tblGrid>
                        <w:gridCol w:w="2060"/>
                        <w:gridCol w:w="746"/>
                        <w:gridCol w:w="1574"/>
                        <w:gridCol w:w="746"/>
                        <w:gridCol w:w="1574"/>
                      </w:tblGrid>
                      <w:tr w:rsidR="004D5334" w:rsidRPr="00EC7769" w14:paraId="19C3B741" w14:textId="77777777" w:rsidTr="00EC7769">
                        <w:trPr>
                          <w:trHeight w:val="312"/>
                          <w:jc w:val="center"/>
                        </w:trPr>
                        <w:tc>
                          <w:tcPr>
                            <w:tcW w:w="2060" w:type="dxa"/>
                            <w:tcBorders>
                              <w:top w:val="nil"/>
                              <w:left w:val="nil"/>
                              <w:bottom w:val="nil"/>
                              <w:right w:val="single" w:sz="4" w:space="0" w:color="auto"/>
                            </w:tcBorders>
                            <w:shd w:val="clear" w:color="auto" w:fill="auto"/>
                            <w:noWrap/>
                            <w:vAlign w:val="center"/>
                            <w:hideMark/>
                          </w:tcPr>
                          <w:p w14:paraId="712D036E" w14:textId="77777777" w:rsidR="004D5334" w:rsidRPr="00EC7769" w:rsidRDefault="004D5334" w:rsidP="00EC7769">
                            <w:pPr>
                              <w:spacing w:after="0"/>
                              <w:jc w:val="left"/>
                              <w:rPr>
                                <w:rFonts w:ascii="Times New Roman" w:hAnsi="Times New Roman"/>
                                <w:color w:val="000000"/>
                                <w:szCs w:val="24"/>
                              </w:rPr>
                            </w:pPr>
                            <w:r w:rsidRPr="00EC7769">
                              <w:rPr>
                                <w:rFonts w:ascii="Times New Roman" w:hAnsi="Times New Roman"/>
                                <w:color w:val="000000"/>
                                <w:szCs w:val="24"/>
                              </w:rPr>
                              <w:t> </w:t>
                            </w:r>
                          </w:p>
                        </w:tc>
                        <w:tc>
                          <w:tcPr>
                            <w:tcW w:w="2320" w:type="dxa"/>
                            <w:gridSpan w:val="2"/>
                            <w:tcBorders>
                              <w:top w:val="nil"/>
                              <w:left w:val="nil"/>
                              <w:bottom w:val="single" w:sz="4" w:space="0" w:color="auto"/>
                              <w:right w:val="single" w:sz="4" w:space="0" w:color="000000"/>
                            </w:tcBorders>
                            <w:shd w:val="clear" w:color="auto" w:fill="auto"/>
                            <w:noWrap/>
                            <w:vAlign w:val="center"/>
                            <w:hideMark/>
                          </w:tcPr>
                          <w:p w14:paraId="66E98D51" w14:textId="77777777" w:rsidR="004D5334" w:rsidRPr="00EC7769" w:rsidRDefault="004D5334" w:rsidP="00EC7769">
                            <w:pPr>
                              <w:spacing w:after="0"/>
                              <w:jc w:val="center"/>
                              <w:rPr>
                                <w:rFonts w:ascii="Times New Roman" w:hAnsi="Times New Roman"/>
                                <w:color w:val="000000"/>
                                <w:szCs w:val="24"/>
                              </w:rPr>
                            </w:pPr>
                            <w:r w:rsidRPr="00EC7769">
                              <w:rPr>
                                <w:rFonts w:ascii="Times New Roman" w:hAnsi="Times New Roman"/>
                                <w:color w:val="000000"/>
                                <w:szCs w:val="24"/>
                              </w:rPr>
                              <w:t>HBTSC prototype</w:t>
                            </w:r>
                          </w:p>
                        </w:tc>
                        <w:tc>
                          <w:tcPr>
                            <w:tcW w:w="2320" w:type="dxa"/>
                            <w:gridSpan w:val="2"/>
                            <w:tcBorders>
                              <w:top w:val="nil"/>
                              <w:left w:val="nil"/>
                              <w:bottom w:val="single" w:sz="4" w:space="0" w:color="auto"/>
                              <w:right w:val="nil"/>
                            </w:tcBorders>
                            <w:shd w:val="clear" w:color="auto" w:fill="auto"/>
                            <w:noWrap/>
                            <w:vAlign w:val="center"/>
                            <w:hideMark/>
                          </w:tcPr>
                          <w:p w14:paraId="28DF4E18" w14:textId="77777777" w:rsidR="004D5334" w:rsidRPr="00EC7769" w:rsidRDefault="004D5334" w:rsidP="00EC7769">
                            <w:pPr>
                              <w:spacing w:after="0"/>
                              <w:jc w:val="center"/>
                              <w:rPr>
                                <w:rFonts w:ascii="Times New Roman" w:hAnsi="Times New Roman"/>
                                <w:color w:val="000000"/>
                                <w:szCs w:val="24"/>
                              </w:rPr>
                            </w:pPr>
                            <w:r w:rsidRPr="00EC7769">
                              <w:rPr>
                                <w:rFonts w:ascii="Times New Roman" w:hAnsi="Times New Roman"/>
                                <w:color w:val="000000"/>
                                <w:szCs w:val="24"/>
                              </w:rPr>
                              <w:t>test device</w:t>
                            </w:r>
                          </w:p>
                        </w:tc>
                      </w:tr>
                      <w:tr w:rsidR="004D5334" w:rsidRPr="00EC7769" w14:paraId="59776A88" w14:textId="77777777" w:rsidTr="00EC7769">
                        <w:trPr>
                          <w:trHeight w:val="312"/>
                          <w:jc w:val="center"/>
                        </w:trPr>
                        <w:tc>
                          <w:tcPr>
                            <w:tcW w:w="2060" w:type="dxa"/>
                            <w:tcBorders>
                              <w:top w:val="nil"/>
                              <w:left w:val="nil"/>
                              <w:bottom w:val="single" w:sz="4" w:space="0" w:color="auto"/>
                              <w:right w:val="single" w:sz="4" w:space="0" w:color="auto"/>
                            </w:tcBorders>
                            <w:shd w:val="clear" w:color="auto" w:fill="auto"/>
                            <w:noWrap/>
                            <w:vAlign w:val="bottom"/>
                            <w:hideMark/>
                          </w:tcPr>
                          <w:p w14:paraId="0459E580" w14:textId="77777777" w:rsidR="004D5334" w:rsidRPr="00EC7769" w:rsidRDefault="004D5334" w:rsidP="00EC7769">
                            <w:pPr>
                              <w:spacing w:after="0"/>
                              <w:jc w:val="left"/>
                              <w:rPr>
                                <w:rFonts w:ascii="Calibri" w:hAnsi="Calibri" w:cs="Calibri"/>
                                <w:color w:val="000000"/>
                                <w:szCs w:val="24"/>
                              </w:rPr>
                            </w:pPr>
                            <w:r w:rsidRPr="00EC7769">
                              <w:rPr>
                                <w:rFonts w:ascii="Calibri" w:hAnsi="Calibri" w:cs="Calibri"/>
                                <w:color w:val="000000"/>
                                <w:szCs w:val="24"/>
                              </w:rPr>
                              <w:t> </w:t>
                            </w:r>
                          </w:p>
                        </w:tc>
                        <w:tc>
                          <w:tcPr>
                            <w:tcW w:w="746" w:type="dxa"/>
                            <w:tcBorders>
                              <w:top w:val="nil"/>
                              <w:left w:val="nil"/>
                              <w:bottom w:val="single" w:sz="4" w:space="0" w:color="auto"/>
                              <w:right w:val="single" w:sz="4" w:space="0" w:color="auto"/>
                            </w:tcBorders>
                            <w:shd w:val="clear" w:color="auto" w:fill="auto"/>
                            <w:noWrap/>
                            <w:vAlign w:val="center"/>
                            <w:hideMark/>
                          </w:tcPr>
                          <w:p w14:paraId="07C60B69" w14:textId="77777777" w:rsidR="004D5334" w:rsidRPr="00EC7769" w:rsidRDefault="004D5334" w:rsidP="00EC7769">
                            <w:pPr>
                              <w:spacing w:after="0"/>
                              <w:jc w:val="center"/>
                              <w:rPr>
                                <w:rFonts w:ascii="Times New Roman" w:hAnsi="Times New Roman"/>
                                <w:color w:val="000000"/>
                                <w:szCs w:val="24"/>
                              </w:rPr>
                            </w:pPr>
                            <w:r w:rsidRPr="00EC7769">
                              <w:rPr>
                                <w:rFonts w:ascii="Times New Roman" w:hAnsi="Times New Roman"/>
                                <w:color w:val="000000"/>
                                <w:szCs w:val="24"/>
                              </w:rPr>
                              <w:t>top</w:t>
                            </w:r>
                          </w:p>
                        </w:tc>
                        <w:tc>
                          <w:tcPr>
                            <w:tcW w:w="1574" w:type="dxa"/>
                            <w:tcBorders>
                              <w:top w:val="nil"/>
                              <w:left w:val="nil"/>
                              <w:bottom w:val="single" w:sz="4" w:space="0" w:color="auto"/>
                              <w:right w:val="single" w:sz="4" w:space="0" w:color="auto"/>
                            </w:tcBorders>
                            <w:shd w:val="clear" w:color="auto" w:fill="auto"/>
                            <w:noWrap/>
                            <w:vAlign w:val="center"/>
                            <w:hideMark/>
                          </w:tcPr>
                          <w:p w14:paraId="53B07F8E" w14:textId="77777777" w:rsidR="004D5334" w:rsidRPr="00EC7769" w:rsidRDefault="004D5334" w:rsidP="00EC7769">
                            <w:pPr>
                              <w:spacing w:after="0"/>
                              <w:jc w:val="center"/>
                              <w:rPr>
                                <w:rFonts w:ascii="Times New Roman" w:hAnsi="Times New Roman"/>
                                <w:color w:val="000000"/>
                                <w:szCs w:val="24"/>
                              </w:rPr>
                            </w:pPr>
                            <w:r w:rsidRPr="00EC7769">
                              <w:rPr>
                                <w:rFonts w:ascii="Times New Roman" w:hAnsi="Times New Roman"/>
                                <w:color w:val="000000"/>
                                <w:szCs w:val="24"/>
                              </w:rPr>
                              <w:t>bottom</w:t>
                            </w:r>
                          </w:p>
                        </w:tc>
                        <w:tc>
                          <w:tcPr>
                            <w:tcW w:w="746" w:type="dxa"/>
                            <w:tcBorders>
                              <w:top w:val="nil"/>
                              <w:left w:val="nil"/>
                              <w:bottom w:val="single" w:sz="4" w:space="0" w:color="auto"/>
                              <w:right w:val="single" w:sz="4" w:space="0" w:color="auto"/>
                            </w:tcBorders>
                            <w:shd w:val="clear" w:color="auto" w:fill="auto"/>
                            <w:noWrap/>
                            <w:vAlign w:val="center"/>
                            <w:hideMark/>
                          </w:tcPr>
                          <w:p w14:paraId="351A3E35" w14:textId="77777777" w:rsidR="004D5334" w:rsidRPr="00EC7769" w:rsidRDefault="004D5334" w:rsidP="00EC7769">
                            <w:pPr>
                              <w:spacing w:after="0"/>
                              <w:jc w:val="center"/>
                              <w:rPr>
                                <w:rFonts w:ascii="Times New Roman" w:hAnsi="Times New Roman"/>
                                <w:color w:val="000000"/>
                                <w:szCs w:val="24"/>
                              </w:rPr>
                            </w:pPr>
                            <w:r w:rsidRPr="00EC7769">
                              <w:rPr>
                                <w:rFonts w:ascii="Times New Roman" w:hAnsi="Times New Roman"/>
                                <w:color w:val="000000"/>
                                <w:szCs w:val="24"/>
                              </w:rPr>
                              <w:t>top</w:t>
                            </w:r>
                          </w:p>
                        </w:tc>
                        <w:tc>
                          <w:tcPr>
                            <w:tcW w:w="1574" w:type="dxa"/>
                            <w:tcBorders>
                              <w:top w:val="nil"/>
                              <w:left w:val="nil"/>
                              <w:bottom w:val="single" w:sz="4" w:space="0" w:color="auto"/>
                              <w:right w:val="nil"/>
                            </w:tcBorders>
                            <w:shd w:val="clear" w:color="auto" w:fill="auto"/>
                            <w:noWrap/>
                            <w:vAlign w:val="center"/>
                            <w:hideMark/>
                          </w:tcPr>
                          <w:p w14:paraId="4AD14601" w14:textId="77777777" w:rsidR="004D5334" w:rsidRPr="00EC7769" w:rsidRDefault="004D5334" w:rsidP="00EC7769">
                            <w:pPr>
                              <w:spacing w:after="0"/>
                              <w:jc w:val="center"/>
                              <w:rPr>
                                <w:rFonts w:ascii="Times New Roman" w:hAnsi="Times New Roman"/>
                                <w:color w:val="000000"/>
                                <w:szCs w:val="24"/>
                              </w:rPr>
                            </w:pPr>
                            <w:r w:rsidRPr="00EC7769">
                              <w:rPr>
                                <w:rFonts w:ascii="Times New Roman" w:hAnsi="Times New Roman"/>
                                <w:color w:val="000000"/>
                                <w:szCs w:val="24"/>
                              </w:rPr>
                              <w:t>bottom</w:t>
                            </w:r>
                          </w:p>
                        </w:tc>
                      </w:tr>
                      <w:tr w:rsidR="004D5334" w:rsidRPr="00EC7769" w14:paraId="141243C2" w14:textId="77777777" w:rsidTr="00EC7769">
                        <w:trPr>
                          <w:trHeight w:val="360"/>
                          <w:jc w:val="center"/>
                        </w:trPr>
                        <w:tc>
                          <w:tcPr>
                            <w:tcW w:w="2060" w:type="dxa"/>
                            <w:tcBorders>
                              <w:top w:val="nil"/>
                              <w:left w:val="nil"/>
                              <w:bottom w:val="single" w:sz="4" w:space="0" w:color="auto"/>
                              <w:right w:val="single" w:sz="4" w:space="0" w:color="auto"/>
                            </w:tcBorders>
                            <w:shd w:val="clear" w:color="auto" w:fill="auto"/>
                            <w:noWrap/>
                            <w:vAlign w:val="center"/>
                            <w:hideMark/>
                          </w:tcPr>
                          <w:p w14:paraId="553EB8E6" w14:textId="77777777" w:rsidR="004D5334" w:rsidRPr="00EC7769" w:rsidRDefault="004D5334" w:rsidP="00EC7769">
                            <w:pPr>
                              <w:spacing w:after="0"/>
                              <w:jc w:val="left"/>
                              <w:rPr>
                                <w:rFonts w:ascii="Times New Roman" w:hAnsi="Times New Roman"/>
                                <w:color w:val="000000"/>
                                <w:szCs w:val="24"/>
                              </w:rPr>
                            </w:pPr>
                            <w:r w:rsidRPr="00EC7769">
                              <w:rPr>
                                <w:rFonts w:ascii="Times New Roman" w:hAnsi="Times New Roman"/>
                                <w:color w:val="000000"/>
                                <w:szCs w:val="24"/>
                              </w:rPr>
                              <w:t>Δ</w:t>
                            </w:r>
                            <w:r w:rsidRPr="00EC7769">
                              <w:rPr>
                                <w:rFonts w:ascii="Times New Roman" w:hAnsi="Times New Roman"/>
                                <w:i/>
                                <w:iCs/>
                                <w:color w:val="000000"/>
                                <w:szCs w:val="24"/>
                              </w:rPr>
                              <w:t>V</w:t>
                            </w:r>
                            <w:r w:rsidRPr="00EC7769">
                              <w:rPr>
                                <w:rFonts w:ascii="Times New Roman" w:hAnsi="Times New Roman"/>
                                <w:color w:val="000000"/>
                                <w:szCs w:val="24"/>
                                <w:vertAlign w:val="subscript"/>
                              </w:rPr>
                              <w:t>OC</w:t>
                            </w:r>
                            <w:r w:rsidRPr="00EC7769">
                              <w:rPr>
                                <w:rFonts w:ascii="Times New Roman" w:hAnsi="Times New Roman"/>
                                <w:color w:val="000000"/>
                                <w:szCs w:val="24"/>
                              </w:rPr>
                              <w:t xml:space="preserve"> experimental</w:t>
                            </w:r>
                          </w:p>
                        </w:tc>
                        <w:tc>
                          <w:tcPr>
                            <w:tcW w:w="746" w:type="dxa"/>
                            <w:tcBorders>
                              <w:top w:val="nil"/>
                              <w:left w:val="nil"/>
                              <w:bottom w:val="single" w:sz="4" w:space="0" w:color="auto"/>
                              <w:right w:val="single" w:sz="4" w:space="0" w:color="auto"/>
                            </w:tcBorders>
                            <w:shd w:val="clear" w:color="auto" w:fill="auto"/>
                            <w:noWrap/>
                            <w:vAlign w:val="center"/>
                            <w:hideMark/>
                          </w:tcPr>
                          <w:p w14:paraId="6248330F" w14:textId="77777777" w:rsidR="004D5334" w:rsidRPr="00EC7769" w:rsidRDefault="004D5334" w:rsidP="00EC7769">
                            <w:pPr>
                              <w:spacing w:after="0"/>
                              <w:jc w:val="center"/>
                              <w:rPr>
                                <w:rFonts w:ascii="Times New Roman" w:hAnsi="Times New Roman"/>
                                <w:color w:val="000000"/>
                                <w:szCs w:val="24"/>
                              </w:rPr>
                            </w:pPr>
                            <w:r w:rsidRPr="00EC7769">
                              <w:rPr>
                                <w:rFonts w:ascii="Times New Roman" w:hAnsi="Times New Roman"/>
                                <w:color w:val="000000"/>
                                <w:szCs w:val="24"/>
                              </w:rPr>
                              <w:t>9</w:t>
                            </w:r>
                          </w:p>
                        </w:tc>
                        <w:tc>
                          <w:tcPr>
                            <w:tcW w:w="1574" w:type="dxa"/>
                            <w:tcBorders>
                              <w:top w:val="nil"/>
                              <w:left w:val="nil"/>
                              <w:bottom w:val="single" w:sz="4" w:space="0" w:color="auto"/>
                              <w:right w:val="single" w:sz="4" w:space="0" w:color="auto"/>
                            </w:tcBorders>
                            <w:shd w:val="clear" w:color="auto" w:fill="auto"/>
                            <w:noWrap/>
                            <w:vAlign w:val="center"/>
                            <w:hideMark/>
                          </w:tcPr>
                          <w:p w14:paraId="06DBA8AF" w14:textId="77777777" w:rsidR="004D5334" w:rsidRPr="00EC7769" w:rsidRDefault="004D5334" w:rsidP="00EC7769">
                            <w:pPr>
                              <w:spacing w:after="0"/>
                              <w:jc w:val="center"/>
                              <w:rPr>
                                <w:rFonts w:ascii="Times New Roman" w:hAnsi="Times New Roman"/>
                                <w:color w:val="000000"/>
                                <w:szCs w:val="24"/>
                              </w:rPr>
                            </w:pPr>
                            <w:r w:rsidRPr="00EC7769">
                              <w:rPr>
                                <w:rFonts w:ascii="Times New Roman" w:hAnsi="Times New Roman"/>
                                <w:color w:val="000000"/>
                                <w:szCs w:val="24"/>
                              </w:rPr>
                              <w:t>6</w:t>
                            </w:r>
                          </w:p>
                        </w:tc>
                        <w:tc>
                          <w:tcPr>
                            <w:tcW w:w="746" w:type="dxa"/>
                            <w:tcBorders>
                              <w:top w:val="nil"/>
                              <w:left w:val="nil"/>
                              <w:bottom w:val="single" w:sz="4" w:space="0" w:color="auto"/>
                              <w:right w:val="single" w:sz="4" w:space="0" w:color="auto"/>
                            </w:tcBorders>
                            <w:shd w:val="clear" w:color="auto" w:fill="auto"/>
                            <w:noWrap/>
                            <w:vAlign w:val="center"/>
                            <w:hideMark/>
                          </w:tcPr>
                          <w:p w14:paraId="33E2FA12" w14:textId="77777777" w:rsidR="004D5334" w:rsidRPr="00EC7769" w:rsidRDefault="004D5334" w:rsidP="00EC7769">
                            <w:pPr>
                              <w:spacing w:after="0"/>
                              <w:jc w:val="center"/>
                              <w:rPr>
                                <w:rFonts w:ascii="Times New Roman" w:hAnsi="Times New Roman"/>
                                <w:color w:val="000000"/>
                                <w:szCs w:val="24"/>
                              </w:rPr>
                            </w:pPr>
                            <w:r w:rsidRPr="00EC7769">
                              <w:rPr>
                                <w:rFonts w:ascii="Times New Roman" w:hAnsi="Times New Roman"/>
                                <w:color w:val="000000"/>
                                <w:szCs w:val="24"/>
                              </w:rPr>
                              <w:t>74</w:t>
                            </w:r>
                          </w:p>
                        </w:tc>
                        <w:tc>
                          <w:tcPr>
                            <w:tcW w:w="1574" w:type="dxa"/>
                            <w:tcBorders>
                              <w:top w:val="nil"/>
                              <w:left w:val="nil"/>
                              <w:bottom w:val="single" w:sz="4" w:space="0" w:color="auto"/>
                              <w:right w:val="nil"/>
                            </w:tcBorders>
                            <w:shd w:val="clear" w:color="auto" w:fill="auto"/>
                            <w:noWrap/>
                            <w:vAlign w:val="center"/>
                            <w:hideMark/>
                          </w:tcPr>
                          <w:p w14:paraId="25A05CBB" w14:textId="77777777" w:rsidR="004D5334" w:rsidRPr="00EC7769" w:rsidRDefault="004D5334" w:rsidP="00EC7769">
                            <w:pPr>
                              <w:spacing w:after="0"/>
                              <w:jc w:val="center"/>
                              <w:rPr>
                                <w:rFonts w:ascii="Times New Roman" w:hAnsi="Times New Roman"/>
                                <w:color w:val="000000"/>
                                <w:szCs w:val="24"/>
                              </w:rPr>
                            </w:pPr>
                            <w:r w:rsidRPr="00EC7769">
                              <w:rPr>
                                <w:rFonts w:ascii="Times New Roman" w:hAnsi="Times New Roman"/>
                                <w:color w:val="000000"/>
                                <w:szCs w:val="24"/>
                              </w:rPr>
                              <w:t>51</w:t>
                            </w:r>
                          </w:p>
                        </w:tc>
                      </w:tr>
                      <w:tr w:rsidR="004D5334" w:rsidRPr="00EC7769" w14:paraId="335EFE0E" w14:textId="77777777" w:rsidTr="00EC7769">
                        <w:trPr>
                          <w:trHeight w:val="360"/>
                          <w:jc w:val="center"/>
                        </w:trPr>
                        <w:tc>
                          <w:tcPr>
                            <w:tcW w:w="2060" w:type="dxa"/>
                            <w:tcBorders>
                              <w:top w:val="nil"/>
                              <w:left w:val="nil"/>
                              <w:bottom w:val="nil"/>
                              <w:right w:val="single" w:sz="4" w:space="0" w:color="auto"/>
                            </w:tcBorders>
                            <w:shd w:val="clear" w:color="auto" w:fill="auto"/>
                            <w:noWrap/>
                            <w:vAlign w:val="center"/>
                            <w:hideMark/>
                          </w:tcPr>
                          <w:p w14:paraId="1BBE2A71" w14:textId="77777777" w:rsidR="004D5334" w:rsidRPr="00EC7769" w:rsidRDefault="004D5334" w:rsidP="00EC7769">
                            <w:pPr>
                              <w:spacing w:after="0"/>
                              <w:jc w:val="left"/>
                              <w:rPr>
                                <w:rFonts w:ascii="Times New Roman" w:hAnsi="Times New Roman"/>
                                <w:color w:val="000000"/>
                                <w:szCs w:val="24"/>
                              </w:rPr>
                            </w:pPr>
                            <w:r w:rsidRPr="00EC7769">
                              <w:rPr>
                                <w:rFonts w:ascii="Times New Roman" w:hAnsi="Times New Roman"/>
                                <w:color w:val="000000"/>
                                <w:szCs w:val="24"/>
                              </w:rPr>
                              <w:t>Δ</w:t>
                            </w:r>
                            <w:r w:rsidRPr="00EC7769">
                              <w:rPr>
                                <w:rFonts w:ascii="Times New Roman" w:hAnsi="Times New Roman"/>
                                <w:i/>
                                <w:iCs/>
                                <w:color w:val="000000"/>
                                <w:szCs w:val="24"/>
                              </w:rPr>
                              <w:t>V</w:t>
                            </w:r>
                            <w:r w:rsidRPr="00EC7769">
                              <w:rPr>
                                <w:rFonts w:ascii="Times New Roman" w:hAnsi="Times New Roman"/>
                                <w:color w:val="000000"/>
                                <w:szCs w:val="24"/>
                                <w:vertAlign w:val="subscript"/>
                              </w:rPr>
                              <w:t>OC</w:t>
                            </w:r>
                            <w:r w:rsidRPr="00EC7769">
                              <w:rPr>
                                <w:rFonts w:ascii="Times New Roman" w:hAnsi="Times New Roman"/>
                                <w:color w:val="000000"/>
                                <w:szCs w:val="24"/>
                              </w:rPr>
                              <w:t xml:space="preserve"> modeled</w:t>
                            </w:r>
                          </w:p>
                        </w:tc>
                        <w:tc>
                          <w:tcPr>
                            <w:tcW w:w="746" w:type="dxa"/>
                            <w:tcBorders>
                              <w:top w:val="nil"/>
                              <w:left w:val="nil"/>
                              <w:bottom w:val="nil"/>
                              <w:right w:val="single" w:sz="4" w:space="0" w:color="auto"/>
                            </w:tcBorders>
                            <w:shd w:val="clear" w:color="auto" w:fill="auto"/>
                            <w:noWrap/>
                            <w:vAlign w:val="center"/>
                            <w:hideMark/>
                          </w:tcPr>
                          <w:p w14:paraId="696EF708" w14:textId="77777777" w:rsidR="004D5334" w:rsidRPr="00EC7769" w:rsidRDefault="004D5334" w:rsidP="00EC7769">
                            <w:pPr>
                              <w:spacing w:after="0"/>
                              <w:jc w:val="center"/>
                              <w:rPr>
                                <w:rFonts w:ascii="Times New Roman" w:hAnsi="Times New Roman"/>
                                <w:color w:val="000000"/>
                                <w:szCs w:val="24"/>
                              </w:rPr>
                            </w:pPr>
                            <w:r w:rsidRPr="00EC7769">
                              <w:rPr>
                                <w:rFonts w:ascii="Times New Roman" w:hAnsi="Times New Roman"/>
                                <w:color w:val="000000"/>
                                <w:szCs w:val="24"/>
                              </w:rPr>
                              <w:t>9</w:t>
                            </w:r>
                          </w:p>
                        </w:tc>
                        <w:tc>
                          <w:tcPr>
                            <w:tcW w:w="1574" w:type="dxa"/>
                            <w:tcBorders>
                              <w:top w:val="nil"/>
                              <w:left w:val="nil"/>
                              <w:bottom w:val="nil"/>
                              <w:right w:val="single" w:sz="4" w:space="0" w:color="auto"/>
                            </w:tcBorders>
                            <w:shd w:val="clear" w:color="auto" w:fill="auto"/>
                            <w:noWrap/>
                            <w:vAlign w:val="center"/>
                            <w:hideMark/>
                          </w:tcPr>
                          <w:p w14:paraId="6107E0C5" w14:textId="77777777" w:rsidR="004D5334" w:rsidRPr="00EC7769" w:rsidRDefault="004D5334" w:rsidP="00EC7769">
                            <w:pPr>
                              <w:spacing w:after="0"/>
                              <w:jc w:val="center"/>
                              <w:rPr>
                                <w:rFonts w:ascii="Times New Roman" w:hAnsi="Times New Roman"/>
                                <w:color w:val="000000"/>
                                <w:szCs w:val="24"/>
                              </w:rPr>
                            </w:pPr>
                            <w:r w:rsidRPr="00EC7769">
                              <w:rPr>
                                <w:rFonts w:ascii="Times New Roman" w:hAnsi="Times New Roman"/>
                                <w:color w:val="000000"/>
                                <w:szCs w:val="24"/>
                              </w:rPr>
                              <w:t>5</w:t>
                            </w:r>
                          </w:p>
                        </w:tc>
                        <w:tc>
                          <w:tcPr>
                            <w:tcW w:w="746" w:type="dxa"/>
                            <w:tcBorders>
                              <w:top w:val="nil"/>
                              <w:left w:val="nil"/>
                              <w:bottom w:val="nil"/>
                              <w:right w:val="single" w:sz="4" w:space="0" w:color="auto"/>
                            </w:tcBorders>
                            <w:shd w:val="clear" w:color="auto" w:fill="auto"/>
                            <w:noWrap/>
                            <w:vAlign w:val="center"/>
                            <w:hideMark/>
                          </w:tcPr>
                          <w:p w14:paraId="0646D0DE" w14:textId="77777777" w:rsidR="004D5334" w:rsidRPr="00EC7769" w:rsidRDefault="004D5334" w:rsidP="00EC7769">
                            <w:pPr>
                              <w:spacing w:after="0"/>
                              <w:jc w:val="center"/>
                              <w:rPr>
                                <w:rFonts w:ascii="Times New Roman" w:hAnsi="Times New Roman"/>
                                <w:color w:val="000000"/>
                                <w:szCs w:val="24"/>
                              </w:rPr>
                            </w:pPr>
                            <w:r w:rsidRPr="00EC7769">
                              <w:rPr>
                                <w:rFonts w:ascii="Times New Roman" w:hAnsi="Times New Roman"/>
                                <w:color w:val="000000"/>
                                <w:szCs w:val="24"/>
                              </w:rPr>
                              <w:t>78</w:t>
                            </w:r>
                          </w:p>
                        </w:tc>
                        <w:tc>
                          <w:tcPr>
                            <w:tcW w:w="1574" w:type="dxa"/>
                            <w:tcBorders>
                              <w:top w:val="nil"/>
                              <w:left w:val="nil"/>
                              <w:bottom w:val="nil"/>
                              <w:right w:val="nil"/>
                            </w:tcBorders>
                            <w:shd w:val="clear" w:color="auto" w:fill="auto"/>
                            <w:noWrap/>
                            <w:vAlign w:val="center"/>
                            <w:hideMark/>
                          </w:tcPr>
                          <w:p w14:paraId="65C78C51" w14:textId="77777777" w:rsidR="004D5334" w:rsidRPr="00EC7769" w:rsidRDefault="004D5334" w:rsidP="00EC7769">
                            <w:pPr>
                              <w:spacing w:after="0"/>
                              <w:jc w:val="center"/>
                              <w:rPr>
                                <w:rFonts w:ascii="Times New Roman" w:hAnsi="Times New Roman"/>
                                <w:color w:val="000000"/>
                                <w:szCs w:val="24"/>
                              </w:rPr>
                            </w:pPr>
                            <w:r w:rsidRPr="00EC7769">
                              <w:rPr>
                                <w:rFonts w:ascii="Times New Roman" w:hAnsi="Times New Roman"/>
                                <w:color w:val="000000"/>
                                <w:szCs w:val="24"/>
                              </w:rPr>
                              <w:t>64</w:t>
                            </w:r>
                          </w:p>
                        </w:tc>
                      </w:tr>
                    </w:tbl>
                    <w:p w14:paraId="70FA77A7" w14:textId="77777777" w:rsidR="004D5334" w:rsidRPr="00F64A2F" w:rsidRDefault="004D5334" w:rsidP="004B09B1">
                      <w:pPr>
                        <w:rPr>
                          <w:rFonts w:ascii="Times New Roman" w:hAnsi="Times New Roman"/>
                        </w:rPr>
                      </w:pPr>
                    </w:p>
                  </w:txbxContent>
                </v:textbox>
                <w10:anchorlock/>
              </v:shape>
            </w:pict>
          </mc:Fallback>
        </mc:AlternateContent>
      </w:r>
    </w:p>
    <w:p w14:paraId="440C6406" w14:textId="2A661DE9" w:rsidR="00223F9F" w:rsidRDefault="00223F9F" w:rsidP="00F70060">
      <w:pPr>
        <w:spacing w:after="120"/>
        <w:jc w:val="left"/>
        <w:rPr>
          <w:u w:val="single"/>
        </w:rPr>
      </w:pPr>
    </w:p>
    <w:p w14:paraId="2A96446B" w14:textId="77777777" w:rsidR="00223F9F" w:rsidRDefault="00223F9F" w:rsidP="00F70060">
      <w:pPr>
        <w:spacing w:after="120"/>
        <w:jc w:val="left"/>
        <w:rPr>
          <w:u w:val="single"/>
        </w:rPr>
      </w:pPr>
    </w:p>
    <w:p w14:paraId="637C6F0F" w14:textId="7E7AB205" w:rsidR="00DB6B05" w:rsidRDefault="00F70060" w:rsidP="00F70060">
      <w:pPr>
        <w:spacing w:after="120"/>
        <w:jc w:val="left"/>
        <w:rPr>
          <w:u w:val="single"/>
        </w:rPr>
      </w:pPr>
      <w:r w:rsidRPr="009B7926">
        <w:rPr>
          <w:u w:val="single"/>
        </w:rPr>
        <w:lastRenderedPageBreak/>
        <w:t>S</w:t>
      </w:r>
      <w:r>
        <w:rPr>
          <w:u w:val="single"/>
        </w:rPr>
        <w:t>1</w:t>
      </w:r>
      <w:r w:rsidR="005036F1">
        <w:rPr>
          <w:u w:val="single"/>
        </w:rPr>
        <w:t>0</w:t>
      </w:r>
      <w:r>
        <w:rPr>
          <w:u w:val="single"/>
        </w:rPr>
        <w:t>:</w:t>
      </w:r>
      <w:r w:rsidRPr="009B7926">
        <w:rPr>
          <w:u w:val="single"/>
        </w:rPr>
        <w:t xml:space="preserve"> Voltage maps of </w:t>
      </w:r>
      <w:r w:rsidR="00D40DA2">
        <w:rPr>
          <w:u w:val="single"/>
        </w:rPr>
        <w:t>the test device</w:t>
      </w:r>
    </w:p>
    <w:p w14:paraId="4C2D1B83" w14:textId="77777777" w:rsidR="00FA63E9" w:rsidRDefault="00FA63E9" w:rsidP="00F70060">
      <w:pPr>
        <w:spacing w:after="120"/>
        <w:jc w:val="left"/>
      </w:pPr>
    </w:p>
    <w:p w14:paraId="2B33D765" w14:textId="6822E7CC" w:rsidR="009B7926" w:rsidRDefault="00C65DBA" w:rsidP="009B7926">
      <w:pPr>
        <w:pStyle w:val="VAFigureCaption"/>
        <w:rPr>
          <w:u w:val="single"/>
        </w:rPr>
      </w:pPr>
      <w:r w:rsidRPr="00E949C7">
        <w:rPr>
          <w:rFonts w:asciiTheme="minorHAnsi" w:hAnsiTheme="minorHAnsi" w:cstheme="minorHAnsi"/>
          <w:b/>
          <w:noProof/>
          <w:kern w:val="22"/>
          <w:szCs w:val="24"/>
        </w:rPr>
        <mc:AlternateContent>
          <mc:Choice Requires="wps">
            <w:drawing>
              <wp:inline distT="0" distB="0" distL="0" distR="0" wp14:anchorId="75BF1573" wp14:editId="161607E6">
                <wp:extent cx="5921375" cy="3569817"/>
                <wp:effectExtent l="0" t="0" r="3175" b="0"/>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3569817"/>
                        </a:xfrm>
                        <a:prstGeom prst="rect">
                          <a:avLst/>
                        </a:prstGeom>
                        <a:solidFill>
                          <a:srgbClr val="FFFFFF"/>
                        </a:solidFill>
                        <a:ln w="9525">
                          <a:noFill/>
                          <a:miter lim="800000"/>
                          <a:headEnd/>
                          <a:tailEnd/>
                        </a:ln>
                      </wps:spPr>
                      <wps:txbx>
                        <w:txbxContent>
                          <w:p w14:paraId="00B6BAB8" w14:textId="77777777" w:rsidR="004D5334" w:rsidRDefault="004D5334" w:rsidP="00C65DBA">
                            <w:pPr>
                              <w:jc w:val="center"/>
                            </w:pPr>
                            <w:r w:rsidRPr="006725E4">
                              <w:rPr>
                                <w:noProof/>
                              </w:rPr>
                              <w:drawing>
                                <wp:inline distT="0" distB="0" distL="0" distR="0" wp14:anchorId="59B09360" wp14:editId="54A02F64">
                                  <wp:extent cx="3487479" cy="2773176"/>
                                  <wp:effectExtent l="0" t="0" r="0" b="8255"/>
                                  <wp:docPr id="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491026" cy="2775996"/>
                                          </a:xfrm>
                                          <a:prstGeom prst="rect">
                                            <a:avLst/>
                                          </a:prstGeom>
                                        </pic:spPr>
                                      </pic:pic>
                                    </a:graphicData>
                                  </a:graphic>
                                </wp:inline>
                              </w:drawing>
                            </w:r>
                          </w:p>
                          <w:p w14:paraId="7D25C369" w14:textId="1A586457" w:rsidR="004D5334" w:rsidRPr="00F5505F" w:rsidRDefault="004D5334" w:rsidP="00A95662">
                            <w:pPr>
                              <w:pStyle w:val="VAFigureCaption"/>
                              <w:spacing w:after="120" w:line="264" w:lineRule="auto"/>
                              <w:rPr>
                                <w:sz w:val="22"/>
                                <w:szCs w:val="18"/>
                              </w:rPr>
                            </w:pPr>
                            <w:r w:rsidRPr="00F5505F">
                              <w:rPr>
                                <w:sz w:val="22"/>
                                <w:szCs w:val="18"/>
                              </w:rPr>
                              <w:t>Figure S1</w:t>
                            </w:r>
                            <w:r>
                              <w:rPr>
                                <w:sz w:val="22"/>
                                <w:szCs w:val="18"/>
                              </w:rPr>
                              <w:t>0</w:t>
                            </w:r>
                            <w:r w:rsidRPr="00F5505F">
                              <w:rPr>
                                <w:sz w:val="22"/>
                                <w:szCs w:val="18"/>
                              </w:rPr>
                              <w:t xml:space="preserve">: </w:t>
                            </w:r>
                            <w:r w:rsidRPr="00F5505F">
                              <w:rPr>
                                <w:i/>
                                <w:iCs/>
                                <w:sz w:val="22"/>
                                <w:szCs w:val="18"/>
                              </w:rPr>
                              <w:t>J-V-V</w:t>
                            </w:r>
                            <w:r w:rsidRPr="00F5505F">
                              <w:rPr>
                                <w:sz w:val="22"/>
                                <w:szCs w:val="18"/>
                              </w:rPr>
                              <w:t xml:space="preserve"> maps of the test device under AM1.5G illumination. Maps on the left correspond to the top junction, on the right to the bottom junction. Upper plots show current density and lower plots show power density.</w:t>
                            </w:r>
                          </w:p>
                        </w:txbxContent>
                      </wps:txbx>
                      <wps:bodyPr rot="0" vert="horz" wrap="square" lIns="91440" tIns="45720" rIns="91440" bIns="45720" anchor="t" anchorCtr="0">
                        <a:noAutofit/>
                      </wps:bodyPr>
                    </wps:wsp>
                  </a:graphicData>
                </a:graphic>
              </wp:inline>
            </w:drawing>
          </mc:Choice>
          <mc:Fallback>
            <w:pict>
              <v:shape w14:anchorId="75BF1573" id="_x0000_s1039" type="#_x0000_t202" style="width:466.25pt;height:28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" stroked="f">
                <v:textbox>
                  <w:txbxContent>
                    <w:p w14:paraId="00B6BAB8" w14:textId="77777777" w:rsidR="004D5334" w:rsidRDefault="004D5334" w:rsidP="00C65DBA">
                      <w:pPr>
                        <w:jc w:val="center"/>
                      </w:pPr>
                      <w:r w:rsidRPr="006725E4">
                        <w:rPr>
                          <w:noProof/>
                        </w:rPr>
                        <w:drawing>
                          <wp:inline distT="0" distB="0" distL="0" distR="0" wp14:anchorId="59B09360" wp14:editId="54A02F64">
                            <wp:extent cx="3487479" cy="2773176"/>
                            <wp:effectExtent l="0" t="0" r="0" b="8255"/>
                            <wp:docPr id="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491026" cy="2775996"/>
                                    </a:xfrm>
                                    <a:prstGeom prst="rect">
                                      <a:avLst/>
                                    </a:prstGeom>
                                  </pic:spPr>
                                </pic:pic>
                              </a:graphicData>
                            </a:graphic>
                          </wp:inline>
                        </w:drawing>
                      </w:r>
                    </w:p>
                    <w:p w14:paraId="7D25C369" w14:textId="1A586457" w:rsidR="004D5334" w:rsidRPr="00F5505F" w:rsidRDefault="004D5334" w:rsidP="00A95662">
                      <w:pPr>
                        <w:pStyle w:val="VAFigureCaption"/>
                        <w:spacing w:after="120" w:line="264" w:lineRule="auto"/>
                        <w:rPr>
                          <w:sz w:val="22"/>
                          <w:szCs w:val="18"/>
                        </w:rPr>
                      </w:pPr>
                      <w:r w:rsidRPr="00F5505F">
                        <w:rPr>
                          <w:sz w:val="22"/>
                          <w:szCs w:val="18"/>
                        </w:rPr>
                        <w:t>Figure S1</w:t>
                      </w:r>
                      <w:r>
                        <w:rPr>
                          <w:sz w:val="22"/>
                          <w:szCs w:val="18"/>
                        </w:rPr>
                        <w:t>0</w:t>
                      </w:r>
                      <w:r w:rsidRPr="00F5505F">
                        <w:rPr>
                          <w:sz w:val="22"/>
                          <w:szCs w:val="18"/>
                        </w:rPr>
                        <w:t xml:space="preserve">: </w:t>
                      </w:r>
                      <w:r w:rsidRPr="00F5505F">
                        <w:rPr>
                          <w:i/>
                          <w:iCs/>
                          <w:sz w:val="22"/>
                          <w:szCs w:val="18"/>
                        </w:rPr>
                        <w:t>J-V-V</w:t>
                      </w:r>
                      <w:r w:rsidRPr="00F5505F">
                        <w:rPr>
                          <w:sz w:val="22"/>
                          <w:szCs w:val="18"/>
                        </w:rPr>
                        <w:t xml:space="preserve"> maps of the test device under AM1.5G illumination. Maps on the left correspond to the top junction, on the right to the bottom junction. Upper plots show current density and lower plots show power density.</w:t>
                      </w:r>
                    </w:p>
                  </w:txbxContent>
                </v:textbox>
                <w10:anchorlock/>
              </v:shape>
            </w:pict>
          </mc:Fallback>
        </mc:AlternateContent>
      </w:r>
    </w:p>
    <w:p w14:paraId="1E2375D2" w14:textId="0D42E903" w:rsidR="00FA63E9" w:rsidRDefault="00FA63E9">
      <w:pPr>
        <w:spacing w:after="0"/>
        <w:jc w:val="left"/>
      </w:pPr>
      <w:r>
        <w:br w:type="page"/>
      </w:r>
    </w:p>
    <w:p w14:paraId="0DB9E0F0" w14:textId="77FF34E3" w:rsidR="00986A0F" w:rsidRDefault="00986A0F" w:rsidP="00986A0F">
      <w:pPr>
        <w:spacing w:after="120"/>
        <w:jc w:val="left"/>
      </w:pPr>
      <w:r w:rsidRPr="009B7926">
        <w:rPr>
          <w:u w:val="single"/>
        </w:rPr>
        <w:lastRenderedPageBreak/>
        <w:t>S</w:t>
      </w:r>
      <w:r>
        <w:rPr>
          <w:u w:val="single"/>
        </w:rPr>
        <w:t>11:</w:t>
      </w:r>
      <w:r w:rsidRPr="009B7926">
        <w:rPr>
          <w:u w:val="single"/>
        </w:rPr>
        <w:t xml:space="preserve"> </w:t>
      </w:r>
      <w:r>
        <w:rPr>
          <w:u w:val="single"/>
        </w:rPr>
        <w:t>2T HBTSC-on-Si architecture</w:t>
      </w:r>
    </w:p>
    <w:p w14:paraId="2EF70F03" w14:textId="77777777" w:rsidR="00986A0F" w:rsidRPr="00F5505F" w:rsidRDefault="00986A0F" w:rsidP="00986A0F"/>
    <w:p w14:paraId="5707A5ED" w14:textId="77777777" w:rsidR="00986A0F" w:rsidRDefault="00986A0F" w:rsidP="00986A0F">
      <w:r w:rsidRPr="00E949C7">
        <w:rPr>
          <w:rFonts w:asciiTheme="minorHAnsi" w:hAnsiTheme="minorHAnsi" w:cstheme="minorHAnsi"/>
          <w:b/>
          <w:noProof/>
          <w:kern w:val="22"/>
          <w:szCs w:val="24"/>
        </w:rPr>
        <mc:AlternateContent>
          <mc:Choice Requires="wps">
            <w:drawing>
              <wp:inline distT="0" distB="0" distL="0" distR="0" wp14:anchorId="5B756C02" wp14:editId="666A0536">
                <wp:extent cx="5921375" cy="4427220"/>
                <wp:effectExtent l="0" t="0" r="3175" b="0"/>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4427220"/>
                        </a:xfrm>
                        <a:prstGeom prst="rect">
                          <a:avLst/>
                        </a:prstGeom>
                        <a:solidFill>
                          <a:srgbClr val="FFFFFF"/>
                        </a:solidFill>
                        <a:ln w="9525">
                          <a:noFill/>
                          <a:miter lim="800000"/>
                          <a:headEnd/>
                          <a:tailEnd/>
                        </a:ln>
                      </wps:spPr>
                      <wps:txbx>
                        <w:txbxContent>
                          <w:p w14:paraId="5B23F657" w14:textId="77777777" w:rsidR="004D5334" w:rsidRDefault="004D5334" w:rsidP="00986A0F">
                            <w:pPr>
                              <w:jc w:val="center"/>
                            </w:pPr>
                            <w:r w:rsidRPr="006725E4">
                              <w:rPr>
                                <w:noProof/>
                              </w:rPr>
                              <w:drawing>
                                <wp:inline distT="0" distB="0" distL="0" distR="0" wp14:anchorId="39D9B501" wp14:editId="7001BCEE">
                                  <wp:extent cx="3345565" cy="4425462"/>
                                  <wp:effectExtent l="0" t="0" r="7620" b="0"/>
                                  <wp:docPr id="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358418" cy="4442464"/>
                                          </a:xfrm>
                                          <a:prstGeom prst="rect">
                                            <a:avLst/>
                                          </a:prstGeom>
                                        </pic:spPr>
                                      </pic:pic>
                                    </a:graphicData>
                                  </a:graphic>
                                </wp:inline>
                              </w:drawing>
                            </w:r>
                          </w:p>
                          <w:p w14:paraId="74BA99EC" w14:textId="77777777" w:rsidR="004D5334" w:rsidRDefault="004D5334" w:rsidP="00986A0F">
                            <w:pPr>
                              <w:jc w:val="center"/>
                            </w:pPr>
                          </w:p>
                        </w:txbxContent>
                      </wps:txbx>
                      <wps:bodyPr rot="0" vert="horz" wrap="square" lIns="91440" tIns="45720" rIns="91440" bIns="45720" anchor="t" anchorCtr="0">
                        <a:noAutofit/>
                      </wps:bodyPr>
                    </wps:wsp>
                  </a:graphicData>
                </a:graphic>
              </wp:inline>
            </w:drawing>
          </mc:Choice>
          <mc:Fallback>
            <w:pict>
              <v:shape w14:anchorId="5B756C02" id="_x0000_s1040" type="#_x0000_t202" style="width:466.25pt;height:3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" stroked="f">
                <v:textbox>
                  <w:txbxContent>
                    <w:p w14:paraId="5B23F657" w14:textId="77777777" w:rsidR="004D5334" w:rsidRDefault="004D5334" w:rsidP="00986A0F">
                      <w:pPr>
                        <w:jc w:val="center"/>
                      </w:pPr>
                      <w:r w:rsidRPr="006725E4">
                        <w:rPr>
                          <w:noProof/>
                        </w:rPr>
                        <w:drawing>
                          <wp:inline distT="0" distB="0" distL="0" distR="0" wp14:anchorId="39D9B501" wp14:editId="7001BCEE">
                            <wp:extent cx="3345565" cy="4425462"/>
                            <wp:effectExtent l="0" t="0" r="7620" b="0"/>
                            <wp:docPr id="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358418" cy="4442464"/>
                                    </a:xfrm>
                                    <a:prstGeom prst="rect">
                                      <a:avLst/>
                                    </a:prstGeom>
                                  </pic:spPr>
                                </pic:pic>
                              </a:graphicData>
                            </a:graphic>
                          </wp:inline>
                        </w:drawing>
                      </w:r>
                    </w:p>
                    <w:p w14:paraId="74BA99EC" w14:textId="77777777" w:rsidR="004D5334" w:rsidRDefault="004D5334" w:rsidP="00986A0F">
                      <w:pPr>
                        <w:jc w:val="center"/>
                      </w:pPr>
                    </w:p>
                  </w:txbxContent>
                </v:textbox>
                <w10:anchorlock/>
              </v:shape>
            </w:pict>
          </mc:Fallback>
        </mc:AlternateContent>
      </w:r>
    </w:p>
    <w:p w14:paraId="0C56E467" w14:textId="746C8611" w:rsidR="00986A0F" w:rsidRPr="00F5505F" w:rsidRDefault="00986A0F" w:rsidP="00A55B95">
      <w:pPr>
        <w:pStyle w:val="VAFigureCaption"/>
        <w:spacing w:after="120" w:line="264" w:lineRule="auto"/>
        <w:ind w:left="142" w:right="146"/>
        <w:rPr>
          <w:sz w:val="22"/>
          <w:szCs w:val="18"/>
        </w:rPr>
      </w:pPr>
      <w:r w:rsidRPr="00F5505F">
        <w:rPr>
          <w:sz w:val="22"/>
          <w:szCs w:val="18"/>
        </w:rPr>
        <w:t>Figure S1</w:t>
      </w:r>
      <w:r>
        <w:rPr>
          <w:sz w:val="22"/>
          <w:szCs w:val="18"/>
        </w:rPr>
        <w:t>1</w:t>
      </w:r>
      <w:r w:rsidRPr="00F5505F">
        <w:rPr>
          <w:sz w:val="22"/>
          <w:szCs w:val="18"/>
        </w:rPr>
        <w:t xml:space="preserve">: Schematic and equivalent circuit of a 2T-3JSC made of an HBTSC and a silicon cell as proposed </w:t>
      </w:r>
      <w:r w:rsidRPr="00A55B95">
        <w:rPr>
          <w:sz w:val="22"/>
          <w:szCs w:val="18"/>
        </w:rPr>
        <w:t xml:space="preserve">in </w:t>
      </w:r>
      <w:proofErr w:type="spellStart"/>
      <w:r w:rsidRPr="00A55B95">
        <w:rPr>
          <w:sz w:val="22"/>
          <w:szCs w:val="18"/>
        </w:rPr>
        <w:t>Antolín</w:t>
      </w:r>
      <w:proofErr w:type="spellEnd"/>
      <w:r w:rsidRPr="00A55B95">
        <w:rPr>
          <w:sz w:val="22"/>
          <w:szCs w:val="18"/>
        </w:rPr>
        <w:t xml:space="preserve"> </w:t>
      </w:r>
      <w:r w:rsidRPr="00A55B95">
        <w:rPr>
          <w:i/>
          <w:iCs/>
          <w:sz w:val="22"/>
          <w:szCs w:val="18"/>
        </w:rPr>
        <w:t>et al.</w:t>
      </w:r>
      <w:r w:rsidRPr="00A55B95">
        <w:rPr>
          <w:i/>
          <w:iCs/>
          <w:sz w:val="22"/>
          <w:szCs w:val="18"/>
        </w:rPr>
        <w:fldChar w:fldCharType="begin"/>
      </w:r>
      <w:r w:rsidRPr="00A55B95">
        <w:rPr>
          <w:i/>
          <w:iCs/>
          <w:sz w:val="22"/>
          <w:szCs w:val="18"/>
        </w:rPr>
        <w:instrText xml:space="preserve"> ADDIN ZOTERO_ITEM CSL_CITATION {"citationID":"A1iCxjxr","properties":{"formattedCitation":"\\super 6\\nosupersub{}","plainCitation":"6","noteIndex":0},"citationItems":[{"id":3189,"uris":["http://zotero.org/users/local/8eqcxxhi/items/YLKSDC5W"],"uri":["http://zotero.org/users/local/8eqcxxhi/items/YLKSDC5W"],"itemData":{"id":3189,"type":"paper-conference","container-title":"2020 IEEE 47th Photovoltaic Specialists Conference (PVSC)","event":"2020 IEEE 47th Photovoltaic Specialists Conference (PVSC)","event-place":"virtual","publisher-place":"virtual","title":"III-V-on-silicon triple-junction based on the heterojunction bipolar transistor solar cell concept","author":[{"family":"Antolín","given":"Elisa"},{"family":"Zehender","given":"Marius H."},{"family":"Svatek","given":"Simon A."},{"family":"García-Linares","given":"Pablo"},{"family":"Martí","given":"Antonio"}],"issued":{"date-parts":[["2020",6]]}}}],"schema":"https://github.com/citation-style-language/schema/raw/master/csl-citation.json"} </w:instrText>
      </w:r>
      <w:r w:rsidRPr="00A55B95">
        <w:rPr>
          <w:i/>
          <w:iCs/>
          <w:sz w:val="22"/>
          <w:szCs w:val="18"/>
        </w:rPr>
        <w:fldChar w:fldCharType="separate"/>
      </w:r>
      <w:r w:rsidRPr="00A55B95">
        <w:rPr>
          <w:rFonts w:cs="Times"/>
          <w:sz w:val="22"/>
          <w:szCs w:val="24"/>
          <w:vertAlign w:val="superscript"/>
        </w:rPr>
        <w:t>6</w:t>
      </w:r>
      <w:r w:rsidRPr="00A55B95">
        <w:rPr>
          <w:i/>
          <w:iCs/>
          <w:sz w:val="22"/>
          <w:szCs w:val="18"/>
        </w:rPr>
        <w:fldChar w:fldCharType="end"/>
      </w:r>
      <w:r w:rsidRPr="00A55B95">
        <w:rPr>
          <w:i/>
          <w:iCs/>
          <w:sz w:val="22"/>
          <w:szCs w:val="18"/>
        </w:rPr>
        <w:t xml:space="preserve"> </w:t>
      </w:r>
      <w:r w:rsidRPr="00A55B95">
        <w:rPr>
          <w:sz w:val="22"/>
          <w:szCs w:val="18"/>
        </w:rPr>
        <w:t>. The transparent</w:t>
      </w:r>
      <w:r w:rsidRPr="00F5505F">
        <w:rPr>
          <w:sz w:val="22"/>
          <w:szCs w:val="18"/>
        </w:rPr>
        <w:t xml:space="preserve"> conductive adhesive connects the collector of the HBTSC to the top contact of the Si cell. The detailed balance efficiency under AM1.5G illumination of </w:t>
      </w:r>
      <w:r>
        <w:rPr>
          <w:sz w:val="22"/>
          <w:szCs w:val="18"/>
        </w:rPr>
        <w:t>architecture</w:t>
      </w:r>
      <w:r w:rsidRPr="00F5505F">
        <w:rPr>
          <w:sz w:val="22"/>
          <w:szCs w:val="18"/>
        </w:rPr>
        <w:t xml:space="preserve"> </w:t>
      </w:r>
      <w:r>
        <w:rPr>
          <w:sz w:val="22"/>
          <w:szCs w:val="18"/>
        </w:rPr>
        <w:t>using</w:t>
      </w:r>
      <w:r w:rsidRPr="00F5505F">
        <w:rPr>
          <w:sz w:val="22"/>
          <w:szCs w:val="18"/>
        </w:rPr>
        <w:t xml:space="preserve"> a lattice-matched GaInP/GaAs HBTSC is 43%</w:t>
      </w:r>
      <w:r w:rsidR="00EA18E0">
        <w:rPr>
          <w:sz w:val="22"/>
          <w:szCs w:val="18"/>
        </w:rPr>
        <w:t xml:space="preserve"> </w:t>
      </w:r>
      <w:r>
        <w:rPr>
          <w:sz w:val="22"/>
          <w:szCs w:val="18"/>
        </w:rPr>
        <w:fldChar w:fldCharType="begin"/>
      </w:r>
      <w:r>
        <w:rPr>
          <w:sz w:val="22"/>
          <w:szCs w:val="18"/>
        </w:rPr>
        <w:instrText xml:space="preserve"> ADDIN ZOTERO_ITEM CSL_CITATION {"citationID":"IP87gYF9","properties":{"formattedCitation":"\\super 6\\nosupersub{}","plainCitation":"6","noteIndex":0},"citationItems":[{"id":3189,"uris":["http://zotero.org/users/local/8eqcxxhi/items/YLKSDC5W"],"uri":["http://zotero.org/users/local/8eqcxxhi/items/YLKSDC5W"],"itemData":{"id":3189,"type":"paper-conference","container-title":"2020 IEEE 47th Photovoltaic Specialists Conference (PVSC)","event":"2020 IEEE 47th Photovoltaic Specialists Conference (PVSC)","event-place":"virtual","publisher-place":"virtual","title":"III-V-on-silicon triple-junction based on the heterojunction bipolar transistor solar cell concept","author":[{"family":"Antolín","given":"Elisa"},{"family":"Zehender","given":"Marius H."},{"family":"Svatek","given":"Simon A."},{"family":"García-Linares","given":"Pablo"},{"family":"Martí","given":"Antonio"}],"issued":{"date-parts":[["2020",6]]}}}],"schema":"https://github.com/citation-style-language/schema/raw/master/csl-citation.json"} </w:instrText>
      </w:r>
      <w:r>
        <w:rPr>
          <w:sz w:val="22"/>
          <w:szCs w:val="18"/>
        </w:rPr>
        <w:fldChar w:fldCharType="separate"/>
      </w:r>
      <w:r w:rsidRPr="00986A0F">
        <w:rPr>
          <w:rFonts w:cs="Times"/>
          <w:sz w:val="22"/>
          <w:szCs w:val="24"/>
          <w:vertAlign w:val="superscript"/>
        </w:rPr>
        <w:t>6</w:t>
      </w:r>
      <w:r>
        <w:rPr>
          <w:sz w:val="22"/>
          <w:szCs w:val="18"/>
        </w:rPr>
        <w:fldChar w:fldCharType="end"/>
      </w:r>
      <w:r w:rsidRPr="00F5505F">
        <w:rPr>
          <w:sz w:val="22"/>
          <w:szCs w:val="18"/>
        </w:rPr>
        <w:t>.</w:t>
      </w:r>
    </w:p>
    <w:p w14:paraId="229CAE6A" w14:textId="77777777" w:rsidR="00A55B95" w:rsidRDefault="00A55B95" w:rsidP="005E4E18">
      <w:pPr>
        <w:jc w:val="left"/>
      </w:pPr>
    </w:p>
    <w:p w14:paraId="633ADA05" w14:textId="77777777" w:rsidR="00A55B95" w:rsidRDefault="00A55B95" w:rsidP="005E4E18">
      <w:pPr>
        <w:jc w:val="left"/>
      </w:pPr>
    </w:p>
    <w:p w14:paraId="566465EC" w14:textId="6FDBEDB3" w:rsidR="00DD6DBB" w:rsidRDefault="00DD6DBB" w:rsidP="005E4E18">
      <w:pPr>
        <w:jc w:val="left"/>
      </w:pPr>
      <w:r>
        <w:t>REFERENCES</w:t>
      </w:r>
      <w:r w:rsidR="00AB2D36">
        <w:t xml:space="preserve"> FOR SUPPORTING INFORMATION</w:t>
      </w:r>
    </w:p>
    <w:p w14:paraId="38446437" w14:textId="5E2B8FA7" w:rsidR="004C6301" w:rsidRPr="004C6301" w:rsidRDefault="000B485E" w:rsidP="004C6301">
      <w:pPr>
        <w:pStyle w:val="Bibliography"/>
        <w:rPr>
          <w:rFonts w:cs="Times"/>
        </w:rPr>
      </w:pPr>
      <w:r>
        <w:fldChar w:fldCharType="begin"/>
      </w:r>
      <w:r w:rsidR="004C6301">
        <w:instrText xml:space="preserve"> ADDIN ZOTERO_BIBL {"uncited":[],"omitted":[],"custom":[]} CSL_BIBLIOGRAPHY </w:instrText>
      </w:r>
      <w:r>
        <w:fldChar w:fldCharType="separate"/>
      </w:r>
      <w:r w:rsidR="004C6301" w:rsidRPr="004C6301">
        <w:rPr>
          <w:rFonts w:cs="Times"/>
        </w:rPr>
        <w:t>1.</w:t>
      </w:r>
      <w:r w:rsidR="004C6301" w:rsidRPr="004C6301">
        <w:rPr>
          <w:rFonts w:cs="Times"/>
        </w:rPr>
        <w:tab/>
        <w:t xml:space="preserve">Luque, A. &amp; Martí, A. Theoretical Limits of Photovoltaic Conversion and New-Generation Solar Cells. in </w:t>
      </w:r>
      <w:r w:rsidR="004C6301" w:rsidRPr="004C6301">
        <w:rPr>
          <w:rFonts w:cs="Times"/>
          <w:i/>
          <w:iCs/>
        </w:rPr>
        <w:t>Handbook of Photovoltaic Science and Engineering</w:t>
      </w:r>
      <w:r w:rsidR="004C6301" w:rsidRPr="004C6301">
        <w:rPr>
          <w:rFonts w:cs="Times"/>
        </w:rPr>
        <w:t xml:space="preserve"> 130–168 (Chap. 4, Eds. A. Luque and S. Hegedus, John Wiley &amp; Sons, Chichester, 2011). doi:</w:t>
      </w:r>
      <w:hyperlink r:id="rId20" w:history="1">
        <w:r w:rsidR="004C6301" w:rsidRPr="0058069C">
          <w:rPr>
            <w:rStyle w:val="Hyperlink"/>
          </w:rPr>
          <w:t>10.1002/9780470974704.ch4</w:t>
        </w:r>
      </w:hyperlink>
      <w:r w:rsidR="004C6301" w:rsidRPr="004C6301">
        <w:rPr>
          <w:rFonts w:cs="Times"/>
        </w:rPr>
        <w:t>.</w:t>
      </w:r>
    </w:p>
    <w:p w14:paraId="32C5624E" w14:textId="77777777" w:rsidR="004C6301" w:rsidRPr="004C6301" w:rsidRDefault="004C6301" w:rsidP="004C6301">
      <w:pPr>
        <w:pStyle w:val="Bibliography"/>
        <w:rPr>
          <w:rFonts w:cs="Times"/>
        </w:rPr>
      </w:pPr>
      <w:r w:rsidRPr="004C6301">
        <w:rPr>
          <w:rFonts w:cs="Times"/>
        </w:rPr>
        <w:lastRenderedPageBreak/>
        <w:t>2.</w:t>
      </w:r>
      <w:r w:rsidRPr="004C6301">
        <w:rPr>
          <w:rFonts w:cs="Times"/>
        </w:rPr>
        <w:tab/>
        <w:t xml:space="preserve">Luque, A. &amp; Araújo, G. L. </w:t>
      </w:r>
      <w:r w:rsidRPr="004C6301">
        <w:rPr>
          <w:rFonts w:cs="Times"/>
          <w:i/>
          <w:iCs/>
        </w:rPr>
        <w:t>Solar cells and optics for photovoltaic concentration</w:t>
      </w:r>
      <w:r w:rsidRPr="004C6301">
        <w:rPr>
          <w:rFonts w:cs="Times"/>
        </w:rPr>
        <w:t>. (A. Hilger, 1989).</w:t>
      </w:r>
    </w:p>
    <w:p w14:paraId="59591962" w14:textId="77777777" w:rsidR="004C6301" w:rsidRPr="004C6301" w:rsidRDefault="004C6301" w:rsidP="004C6301">
      <w:pPr>
        <w:pStyle w:val="Bibliography"/>
        <w:rPr>
          <w:rFonts w:cs="Times"/>
        </w:rPr>
      </w:pPr>
      <w:r w:rsidRPr="004C6301">
        <w:rPr>
          <w:rFonts w:cs="Times"/>
        </w:rPr>
        <w:t>3.</w:t>
      </w:r>
      <w:r w:rsidRPr="004C6301">
        <w:rPr>
          <w:rFonts w:cs="Times"/>
        </w:rPr>
        <w:tab/>
        <w:t xml:space="preserve">Shitara, T. &amp; Eberl, K. Electronic properties of InGaP grown by solid‐source molecular‐beam epitaxy with a GaP decomposition source. </w:t>
      </w:r>
      <w:r w:rsidRPr="004C6301">
        <w:rPr>
          <w:rFonts w:cs="Times"/>
          <w:i/>
          <w:iCs/>
        </w:rPr>
        <w:t>Appl. Phys. Lett.</w:t>
      </w:r>
      <w:r w:rsidRPr="004C6301">
        <w:rPr>
          <w:rFonts w:cs="Times"/>
        </w:rPr>
        <w:t xml:space="preserve"> </w:t>
      </w:r>
      <w:r w:rsidRPr="004C6301">
        <w:rPr>
          <w:rFonts w:cs="Times"/>
          <w:b/>
          <w:bCs/>
        </w:rPr>
        <w:t>65</w:t>
      </w:r>
      <w:r w:rsidRPr="004C6301">
        <w:rPr>
          <w:rFonts w:cs="Times"/>
        </w:rPr>
        <w:t>, 356–358 (1994).</w:t>
      </w:r>
    </w:p>
    <w:p w14:paraId="4A2FB6A4" w14:textId="77777777" w:rsidR="004C6301" w:rsidRPr="004C6301" w:rsidRDefault="004C6301" w:rsidP="004C6301">
      <w:pPr>
        <w:pStyle w:val="Bibliography"/>
        <w:rPr>
          <w:rFonts w:cs="Times"/>
        </w:rPr>
      </w:pPr>
      <w:r w:rsidRPr="004C6301">
        <w:rPr>
          <w:rFonts w:cs="Times"/>
        </w:rPr>
        <w:t>4.</w:t>
      </w:r>
      <w:r w:rsidRPr="004C6301">
        <w:rPr>
          <w:rFonts w:cs="Times"/>
        </w:rPr>
        <w:tab/>
        <w:t>Ikeda, M. &amp; Kaneko, K. Selenium and zinc doping in Ga</w:t>
      </w:r>
      <w:r w:rsidRPr="004C6301">
        <w:rPr>
          <w:rFonts w:cs="Times"/>
          <w:vertAlign w:val="subscript"/>
        </w:rPr>
        <w:t>0.5</w:t>
      </w:r>
      <w:r w:rsidRPr="004C6301">
        <w:rPr>
          <w:rFonts w:cs="Times"/>
        </w:rPr>
        <w:t>In</w:t>
      </w:r>
      <w:r w:rsidRPr="004C6301">
        <w:rPr>
          <w:rFonts w:cs="Times"/>
          <w:vertAlign w:val="subscript"/>
        </w:rPr>
        <w:t>0.5</w:t>
      </w:r>
      <w:r w:rsidRPr="004C6301">
        <w:rPr>
          <w:rFonts w:cs="Times"/>
        </w:rPr>
        <w:t>P and (Al</w:t>
      </w:r>
      <w:r w:rsidRPr="004C6301">
        <w:rPr>
          <w:rFonts w:cs="Times"/>
          <w:vertAlign w:val="subscript"/>
        </w:rPr>
        <w:t>0.5</w:t>
      </w:r>
      <w:r w:rsidRPr="004C6301">
        <w:rPr>
          <w:rFonts w:cs="Times"/>
        </w:rPr>
        <w:t>Ga</w:t>
      </w:r>
      <w:r w:rsidRPr="004C6301">
        <w:rPr>
          <w:rFonts w:cs="Times"/>
          <w:vertAlign w:val="subscript"/>
        </w:rPr>
        <w:t>0.5</w:t>
      </w:r>
      <w:r w:rsidRPr="004C6301">
        <w:rPr>
          <w:rFonts w:cs="Times"/>
        </w:rPr>
        <w:t>)</w:t>
      </w:r>
      <w:r w:rsidRPr="004C6301">
        <w:rPr>
          <w:rFonts w:cs="Times"/>
          <w:vertAlign w:val="subscript"/>
        </w:rPr>
        <w:t>0.5</w:t>
      </w:r>
      <w:r w:rsidRPr="004C6301">
        <w:rPr>
          <w:rFonts w:cs="Times"/>
        </w:rPr>
        <w:t>In</w:t>
      </w:r>
      <w:r w:rsidRPr="004C6301">
        <w:rPr>
          <w:rFonts w:cs="Times"/>
          <w:vertAlign w:val="subscript"/>
        </w:rPr>
        <w:t>0.5</w:t>
      </w:r>
      <w:r w:rsidRPr="004C6301">
        <w:rPr>
          <w:rFonts w:cs="Times"/>
        </w:rPr>
        <w:t xml:space="preserve">P grown by metalorganic chemical vapor deposition. </w:t>
      </w:r>
      <w:r w:rsidRPr="004C6301">
        <w:rPr>
          <w:rFonts w:cs="Times"/>
          <w:i/>
          <w:iCs/>
        </w:rPr>
        <w:t>J. Appl. Phys.</w:t>
      </w:r>
      <w:r w:rsidRPr="004C6301">
        <w:rPr>
          <w:rFonts w:cs="Times"/>
        </w:rPr>
        <w:t xml:space="preserve"> </w:t>
      </w:r>
      <w:r w:rsidRPr="004C6301">
        <w:rPr>
          <w:rFonts w:cs="Times"/>
          <w:b/>
          <w:bCs/>
        </w:rPr>
        <w:t>66</w:t>
      </w:r>
      <w:r w:rsidRPr="004C6301">
        <w:rPr>
          <w:rFonts w:cs="Times"/>
        </w:rPr>
        <w:t>, 5285–5289 (1989).</w:t>
      </w:r>
    </w:p>
    <w:p w14:paraId="237E9CF4" w14:textId="77777777" w:rsidR="004C6301" w:rsidRPr="004C6301" w:rsidRDefault="004C6301" w:rsidP="004C6301">
      <w:pPr>
        <w:pStyle w:val="Bibliography"/>
        <w:rPr>
          <w:rFonts w:cs="Times"/>
        </w:rPr>
      </w:pPr>
      <w:r w:rsidRPr="004C6301">
        <w:rPr>
          <w:rFonts w:cs="Times"/>
        </w:rPr>
        <w:t>5.</w:t>
      </w:r>
      <w:r w:rsidRPr="004C6301">
        <w:rPr>
          <w:rFonts w:cs="Times"/>
        </w:rPr>
        <w:tab/>
        <w:t xml:space="preserve">Sotoodeh, M., Khalid, A. H. &amp; Rezazadeh, A. A. Empirical low-field mobility model for III–V compounds applicable in device simulation codes. </w:t>
      </w:r>
      <w:r w:rsidRPr="004C6301">
        <w:rPr>
          <w:rFonts w:cs="Times"/>
          <w:i/>
          <w:iCs/>
        </w:rPr>
        <w:t>J. Appl. Phys.</w:t>
      </w:r>
      <w:r w:rsidRPr="004C6301">
        <w:rPr>
          <w:rFonts w:cs="Times"/>
        </w:rPr>
        <w:t xml:space="preserve"> </w:t>
      </w:r>
      <w:r w:rsidRPr="004C6301">
        <w:rPr>
          <w:rFonts w:cs="Times"/>
          <w:b/>
          <w:bCs/>
        </w:rPr>
        <w:t>87</w:t>
      </w:r>
      <w:r w:rsidRPr="004C6301">
        <w:rPr>
          <w:rFonts w:cs="Times"/>
        </w:rPr>
        <w:t>, 2890–2900 (2000).</w:t>
      </w:r>
    </w:p>
    <w:p w14:paraId="4B57FB48" w14:textId="77777777" w:rsidR="004C6301" w:rsidRPr="004C6301" w:rsidRDefault="004C6301" w:rsidP="004C6301">
      <w:pPr>
        <w:pStyle w:val="Bibliography"/>
        <w:rPr>
          <w:rFonts w:cs="Times"/>
        </w:rPr>
      </w:pPr>
      <w:r w:rsidRPr="004C6301">
        <w:rPr>
          <w:rFonts w:cs="Times"/>
        </w:rPr>
        <w:t>6.</w:t>
      </w:r>
      <w:r w:rsidRPr="004C6301">
        <w:rPr>
          <w:rFonts w:cs="Times"/>
        </w:rPr>
        <w:tab/>
        <w:t xml:space="preserve">Antolín, E., Zehender, M. H., Svatek, S. A., García-Linares, P. &amp; Martí, A. III-V-on-silicon triple-junction based on the heterojunction bipolar transistor solar cell concept. in </w:t>
      </w:r>
      <w:r w:rsidRPr="004C6301">
        <w:rPr>
          <w:rFonts w:cs="Times"/>
          <w:i/>
          <w:iCs/>
        </w:rPr>
        <w:t>2020 IEEE 47th Photovoltaic Specialists Conference (PVSC)</w:t>
      </w:r>
      <w:r w:rsidRPr="004C6301">
        <w:rPr>
          <w:rFonts w:cs="Times"/>
        </w:rPr>
        <w:t xml:space="preserve"> (2020).</w:t>
      </w:r>
    </w:p>
    <w:p w14:paraId="44E9A43E" w14:textId="5583DC23" w:rsidR="009246AD" w:rsidRDefault="000B485E" w:rsidP="00B247E2">
      <w:pPr>
        <w:pStyle w:val="TFReferencesSection"/>
        <w:spacing w:after="240"/>
        <w:ind w:firstLine="0"/>
        <w:jc w:val="left"/>
      </w:pPr>
      <w:r>
        <w:fldChar w:fldCharType="end"/>
      </w:r>
    </w:p>
    <w:sectPr w:rsidR="009246AD" w:rsidSect="000B5610">
      <w:footerReference w:type="even" r:id="rId21"/>
      <w:footerReference w:type="default" r:id="rId22"/>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3F0061" w14:textId="77777777" w:rsidR="0099402F" w:rsidRDefault="0099402F">
      <w:r>
        <w:separator/>
      </w:r>
    </w:p>
  </w:endnote>
  <w:endnote w:type="continuationSeparator" w:id="0">
    <w:p w14:paraId="0A5536B3" w14:textId="77777777" w:rsidR="0099402F" w:rsidRDefault="0099402F">
      <w:r>
        <w:continuationSeparator/>
      </w:r>
    </w:p>
  </w:endnote>
  <w:endnote w:type="continuationNotice" w:id="1">
    <w:p w14:paraId="287DFF82" w14:textId="77777777" w:rsidR="0099402F" w:rsidRDefault="0099402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Times">
    <w:altName w:val="﷽﷽﷽﷽﷽﷽ੑ褷ĝͲ怀"/>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Constantia"/>
    <w:panose1 w:val="00000000000000000000"/>
    <w:charset w:val="00"/>
    <w:family w:val="roman"/>
    <w:notTrueType/>
    <w:pitch w:val="variable"/>
    <w:sig w:usb0="00000001"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14FF1" w14:textId="77777777" w:rsidR="004D5334" w:rsidRDefault="004D53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8848766" w14:textId="77777777" w:rsidR="004D5334" w:rsidRDefault="004D533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2FE74" w14:textId="77777777" w:rsidR="004D5334" w:rsidRDefault="004D53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321860DD" w14:textId="77777777" w:rsidR="004D5334" w:rsidRDefault="004D533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260961" w14:textId="77777777" w:rsidR="0099402F" w:rsidRDefault="0099402F">
      <w:r>
        <w:separator/>
      </w:r>
    </w:p>
  </w:footnote>
  <w:footnote w:type="continuationSeparator" w:id="0">
    <w:p w14:paraId="44575111" w14:textId="77777777" w:rsidR="0099402F" w:rsidRDefault="0099402F">
      <w:r>
        <w:continuationSeparator/>
      </w:r>
    </w:p>
  </w:footnote>
  <w:footnote w:type="continuationNotice" w:id="1">
    <w:p w14:paraId="4858A449" w14:textId="77777777" w:rsidR="0099402F" w:rsidRDefault="0099402F">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40958"/>
    <w:multiLevelType w:val="hybridMultilevel"/>
    <w:tmpl w:val="D3FE2F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D725C1"/>
    <w:multiLevelType w:val="hybridMultilevel"/>
    <w:tmpl w:val="464E7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7"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0"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1"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2" w15:restartNumberingAfterBreak="0">
    <w:nsid w:val="621635AB"/>
    <w:multiLevelType w:val="hybridMultilevel"/>
    <w:tmpl w:val="BCCA278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51C143B"/>
    <w:multiLevelType w:val="hybridMultilevel"/>
    <w:tmpl w:val="86BAFCDE"/>
    <w:lvl w:ilvl="0" w:tplc="1F82357A">
      <w:start w:val="1"/>
      <w:numFmt w:val="decimal"/>
      <w:lvlText w:val="(%1)"/>
      <w:lvlJc w:val="left"/>
      <w:pPr>
        <w:ind w:left="720" w:hanging="360"/>
      </w:pPr>
      <w:rPr>
        <w:rFonts w:ascii="Times" w:eastAsia="Times New Roman" w:hAnsi="Times" w:cs="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11"/>
  </w:num>
  <w:num w:numId="4">
    <w:abstractNumId w:val="9"/>
  </w:num>
  <w:num w:numId="5">
    <w:abstractNumId w:val="7"/>
  </w:num>
  <w:num w:numId="6">
    <w:abstractNumId w:val="6"/>
  </w:num>
  <w:num w:numId="7">
    <w:abstractNumId w:val="5"/>
  </w:num>
  <w:num w:numId="8">
    <w:abstractNumId w:val="3"/>
  </w:num>
  <w:num w:numId="9">
    <w:abstractNumId w:val="1"/>
  </w:num>
  <w:num w:numId="10">
    <w:abstractNumId w:val="4"/>
  </w:num>
  <w:num w:numId="11">
    <w:abstractNumId w:val="13"/>
  </w:num>
  <w:num w:numId="12">
    <w:abstractNumId w:val="2"/>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796"/>
    <w:rsid w:val="000002F2"/>
    <w:rsid w:val="000031C3"/>
    <w:rsid w:val="0000331B"/>
    <w:rsid w:val="00003A0A"/>
    <w:rsid w:val="000043A9"/>
    <w:rsid w:val="00004B63"/>
    <w:rsid w:val="00006162"/>
    <w:rsid w:val="000061B7"/>
    <w:rsid w:val="00010F56"/>
    <w:rsid w:val="00015B68"/>
    <w:rsid w:val="00017B78"/>
    <w:rsid w:val="000225F0"/>
    <w:rsid w:val="00022F93"/>
    <w:rsid w:val="000230F9"/>
    <w:rsid w:val="00023556"/>
    <w:rsid w:val="00024312"/>
    <w:rsid w:val="0002669A"/>
    <w:rsid w:val="0003274B"/>
    <w:rsid w:val="00032C26"/>
    <w:rsid w:val="000336A3"/>
    <w:rsid w:val="000342EB"/>
    <w:rsid w:val="000359C8"/>
    <w:rsid w:val="00040719"/>
    <w:rsid w:val="00041FA5"/>
    <w:rsid w:val="000443F8"/>
    <w:rsid w:val="00045265"/>
    <w:rsid w:val="00050430"/>
    <w:rsid w:val="000510C3"/>
    <w:rsid w:val="00051A6E"/>
    <w:rsid w:val="000561F8"/>
    <w:rsid w:val="0005660F"/>
    <w:rsid w:val="0006042A"/>
    <w:rsid w:val="00062C42"/>
    <w:rsid w:val="000648B0"/>
    <w:rsid w:val="000649FE"/>
    <w:rsid w:val="0006718E"/>
    <w:rsid w:val="000702AD"/>
    <w:rsid w:val="000709E9"/>
    <w:rsid w:val="00070EF1"/>
    <w:rsid w:val="0007158C"/>
    <w:rsid w:val="0007278F"/>
    <w:rsid w:val="00073F31"/>
    <w:rsid w:val="000744F8"/>
    <w:rsid w:val="00076801"/>
    <w:rsid w:val="000773A3"/>
    <w:rsid w:val="00077F20"/>
    <w:rsid w:val="000801AB"/>
    <w:rsid w:val="000816AC"/>
    <w:rsid w:val="00081944"/>
    <w:rsid w:val="0008512C"/>
    <w:rsid w:val="00086291"/>
    <w:rsid w:val="00086CFB"/>
    <w:rsid w:val="00087432"/>
    <w:rsid w:val="0009214F"/>
    <w:rsid w:val="00096223"/>
    <w:rsid w:val="00097A26"/>
    <w:rsid w:val="000A2820"/>
    <w:rsid w:val="000A649F"/>
    <w:rsid w:val="000A69A3"/>
    <w:rsid w:val="000B05C7"/>
    <w:rsid w:val="000B0A3C"/>
    <w:rsid w:val="000B11F5"/>
    <w:rsid w:val="000B2EEB"/>
    <w:rsid w:val="000B374C"/>
    <w:rsid w:val="000B485E"/>
    <w:rsid w:val="000B4890"/>
    <w:rsid w:val="000B5371"/>
    <w:rsid w:val="000B5610"/>
    <w:rsid w:val="000B5CFE"/>
    <w:rsid w:val="000B754D"/>
    <w:rsid w:val="000C05CC"/>
    <w:rsid w:val="000C18D1"/>
    <w:rsid w:val="000C4E25"/>
    <w:rsid w:val="000C6659"/>
    <w:rsid w:val="000C7EE6"/>
    <w:rsid w:val="000D018A"/>
    <w:rsid w:val="000D129F"/>
    <w:rsid w:val="000D39CA"/>
    <w:rsid w:val="000D4E04"/>
    <w:rsid w:val="000D5B85"/>
    <w:rsid w:val="000E0B4A"/>
    <w:rsid w:val="000E2D71"/>
    <w:rsid w:val="000E3175"/>
    <w:rsid w:val="000F20D0"/>
    <w:rsid w:val="00100AE8"/>
    <w:rsid w:val="001052A8"/>
    <w:rsid w:val="00107674"/>
    <w:rsid w:val="00116837"/>
    <w:rsid w:val="00117E01"/>
    <w:rsid w:val="00121F96"/>
    <w:rsid w:val="00122E78"/>
    <w:rsid w:val="0012398D"/>
    <w:rsid w:val="001245FB"/>
    <w:rsid w:val="00127763"/>
    <w:rsid w:val="0013094B"/>
    <w:rsid w:val="00131BE0"/>
    <w:rsid w:val="00132C12"/>
    <w:rsid w:val="00140804"/>
    <w:rsid w:val="00144D5E"/>
    <w:rsid w:val="00146D92"/>
    <w:rsid w:val="00150C6F"/>
    <w:rsid w:val="00157661"/>
    <w:rsid w:val="00160E04"/>
    <w:rsid w:val="00163737"/>
    <w:rsid w:val="0016483F"/>
    <w:rsid w:val="00170A9E"/>
    <w:rsid w:val="001717EB"/>
    <w:rsid w:val="001768DB"/>
    <w:rsid w:val="00180956"/>
    <w:rsid w:val="001818B8"/>
    <w:rsid w:val="00183123"/>
    <w:rsid w:val="00185EC7"/>
    <w:rsid w:val="00186B06"/>
    <w:rsid w:val="001903A3"/>
    <w:rsid w:val="00194060"/>
    <w:rsid w:val="00195785"/>
    <w:rsid w:val="00195ACA"/>
    <w:rsid w:val="001A27FD"/>
    <w:rsid w:val="001A58C5"/>
    <w:rsid w:val="001A734D"/>
    <w:rsid w:val="001A76A6"/>
    <w:rsid w:val="001A7A90"/>
    <w:rsid w:val="001B0AE7"/>
    <w:rsid w:val="001B1600"/>
    <w:rsid w:val="001B19F5"/>
    <w:rsid w:val="001B6E5D"/>
    <w:rsid w:val="001C15E2"/>
    <w:rsid w:val="001C264B"/>
    <w:rsid w:val="001C2BBA"/>
    <w:rsid w:val="001C5B0A"/>
    <w:rsid w:val="001C79A0"/>
    <w:rsid w:val="001D178F"/>
    <w:rsid w:val="001D23DF"/>
    <w:rsid w:val="001D27AD"/>
    <w:rsid w:val="001D67DB"/>
    <w:rsid w:val="001E13E1"/>
    <w:rsid w:val="001E2AAE"/>
    <w:rsid w:val="001E58F0"/>
    <w:rsid w:val="001F1196"/>
    <w:rsid w:val="001F528F"/>
    <w:rsid w:val="001F6750"/>
    <w:rsid w:val="001F69AA"/>
    <w:rsid w:val="00200F06"/>
    <w:rsid w:val="0020182E"/>
    <w:rsid w:val="00202ED1"/>
    <w:rsid w:val="00205318"/>
    <w:rsid w:val="00207685"/>
    <w:rsid w:val="00211C34"/>
    <w:rsid w:val="00212B1D"/>
    <w:rsid w:val="00212B69"/>
    <w:rsid w:val="00213CFE"/>
    <w:rsid w:val="002144A1"/>
    <w:rsid w:val="00223F9F"/>
    <w:rsid w:val="00225611"/>
    <w:rsid w:val="002337F2"/>
    <w:rsid w:val="00236752"/>
    <w:rsid w:val="00240FE6"/>
    <w:rsid w:val="00241A8D"/>
    <w:rsid w:val="00241AFA"/>
    <w:rsid w:val="00242F2D"/>
    <w:rsid w:val="00251CCB"/>
    <w:rsid w:val="0025283F"/>
    <w:rsid w:val="00257DEE"/>
    <w:rsid w:val="00257F8D"/>
    <w:rsid w:val="002613D5"/>
    <w:rsid w:val="00264DFE"/>
    <w:rsid w:val="00266499"/>
    <w:rsid w:val="0027138C"/>
    <w:rsid w:val="00271A02"/>
    <w:rsid w:val="002873C1"/>
    <w:rsid w:val="002917A1"/>
    <w:rsid w:val="00293B97"/>
    <w:rsid w:val="00295DEC"/>
    <w:rsid w:val="00295EFB"/>
    <w:rsid w:val="002965E7"/>
    <w:rsid w:val="00296EFE"/>
    <w:rsid w:val="00297858"/>
    <w:rsid w:val="002A1DA7"/>
    <w:rsid w:val="002A3DB1"/>
    <w:rsid w:val="002A45F4"/>
    <w:rsid w:val="002A502F"/>
    <w:rsid w:val="002A6C52"/>
    <w:rsid w:val="002A7493"/>
    <w:rsid w:val="002A75ED"/>
    <w:rsid w:val="002B39A7"/>
    <w:rsid w:val="002B67E8"/>
    <w:rsid w:val="002B6D30"/>
    <w:rsid w:val="002C3431"/>
    <w:rsid w:val="002C788D"/>
    <w:rsid w:val="002D0BC9"/>
    <w:rsid w:val="002D5200"/>
    <w:rsid w:val="002D5E46"/>
    <w:rsid w:val="002E43AB"/>
    <w:rsid w:val="002E5165"/>
    <w:rsid w:val="002E7BEC"/>
    <w:rsid w:val="002F2777"/>
    <w:rsid w:val="002F295F"/>
    <w:rsid w:val="002F4434"/>
    <w:rsid w:val="002F4C06"/>
    <w:rsid w:val="002F4D41"/>
    <w:rsid w:val="002F50C1"/>
    <w:rsid w:val="002F65EC"/>
    <w:rsid w:val="002F6C98"/>
    <w:rsid w:val="00301869"/>
    <w:rsid w:val="00310446"/>
    <w:rsid w:val="00312F6C"/>
    <w:rsid w:val="0031308F"/>
    <w:rsid w:val="0031373B"/>
    <w:rsid w:val="003157B8"/>
    <w:rsid w:val="003172C0"/>
    <w:rsid w:val="00320284"/>
    <w:rsid w:val="003225D2"/>
    <w:rsid w:val="003236F3"/>
    <w:rsid w:val="00324128"/>
    <w:rsid w:val="003316A2"/>
    <w:rsid w:val="0033511B"/>
    <w:rsid w:val="00335B31"/>
    <w:rsid w:val="00344AAA"/>
    <w:rsid w:val="00344F77"/>
    <w:rsid w:val="003476B4"/>
    <w:rsid w:val="00360840"/>
    <w:rsid w:val="00361E35"/>
    <w:rsid w:val="00362C9B"/>
    <w:rsid w:val="00363FA1"/>
    <w:rsid w:val="003664E9"/>
    <w:rsid w:val="003679A1"/>
    <w:rsid w:val="003702CA"/>
    <w:rsid w:val="00371583"/>
    <w:rsid w:val="00371688"/>
    <w:rsid w:val="003722AA"/>
    <w:rsid w:val="003728F3"/>
    <w:rsid w:val="003742D1"/>
    <w:rsid w:val="0037590E"/>
    <w:rsid w:val="0037784D"/>
    <w:rsid w:val="00377BBA"/>
    <w:rsid w:val="0038011B"/>
    <w:rsid w:val="00381719"/>
    <w:rsid w:val="00383A30"/>
    <w:rsid w:val="00384DCB"/>
    <w:rsid w:val="0038577B"/>
    <w:rsid w:val="00385B15"/>
    <w:rsid w:val="00387343"/>
    <w:rsid w:val="00390694"/>
    <w:rsid w:val="00394877"/>
    <w:rsid w:val="003952E3"/>
    <w:rsid w:val="003A40C3"/>
    <w:rsid w:val="003A4741"/>
    <w:rsid w:val="003B3007"/>
    <w:rsid w:val="003B36D1"/>
    <w:rsid w:val="003B4AF3"/>
    <w:rsid w:val="003B5A7F"/>
    <w:rsid w:val="003C2E96"/>
    <w:rsid w:val="003C4A46"/>
    <w:rsid w:val="003C5366"/>
    <w:rsid w:val="003D0B1F"/>
    <w:rsid w:val="003D4E28"/>
    <w:rsid w:val="003E0008"/>
    <w:rsid w:val="003E1F76"/>
    <w:rsid w:val="003E2653"/>
    <w:rsid w:val="003E5052"/>
    <w:rsid w:val="003E624F"/>
    <w:rsid w:val="003F3583"/>
    <w:rsid w:val="003F3CC1"/>
    <w:rsid w:val="003F5F53"/>
    <w:rsid w:val="003F6E1C"/>
    <w:rsid w:val="004032D6"/>
    <w:rsid w:val="00410FC0"/>
    <w:rsid w:val="00411100"/>
    <w:rsid w:val="00411805"/>
    <w:rsid w:val="004144E9"/>
    <w:rsid w:val="00414CF7"/>
    <w:rsid w:val="00415F5E"/>
    <w:rsid w:val="004171B8"/>
    <w:rsid w:val="00417463"/>
    <w:rsid w:val="0041795B"/>
    <w:rsid w:val="00424570"/>
    <w:rsid w:val="004262C4"/>
    <w:rsid w:val="00430C44"/>
    <w:rsid w:val="00433BE5"/>
    <w:rsid w:val="004404BD"/>
    <w:rsid w:val="00440528"/>
    <w:rsid w:val="00440838"/>
    <w:rsid w:val="00440ABF"/>
    <w:rsid w:val="004416D5"/>
    <w:rsid w:val="00441E43"/>
    <w:rsid w:val="004424CB"/>
    <w:rsid w:val="0044298C"/>
    <w:rsid w:val="004439F2"/>
    <w:rsid w:val="0044493B"/>
    <w:rsid w:val="00447C87"/>
    <w:rsid w:val="004506DC"/>
    <w:rsid w:val="004572F8"/>
    <w:rsid w:val="00457DF7"/>
    <w:rsid w:val="00461735"/>
    <w:rsid w:val="00465425"/>
    <w:rsid w:val="00465F45"/>
    <w:rsid w:val="00466394"/>
    <w:rsid w:val="00467A86"/>
    <w:rsid w:val="004716FD"/>
    <w:rsid w:val="00475FD2"/>
    <w:rsid w:val="004809F1"/>
    <w:rsid w:val="00483C83"/>
    <w:rsid w:val="00487284"/>
    <w:rsid w:val="00496705"/>
    <w:rsid w:val="004975CF"/>
    <w:rsid w:val="004977FF"/>
    <w:rsid w:val="004A14BA"/>
    <w:rsid w:val="004A309B"/>
    <w:rsid w:val="004A3B20"/>
    <w:rsid w:val="004A47E0"/>
    <w:rsid w:val="004A57EE"/>
    <w:rsid w:val="004A587B"/>
    <w:rsid w:val="004A58D6"/>
    <w:rsid w:val="004A5EFA"/>
    <w:rsid w:val="004A76B6"/>
    <w:rsid w:val="004B09B1"/>
    <w:rsid w:val="004B4B84"/>
    <w:rsid w:val="004B70D0"/>
    <w:rsid w:val="004C13AB"/>
    <w:rsid w:val="004C2E5E"/>
    <w:rsid w:val="004C478F"/>
    <w:rsid w:val="004C4D0B"/>
    <w:rsid w:val="004C6301"/>
    <w:rsid w:val="004D0B97"/>
    <w:rsid w:val="004D11BB"/>
    <w:rsid w:val="004D1D51"/>
    <w:rsid w:val="004D3278"/>
    <w:rsid w:val="004D5334"/>
    <w:rsid w:val="004E497A"/>
    <w:rsid w:val="004E6B8A"/>
    <w:rsid w:val="004E7185"/>
    <w:rsid w:val="004F427C"/>
    <w:rsid w:val="004F5DCA"/>
    <w:rsid w:val="004F7DB9"/>
    <w:rsid w:val="00500847"/>
    <w:rsid w:val="00501C59"/>
    <w:rsid w:val="00501E60"/>
    <w:rsid w:val="005036F1"/>
    <w:rsid w:val="0050548C"/>
    <w:rsid w:val="0050572B"/>
    <w:rsid w:val="005129DC"/>
    <w:rsid w:val="00512E73"/>
    <w:rsid w:val="00513B76"/>
    <w:rsid w:val="00514E96"/>
    <w:rsid w:val="005176C9"/>
    <w:rsid w:val="00523B49"/>
    <w:rsid w:val="005256F4"/>
    <w:rsid w:val="00525F88"/>
    <w:rsid w:val="005273A4"/>
    <w:rsid w:val="005302DD"/>
    <w:rsid w:val="00535BC7"/>
    <w:rsid w:val="005377BC"/>
    <w:rsid w:val="005409C8"/>
    <w:rsid w:val="00544440"/>
    <w:rsid w:val="0055158F"/>
    <w:rsid w:val="005517E3"/>
    <w:rsid w:val="00553478"/>
    <w:rsid w:val="00554EC2"/>
    <w:rsid w:val="005553EF"/>
    <w:rsid w:val="00556286"/>
    <w:rsid w:val="00560DB2"/>
    <w:rsid w:val="005627D1"/>
    <w:rsid w:val="00564296"/>
    <w:rsid w:val="005656DD"/>
    <w:rsid w:val="00570CCB"/>
    <w:rsid w:val="005717AF"/>
    <w:rsid w:val="005732BA"/>
    <w:rsid w:val="005743F5"/>
    <w:rsid w:val="005751F1"/>
    <w:rsid w:val="00575A4D"/>
    <w:rsid w:val="005814A1"/>
    <w:rsid w:val="0058372B"/>
    <w:rsid w:val="0058377B"/>
    <w:rsid w:val="005837F4"/>
    <w:rsid w:val="00583DE0"/>
    <w:rsid w:val="005843E5"/>
    <w:rsid w:val="005848C4"/>
    <w:rsid w:val="00591A57"/>
    <w:rsid w:val="00592177"/>
    <w:rsid w:val="005934B2"/>
    <w:rsid w:val="005953EE"/>
    <w:rsid w:val="005955C4"/>
    <w:rsid w:val="005971A9"/>
    <w:rsid w:val="00597942"/>
    <w:rsid w:val="005A083E"/>
    <w:rsid w:val="005A207B"/>
    <w:rsid w:val="005A2EC6"/>
    <w:rsid w:val="005A55CC"/>
    <w:rsid w:val="005A5811"/>
    <w:rsid w:val="005B0028"/>
    <w:rsid w:val="005B18B2"/>
    <w:rsid w:val="005B22B2"/>
    <w:rsid w:val="005B4299"/>
    <w:rsid w:val="005B4B8D"/>
    <w:rsid w:val="005B546C"/>
    <w:rsid w:val="005B5875"/>
    <w:rsid w:val="005C3ACA"/>
    <w:rsid w:val="005C409D"/>
    <w:rsid w:val="005C48C2"/>
    <w:rsid w:val="005C74F0"/>
    <w:rsid w:val="005D0469"/>
    <w:rsid w:val="005D0C10"/>
    <w:rsid w:val="005D24D5"/>
    <w:rsid w:val="005D4068"/>
    <w:rsid w:val="005D581D"/>
    <w:rsid w:val="005D66E1"/>
    <w:rsid w:val="005E3DB0"/>
    <w:rsid w:val="005E4632"/>
    <w:rsid w:val="005E4E18"/>
    <w:rsid w:val="005E4E2D"/>
    <w:rsid w:val="005E7184"/>
    <w:rsid w:val="005F1A7B"/>
    <w:rsid w:val="005F5063"/>
    <w:rsid w:val="005F5A99"/>
    <w:rsid w:val="005F6BAD"/>
    <w:rsid w:val="005F6C41"/>
    <w:rsid w:val="005F72E1"/>
    <w:rsid w:val="00600719"/>
    <w:rsid w:val="00600900"/>
    <w:rsid w:val="00601B10"/>
    <w:rsid w:val="006024CD"/>
    <w:rsid w:val="00602AF7"/>
    <w:rsid w:val="00602FEB"/>
    <w:rsid w:val="00604CED"/>
    <w:rsid w:val="0060513E"/>
    <w:rsid w:val="006075AA"/>
    <w:rsid w:val="006140F4"/>
    <w:rsid w:val="00616A8F"/>
    <w:rsid w:val="00617EC8"/>
    <w:rsid w:val="00620BAE"/>
    <w:rsid w:val="00621BE6"/>
    <w:rsid w:val="006220DB"/>
    <w:rsid w:val="006239F9"/>
    <w:rsid w:val="006241D1"/>
    <w:rsid w:val="00624340"/>
    <w:rsid w:val="006263E5"/>
    <w:rsid w:val="0063201A"/>
    <w:rsid w:val="00634330"/>
    <w:rsid w:val="006402C4"/>
    <w:rsid w:val="006427A9"/>
    <w:rsid w:val="006431C1"/>
    <w:rsid w:val="00643A86"/>
    <w:rsid w:val="00644643"/>
    <w:rsid w:val="00644A86"/>
    <w:rsid w:val="006455A5"/>
    <w:rsid w:val="00645A03"/>
    <w:rsid w:val="006461E8"/>
    <w:rsid w:val="00646962"/>
    <w:rsid w:val="00647663"/>
    <w:rsid w:val="0065521E"/>
    <w:rsid w:val="00662136"/>
    <w:rsid w:val="00663386"/>
    <w:rsid w:val="00666109"/>
    <w:rsid w:val="006677C6"/>
    <w:rsid w:val="00671667"/>
    <w:rsid w:val="006725E4"/>
    <w:rsid w:val="00674153"/>
    <w:rsid w:val="00677F19"/>
    <w:rsid w:val="006812D9"/>
    <w:rsid w:val="00682FE6"/>
    <w:rsid w:val="006848A4"/>
    <w:rsid w:val="00684CCD"/>
    <w:rsid w:val="00690912"/>
    <w:rsid w:val="00691FEC"/>
    <w:rsid w:val="00693045"/>
    <w:rsid w:val="00694840"/>
    <w:rsid w:val="006A1901"/>
    <w:rsid w:val="006A1C72"/>
    <w:rsid w:val="006A1E8E"/>
    <w:rsid w:val="006A2CFD"/>
    <w:rsid w:val="006A3E34"/>
    <w:rsid w:val="006A55F5"/>
    <w:rsid w:val="006A5D70"/>
    <w:rsid w:val="006A7073"/>
    <w:rsid w:val="006A7561"/>
    <w:rsid w:val="006B0EBC"/>
    <w:rsid w:val="006B108B"/>
    <w:rsid w:val="006B120D"/>
    <w:rsid w:val="006B13B9"/>
    <w:rsid w:val="006B2581"/>
    <w:rsid w:val="006B2981"/>
    <w:rsid w:val="006B482F"/>
    <w:rsid w:val="006B4AEA"/>
    <w:rsid w:val="006B5CD2"/>
    <w:rsid w:val="006B7520"/>
    <w:rsid w:val="006C2308"/>
    <w:rsid w:val="006C3410"/>
    <w:rsid w:val="006C3AE6"/>
    <w:rsid w:val="006C3CE3"/>
    <w:rsid w:val="006D10C5"/>
    <w:rsid w:val="006D1797"/>
    <w:rsid w:val="006D1A91"/>
    <w:rsid w:val="006D37AF"/>
    <w:rsid w:val="006D3B1F"/>
    <w:rsid w:val="006D5A4F"/>
    <w:rsid w:val="006D5CA5"/>
    <w:rsid w:val="006E124B"/>
    <w:rsid w:val="006E2EF7"/>
    <w:rsid w:val="006E51F3"/>
    <w:rsid w:val="006F1030"/>
    <w:rsid w:val="006F183B"/>
    <w:rsid w:val="007000D9"/>
    <w:rsid w:val="0071405A"/>
    <w:rsid w:val="00714BA0"/>
    <w:rsid w:val="00716377"/>
    <w:rsid w:val="007206DF"/>
    <w:rsid w:val="00722275"/>
    <w:rsid w:val="007224BB"/>
    <w:rsid w:val="007229BF"/>
    <w:rsid w:val="00727D2B"/>
    <w:rsid w:val="00730C51"/>
    <w:rsid w:val="0073209F"/>
    <w:rsid w:val="007364B5"/>
    <w:rsid w:val="00736570"/>
    <w:rsid w:val="007459D9"/>
    <w:rsid w:val="00747701"/>
    <w:rsid w:val="00747E3D"/>
    <w:rsid w:val="00750417"/>
    <w:rsid w:val="00751798"/>
    <w:rsid w:val="00756096"/>
    <w:rsid w:val="007568C4"/>
    <w:rsid w:val="00757C78"/>
    <w:rsid w:val="00761059"/>
    <w:rsid w:val="007617AB"/>
    <w:rsid w:val="007629D3"/>
    <w:rsid w:val="0076338B"/>
    <w:rsid w:val="00765BDC"/>
    <w:rsid w:val="00765DC1"/>
    <w:rsid w:val="0076606A"/>
    <w:rsid w:val="00770EE2"/>
    <w:rsid w:val="00773979"/>
    <w:rsid w:val="00774EFC"/>
    <w:rsid w:val="00774F53"/>
    <w:rsid w:val="00775BBD"/>
    <w:rsid w:val="00776400"/>
    <w:rsid w:val="00777B29"/>
    <w:rsid w:val="007802FA"/>
    <w:rsid w:val="0078547D"/>
    <w:rsid w:val="00791796"/>
    <w:rsid w:val="00794616"/>
    <w:rsid w:val="007947AC"/>
    <w:rsid w:val="0079517D"/>
    <w:rsid w:val="00796C27"/>
    <w:rsid w:val="00797076"/>
    <w:rsid w:val="007A11AD"/>
    <w:rsid w:val="007A126D"/>
    <w:rsid w:val="007A2851"/>
    <w:rsid w:val="007A3DBF"/>
    <w:rsid w:val="007A4B62"/>
    <w:rsid w:val="007A59AF"/>
    <w:rsid w:val="007A59F8"/>
    <w:rsid w:val="007A5ABD"/>
    <w:rsid w:val="007B23FC"/>
    <w:rsid w:val="007B29E6"/>
    <w:rsid w:val="007B2F07"/>
    <w:rsid w:val="007B396A"/>
    <w:rsid w:val="007B4AAC"/>
    <w:rsid w:val="007B4AB1"/>
    <w:rsid w:val="007B654C"/>
    <w:rsid w:val="007C1743"/>
    <w:rsid w:val="007C24F6"/>
    <w:rsid w:val="007C2ABC"/>
    <w:rsid w:val="007C3DB3"/>
    <w:rsid w:val="007C5EEE"/>
    <w:rsid w:val="007C6B48"/>
    <w:rsid w:val="007C6F5A"/>
    <w:rsid w:val="007D0D84"/>
    <w:rsid w:val="007D2898"/>
    <w:rsid w:val="007D4AAA"/>
    <w:rsid w:val="007E09D6"/>
    <w:rsid w:val="007E2E07"/>
    <w:rsid w:val="007E3B38"/>
    <w:rsid w:val="007E4A60"/>
    <w:rsid w:val="007E56AC"/>
    <w:rsid w:val="007F1088"/>
    <w:rsid w:val="007F272D"/>
    <w:rsid w:val="007F5BC0"/>
    <w:rsid w:val="00802704"/>
    <w:rsid w:val="0080385C"/>
    <w:rsid w:val="00803F2C"/>
    <w:rsid w:val="008047DE"/>
    <w:rsid w:val="00805455"/>
    <w:rsid w:val="0081047B"/>
    <w:rsid w:val="00811047"/>
    <w:rsid w:val="00812CC0"/>
    <w:rsid w:val="008224EB"/>
    <w:rsid w:val="00822B3A"/>
    <w:rsid w:val="00824B6D"/>
    <w:rsid w:val="0082581B"/>
    <w:rsid w:val="008300D1"/>
    <w:rsid w:val="00836AB7"/>
    <w:rsid w:val="00845590"/>
    <w:rsid w:val="00847190"/>
    <w:rsid w:val="00850AF8"/>
    <w:rsid w:val="008517BD"/>
    <w:rsid w:val="00852135"/>
    <w:rsid w:val="00855B3D"/>
    <w:rsid w:val="00855FE7"/>
    <w:rsid w:val="008575C1"/>
    <w:rsid w:val="00857FCD"/>
    <w:rsid w:val="00860116"/>
    <w:rsid w:val="00861776"/>
    <w:rsid w:val="008633FA"/>
    <w:rsid w:val="008636E1"/>
    <w:rsid w:val="00863D65"/>
    <w:rsid w:val="00864C19"/>
    <w:rsid w:val="008655C0"/>
    <w:rsid w:val="0086773D"/>
    <w:rsid w:val="008727CD"/>
    <w:rsid w:val="00873719"/>
    <w:rsid w:val="00880971"/>
    <w:rsid w:val="00882B6D"/>
    <w:rsid w:val="0088329F"/>
    <w:rsid w:val="00885EC9"/>
    <w:rsid w:val="0089683A"/>
    <w:rsid w:val="008A0E93"/>
    <w:rsid w:val="008A29E7"/>
    <w:rsid w:val="008A3669"/>
    <w:rsid w:val="008A607A"/>
    <w:rsid w:val="008A641D"/>
    <w:rsid w:val="008A7CD2"/>
    <w:rsid w:val="008B0C6B"/>
    <w:rsid w:val="008B35F0"/>
    <w:rsid w:val="008B4F24"/>
    <w:rsid w:val="008B6CC8"/>
    <w:rsid w:val="008B7656"/>
    <w:rsid w:val="008C0545"/>
    <w:rsid w:val="008C0669"/>
    <w:rsid w:val="008C1264"/>
    <w:rsid w:val="008C1629"/>
    <w:rsid w:val="008C50E8"/>
    <w:rsid w:val="008C7D87"/>
    <w:rsid w:val="008D107D"/>
    <w:rsid w:val="008D30F9"/>
    <w:rsid w:val="008D3752"/>
    <w:rsid w:val="008D3818"/>
    <w:rsid w:val="008D427A"/>
    <w:rsid w:val="008D53B2"/>
    <w:rsid w:val="008D5AFA"/>
    <w:rsid w:val="008E2682"/>
    <w:rsid w:val="008E6064"/>
    <w:rsid w:val="008F2D73"/>
    <w:rsid w:val="008F41AD"/>
    <w:rsid w:val="00904DC6"/>
    <w:rsid w:val="00905379"/>
    <w:rsid w:val="00907E1F"/>
    <w:rsid w:val="009112A2"/>
    <w:rsid w:val="00912169"/>
    <w:rsid w:val="00913415"/>
    <w:rsid w:val="00913703"/>
    <w:rsid w:val="00914363"/>
    <w:rsid w:val="00915D2F"/>
    <w:rsid w:val="0092037A"/>
    <w:rsid w:val="00920424"/>
    <w:rsid w:val="00923C39"/>
    <w:rsid w:val="009246AD"/>
    <w:rsid w:val="00924808"/>
    <w:rsid w:val="009312A5"/>
    <w:rsid w:val="00933FD5"/>
    <w:rsid w:val="00934C07"/>
    <w:rsid w:val="00936F6B"/>
    <w:rsid w:val="0094159D"/>
    <w:rsid w:val="00951294"/>
    <w:rsid w:val="0095377C"/>
    <w:rsid w:val="009538D0"/>
    <w:rsid w:val="00954266"/>
    <w:rsid w:val="00954F49"/>
    <w:rsid w:val="00961945"/>
    <w:rsid w:val="00962409"/>
    <w:rsid w:val="00963B03"/>
    <w:rsid w:val="009669BD"/>
    <w:rsid w:val="009716AC"/>
    <w:rsid w:val="009743D0"/>
    <w:rsid w:val="009833AE"/>
    <w:rsid w:val="00985C47"/>
    <w:rsid w:val="00986A0F"/>
    <w:rsid w:val="00993308"/>
    <w:rsid w:val="00993F8F"/>
    <w:rsid w:val="0099402F"/>
    <w:rsid w:val="00994416"/>
    <w:rsid w:val="00994502"/>
    <w:rsid w:val="009946BC"/>
    <w:rsid w:val="009955F5"/>
    <w:rsid w:val="009A0BB5"/>
    <w:rsid w:val="009A1FD8"/>
    <w:rsid w:val="009A3286"/>
    <w:rsid w:val="009A41F6"/>
    <w:rsid w:val="009A4254"/>
    <w:rsid w:val="009A6FE1"/>
    <w:rsid w:val="009B229B"/>
    <w:rsid w:val="009B41B5"/>
    <w:rsid w:val="009B7926"/>
    <w:rsid w:val="009C38EF"/>
    <w:rsid w:val="009C4455"/>
    <w:rsid w:val="009C4A3A"/>
    <w:rsid w:val="009C5827"/>
    <w:rsid w:val="009C5B55"/>
    <w:rsid w:val="009C6AFD"/>
    <w:rsid w:val="009C6D4F"/>
    <w:rsid w:val="009C7F3B"/>
    <w:rsid w:val="009D4385"/>
    <w:rsid w:val="009D5402"/>
    <w:rsid w:val="009D5538"/>
    <w:rsid w:val="009E3BFA"/>
    <w:rsid w:val="009E4D80"/>
    <w:rsid w:val="009E5835"/>
    <w:rsid w:val="009E5EE8"/>
    <w:rsid w:val="009E5F93"/>
    <w:rsid w:val="009E6264"/>
    <w:rsid w:val="009E6941"/>
    <w:rsid w:val="009E73BC"/>
    <w:rsid w:val="009F2583"/>
    <w:rsid w:val="009F2737"/>
    <w:rsid w:val="009F2929"/>
    <w:rsid w:val="009F2AD9"/>
    <w:rsid w:val="009F2E7E"/>
    <w:rsid w:val="009F300D"/>
    <w:rsid w:val="009F7084"/>
    <w:rsid w:val="00A02D62"/>
    <w:rsid w:val="00A0432E"/>
    <w:rsid w:val="00A04F70"/>
    <w:rsid w:val="00A05425"/>
    <w:rsid w:val="00A05CD9"/>
    <w:rsid w:val="00A06108"/>
    <w:rsid w:val="00A06966"/>
    <w:rsid w:val="00A07F66"/>
    <w:rsid w:val="00A159B4"/>
    <w:rsid w:val="00A17824"/>
    <w:rsid w:val="00A20EB5"/>
    <w:rsid w:val="00A236FB"/>
    <w:rsid w:val="00A25AB1"/>
    <w:rsid w:val="00A26890"/>
    <w:rsid w:val="00A27C72"/>
    <w:rsid w:val="00A33377"/>
    <w:rsid w:val="00A35969"/>
    <w:rsid w:val="00A36370"/>
    <w:rsid w:val="00A3772C"/>
    <w:rsid w:val="00A41013"/>
    <w:rsid w:val="00A470C7"/>
    <w:rsid w:val="00A47627"/>
    <w:rsid w:val="00A521E9"/>
    <w:rsid w:val="00A5244B"/>
    <w:rsid w:val="00A54AA1"/>
    <w:rsid w:val="00A55295"/>
    <w:rsid w:val="00A55B95"/>
    <w:rsid w:val="00A6032C"/>
    <w:rsid w:val="00A64EF0"/>
    <w:rsid w:val="00A735D7"/>
    <w:rsid w:val="00A74561"/>
    <w:rsid w:val="00A74D58"/>
    <w:rsid w:val="00A764EF"/>
    <w:rsid w:val="00A768B3"/>
    <w:rsid w:val="00A76AEB"/>
    <w:rsid w:val="00A77949"/>
    <w:rsid w:val="00A801E4"/>
    <w:rsid w:val="00A801E7"/>
    <w:rsid w:val="00A80306"/>
    <w:rsid w:val="00A83818"/>
    <w:rsid w:val="00A85971"/>
    <w:rsid w:val="00A9145C"/>
    <w:rsid w:val="00A92467"/>
    <w:rsid w:val="00A95662"/>
    <w:rsid w:val="00AA2986"/>
    <w:rsid w:val="00AA4BAA"/>
    <w:rsid w:val="00AA5B90"/>
    <w:rsid w:val="00AA6044"/>
    <w:rsid w:val="00AB273C"/>
    <w:rsid w:val="00AB2A5C"/>
    <w:rsid w:val="00AB2D36"/>
    <w:rsid w:val="00AB34C5"/>
    <w:rsid w:val="00AC1930"/>
    <w:rsid w:val="00AC3DAD"/>
    <w:rsid w:val="00AC41BB"/>
    <w:rsid w:val="00AC5070"/>
    <w:rsid w:val="00AD0995"/>
    <w:rsid w:val="00AD187A"/>
    <w:rsid w:val="00AD3FD1"/>
    <w:rsid w:val="00AD460A"/>
    <w:rsid w:val="00AD4958"/>
    <w:rsid w:val="00AE4A7C"/>
    <w:rsid w:val="00AE5665"/>
    <w:rsid w:val="00AE59ED"/>
    <w:rsid w:val="00AE6330"/>
    <w:rsid w:val="00AF1517"/>
    <w:rsid w:val="00AF24ED"/>
    <w:rsid w:val="00AF2570"/>
    <w:rsid w:val="00AF323B"/>
    <w:rsid w:val="00AF4F6D"/>
    <w:rsid w:val="00AF7AC7"/>
    <w:rsid w:val="00AF7F6A"/>
    <w:rsid w:val="00B01764"/>
    <w:rsid w:val="00B017FB"/>
    <w:rsid w:val="00B02DC9"/>
    <w:rsid w:val="00B04125"/>
    <w:rsid w:val="00B05A88"/>
    <w:rsid w:val="00B06791"/>
    <w:rsid w:val="00B1120A"/>
    <w:rsid w:val="00B11D50"/>
    <w:rsid w:val="00B16C4E"/>
    <w:rsid w:val="00B247E2"/>
    <w:rsid w:val="00B30057"/>
    <w:rsid w:val="00B34167"/>
    <w:rsid w:val="00B34B90"/>
    <w:rsid w:val="00B35050"/>
    <w:rsid w:val="00B409CC"/>
    <w:rsid w:val="00B41FDC"/>
    <w:rsid w:val="00B42968"/>
    <w:rsid w:val="00B45CF8"/>
    <w:rsid w:val="00B4621D"/>
    <w:rsid w:val="00B506CB"/>
    <w:rsid w:val="00B50B81"/>
    <w:rsid w:val="00B51F94"/>
    <w:rsid w:val="00B60C4A"/>
    <w:rsid w:val="00B6594B"/>
    <w:rsid w:val="00B66A4F"/>
    <w:rsid w:val="00B66AE0"/>
    <w:rsid w:val="00B674DB"/>
    <w:rsid w:val="00B70252"/>
    <w:rsid w:val="00B722B1"/>
    <w:rsid w:val="00B73B80"/>
    <w:rsid w:val="00B7618D"/>
    <w:rsid w:val="00B76BFE"/>
    <w:rsid w:val="00B808D5"/>
    <w:rsid w:val="00B85CF4"/>
    <w:rsid w:val="00B86612"/>
    <w:rsid w:val="00B875C9"/>
    <w:rsid w:val="00B90858"/>
    <w:rsid w:val="00B91976"/>
    <w:rsid w:val="00B93534"/>
    <w:rsid w:val="00B936CC"/>
    <w:rsid w:val="00B9764C"/>
    <w:rsid w:val="00BA396E"/>
    <w:rsid w:val="00BA4127"/>
    <w:rsid w:val="00BA6D35"/>
    <w:rsid w:val="00BA73C0"/>
    <w:rsid w:val="00BA7705"/>
    <w:rsid w:val="00BA7A4B"/>
    <w:rsid w:val="00BB0278"/>
    <w:rsid w:val="00BB28DF"/>
    <w:rsid w:val="00BB3591"/>
    <w:rsid w:val="00BB3B98"/>
    <w:rsid w:val="00BB3E7B"/>
    <w:rsid w:val="00BB5661"/>
    <w:rsid w:val="00BB741F"/>
    <w:rsid w:val="00BC4F90"/>
    <w:rsid w:val="00BC575F"/>
    <w:rsid w:val="00BC5DEC"/>
    <w:rsid w:val="00BC6C99"/>
    <w:rsid w:val="00BD0710"/>
    <w:rsid w:val="00BD0A29"/>
    <w:rsid w:val="00BD10E6"/>
    <w:rsid w:val="00BD2C44"/>
    <w:rsid w:val="00BD76CA"/>
    <w:rsid w:val="00BE1C8F"/>
    <w:rsid w:val="00BE3221"/>
    <w:rsid w:val="00BE493C"/>
    <w:rsid w:val="00BF0A36"/>
    <w:rsid w:val="00C001CC"/>
    <w:rsid w:val="00C0087F"/>
    <w:rsid w:val="00C00F2E"/>
    <w:rsid w:val="00C04355"/>
    <w:rsid w:val="00C07586"/>
    <w:rsid w:val="00C1055F"/>
    <w:rsid w:val="00C10EE0"/>
    <w:rsid w:val="00C11456"/>
    <w:rsid w:val="00C11812"/>
    <w:rsid w:val="00C12556"/>
    <w:rsid w:val="00C14461"/>
    <w:rsid w:val="00C154D0"/>
    <w:rsid w:val="00C15B77"/>
    <w:rsid w:val="00C2183F"/>
    <w:rsid w:val="00C268A6"/>
    <w:rsid w:val="00C303B7"/>
    <w:rsid w:val="00C30DBA"/>
    <w:rsid w:val="00C3259D"/>
    <w:rsid w:val="00C32BBA"/>
    <w:rsid w:val="00C35808"/>
    <w:rsid w:val="00C4486E"/>
    <w:rsid w:val="00C53A0A"/>
    <w:rsid w:val="00C553E8"/>
    <w:rsid w:val="00C611F0"/>
    <w:rsid w:val="00C6170A"/>
    <w:rsid w:val="00C6509E"/>
    <w:rsid w:val="00C65DBA"/>
    <w:rsid w:val="00C71185"/>
    <w:rsid w:val="00C72636"/>
    <w:rsid w:val="00C8078D"/>
    <w:rsid w:val="00C80D06"/>
    <w:rsid w:val="00C82889"/>
    <w:rsid w:val="00C84FC7"/>
    <w:rsid w:val="00C86EAD"/>
    <w:rsid w:val="00C95825"/>
    <w:rsid w:val="00CA2392"/>
    <w:rsid w:val="00CA7DFD"/>
    <w:rsid w:val="00CB0EAD"/>
    <w:rsid w:val="00CB2CFD"/>
    <w:rsid w:val="00CB5A1B"/>
    <w:rsid w:val="00CB6FFB"/>
    <w:rsid w:val="00CB73A4"/>
    <w:rsid w:val="00CC2CA0"/>
    <w:rsid w:val="00CC4CB2"/>
    <w:rsid w:val="00CC5654"/>
    <w:rsid w:val="00CC5D2D"/>
    <w:rsid w:val="00CC64D0"/>
    <w:rsid w:val="00CD317E"/>
    <w:rsid w:val="00CD4A55"/>
    <w:rsid w:val="00CD5008"/>
    <w:rsid w:val="00CE21C7"/>
    <w:rsid w:val="00CE2947"/>
    <w:rsid w:val="00CE461D"/>
    <w:rsid w:val="00CF5EA8"/>
    <w:rsid w:val="00D01329"/>
    <w:rsid w:val="00D0132B"/>
    <w:rsid w:val="00D062C4"/>
    <w:rsid w:val="00D12052"/>
    <w:rsid w:val="00D127C3"/>
    <w:rsid w:val="00D1503C"/>
    <w:rsid w:val="00D20B46"/>
    <w:rsid w:val="00D2221D"/>
    <w:rsid w:val="00D23C62"/>
    <w:rsid w:val="00D31613"/>
    <w:rsid w:val="00D318E5"/>
    <w:rsid w:val="00D320B6"/>
    <w:rsid w:val="00D324AF"/>
    <w:rsid w:val="00D32E24"/>
    <w:rsid w:val="00D3414F"/>
    <w:rsid w:val="00D34FE8"/>
    <w:rsid w:val="00D36666"/>
    <w:rsid w:val="00D36FD4"/>
    <w:rsid w:val="00D40DA2"/>
    <w:rsid w:val="00D435F7"/>
    <w:rsid w:val="00D55B0E"/>
    <w:rsid w:val="00D610A7"/>
    <w:rsid w:val="00D61602"/>
    <w:rsid w:val="00D6241B"/>
    <w:rsid w:val="00D6342C"/>
    <w:rsid w:val="00D643B6"/>
    <w:rsid w:val="00D70060"/>
    <w:rsid w:val="00D75368"/>
    <w:rsid w:val="00D76FE0"/>
    <w:rsid w:val="00D81D7C"/>
    <w:rsid w:val="00D82A0E"/>
    <w:rsid w:val="00D85429"/>
    <w:rsid w:val="00D85B53"/>
    <w:rsid w:val="00D86F77"/>
    <w:rsid w:val="00D90BCB"/>
    <w:rsid w:val="00D93E5B"/>
    <w:rsid w:val="00D945A0"/>
    <w:rsid w:val="00D96E4C"/>
    <w:rsid w:val="00DA0B1F"/>
    <w:rsid w:val="00DA0C6D"/>
    <w:rsid w:val="00DA101A"/>
    <w:rsid w:val="00DA12F0"/>
    <w:rsid w:val="00DA1FB2"/>
    <w:rsid w:val="00DA2F91"/>
    <w:rsid w:val="00DA3001"/>
    <w:rsid w:val="00DA62FA"/>
    <w:rsid w:val="00DA688D"/>
    <w:rsid w:val="00DB0287"/>
    <w:rsid w:val="00DB05C6"/>
    <w:rsid w:val="00DB21B0"/>
    <w:rsid w:val="00DB3249"/>
    <w:rsid w:val="00DB5099"/>
    <w:rsid w:val="00DB63C6"/>
    <w:rsid w:val="00DB6890"/>
    <w:rsid w:val="00DB6B05"/>
    <w:rsid w:val="00DC12C3"/>
    <w:rsid w:val="00DC2411"/>
    <w:rsid w:val="00DC2E8A"/>
    <w:rsid w:val="00DC3299"/>
    <w:rsid w:val="00DC3509"/>
    <w:rsid w:val="00DD0B47"/>
    <w:rsid w:val="00DD3224"/>
    <w:rsid w:val="00DD4FAE"/>
    <w:rsid w:val="00DD52F7"/>
    <w:rsid w:val="00DD6884"/>
    <w:rsid w:val="00DD6DBB"/>
    <w:rsid w:val="00DE3E4D"/>
    <w:rsid w:val="00DE71CF"/>
    <w:rsid w:val="00DF1203"/>
    <w:rsid w:val="00DF5EBF"/>
    <w:rsid w:val="00DF79AF"/>
    <w:rsid w:val="00E02A9C"/>
    <w:rsid w:val="00E03D23"/>
    <w:rsid w:val="00E06950"/>
    <w:rsid w:val="00E074F2"/>
    <w:rsid w:val="00E10364"/>
    <w:rsid w:val="00E13E60"/>
    <w:rsid w:val="00E155DF"/>
    <w:rsid w:val="00E16613"/>
    <w:rsid w:val="00E22B04"/>
    <w:rsid w:val="00E25B3D"/>
    <w:rsid w:val="00E25B7B"/>
    <w:rsid w:val="00E30E15"/>
    <w:rsid w:val="00E32635"/>
    <w:rsid w:val="00E33443"/>
    <w:rsid w:val="00E33649"/>
    <w:rsid w:val="00E375D4"/>
    <w:rsid w:val="00E42143"/>
    <w:rsid w:val="00E45412"/>
    <w:rsid w:val="00E47944"/>
    <w:rsid w:val="00E501F7"/>
    <w:rsid w:val="00E5079D"/>
    <w:rsid w:val="00E52559"/>
    <w:rsid w:val="00E55780"/>
    <w:rsid w:val="00E5584F"/>
    <w:rsid w:val="00E55B17"/>
    <w:rsid w:val="00E56E62"/>
    <w:rsid w:val="00E57822"/>
    <w:rsid w:val="00E609D1"/>
    <w:rsid w:val="00E63225"/>
    <w:rsid w:val="00E63F53"/>
    <w:rsid w:val="00E65F6F"/>
    <w:rsid w:val="00E672E0"/>
    <w:rsid w:val="00E678B2"/>
    <w:rsid w:val="00E731DF"/>
    <w:rsid w:val="00E76C91"/>
    <w:rsid w:val="00E76CEB"/>
    <w:rsid w:val="00E80501"/>
    <w:rsid w:val="00E847B8"/>
    <w:rsid w:val="00E875EE"/>
    <w:rsid w:val="00E87D66"/>
    <w:rsid w:val="00E87E67"/>
    <w:rsid w:val="00E90765"/>
    <w:rsid w:val="00E9086A"/>
    <w:rsid w:val="00E91482"/>
    <w:rsid w:val="00E9503B"/>
    <w:rsid w:val="00E96302"/>
    <w:rsid w:val="00E97A88"/>
    <w:rsid w:val="00EA18E0"/>
    <w:rsid w:val="00EA6BB4"/>
    <w:rsid w:val="00EB4121"/>
    <w:rsid w:val="00EB4165"/>
    <w:rsid w:val="00EB4B8E"/>
    <w:rsid w:val="00EC716C"/>
    <w:rsid w:val="00EC7769"/>
    <w:rsid w:val="00ED214C"/>
    <w:rsid w:val="00EE5146"/>
    <w:rsid w:val="00EE559E"/>
    <w:rsid w:val="00EE58DD"/>
    <w:rsid w:val="00EE6D59"/>
    <w:rsid w:val="00EF05E2"/>
    <w:rsid w:val="00EF4FA6"/>
    <w:rsid w:val="00EF569C"/>
    <w:rsid w:val="00EF6B2A"/>
    <w:rsid w:val="00EF6DCF"/>
    <w:rsid w:val="00EF73DB"/>
    <w:rsid w:val="00F01668"/>
    <w:rsid w:val="00F02D2C"/>
    <w:rsid w:val="00F04AA8"/>
    <w:rsid w:val="00F05E28"/>
    <w:rsid w:val="00F06170"/>
    <w:rsid w:val="00F10905"/>
    <w:rsid w:val="00F1181E"/>
    <w:rsid w:val="00F134F5"/>
    <w:rsid w:val="00F14850"/>
    <w:rsid w:val="00F22F87"/>
    <w:rsid w:val="00F23822"/>
    <w:rsid w:val="00F266E2"/>
    <w:rsid w:val="00F3038C"/>
    <w:rsid w:val="00F40861"/>
    <w:rsid w:val="00F44B01"/>
    <w:rsid w:val="00F4540E"/>
    <w:rsid w:val="00F47B85"/>
    <w:rsid w:val="00F501DD"/>
    <w:rsid w:val="00F54BDD"/>
    <w:rsid w:val="00F5505F"/>
    <w:rsid w:val="00F55E7F"/>
    <w:rsid w:val="00F5645C"/>
    <w:rsid w:val="00F6061D"/>
    <w:rsid w:val="00F635F3"/>
    <w:rsid w:val="00F63A77"/>
    <w:rsid w:val="00F64A2F"/>
    <w:rsid w:val="00F650DB"/>
    <w:rsid w:val="00F70060"/>
    <w:rsid w:val="00F73796"/>
    <w:rsid w:val="00F85221"/>
    <w:rsid w:val="00F90519"/>
    <w:rsid w:val="00F952B5"/>
    <w:rsid w:val="00FA0D66"/>
    <w:rsid w:val="00FA2A41"/>
    <w:rsid w:val="00FA5CFD"/>
    <w:rsid w:val="00FA63E9"/>
    <w:rsid w:val="00FB0F37"/>
    <w:rsid w:val="00FB26C5"/>
    <w:rsid w:val="00FB7F59"/>
    <w:rsid w:val="00FC01A2"/>
    <w:rsid w:val="00FC0E57"/>
    <w:rsid w:val="00FC1733"/>
    <w:rsid w:val="00FC29EB"/>
    <w:rsid w:val="00FC6E11"/>
    <w:rsid w:val="00FD3F65"/>
    <w:rsid w:val="00FD65A3"/>
    <w:rsid w:val="00FD6692"/>
    <w:rsid w:val="00FE1125"/>
    <w:rsid w:val="00FE33EF"/>
    <w:rsid w:val="00FE6219"/>
    <w:rsid w:val="00FF0956"/>
    <w:rsid w:val="00FF0BCF"/>
    <w:rsid w:val="00FF12EA"/>
    <w:rsid w:val="00FF1EAD"/>
    <w:rsid w:val="00FF1FDE"/>
    <w:rsid w:val="00FF260D"/>
    <w:rsid w:val="00FF2B89"/>
    <w:rsid w:val="00FF2D4B"/>
    <w:rsid w:val="00FF4991"/>
    <w:rsid w:val="00FF5DCF"/>
    <w:rsid w:val="00FF6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CE6BDB"/>
  <w15:docId w15:val="{0ABFB161-8C0F-40A8-A416-63C3590C7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paragraph" w:styleId="Heading5">
    <w:name w:val="heading 5"/>
    <w:basedOn w:val="Normal"/>
    <w:link w:val="Heading5Char"/>
    <w:uiPriority w:val="1"/>
    <w:qFormat/>
    <w:rsid w:val="006263E5"/>
    <w:pPr>
      <w:widowControl w:val="0"/>
      <w:spacing w:after="0"/>
      <w:ind w:left="930"/>
      <w:jc w:val="left"/>
      <w:outlineLvl w:val="4"/>
    </w:pPr>
    <w:rPr>
      <w:rFonts w:ascii="Times New Roman" w:hAnsi="Times New Roman"/>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customStyle="1" w:styleId="Heading5Char">
    <w:name w:val="Heading 5 Char"/>
    <w:basedOn w:val="DefaultParagraphFont"/>
    <w:link w:val="Heading5"/>
    <w:uiPriority w:val="1"/>
    <w:rsid w:val="006263E5"/>
    <w:rPr>
      <w:rFonts w:ascii="Times New Roman" w:hAnsi="Times New Roman"/>
      <w:sz w:val="19"/>
      <w:szCs w:val="19"/>
    </w:rPr>
  </w:style>
  <w:style w:type="character" w:styleId="CommentReference">
    <w:name w:val="annotation reference"/>
    <w:basedOn w:val="DefaultParagraphFont"/>
    <w:uiPriority w:val="99"/>
    <w:semiHidden/>
    <w:unhideWhenUsed/>
    <w:rsid w:val="004439F2"/>
    <w:rPr>
      <w:sz w:val="16"/>
      <w:szCs w:val="16"/>
    </w:rPr>
  </w:style>
  <w:style w:type="paragraph" w:styleId="CommentText">
    <w:name w:val="annotation text"/>
    <w:basedOn w:val="Normal"/>
    <w:link w:val="CommentTextChar"/>
    <w:uiPriority w:val="99"/>
    <w:semiHidden/>
    <w:unhideWhenUsed/>
    <w:rsid w:val="004439F2"/>
    <w:rPr>
      <w:sz w:val="20"/>
    </w:rPr>
  </w:style>
  <w:style w:type="character" w:customStyle="1" w:styleId="CommentTextChar">
    <w:name w:val="Comment Text Char"/>
    <w:basedOn w:val="DefaultParagraphFont"/>
    <w:link w:val="CommentText"/>
    <w:uiPriority w:val="99"/>
    <w:semiHidden/>
    <w:rsid w:val="004439F2"/>
    <w:rPr>
      <w:rFonts w:ascii="Times" w:hAnsi="Times"/>
    </w:rPr>
  </w:style>
  <w:style w:type="paragraph" w:styleId="CommentSubject">
    <w:name w:val="annotation subject"/>
    <w:basedOn w:val="CommentText"/>
    <w:next w:val="CommentText"/>
    <w:link w:val="CommentSubjectChar"/>
    <w:semiHidden/>
    <w:unhideWhenUsed/>
    <w:rsid w:val="004439F2"/>
    <w:rPr>
      <w:b/>
      <w:bCs/>
    </w:rPr>
  </w:style>
  <w:style w:type="character" w:customStyle="1" w:styleId="CommentSubjectChar">
    <w:name w:val="Comment Subject Char"/>
    <w:basedOn w:val="CommentTextChar"/>
    <w:link w:val="CommentSubject"/>
    <w:semiHidden/>
    <w:rsid w:val="004439F2"/>
    <w:rPr>
      <w:rFonts w:ascii="Times" w:hAnsi="Times"/>
      <w:b/>
      <w:bCs/>
    </w:rPr>
  </w:style>
  <w:style w:type="paragraph" w:styleId="Bibliography">
    <w:name w:val="Bibliography"/>
    <w:basedOn w:val="Normal"/>
    <w:next w:val="Normal"/>
    <w:uiPriority w:val="37"/>
    <w:unhideWhenUsed/>
    <w:rsid w:val="000B485E"/>
    <w:pPr>
      <w:tabs>
        <w:tab w:val="left" w:pos="264"/>
      </w:tabs>
      <w:spacing w:after="0" w:line="480" w:lineRule="auto"/>
      <w:ind w:left="264" w:hanging="264"/>
    </w:pPr>
  </w:style>
  <w:style w:type="paragraph" w:styleId="Caption">
    <w:name w:val="caption"/>
    <w:basedOn w:val="Normal"/>
    <w:next w:val="Normal"/>
    <w:unhideWhenUsed/>
    <w:qFormat/>
    <w:rsid w:val="00BE493C"/>
    <w:rPr>
      <w:i/>
      <w:iCs/>
      <w:color w:val="1F497D" w:themeColor="text2"/>
      <w:sz w:val="18"/>
      <w:szCs w:val="18"/>
    </w:rPr>
  </w:style>
  <w:style w:type="paragraph" w:styleId="Header">
    <w:name w:val="header"/>
    <w:basedOn w:val="Normal"/>
    <w:link w:val="HeaderChar"/>
    <w:unhideWhenUsed/>
    <w:rsid w:val="006C3410"/>
    <w:pPr>
      <w:tabs>
        <w:tab w:val="center" w:pos="4680"/>
        <w:tab w:val="right" w:pos="9360"/>
      </w:tabs>
      <w:spacing w:after="0"/>
    </w:pPr>
  </w:style>
  <w:style w:type="character" w:customStyle="1" w:styleId="HeaderChar">
    <w:name w:val="Header Char"/>
    <w:basedOn w:val="DefaultParagraphFont"/>
    <w:link w:val="Header"/>
    <w:rsid w:val="006C3410"/>
    <w:rPr>
      <w:rFonts w:ascii="Times" w:hAnsi="Times"/>
      <w:sz w:val="24"/>
    </w:rPr>
  </w:style>
  <w:style w:type="character" w:styleId="PlaceholderText">
    <w:name w:val="Placeholder Text"/>
    <w:basedOn w:val="DefaultParagraphFont"/>
    <w:uiPriority w:val="99"/>
    <w:semiHidden/>
    <w:rsid w:val="00882B6D"/>
    <w:rPr>
      <w:color w:val="808080"/>
    </w:rPr>
  </w:style>
  <w:style w:type="paragraph" w:styleId="Revision">
    <w:name w:val="Revision"/>
    <w:hidden/>
    <w:uiPriority w:val="99"/>
    <w:semiHidden/>
    <w:rsid w:val="005409C8"/>
    <w:rPr>
      <w:rFonts w:ascii="Times" w:hAnsi="Times"/>
      <w:sz w:val="24"/>
    </w:rPr>
  </w:style>
  <w:style w:type="paragraph" w:styleId="ListParagraph">
    <w:name w:val="List Paragraph"/>
    <w:basedOn w:val="Normal"/>
    <w:uiPriority w:val="34"/>
    <w:qFormat/>
    <w:rsid w:val="009C6D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57622">
      <w:bodyDiv w:val="1"/>
      <w:marLeft w:val="0"/>
      <w:marRight w:val="0"/>
      <w:marTop w:val="0"/>
      <w:marBottom w:val="0"/>
      <w:divBdr>
        <w:top w:val="none" w:sz="0" w:space="0" w:color="auto"/>
        <w:left w:val="none" w:sz="0" w:space="0" w:color="auto"/>
        <w:bottom w:val="none" w:sz="0" w:space="0" w:color="auto"/>
        <w:right w:val="none" w:sz="0" w:space="0" w:color="auto"/>
      </w:divBdr>
    </w:div>
    <w:div w:id="62485490">
      <w:bodyDiv w:val="1"/>
      <w:marLeft w:val="0"/>
      <w:marRight w:val="0"/>
      <w:marTop w:val="0"/>
      <w:marBottom w:val="0"/>
      <w:divBdr>
        <w:top w:val="none" w:sz="0" w:space="0" w:color="auto"/>
        <w:left w:val="none" w:sz="0" w:space="0" w:color="auto"/>
        <w:bottom w:val="none" w:sz="0" w:space="0" w:color="auto"/>
        <w:right w:val="none" w:sz="0" w:space="0" w:color="auto"/>
      </w:divBdr>
    </w:div>
    <w:div w:id="68891298">
      <w:bodyDiv w:val="1"/>
      <w:marLeft w:val="0"/>
      <w:marRight w:val="0"/>
      <w:marTop w:val="0"/>
      <w:marBottom w:val="0"/>
      <w:divBdr>
        <w:top w:val="none" w:sz="0" w:space="0" w:color="auto"/>
        <w:left w:val="none" w:sz="0" w:space="0" w:color="auto"/>
        <w:bottom w:val="none" w:sz="0" w:space="0" w:color="auto"/>
        <w:right w:val="none" w:sz="0" w:space="0" w:color="auto"/>
      </w:divBdr>
    </w:div>
    <w:div w:id="150097809">
      <w:bodyDiv w:val="1"/>
      <w:marLeft w:val="0"/>
      <w:marRight w:val="0"/>
      <w:marTop w:val="0"/>
      <w:marBottom w:val="0"/>
      <w:divBdr>
        <w:top w:val="none" w:sz="0" w:space="0" w:color="auto"/>
        <w:left w:val="none" w:sz="0" w:space="0" w:color="auto"/>
        <w:bottom w:val="none" w:sz="0" w:space="0" w:color="auto"/>
        <w:right w:val="none" w:sz="0" w:space="0" w:color="auto"/>
      </w:divBdr>
    </w:div>
    <w:div w:id="221330477">
      <w:bodyDiv w:val="1"/>
      <w:marLeft w:val="0"/>
      <w:marRight w:val="0"/>
      <w:marTop w:val="0"/>
      <w:marBottom w:val="0"/>
      <w:divBdr>
        <w:top w:val="none" w:sz="0" w:space="0" w:color="auto"/>
        <w:left w:val="none" w:sz="0" w:space="0" w:color="auto"/>
        <w:bottom w:val="none" w:sz="0" w:space="0" w:color="auto"/>
        <w:right w:val="none" w:sz="0" w:space="0" w:color="auto"/>
      </w:divBdr>
    </w:div>
    <w:div w:id="310912632">
      <w:bodyDiv w:val="1"/>
      <w:marLeft w:val="0"/>
      <w:marRight w:val="0"/>
      <w:marTop w:val="0"/>
      <w:marBottom w:val="0"/>
      <w:divBdr>
        <w:top w:val="none" w:sz="0" w:space="0" w:color="auto"/>
        <w:left w:val="none" w:sz="0" w:space="0" w:color="auto"/>
        <w:bottom w:val="none" w:sz="0" w:space="0" w:color="auto"/>
        <w:right w:val="none" w:sz="0" w:space="0" w:color="auto"/>
      </w:divBdr>
    </w:div>
    <w:div w:id="384454490">
      <w:bodyDiv w:val="1"/>
      <w:marLeft w:val="0"/>
      <w:marRight w:val="0"/>
      <w:marTop w:val="0"/>
      <w:marBottom w:val="0"/>
      <w:divBdr>
        <w:top w:val="none" w:sz="0" w:space="0" w:color="auto"/>
        <w:left w:val="none" w:sz="0" w:space="0" w:color="auto"/>
        <w:bottom w:val="none" w:sz="0" w:space="0" w:color="auto"/>
        <w:right w:val="none" w:sz="0" w:space="0" w:color="auto"/>
      </w:divBdr>
    </w:div>
    <w:div w:id="492187948">
      <w:bodyDiv w:val="1"/>
      <w:marLeft w:val="0"/>
      <w:marRight w:val="0"/>
      <w:marTop w:val="0"/>
      <w:marBottom w:val="0"/>
      <w:divBdr>
        <w:top w:val="none" w:sz="0" w:space="0" w:color="auto"/>
        <w:left w:val="none" w:sz="0" w:space="0" w:color="auto"/>
        <w:bottom w:val="none" w:sz="0" w:space="0" w:color="auto"/>
        <w:right w:val="none" w:sz="0" w:space="0" w:color="auto"/>
      </w:divBdr>
    </w:div>
    <w:div w:id="515656894">
      <w:bodyDiv w:val="1"/>
      <w:marLeft w:val="0"/>
      <w:marRight w:val="0"/>
      <w:marTop w:val="0"/>
      <w:marBottom w:val="0"/>
      <w:divBdr>
        <w:top w:val="none" w:sz="0" w:space="0" w:color="auto"/>
        <w:left w:val="none" w:sz="0" w:space="0" w:color="auto"/>
        <w:bottom w:val="none" w:sz="0" w:space="0" w:color="auto"/>
        <w:right w:val="none" w:sz="0" w:space="0" w:color="auto"/>
      </w:divBdr>
    </w:div>
    <w:div w:id="640691262">
      <w:bodyDiv w:val="1"/>
      <w:marLeft w:val="0"/>
      <w:marRight w:val="0"/>
      <w:marTop w:val="0"/>
      <w:marBottom w:val="0"/>
      <w:divBdr>
        <w:top w:val="none" w:sz="0" w:space="0" w:color="auto"/>
        <w:left w:val="none" w:sz="0" w:space="0" w:color="auto"/>
        <w:bottom w:val="none" w:sz="0" w:space="0" w:color="auto"/>
        <w:right w:val="none" w:sz="0" w:space="0" w:color="auto"/>
      </w:divBdr>
    </w:div>
    <w:div w:id="805975989">
      <w:bodyDiv w:val="1"/>
      <w:marLeft w:val="0"/>
      <w:marRight w:val="0"/>
      <w:marTop w:val="0"/>
      <w:marBottom w:val="0"/>
      <w:divBdr>
        <w:top w:val="none" w:sz="0" w:space="0" w:color="auto"/>
        <w:left w:val="none" w:sz="0" w:space="0" w:color="auto"/>
        <w:bottom w:val="none" w:sz="0" w:space="0" w:color="auto"/>
        <w:right w:val="none" w:sz="0" w:space="0" w:color="auto"/>
      </w:divBdr>
    </w:div>
    <w:div w:id="902524510">
      <w:bodyDiv w:val="1"/>
      <w:marLeft w:val="0"/>
      <w:marRight w:val="0"/>
      <w:marTop w:val="0"/>
      <w:marBottom w:val="0"/>
      <w:divBdr>
        <w:top w:val="none" w:sz="0" w:space="0" w:color="auto"/>
        <w:left w:val="none" w:sz="0" w:space="0" w:color="auto"/>
        <w:bottom w:val="none" w:sz="0" w:space="0" w:color="auto"/>
        <w:right w:val="none" w:sz="0" w:space="0" w:color="auto"/>
      </w:divBdr>
    </w:div>
    <w:div w:id="1006058647">
      <w:bodyDiv w:val="1"/>
      <w:marLeft w:val="0"/>
      <w:marRight w:val="0"/>
      <w:marTop w:val="0"/>
      <w:marBottom w:val="0"/>
      <w:divBdr>
        <w:top w:val="none" w:sz="0" w:space="0" w:color="auto"/>
        <w:left w:val="none" w:sz="0" w:space="0" w:color="auto"/>
        <w:bottom w:val="none" w:sz="0" w:space="0" w:color="auto"/>
        <w:right w:val="none" w:sz="0" w:space="0" w:color="auto"/>
      </w:divBdr>
    </w:div>
    <w:div w:id="1153258690">
      <w:bodyDiv w:val="1"/>
      <w:marLeft w:val="0"/>
      <w:marRight w:val="0"/>
      <w:marTop w:val="0"/>
      <w:marBottom w:val="0"/>
      <w:divBdr>
        <w:top w:val="none" w:sz="0" w:space="0" w:color="auto"/>
        <w:left w:val="none" w:sz="0" w:space="0" w:color="auto"/>
        <w:bottom w:val="none" w:sz="0" w:space="0" w:color="auto"/>
        <w:right w:val="none" w:sz="0" w:space="0" w:color="auto"/>
      </w:divBdr>
    </w:div>
    <w:div w:id="1169103275">
      <w:bodyDiv w:val="1"/>
      <w:marLeft w:val="0"/>
      <w:marRight w:val="0"/>
      <w:marTop w:val="0"/>
      <w:marBottom w:val="0"/>
      <w:divBdr>
        <w:top w:val="none" w:sz="0" w:space="0" w:color="auto"/>
        <w:left w:val="none" w:sz="0" w:space="0" w:color="auto"/>
        <w:bottom w:val="none" w:sz="0" w:space="0" w:color="auto"/>
        <w:right w:val="none" w:sz="0" w:space="0" w:color="auto"/>
      </w:divBdr>
    </w:div>
    <w:div w:id="1184442221">
      <w:bodyDiv w:val="1"/>
      <w:marLeft w:val="0"/>
      <w:marRight w:val="0"/>
      <w:marTop w:val="0"/>
      <w:marBottom w:val="0"/>
      <w:divBdr>
        <w:top w:val="none" w:sz="0" w:space="0" w:color="auto"/>
        <w:left w:val="none" w:sz="0" w:space="0" w:color="auto"/>
        <w:bottom w:val="none" w:sz="0" w:space="0" w:color="auto"/>
        <w:right w:val="none" w:sz="0" w:space="0" w:color="auto"/>
      </w:divBdr>
    </w:div>
    <w:div w:id="1291670880">
      <w:bodyDiv w:val="1"/>
      <w:marLeft w:val="0"/>
      <w:marRight w:val="0"/>
      <w:marTop w:val="0"/>
      <w:marBottom w:val="0"/>
      <w:divBdr>
        <w:top w:val="none" w:sz="0" w:space="0" w:color="auto"/>
        <w:left w:val="none" w:sz="0" w:space="0" w:color="auto"/>
        <w:bottom w:val="none" w:sz="0" w:space="0" w:color="auto"/>
        <w:right w:val="none" w:sz="0" w:space="0" w:color="auto"/>
      </w:divBdr>
    </w:div>
    <w:div w:id="1394888389">
      <w:bodyDiv w:val="1"/>
      <w:marLeft w:val="0"/>
      <w:marRight w:val="0"/>
      <w:marTop w:val="0"/>
      <w:marBottom w:val="0"/>
      <w:divBdr>
        <w:top w:val="none" w:sz="0" w:space="0" w:color="auto"/>
        <w:left w:val="none" w:sz="0" w:space="0" w:color="auto"/>
        <w:bottom w:val="none" w:sz="0" w:space="0" w:color="auto"/>
        <w:right w:val="none" w:sz="0" w:space="0" w:color="auto"/>
      </w:divBdr>
    </w:div>
    <w:div w:id="1451819923">
      <w:bodyDiv w:val="1"/>
      <w:marLeft w:val="0"/>
      <w:marRight w:val="0"/>
      <w:marTop w:val="0"/>
      <w:marBottom w:val="0"/>
      <w:divBdr>
        <w:top w:val="none" w:sz="0" w:space="0" w:color="auto"/>
        <w:left w:val="none" w:sz="0" w:space="0" w:color="auto"/>
        <w:bottom w:val="none" w:sz="0" w:space="0" w:color="auto"/>
        <w:right w:val="none" w:sz="0" w:space="0" w:color="auto"/>
      </w:divBdr>
    </w:div>
    <w:div w:id="1473451219">
      <w:bodyDiv w:val="1"/>
      <w:marLeft w:val="0"/>
      <w:marRight w:val="0"/>
      <w:marTop w:val="0"/>
      <w:marBottom w:val="0"/>
      <w:divBdr>
        <w:top w:val="none" w:sz="0" w:space="0" w:color="auto"/>
        <w:left w:val="none" w:sz="0" w:space="0" w:color="auto"/>
        <w:bottom w:val="none" w:sz="0" w:space="0" w:color="auto"/>
        <w:right w:val="none" w:sz="0" w:space="0" w:color="auto"/>
      </w:divBdr>
    </w:div>
    <w:div w:id="1496530714">
      <w:bodyDiv w:val="1"/>
      <w:marLeft w:val="0"/>
      <w:marRight w:val="0"/>
      <w:marTop w:val="0"/>
      <w:marBottom w:val="0"/>
      <w:divBdr>
        <w:top w:val="none" w:sz="0" w:space="0" w:color="auto"/>
        <w:left w:val="none" w:sz="0" w:space="0" w:color="auto"/>
        <w:bottom w:val="none" w:sz="0" w:space="0" w:color="auto"/>
        <w:right w:val="none" w:sz="0" w:space="0" w:color="auto"/>
      </w:divBdr>
    </w:div>
    <w:div w:id="1506478575">
      <w:bodyDiv w:val="1"/>
      <w:marLeft w:val="0"/>
      <w:marRight w:val="0"/>
      <w:marTop w:val="0"/>
      <w:marBottom w:val="0"/>
      <w:divBdr>
        <w:top w:val="none" w:sz="0" w:space="0" w:color="auto"/>
        <w:left w:val="none" w:sz="0" w:space="0" w:color="auto"/>
        <w:bottom w:val="none" w:sz="0" w:space="0" w:color="auto"/>
        <w:right w:val="none" w:sz="0" w:space="0" w:color="auto"/>
      </w:divBdr>
    </w:div>
    <w:div w:id="1661811410">
      <w:bodyDiv w:val="1"/>
      <w:marLeft w:val="0"/>
      <w:marRight w:val="0"/>
      <w:marTop w:val="0"/>
      <w:marBottom w:val="0"/>
      <w:divBdr>
        <w:top w:val="none" w:sz="0" w:space="0" w:color="auto"/>
        <w:left w:val="none" w:sz="0" w:space="0" w:color="auto"/>
        <w:bottom w:val="none" w:sz="0" w:space="0" w:color="auto"/>
        <w:right w:val="none" w:sz="0" w:space="0" w:color="auto"/>
      </w:divBdr>
    </w:div>
    <w:div w:id="1682391312">
      <w:bodyDiv w:val="1"/>
      <w:marLeft w:val="0"/>
      <w:marRight w:val="0"/>
      <w:marTop w:val="0"/>
      <w:marBottom w:val="0"/>
      <w:divBdr>
        <w:top w:val="none" w:sz="0" w:space="0" w:color="auto"/>
        <w:left w:val="none" w:sz="0" w:space="0" w:color="auto"/>
        <w:bottom w:val="none" w:sz="0" w:space="0" w:color="auto"/>
        <w:right w:val="none" w:sz="0" w:space="0" w:color="auto"/>
      </w:divBdr>
    </w:div>
    <w:div w:id="1789011974">
      <w:bodyDiv w:val="1"/>
      <w:marLeft w:val="0"/>
      <w:marRight w:val="0"/>
      <w:marTop w:val="0"/>
      <w:marBottom w:val="0"/>
      <w:divBdr>
        <w:top w:val="none" w:sz="0" w:space="0" w:color="auto"/>
        <w:left w:val="none" w:sz="0" w:space="0" w:color="auto"/>
        <w:bottom w:val="none" w:sz="0" w:space="0" w:color="auto"/>
        <w:right w:val="none" w:sz="0" w:space="0" w:color="auto"/>
      </w:divBdr>
    </w:div>
    <w:div w:id="1813712863">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209443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002/9780470974704.ch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86BEB-4DC9-4410-9647-6BD14473A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3168</Words>
  <Characters>18064</Characters>
  <Application>Microsoft Office Word</Application>
  <DocSecurity>0</DocSecurity>
  <Lines>150</Lines>
  <Paragraphs>42</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Template for Electronic Submission to ACS Journals</vt:lpstr>
      <vt:lpstr>Template for Electronic Submission to ACS Journals</vt:lpstr>
      <vt:lpstr>Template for Electronic Submission to ACS Journals</vt:lpstr>
    </vt:vector>
  </TitlesOfParts>
  <Company>ACS</Company>
  <LinksUpToDate>false</LinksUpToDate>
  <CharactersWithSpaces>21190</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Windows User</dc:creator>
  <cp:keywords/>
  <dc:description/>
  <cp:lastModifiedBy>elisa.antolin@upm.es</cp:lastModifiedBy>
  <cp:revision>7</cp:revision>
  <cp:lastPrinted>2019-12-10T13:05:00Z</cp:lastPrinted>
  <dcterms:created xsi:type="dcterms:W3CDTF">2020-11-20T14:06:00Z</dcterms:created>
  <dcterms:modified xsi:type="dcterms:W3CDTF">2020-11-21T17:21:00Z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zotero-version="5.0.93"&gt;&lt;session id="LxcsDlGD"/&gt;&lt;style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