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9D5A6">
      <w:pPr>
        <w:pStyle w:val="2"/>
        <w:spacing w:line="480" w:lineRule="auto"/>
        <w:rPr>
          <w:rFonts w:ascii="Times New Roman" w:hAnsi="Times New Roman"/>
          <w:szCs w:val="28"/>
        </w:rPr>
      </w:pPr>
      <w:r>
        <w:rPr>
          <w:rFonts w:hint="eastAsia" w:ascii="Times New Roman" w:hAnsi="Times New Roman" w:cs="Times New Roman"/>
          <w:sz w:val="28"/>
          <w:szCs w:val="28"/>
        </w:rPr>
        <w:t xml:space="preserve">Title: </w:t>
      </w:r>
    </w:p>
    <w:p w14:paraId="6E0615AC">
      <w:pPr>
        <w:pStyle w:val="2"/>
        <w:spacing w:line="480" w:lineRule="auto"/>
        <w:rPr>
          <w:rFonts w:ascii="Times New Roman" w:hAnsi="Times New Roman"/>
          <w:szCs w:val="28"/>
        </w:rPr>
      </w:pPr>
      <w:r>
        <w:rPr>
          <w:rFonts w:hint="eastAsia" w:ascii="Times New Roman" w:hAnsi="Times New Roman" w:cs="Times New Roman"/>
          <w:sz w:val="28"/>
          <w:szCs w:val="28"/>
        </w:rPr>
        <w:t>Domestic water mineral exposure increases affective disorders vulnerability by impairing b</w:t>
      </w:r>
      <w:r>
        <w:rPr>
          <w:rFonts w:ascii="Times New Roman" w:hAnsi="Times New Roman" w:cs="Times New Roman"/>
          <w:sz w:val="28"/>
          <w:szCs w:val="28"/>
        </w:rPr>
        <w:t xml:space="preserve">rain </w:t>
      </w:r>
      <w:r>
        <w:rPr>
          <w:rFonts w:hint="eastAsia" w:ascii="Times New Roman" w:hAnsi="Times New Roman" w:cs="Times New Roman"/>
          <w:sz w:val="28"/>
          <w:szCs w:val="28"/>
        </w:rPr>
        <w:t>structural r</w:t>
      </w:r>
      <w:r>
        <w:rPr>
          <w:rFonts w:ascii="Times New Roman" w:hAnsi="Times New Roman" w:cs="Times New Roman"/>
          <w:sz w:val="28"/>
          <w:szCs w:val="28"/>
        </w:rPr>
        <w:t>esilience</w:t>
      </w:r>
    </w:p>
    <w:p w14:paraId="7A7A558D">
      <w:pPr>
        <w:pStyle w:val="2"/>
        <w:spacing w:line="480" w:lineRule="auto"/>
        <w:rPr>
          <w:rFonts w:ascii="Times New Roman" w:hAnsi="Times New Roman" w:cs="Times New Roman"/>
          <w:sz w:val="24"/>
          <w:szCs w:val="16"/>
        </w:rPr>
      </w:pPr>
      <w:r>
        <w:rPr>
          <w:rFonts w:ascii="Times New Roman" w:hAnsi="Times New Roman" w:cs="Times New Roman"/>
          <w:sz w:val="24"/>
          <w:szCs w:val="16"/>
        </w:rPr>
        <w:t>Authors: Jinghan Sun</w:t>
      </w:r>
      <w:r>
        <w:rPr>
          <w:rFonts w:ascii="Times New Roman" w:hAnsi="Times New Roman" w:cs="Times New Roman"/>
          <w:sz w:val="24"/>
          <w:szCs w:val="16"/>
          <w:vertAlign w:val="superscript"/>
        </w:rPr>
        <w:t>1,#</w:t>
      </w:r>
      <w:r>
        <w:rPr>
          <w:rFonts w:ascii="Times New Roman" w:hAnsi="Times New Roman" w:cs="Times New Roman"/>
          <w:sz w:val="24"/>
          <w:szCs w:val="16"/>
        </w:rPr>
        <w:t>, Qian Qian</w:t>
      </w:r>
      <w:r>
        <w:rPr>
          <w:rFonts w:ascii="Times New Roman" w:hAnsi="Times New Roman" w:cs="Times New Roman"/>
          <w:sz w:val="24"/>
          <w:szCs w:val="16"/>
          <w:vertAlign w:val="superscript"/>
        </w:rPr>
        <w:t>1,#</w:t>
      </w:r>
      <w:r>
        <w:rPr>
          <w:rFonts w:ascii="Times New Roman" w:hAnsi="Times New Roman" w:cs="Times New Roman"/>
          <w:sz w:val="24"/>
          <w:szCs w:val="16"/>
        </w:rPr>
        <w:t>, Shaoying Wang</w:t>
      </w:r>
      <w:r>
        <w:rPr>
          <w:rFonts w:ascii="Times New Roman" w:hAnsi="Times New Roman" w:cs="Times New Roman"/>
          <w:sz w:val="24"/>
          <w:szCs w:val="16"/>
          <w:vertAlign w:val="superscript"/>
        </w:rPr>
        <w:t>1,#</w:t>
      </w:r>
      <w:r>
        <w:rPr>
          <w:rFonts w:ascii="Times New Roman" w:hAnsi="Times New Roman" w:cs="Times New Roman"/>
          <w:sz w:val="24"/>
          <w:szCs w:val="16"/>
        </w:rPr>
        <w:t>, Nannan Zhang</w:t>
      </w:r>
      <w:r>
        <w:rPr>
          <w:rFonts w:ascii="Times New Roman" w:hAnsi="Times New Roman" w:cs="Times New Roman"/>
          <w:sz w:val="24"/>
          <w:szCs w:val="16"/>
          <w:vertAlign w:val="superscript"/>
        </w:rPr>
        <w:t>1</w:t>
      </w:r>
      <w:r>
        <w:rPr>
          <w:rFonts w:ascii="Times New Roman" w:hAnsi="Times New Roman" w:cs="Times New Roman"/>
          <w:sz w:val="24"/>
          <w:szCs w:val="16"/>
        </w:rPr>
        <w:t>, Guoshu Zhao</w:t>
      </w:r>
      <w:r>
        <w:rPr>
          <w:rFonts w:ascii="Times New Roman" w:hAnsi="Times New Roman" w:cs="Times New Roman"/>
          <w:sz w:val="24"/>
          <w:szCs w:val="16"/>
          <w:vertAlign w:val="superscript"/>
        </w:rPr>
        <w:t>2</w:t>
      </w:r>
      <w:r>
        <w:rPr>
          <w:rFonts w:ascii="Times New Roman" w:hAnsi="Times New Roman" w:cs="Times New Roman"/>
          <w:sz w:val="24"/>
          <w:szCs w:val="16"/>
        </w:rPr>
        <w:t>, Shiji Jiao</w:t>
      </w:r>
      <w:r>
        <w:rPr>
          <w:rFonts w:ascii="Times New Roman" w:hAnsi="Times New Roman" w:cs="Times New Roman"/>
          <w:sz w:val="24"/>
          <w:szCs w:val="16"/>
          <w:vertAlign w:val="superscript"/>
        </w:rPr>
        <w:t>3</w:t>
      </w:r>
      <w:r>
        <w:rPr>
          <w:rFonts w:ascii="Times New Roman" w:hAnsi="Times New Roman" w:cs="Times New Roman"/>
          <w:sz w:val="24"/>
          <w:szCs w:val="16"/>
        </w:rPr>
        <w:t>, Man Chong</w:t>
      </w:r>
      <w:r>
        <w:rPr>
          <w:rFonts w:ascii="Times New Roman" w:hAnsi="Times New Roman" w:cs="Times New Roman"/>
          <w:sz w:val="24"/>
          <w:szCs w:val="16"/>
          <w:vertAlign w:val="superscript"/>
        </w:rPr>
        <w:t>1</w:t>
      </w:r>
      <w:r>
        <w:rPr>
          <w:rFonts w:ascii="Times New Roman" w:hAnsi="Times New Roman" w:cs="Times New Roman"/>
          <w:sz w:val="24"/>
          <w:szCs w:val="16"/>
        </w:rPr>
        <w:t>, Xiangrong Chen</w:t>
      </w:r>
      <w:r>
        <w:rPr>
          <w:rFonts w:ascii="Times New Roman" w:hAnsi="Times New Roman" w:cs="Times New Roman"/>
          <w:sz w:val="24"/>
          <w:szCs w:val="16"/>
          <w:vertAlign w:val="superscript"/>
        </w:rPr>
        <w:t>1</w:t>
      </w:r>
      <w:r>
        <w:rPr>
          <w:rFonts w:ascii="Times New Roman" w:hAnsi="Times New Roman" w:cs="Times New Roman"/>
          <w:sz w:val="24"/>
          <w:szCs w:val="16"/>
        </w:rPr>
        <w:t xml:space="preserve">, </w:t>
      </w:r>
      <w:r>
        <w:rPr>
          <w:rFonts w:hint="eastAsia" w:ascii="Times New Roman" w:hAnsi="Times New Roman" w:cs="Times New Roman"/>
          <w:sz w:val="24"/>
          <w:szCs w:val="16"/>
        </w:rPr>
        <w:t>Fengyu Wang</w:t>
      </w:r>
      <w:r>
        <w:rPr>
          <w:rFonts w:ascii="Times New Roman" w:hAnsi="Times New Roman" w:cs="Times New Roman"/>
          <w:sz w:val="24"/>
          <w:szCs w:val="16"/>
          <w:vertAlign w:val="superscript"/>
        </w:rPr>
        <w:t>1</w:t>
      </w:r>
      <w:r>
        <w:rPr>
          <w:rFonts w:hint="eastAsia" w:ascii="Times New Roman" w:hAnsi="Times New Roman" w:cs="Times New Roman"/>
          <w:sz w:val="24"/>
          <w:szCs w:val="16"/>
        </w:rPr>
        <w:t>, Yiwei Wang</w:t>
      </w:r>
      <w:r>
        <w:rPr>
          <w:rFonts w:ascii="Times New Roman" w:hAnsi="Times New Roman" w:cs="Times New Roman"/>
          <w:sz w:val="24"/>
          <w:szCs w:val="16"/>
          <w:vertAlign w:val="superscript"/>
        </w:rPr>
        <w:t>1</w:t>
      </w:r>
      <w:r>
        <w:rPr>
          <w:rFonts w:hint="eastAsia" w:ascii="Times New Roman" w:hAnsi="Times New Roman" w:cs="Times New Roman"/>
          <w:sz w:val="24"/>
          <w:szCs w:val="16"/>
        </w:rPr>
        <w:t xml:space="preserve">, </w:t>
      </w:r>
      <w:r>
        <w:rPr>
          <w:rFonts w:ascii="Times New Roman" w:hAnsi="Times New Roman" w:cs="Times New Roman"/>
          <w:sz w:val="24"/>
          <w:szCs w:val="16"/>
        </w:rPr>
        <w:t>Wen Qin</w:t>
      </w:r>
      <w:r>
        <w:rPr>
          <w:rFonts w:ascii="Times New Roman" w:hAnsi="Times New Roman" w:cs="Times New Roman"/>
          <w:sz w:val="24"/>
          <w:szCs w:val="16"/>
          <w:vertAlign w:val="superscript"/>
        </w:rPr>
        <w:t>1</w:t>
      </w:r>
      <w:r>
        <w:rPr>
          <w:rFonts w:ascii="Times New Roman" w:hAnsi="Times New Roman" w:cs="Times New Roman"/>
          <w:sz w:val="24"/>
          <w:szCs w:val="16"/>
        </w:rPr>
        <w:t>, Meng Liang</w:t>
      </w:r>
      <w:r>
        <w:rPr>
          <w:rFonts w:hint="eastAsia" w:ascii="Times New Roman" w:hAnsi="Times New Roman" w:cs="Times New Roman"/>
          <w:sz w:val="24"/>
          <w:szCs w:val="16"/>
          <w:vertAlign w:val="superscript"/>
        </w:rPr>
        <w:t>2</w:t>
      </w:r>
      <w:r>
        <w:rPr>
          <w:rFonts w:ascii="Times New Roman" w:hAnsi="Times New Roman" w:cs="Times New Roman"/>
          <w:sz w:val="24"/>
          <w:szCs w:val="16"/>
        </w:rPr>
        <w:t>, Jiayuan Xu</w:t>
      </w:r>
      <w:r>
        <w:rPr>
          <w:rFonts w:ascii="Times New Roman" w:hAnsi="Times New Roman" w:cs="Times New Roman"/>
          <w:sz w:val="24"/>
          <w:szCs w:val="16"/>
          <w:vertAlign w:val="superscript"/>
        </w:rPr>
        <w:t>1,*</w:t>
      </w:r>
      <w:r>
        <w:rPr>
          <w:rFonts w:ascii="Times New Roman" w:hAnsi="Times New Roman" w:cs="Times New Roman"/>
          <w:sz w:val="24"/>
          <w:szCs w:val="16"/>
        </w:rPr>
        <w:t>, Quan Zhang</w:t>
      </w:r>
      <w:r>
        <w:rPr>
          <w:rFonts w:ascii="Times New Roman" w:hAnsi="Times New Roman" w:cs="Times New Roman"/>
          <w:sz w:val="24"/>
          <w:szCs w:val="16"/>
          <w:vertAlign w:val="superscript"/>
        </w:rPr>
        <w:t>1,*</w:t>
      </w:r>
    </w:p>
    <w:p w14:paraId="4230FBFB">
      <w:pPr>
        <w:pStyle w:val="2"/>
        <w:spacing w:line="360" w:lineRule="auto"/>
        <w:rPr>
          <w:rFonts w:ascii="Times New Roman" w:hAnsi="Times New Roman" w:cs="Times New Roman"/>
          <w:sz w:val="24"/>
          <w:szCs w:val="24"/>
        </w:rPr>
      </w:pPr>
      <w:r>
        <w:rPr>
          <w:rFonts w:ascii="Times New Roman" w:hAnsi="Times New Roman" w:cs="Times New Roman"/>
          <w:sz w:val="24"/>
          <w:szCs w:val="24"/>
        </w:rPr>
        <w:t>Affiliations:</w:t>
      </w:r>
    </w:p>
    <w:p w14:paraId="6C3FAC77">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1</w:t>
      </w:r>
      <w:r>
        <w:rPr>
          <w:rFonts w:hint="eastAsia" w:ascii="Times New Roman" w:hAnsi="Times New Roman" w:cs="Times New Roman"/>
          <w:sz w:val="24"/>
          <w:szCs w:val="24"/>
          <w:vertAlign w:val="superscript"/>
        </w:rPr>
        <w:t xml:space="preserve"> </w:t>
      </w:r>
      <w:r>
        <w:rPr>
          <w:rFonts w:ascii="Times New Roman" w:hAnsi="Times New Roman" w:cs="Times New Roman"/>
          <w:sz w:val="24"/>
          <w:szCs w:val="24"/>
        </w:rPr>
        <w:t>Department of Radiology and Tianjin Key Lab of Functional Imaging, Tianjin Institute of Radiology, State Key Laboratory of Experimental Hematology, Tianjin Medical University General Hospital, Tianjin 300052, China</w:t>
      </w:r>
    </w:p>
    <w:p w14:paraId="61C83ABA">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School of Medicine, Nankai University, Tianjin 300071, China</w:t>
      </w:r>
    </w:p>
    <w:p w14:paraId="5981E82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3</w:t>
      </w:r>
      <w:r>
        <w:rPr>
          <w:rFonts w:hint="eastAsia" w:ascii="Times New Roman" w:hAnsi="Times New Roman" w:cs="Times New Roman"/>
          <w:sz w:val="24"/>
          <w:szCs w:val="24"/>
          <w:vertAlign w:val="superscript"/>
        </w:rPr>
        <w:t xml:space="preserve"> </w:t>
      </w:r>
      <w:r>
        <w:rPr>
          <w:rFonts w:ascii="Times New Roman" w:hAnsi="Times New Roman" w:cs="Times New Roman"/>
          <w:sz w:val="24"/>
          <w:szCs w:val="24"/>
        </w:rPr>
        <w:t>School of Medical Imaging and Tianjin Key Laboratory of Functional Imaging, Tianjin Medical University, Tianjin 300203, China</w:t>
      </w:r>
    </w:p>
    <w:p w14:paraId="02A38A84">
      <w:pPr>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vertAlign w:val="superscript"/>
        </w:rPr>
        <w:t>#</w:t>
      </w:r>
      <w:r>
        <w:rPr>
          <w:rFonts w:ascii="Times New Roman" w:hAnsi="Times New Roman" w:cs="Times New Roman"/>
          <w:sz w:val="24"/>
          <w:szCs w:val="24"/>
        </w:rPr>
        <w:t xml:space="preserve"> These authors contributed equally to this work: </w:t>
      </w:r>
      <w:r>
        <w:rPr>
          <w:rFonts w:hint="eastAsia" w:ascii="Times New Roman" w:hAnsi="Times New Roman" w:cs="Times New Roman"/>
          <w:sz w:val="24"/>
          <w:szCs w:val="24"/>
        </w:rPr>
        <w:t xml:space="preserve">Jinghan Sun, Qian Qian and Shaoying Wang </w:t>
      </w:r>
    </w:p>
    <w:p w14:paraId="5705AC1D">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 Correspondence to: </w:t>
      </w:r>
    </w:p>
    <w:p w14:paraId="0FA8BD4A">
      <w:pPr>
        <w:spacing w:line="360" w:lineRule="auto"/>
        <w:rPr>
          <w:rFonts w:ascii="Times New Roman" w:hAnsi="Times New Roman" w:cs="Times New Roman"/>
          <w:sz w:val="24"/>
          <w:szCs w:val="24"/>
        </w:rPr>
      </w:pPr>
      <w:r>
        <w:rPr>
          <w:rFonts w:ascii="Times New Roman" w:hAnsi="Times New Roman" w:cs="Times New Roman"/>
          <w:sz w:val="24"/>
          <w:szCs w:val="24"/>
        </w:rPr>
        <w:t>Quan Zhang, e-mail: quanzhang@tmu.edu.cn</w:t>
      </w:r>
    </w:p>
    <w:p w14:paraId="577287D0">
      <w:pPr>
        <w:spacing w:line="360" w:lineRule="auto"/>
        <w:rPr>
          <w:rStyle w:val="9"/>
          <w:rFonts w:ascii="Times New Roman" w:hAnsi="Times New Roman" w:cs="Times New Roman"/>
          <w:sz w:val="24"/>
          <w:szCs w:val="24"/>
        </w:rPr>
      </w:pPr>
      <w:r>
        <w:rPr>
          <w:rFonts w:ascii="Times New Roman" w:hAnsi="Times New Roman" w:cs="Times New Roman"/>
          <w:sz w:val="24"/>
          <w:szCs w:val="24"/>
        </w:rPr>
        <w:t xml:space="preserve">Jiayuan Xu, e-mail: </w:t>
      </w:r>
      <w:r>
        <w:fldChar w:fldCharType="begin"/>
      </w:r>
      <w:r>
        <w:instrText xml:space="preserve"> HYPERLINK "mailto:xujiayuan@tmu.edu.cn" </w:instrText>
      </w:r>
      <w:r>
        <w:fldChar w:fldCharType="separate"/>
      </w:r>
      <w:r>
        <w:rPr>
          <w:rStyle w:val="9"/>
          <w:rFonts w:ascii="Times New Roman" w:hAnsi="Times New Roman" w:cs="Times New Roman"/>
          <w:sz w:val="24"/>
          <w:szCs w:val="24"/>
        </w:rPr>
        <w:t>xujiayuan@tmu.edu.cn</w:t>
      </w:r>
      <w:r>
        <w:rPr>
          <w:rStyle w:val="9"/>
          <w:rFonts w:ascii="Times New Roman" w:hAnsi="Times New Roman" w:cs="Times New Roman"/>
          <w:sz w:val="24"/>
          <w:szCs w:val="24"/>
        </w:rPr>
        <w:fldChar w:fldCharType="end"/>
      </w:r>
    </w:p>
    <w:p w14:paraId="5FD11EC9">
      <w:pPr>
        <w:pStyle w:val="2"/>
        <w:spacing w:line="360" w:lineRule="auto"/>
        <w:rPr>
          <w:rFonts w:ascii="Times New Roman" w:hAnsi="Times New Roman" w:cs="Times New Roman"/>
          <w:sz w:val="24"/>
          <w:szCs w:val="24"/>
        </w:rPr>
      </w:pPr>
      <w:r>
        <w:rPr>
          <w:rFonts w:hint="eastAsia" w:ascii="Times New Roman" w:hAnsi="Times New Roman" w:cs="Times New Roman"/>
          <w:sz w:val="24"/>
          <w:szCs w:val="24"/>
        </w:rPr>
        <w:t>Supplementary Figures</w:t>
      </w:r>
    </w:p>
    <w:p w14:paraId="7496F842">
      <w:pPr>
        <w:suppressAutoHyphens/>
        <w:spacing w:line="480" w:lineRule="auto"/>
        <w:jc w:val="center"/>
        <w:rPr>
          <w:rFonts w:ascii="Times New Roman" w:hAnsi="Times New Roman" w:cs="Times New Roman"/>
          <w:sz w:val="24"/>
          <w:szCs w:val="24"/>
        </w:rPr>
      </w:pPr>
      <w:r>
        <w:rPr>
          <w:rFonts w:ascii="Times New Roman" w:hAnsi="Times New Roman" w:cs="Times New Roman"/>
          <w:sz w:val="24"/>
          <w:szCs w:val="24"/>
          <w14:ligatures w14:val="none"/>
        </w:rPr>
        <w:drawing>
          <wp:inline distT="0" distB="0" distL="0" distR="0">
            <wp:extent cx="5274310" cy="3496945"/>
            <wp:effectExtent l="0" t="0" r="2540" b="8255"/>
            <wp:docPr id="444381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81198"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496945"/>
                    </a:xfrm>
                    <a:prstGeom prst="rect">
                      <a:avLst/>
                    </a:prstGeom>
                  </pic:spPr>
                </pic:pic>
              </a:graphicData>
            </a:graphic>
          </wp:inline>
        </w:drawing>
      </w:r>
    </w:p>
    <w:p w14:paraId="5EBEE3C0">
      <w:pPr>
        <w:suppressAutoHyphens/>
        <w:spacing w:line="360" w:lineRule="auto"/>
        <w:rPr>
          <w:rFonts w:ascii="Times New Roman" w:hAnsi="Times New Roman" w:cs="Times New Roman"/>
          <w:b/>
          <w:bCs/>
          <w:i/>
          <w:iCs/>
          <w:sz w:val="24"/>
          <w:szCs w:val="24"/>
        </w:rPr>
      </w:pPr>
      <w:r>
        <w:rPr>
          <w:rFonts w:ascii="Times New Roman" w:hAnsi="Times New Roman" w:cs="Times New Roman"/>
          <w:b/>
          <w:bCs/>
          <w:i/>
          <w:iCs/>
          <w:color w:val="000000" w:themeColor="text1"/>
          <w:sz w:val="24"/>
          <w:szCs w:val="24"/>
          <w14:textFill>
            <w14:solidFill>
              <w14:schemeClr w14:val="tx1"/>
            </w14:solidFill>
          </w14:textFill>
        </w:rPr>
        <w:t xml:space="preserve">Supplementary </w:t>
      </w:r>
      <w:r>
        <w:rPr>
          <w:rFonts w:hint="eastAsia" w:ascii="Times New Roman" w:hAnsi="Times New Roman" w:cs="Times New Roman"/>
          <w:b/>
          <w:bCs/>
          <w:i/>
          <w:iCs/>
          <w:color w:val="000000" w:themeColor="text1"/>
          <w:sz w:val="24"/>
          <w:szCs w:val="24"/>
          <w14:textFill>
            <w14:solidFill>
              <w14:schemeClr w14:val="tx1"/>
            </w14:solidFill>
          </w14:textFill>
        </w:rPr>
        <w:t>F</w:t>
      </w:r>
      <w:r>
        <w:rPr>
          <w:rFonts w:ascii="Times New Roman" w:hAnsi="Times New Roman" w:cs="Times New Roman"/>
          <w:b/>
          <w:bCs/>
          <w:i/>
          <w:iCs/>
          <w:color w:val="000000" w:themeColor="text1"/>
          <w:sz w:val="24"/>
          <w:szCs w:val="24"/>
          <w14:textFill>
            <w14:solidFill>
              <w14:schemeClr w14:val="tx1"/>
            </w14:solidFill>
          </w14:textFill>
        </w:rPr>
        <w:t>ig</w:t>
      </w:r>
      <w:r>
        <w:rPr>
          <w:rFonts w:hint="eastAsia" w:ascii="Times New Roman" w:hAnsi="Times New Roman" w:cs="Times New Roman"/>
          <w:b/>
          <w:bCs/>
          <w:i/>
          <w:iCs/>
          <w:color w:val="000000" w:themeColor="text1"/>
          <w:sz w:val="24"/>
          <w:szCs w:val="24"/>
          <w14:textFill>
            <w14:solidFill>
              <w14:schemeClr w14:val="tx1"/>
            </w14:solidFill>
          </w14:textFill>
        </w:rPr>
        <w:t>ure 1</w:t>
      </w:r>
      <w:r>
        <w:rPr>
          <w:rFonts w:hint="eastAsia" w:ascii="Times New Roman" w:hAnsi="Times New Roman" w:cs="Times New Roman"/>
          <w:b/>
          <w:bCs/>
          <w:i/>
          <w:iCs/>
          <w:sz w:val="24"/>
          <w:szCs w:val="24"/>
        </w:rPr>
        <w:t xml:space="preserve"> | Overview of analyses conducted in this study. </w:t>
      </w:r>
      <w:r>
        <w:rPr>
          <w:rFonts w:ascii="Times New Roman" w:hAnsi="Times New Roman" w:cs="Times New Roman"/>
          <w:i/>
          <w:iCs/>
          <w:sz w:val="24"/>
          <w:szCs w:val="24"/>
        </w:rPr>
        <w:t xml:space="preserve">In this study, we examined the univariable associations between five domestic water mineral exposure and three mental symptoms (depression, anxiety and emotional instability) in up to 389,984 participants (308,632 for discovery and 81,352 for replication) from the UK Biobank (UKB). After confirming the associations between individual domestic water mineral exposure and mental symptoms, we constructed a domestic water mixture mineral exposure (WMEx) using weighted quantile sum regression analysis and investigated its mixture effect on mental symptoms. Based on the individual and mixture effects of domestic water mineral exposure on mental health, Cox proportional hazards regression analyses were applied to assess the predictive value of water mineral exposure for the onset of affective disorders using longitudinal individual data. To further mitigate bias from imbalances between cases and controls, we employed propensity score matching (PSM) to create well-matched cohorts and re-evaluated these predictive associations. To elucidate the neural mechanisms, we assessed brain gray matter macrostructure and white matter microstructure. Crucially, we further derived a brain structural resilience index (BSRI) using a normative modeling approach, which characterizes the coupling between gray and white matter structures relative to a healthy population norm in 5,846 healthy controls during 15.3 years visit. </w:t>
      </w:r>
      <w:r>
        <w:rPr>
          <w:rFonts w:hint="eastAsia" w:ascii="Times New Roman" w:hAnsi="Times New Roman" w:cs="Times New Roman"/>
          <w:i/>
          <w:iCs/>
          <w:sz w:val="24"/>
          <w:szCs w:val="24"/>
        </w:rPr>
        <w:t xml:space="preserve">Using these neuroimaging phenotypes as mediators, causal mediation analyses were conducted to determine the pathways linking domestic water mineral exposure to affective disorders. Finally, we conducted sex-stratified and areal SES-stratified analyses to identify the sex- and SES-specific associations between domestic water mineral exposure, neuroimaging phenotypes and affective disorders using moderated mediation analyses. </w:t>
      </w:r>
    </w:p>
    <w:p w14:paraId="5C342C9E">
      <w:pPr>
        <w:suppressAutoHyphens/>
        <w:spacing w:line="480" w:lineRule="auto"/>
        <w:rPr>
          <w:rFonts w:ascii="Times New Roman" w:hAnsi="Times New Roman" w:cs="Times New Roman"/>
          <w:sz w:val="24"/>
          <w:szCs w:val="24"/>
        </w:rPr>
      </w:pPr>
    </w:p>
    <w:p w14:paraId="58A08A81">
      <w:pPr>
        <w:suppressAutoHyphens/>
        <w:spacing w:line="36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14:ligatures w14:val="none"/>
        </w:rPr>
        <w:drawing>
          <wp:inline distT="0" distB="0" distL="0" distR="0">
            <wp:extent cx="5200650" cy="4984115"/>
            <wp:effectExtent l="0" t="0" r="0" b="6985"/>
            <wp:docPr id="13871721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72127"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00650" cy="4984115"/>
                    </a:xfrm>
                    <a:prstGeom prst="rect">
                      <a:avLst/>
                    </a:prstGeom>
                  </pic:spPr>
                </pic:pic>
              </a:graphicData>
            </a:graphic>
          </wp:inline>
        </w:drawing>
      </w:r>
    </w:p>
    <w:p w14:paraId="21EE604A">
      <w:pPr>
        <w:suppressAutoHyphens/>
        <w:spacing w:line="360" w:lineRule="auto"/>
        <w:rPr>
          <w:rFonts w:ascii="Times New Roman" w:hAnsi="Times New Roman" w:eastAsia="等线" w:cs="Times New Roman"/>
          <w:i/>
          <w:iCs/>
          <w:sz w:val="24"/>
          <w:szCs w:val="24"/>
        </w:rPr>
      </w:pPr>
      <w:r>
        <w:rPr>
          <w:rFonts w:ascii="Times New Roman" w:hAnsi="Times New Roman" w:cs="Times New Roman"/>
          <w:b/>
          <w:bCs/>
          <w:i/>
          <w:iCs/>
          <w:color w:val="000000" w:themeColor="text1"/>
          <w:sz w:val="24"/>
          <w:szCs w:val="24"/>
          <w14:textFill>
            <w14:solidFill>
              <w14:schemeClr w14:val="tx1"/>
            </w14:solidFill>
          </w14:textFill>
        </w:rPr>
        <w:t xml:space="preserve">Supplementary </w:t>
      </w:r>
      <w:r>
        <w:rPr>
          <w:rFonts w:hint="eastAsia" w:ascii="Times New Roman" w:hAnsi="Times New Roman" w:cs="Times New Roman"/>
          <w:b/>
          <w:bCs/>
          <w:i/>
          <w:iCs/>
          <w:color w:val="000000" w:themeColor="text1"/>
          <w:sz w:val="24"/>
          <w:szCs w:val="24"/>
          <w14:textFill>
            <w14:solidFill>
              <w14:schemeClr w14:val="tx1"/>
            </w14:solidFill>
          </w14:textFill>
        </w:rPr>
        <w:t>F</w:t>
      </w:r>
      <w:r>
        <w:rPr>
          <w:rFonts w:ascii="Times New Roman" w:hAnsi="Times New Roman" w:cs="Times New Roman"/>
          <w:b/>
          <w:bCs/>
          <w:i/>
          <w:iCs/>
          <w:color w:val="000000" w:themeColor="text1"/>
          <w:sz w:val="24"/>
          <w:szCs w:val="24"/>
          <w14:textFill>
            <w14:solidFill>
              <w14:schemeClr w14:val="tx1"/>
            </w14:solidFill>
          </w14:textFill>
        </w:rPr>
        <w:t>ig</w:t>
      </w:r>
      <w:r>
        <w:rPr>
          <w:rFonts w:hint="eastAsia" w:ascii="Times New Roman" w:hAnsi="Times New Roman" w:cs="Times New Roman"/>
          <w:b/>
          <w:bCs/>
          <w:i/>
          <w:iCs/>
          <w:color w:val="000000" w:themeColor="text1"/>
          <w:sz w:val="24"/>
          <w:szCs w:val="24"/>
          <w14:textFill>
            <w14:solidFill>
              <w14:schemeClr w14:val="tx1"/>
            </w14:solidFill>
          </w14:textFill>
        </w:rPr>
        <w:t>ure 2</w:t>
      </w:r>
      <w:r>
        <w:rPr>
          <w:rFonts w:ascii="Times New Roman" w:hAnsi="Times New Roman" w:cs="Times New Roman"/>
          <w:b/>
          <w:bCs/>
          <w:i/>
          <w:iCs/>
          <w:sz w:val="24"/>
          <w:szCs w:val="24"/>
        </w:rPr>
        <w:t xml:space="preserve"> | </w:t>
      </w:r>
      <w:r>
        <w:rPr>
          <w:rFonts w:ascii="Times New Roman" w:hAnsi="Times New Roman" w:eastAsia="等线" w:cs="Times New Roman"/>
          <w:b/>
          <w:bCs/>
          <w:i/>
          <w:iCs/>
          <w:sz w:val="24"/>
          <w:szCs w:val="24"/>
        </w:rPr>
        <w:t>Participant inclusion/exclusion criteria and data</w:t>
      </w:r>
      <w:r>
        <w:rPr>
          <w:rFonts w:ascii="Times New Roman" w:hAnsi="Times New Roman" w:eastAsia="等线" w:cs="Times New Roman"/>
          <w:b/>
          <w:bCs/>
          <w:i/>
          <w:iCs/>
          <w:sz w:val="24"/>
          <w:szCs w:val="24"/>
        </w:rPr>
        <w:noBreakHyphen/>
      </w:r>
      <w:r>
        <w:rPr>
          <w:rFonts w:ascii="Times New Roman" w:hAnsi="Times New Roman" w:eastAsia="等线" w:cs="Times New Roman"/>
          <w:b/>
          <w:bCs/>
          <w:i/>
          <w:iCs/>
          <w:sz w:val="24"/>
          <w:szCs w:val="24"/>
        </w:rPr>
        <w:t>filtering workflow</w:t>
      </w:r>
      <w:r>
        <w:rPr>
          <w:rFonts w:hint="eastAsia" w:ascii="Times New Roman" w:hAnsi="Times New Roman" w:eastAsia="等线" w:cs="Times New Roman"/>
          <w:b/>
          <w:bCs/>
          <w:i/>
          <w:iCs/>
          <w:sz w:val="24"/>
          <w:szCs w:val="24"/>
        </w:rPr>
        <w:t xml:space="preserve">. </w:t>
      </w:r>
      <w:r>
        <w:rPr>
          <w:rFonts w:ascii="Times New Roman" w:hAnsi="Times New Roman" w:eastAsia="等线" w:cs="Times New Roman"/>
          <w:i/>
          <w:iCs/>
          <w:sz w:val="24"/>
          <w:szCs w:val="24"/>
        </w:rPr>
        <w:t xml:space="preserve">Participants were drawn from the initial cohort (N = 502,411) and excluded sequentially for missing domestic water mineral exposure variables (n = 50,238), missing key covariates (sex/IMD/age/PCs; n = 11,367), and missing race information or symptom measures (depression, anxiety, emotional instability; n = 50,822), leaving 389,984 participants for the primary analyses. </w:t>
      </w:r>
      <w:r>
        <w:rPr>
          <w:rFonts w:hint="eastAsia" w:ascii="Times New Roman" w:hAnsi="Times New Roman" w:eastAsia="等线" w:cs="Times New Roman"/>
          <w:i/>
          <w:iCs/>
          <w:sz w:val="24"/>
          <w:szCs w:val="24"/>
        </w:rPr>
        <w:t>T</w:t>
      </w:r>
      <w:r>
        <w:rPr>
          <w:rFonts w:ascii="Times New Roman" w:hAnsi="Times New Roman" w:eastAsia="等线" w:cs="Times New Roman"/>
          <w:i/>
          <w:iCs/>
          <w:sz w:val="24"/>
          <w:szCs w:val="24"/>
        </w:rPr>
        <w:t xml:space="preserve">he sample was split into a discovery dataset (Caucasian; </w:t>
      </w:r>
      <w:r>
        <w:rPr>
          <w:rFonts w:hint="eastAsia" w:ascii="Times New Roman" w:hAnsi="Times New Roman" w:eastAsia="等线" w:cs="Times New Roman"/>
          <w:i/>
          <w:iCs/>
          <w:sz w:val="24"/>
          <w:szCs w:val="24"/>
        </w:rPr>
        <w:t>n</w:t>
      </w:r>
      <w:r>
        <w:rPr>
          <w:rFonts w:ascii="Times New Roman" w:hAnsi="Times New Roman" w:eastAsia="等线" w:cs="Times New Roman"/>
          <w:i/>
          <w:iCs/>
          <w:sz w:val="24"/>
          <w:szCs w:val="24"/>
        </w:rPr>
        <w:t xml:space="preserve"> = 308,632) and a validation dataset (non-Caucasian and participants from Scotland and Wales; </w:t>
      </w:r>
      <w:r>
        <w:rPr>
          <w:rFonts w:hint="eastAsia" w:ascii="Times New Roman" w:hAnsi="Times New Roman" w:eastAsia="等线" w:cs="Times New Roman"/>
          <w:i/>
          <w:iCs/>
          <w:sz w:val="24"/>
          <w:szCs w:val="24"/>
        </w:rPr>
        <w:t>n</w:t>
      </w:r>
      <w:r>
        <w:rPr>
          <w:rFonts w:ascii="Times New Roman" w:hAnsi="Times New Roman" w:eastAsia="等线" w:cs="Times New Roman"/>
          <w:i/>
          <w:iCs/>
          <w:sz w:val="24"/>
          <w:szCs w:val="24"/>
        </w:rPr>
        <w:t xml:space="preserve"> = 81,352). For </w:t>
      </w:r>
      <w:r>
        <w:rPr>
          <w:rFonts w:hint="eastAsia" w:ascii="Times New Roman" w:hAnsi="Times New Roman" w:eastAsia="等线" w:cs="Times New Roman"/>
          <w:i/>
          <w:iCs/>
          <w:sz w:val="24"/>
          <w:szCs w:val="24"/>
        </w:rPr>
        <w:t>WQS</w:t>
      </w:r>
      <w:r>
        <w:rPr>
          <w:rFonts w:ascii="Times New Roman" w:hAnsi="Times New Roman" w:eastAsia="等线" w:cs="Times New Roman"/>
          <w:i/>
          <w:iCs/>
          <w:sz w:val="24"/>
          <w:szCs w:val="24"/>
        </w:rPr>
        <w:t xml:space="preserve"> regression, the discovery sample was further divided into a training set (40%; n = 155,994) and an internal validation set (60%; n = 233,990). Case</w:t>
      </w:r>
      <w:r>
        <w:rPr>
          <w:rFonts w:hint="eastAsia" w:ascii="Times New Roman" w:hAnsi="Times New Roman" w:eastAsia="等线" w:cs="Times New Roman"/>
          <w:i/>
          <w:iCs/>
          <w:sz w:val="24"/>
          <w:szCs w:val="24"/>
        </w:rPr>
        <w:t>-</w:t>
      </w:r>
      <w:r>
        <w:rPr>
          <w:rFonts w:ascii="Times New Roman" w:hAnsi="Times New Roman" w:eastAsia="等线" w:cs="Times New Roman"/>
          <w:i/>
          <w:iCs/>
          <w:sz w:val="24"/>
          <w:szCs w:val="24"/>
        </w:rPr>
        <w:t xml:space="preserve">control status was defined using ICD-10 diagnoses (cases: F30–F39; controls: no ICD-10 diagnosis during follow-up), and participants with any diagnosis prior to baseline were excluded. </w:t>
      </w:r>
      <w:r>
        <w:rPr>
          <w:rFonts w:hint="eastAsia" w:ascii="Times New Roman" w:hAnsi="Times New Roman" w:eastAsia="等线" w:cs="Times New Roman"/>
          <w:i/>
          <w:iCs/>
          <w:sz w:val="24"/>
          <w:szCs w:val="24"/>
        </w:rPr>
        <w:t>PSM</w:t>
      </w:r>
      <w:r>
        <w:rPr>
          <w:rFonts w:ascii="Times New Roman" w:hAnsi="Times New Roman" w:eastAsia="等线" w:cs="Times New Roman"/>
          <w:i/>
          <w:iCs/>
          <w:sz w:val="24"/>
          <w:szCs w:val="24"/>
        </w:rPr>
        <w:t xml:space="preserve"> produced a matched sample (</w:t>
      </w:r>
      <w:r>
        <w:rPr>
          <w:rFonts w:hint="eastAsia" w:ascii="Times New Roman" w:hAnsi="Times New Roman" w:eastAsia="等线" w:cs="Times New Roman"/>
          <w:i/>
          <w:iCs/>
          <w:sz w:val="24"/>
          <w:szCs w:val="24"/>
        </w:rPr>
        <w:t>n</w:t>
      </w:r>
      <w:r>
        <w:rPr>
          <w:rFonts w:ascii="Times New Roman" w:hAnsi="Times New Roman" w:eastAsia="等线" w:cs="Times New Roman"/>
          <w:i/>
          <w:iCs/>
          <w:sz w:val="24"/>
          <w:szCs w:val="24"/>
        </w:rPr>
        <w:t xml:space="preserve"> = </w:t>
      </w:r>
      <w:r>
        <w:rPr>
          <w:rFonts w:hint="eastAsia" w:ascii="Times New Roman" w:hAnsi="Times New Roman" w:eastAsia="等线" w:cs="Times New Roman"/>
          <w:i/>
          <w:iCs/>
          <w:sz w:val="24"/>
          <w:szCs w:val="24"/>
        </w:rPr>
        <w:t>25,796</w:t>
      </w:r>
      <w:r>
        <w:rPr>
          <w:rFonts w:ascii="Times New Roman" w:hAnsi="Times New Roman" w:eastAsia="等线" w:cs="Times New Roman"/>
          <w:i/>
          <w:iCs/>
          <w:sz w:val="24"/>
          <w:szCs w:val="24"/>
        </w:rPr>
        <w:t xml:space="preserve">). A neuroimaging subset with available structural and diffusion measures (GMV, FA, MD) and complete imaging covariates (TICV, MCT, TSA) was used for mediation and moderated mediation analyses (final imaging sample: </w:t>
      </w:r>
      <w:r>
        <w:rPr>
          <w:rFonts w:hint="eastAsia" w:ascii="Times New Roman" w:hAnsi="Times New Roman" w:eastAsia="等线" w:cs="Times New Roman"/>
          <w:i/>
          <w:iCs/>
          <w:sz w:val="24"/>
          <w:szCs w:val="24"/>
        </w:rPr>
        <w:t xml:space="preserve">n = 7,044: </w:t>
      </w:r>
      <w:r>
        <w:rPr>
          <w:rFonts w:ascii="Times New Roman" w:hAnsi="Times New Roman" w:eastAsia="等线" w:cs="Times New Roman"/>
          <w:i/>
          <w:iCs/>
          <w:sz w:val="24"/>
          <w:szCs w:val="24"/>
        </w:rPr>
        <w:t>1,198 cases</w:t>
      </w:r>
      <w:r>
        <w:rPr>
          <w:rFonts w:hint="eastAsia" w:ascii="Times New Roman" w:hAnsi="Times New Roman" w:eastAsia="等线" w:cs="Times New Roman"/>
          <w:i/>
          <w:iCs/>
          <w:sz w:val="24"/>
          <w:szCs w:val="24"/>
        </w:rPr>
        <w:t xml:space="preserve"> and</w:t>
      </w:r>
      <w:r>
        <w:rPr>
          <w:rFonts w:ascii="Times New Roman" w:hAnsi="Times New Roman" w:eastAsia="等线" w:cs="Times New Roman"/>
          <w:i/>
          <w:iCs/>
          <w:sz w:val="24"/>
          <w:szCs w:val="24"/>
        </w:rPr>
        <w:t xml:space="preserve"> 5,846 controls). The </w:t>
      </w:r>
      <w:r>
        <w:rPr>
          <w:rFonts w:hint="eastAsia" w:ascii="Times New Roman" w:hAnsi="Times New Roman" w:eastAsia="等线" w:cs="Times New Roman"/>
          <w:i/>
          <w:iCs/>
          <w:sz w:val="24"/>
          <w:szCs w:val="24"/>
        </w:rPr>
        <w:t>BSRI</w:t>
      </w:r>
      <w:r>
        <w:rPr>
          <w:rFonts w:ascii="Times New Roman" w:hAnsi="Times New Roman" w:eastAsia="等线" w:cs="Times New Roman"/>
          <w:i/>
          <w:iCs/>
          <w:sz w:val="24"/>
          <w:szCs w:val="24"/>
        </w:rPr>
        <w:t xml:space="preserve"> was defined as the standardized residual from a normative gray</w:t>
      </w:r>
      <w:r>
        <w:rPr>
          <w:rFonts w:hint="eastAsia" w:ascii="Times New Roman" w:hAnsi="Times New Roman" w:eastAsia="等线" w:cs="Times New Roman"/>
          <w:i/>
          <w:iCs/>
          <w:sz w:val="24"/>
          <w:szCs w:val="24"/>
        </w:rPr>
        <w:t>-</w:t>
      </w:r>
      <w:r>
        <w:rPr>
          <w:rFonts w:ascii="Times New Roman" w:hAnsi="Times New Roman" w:eastAsia="等线" w:cs="Times New Roman"/>
          <w:i/>
          <w:iCs/>
          <w:sz w:val="24"/>
          <w:szCs w:val="24"/>
        </w:rPr>
        <w:t>white matter coupling model</w:t>
      </w:r>
      <w:r>
        <w:rPr>
          <w:rFonts w:hint="eastAsia" w:ascii="Times New Roman" w:hAnsi="Times New Roman" w:eastAsia="等线" w:cs="Times New Roman"/>
          <w:i/>
          <w:iCs/>
          <w:sz w:val="24"/>
          <w:szCs w:val="24"/>
        </w:rPr>
        <w:t xml:space="preserve"> (n = 5,846)</w:t>
      </w:r>
      <w:r>
        <w:rPr>
          <w:rFonts w:ascii="Times New Roman" w:hAnsi="Times New Roman" w:eastAsia="等线" w:cs="Times New Roman"/>
          <w:i/>
          <w:iCs/>
          <w:sz w:val="24"/>
          <w:szCs w:val="24"/>
        </w:rPr>
        <w:t xml:space="preserve"> (</w:t>
      </w:r>
      <w:r>
        <w:rPr>
          <w:rFonts w:hint="eastAsia" w:ascii="Times New Roman" w:hAnsi="Times New Roman" w:eastAsia="等线" w:cs="Times New Roman"/>
          <w:i/>
          <w:iCs/>
          <w:sz w:val="24"/>
          <w:szCs w:val="24"/>
        </w:rPr>
        <w:t>h</w:t>
      </w:r>
      <w:r>
        <w:rPr>
          <w:rFonts w:ascii="Times New Roman" w:hAnsi="Times New Roman" w:eastAsia="等线" w:cs="Times New Roman"/>
          <w:i/>
          <w:iCs/>
          <w:sz w:val="24"/>
          <w:szCs w:val="24"/>
        </w:rPr>
        <w:t>igher BSRI values indicate greater brain structural resilience).</w:t>
      </w:r>
      <w:r>
        <w:rPr>
          <w:rFonts w:hint="eastAsia" w:ascii="Times New Roman" w:hAnsi="Times New Roman" w:eastAsia="等线" w:cs="Times New Roman"/>
          <w:i/>
          <w:iCs/>
          <w:sz w:val="24"/>
          <w:szCs w:val="24"/>
        </w:rPr>
        <w:t xml:space="preserve"> </w:t>
      </w:r>
      <w:r>
        <w:rPr>
          <w:rFonts w:ascii="Times New Roman" w:hAnsi="Times New Roman" w:eastAsia="等线" w:cs="Times New Roman"/>
          <w:b/>
          <w:bCs/>
          <w:i/>
          <w:iCs/>
          <w:sz w:val="24"/>
          <w:szCs w:val="24"/>
        </w:rPr>
        <w:t>Abbreviations:</w:t>
      </w:r>
      <w:r>
        <w:rPr>
          <w:rFonts w:ascii="Times New Roman" w:hAnsi="Times New Roman" w:eastAsia="等线" w:cs="Times New Roman"/>
          <w:i/>
          <w:iCs/>
          <w:sz w:val="24"/>
          <w:szCs w:val="24"/>
        </w:rPr>
        <w:t xml:space="preserve"> IMD, Index of Multiple Deprivation; PCs, principal components; WQS, weighted quantile sum; ICD-10, International Classification of Diseases, 10th Revision; PSM, propensity score matching; GMV, gray matter volume; FA, fractional anisotropy; MD, mean diffusivity; TICV, total intracranial volume; MCT, mean cortical thickness; TSA, total surface area; BSRI, brain structural resilience index.</w:t>
      </w:r>
    </w:p>
    <w:p w14:paraId="6048429D">
      <w:pPr>
        <w:suppressAutoHyphens/>
        <w:spacing w:line="360" w:lineRule="auto"/>
        <w:rPr>
          <w:rFonts w:ascii="Times New Roman" w:hAnsi="Times New Roman" w:eastAsia="等线" w:cs="Times New Roman"/>
          <w:i/>
          <w:iCs/>
          <w:sz w:val="24"/>
          <w:szCs w:val="24"/>
        </w:rPr>
      </w:pPr>
    </w:p>
    <w:p w14:paraId="50F0C029">
      <w:pPr>
        <w:suppressAutoHyphens/>
        <w:spacing w:line="360" w:lineRule="auto"/>
        <w:rPr>
          <w:rFonts w:ascii="Times New Roman" w:hAnsi="Times New Roman" w:cs="Times New Roman"/>
          <w:sz w:val="24"/>
          <w:szCs w:val="24"/>
          <w14:ligatures w14:val="none"/>
        </w:rPr>
      </w:pPr>
    </w:p>
    <w:p w14:paraId="7A334ED5">
      <w:pPr>
        <w:suppressAutoHyphens/>
        <w:spacing w:line="360" w:lineRule="auto"/>
        <w:rPr>
          <w:rFonts w:ascii="Times New Roman" w:hAnsi="Times New Roman" w:cs="Times New Roman"/>
          <w:sz w:val="24"/>
          <w:szCs w:val="24"/>
        </w:rPr>
      </w:pPr>
      <w:r>
        <w:rPr>
          <w:rFonts w:ascii="Times New Roman" w:hAnsi="Times New Roman" w:cs="Times New Roman"/>
          <w:sz w:val="24"/>
          <w:szCs w:val="24"/>
          <w14:ligatures w14:val="none"/>
        </w:rPr>
        <w:drawing>
          <wp:inline distT="0" distB="0" distL="0" distR="0">
            <wp:extent cx="5835650" cy="1972310"/>
            <wp:effectExtent l="0" t="0" r="0" b="8890"/>
            <wp:docPr id="956082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8279"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42325" cy="1974405"/>
                    </a:xfrm>
                    <a:prstGeom prst="rect">
                      <a:avLst/>
                    </a:prstGeom>
                  </pic:spPr>
                </pic:pic>
              </a:graphicData>
            </a:graphic>
          </wp:inline>
        </w:drawing>
      </w:r>
    </w:p>
    <w:p w14:paraId="3F08D776">
      <w:pPr>
        <w:spacing w:line="480" w:lineRule="auto"/>
        <w:rPr>
          <w:rFonts w:ascii="Times New Roman" w:hAnsi="Times New Roman" w:eastAsia="等线" w:cs="Times New Roman"/>
          <w:i/>
          <w:iCs/>
          <w:sz w:val="24"/>
          <w:szCs w:val="24"/>
        </w:rPr>
      </w:pPr>
      <w:r>
        <w:rPr>
          <w:rFonts w:ascii="Times New Roman" w:hAnsi="Times New Roman" w:cs="Times New Roman"/>
          <w:b/>
          <w:bCs/>
          <w:i/>
          <w:iCs/>
          <w:color w:val="000000" w:themeColor="text1"/>
          <w:sz w:val="24"/>
          <w:szCs w:val="24"/>
          <w14:textFill>
            <w14:solidFill>
              <w14:schemeClr w14:val="tx1"/>
            </w14:solidFill>
          </w14:textFill>
        </w:rPr>
        <w:t xml:space="preserve">Supplementary </w:t>
      </w:r>
      <w:r>
        <w:rPr>
          <w:rFonts w:hint="eastAsia" w:ascii="Times New Roman" w:hAnsi="Times New Roman" w:cs="Times New Roman"/>
          <w:b/>
          <w:bCs/>
          <w:i/>
          <w:iCs/>
          <w:color w:val="000000" w:themeColor="text1"/>
          <w:sz w:val="24"/>
          <w:szCs w:val="24"/>
          <w14:textFill>
            <w14:solidFill>
              <w14:schemeClr w14:val="tx1"/>
            </w14:solidFill>
          </w14:textFill>
        </w:rPr>
        <w:t>F</w:t>
      </w:r>
      <w:r>
        <w:rPr>
          <w:rFonts w:ascii="Times New Roman" w:hAnsi="Times New Roman" w:cs="Times New Roman"/>
          <w:b/>
          <w:bCs/>
          <w:i/>
          <w:iCs/>
          <w:color w:val="000000" w:themeColor="text1"/>
          <w:sz w:val="24"/>
          <w:szCs w:val="24"/>
          <w14:textFill>
            <w14:solidFill>
              <w14:schemeClr w14:val="tx1"/>
            </w14:solidFill>
          </w14:textFill>
        </w:rPr>
        <w:t>ig</w:t>
      </w:r>
      <w:r>
        <w:rPr>
          <w:rFonts w:hint="eastAsia" w:ascii="Times New Roman" w:hAnsi="Times New Roman" w:cs="Times New Roman"/>
          <w:b/>
          <w:bCs/>
          <w:i/>
          <w:iCs/>
          <w:color w:val="000000" w:themeColor="text1"/>
          <w:sz w:val="24"/>
          <w:szCs w:val="24"/>
          <w14:textFill>
            <w14:solidFill>
              <w14:schemeClr w14:val="tx1"/>
            </w14:solidFill>
          </w14:textFill>
        </w:rPr>
        <w:t>ure 3</w:t>
      </w:r>
      <w:r>
        <w:rPr>
          <w:rFonts w:ascii="Times New Roman" w:hAnsi="Times New Roman" w:cs="Times New Roman"/>
          <w:b/>
          <w:bCs/>
          <w:i/>
          <w:iCs/>
          <w:sz w:val="24"/>
          <w:szCs w:val="24"/>
        </w:rPr>
        <w:t xml:space="preserve"> | </w:t>
      </w:r>
      <w:r>
        <w:rPr>
          <w:rFonts w:ascii="Times New Roman" w:hAnsi="Times New Roman" w:eastAsia="等线" w:cs="Times New Roman"/>
          <w:b/>
          <w:bCs/>
          <w:i/>
          <w:iCs/>
          <w:sz w:val="24"/>
          <w:szCs w:val="24"/>
        </w:rPr>
        <w:t>Spatial distribution of water mineral exposures and covariate-adjusted associations with depressive symptoms.</w:t>
      </w:r>
      <w:r>
        <w:rPr>
          <w:rFonts w:hint="eastAsia" w:ascii="Times New Roman" w:hAnsi="Times New Roman" w:eastAsia="等线" w:cs="Times New Roman"/>
          <w:b/>
          <w:bCs/>
          <w:i/>
          <w:iCs/>
          <w:sz w:val="24"/>
          <w:szCs w:val="24"/>
        </w:rPr>
        <w:t xml:space="preserve"> </w:t>
      </w:r>
      <w:r>
        <w:rPr>
          <w:rFonts w:ascii="Times New Roman" w:hAnsi="Times New Roman" w:eastAsia="等线" w:cs="Times New Roman"/>
          <w:i/>
          <w:iCs/>
          <w:sz w:val="24"/>
          <w:szCs w:val="24"/>
        </w:rPr>
        <w:t>Panels</w:t>
      </w:r>
      <w:r>
        <w:rPr>
          <w:rFonts w:hint="eastAsia" w:ascii="Times New Roman" w:hAnsi="Times New Roman" w:eastAsia="等线" w:cs="Times New Roman"/>
          <w:i/>
          <w:iCs/>
          <w:sz w:val="24"/>
          <w:szCs w:val="24"/>
        </w:rPr>
        <w:t>(left)</w:t>
      </w:r>
      <w:r>
        <w:rPr>
          <w:rFonts w:ascii="Times New Roman" w:hAnsi="Times New Roman" w:eastAsia="等线" w:cs="Times New Roman"/>
          <w:i/>
          <w:iCs/>
          <w:sz w:val="24"/>
          <w:szCs w:val="24"/>
        </w:rPr>
        <w:t xml:space="preserve"> show the spatial distribution of Mg concentration across the United Kingdom. Panels</w:t>
      </w:r>
      <w:r>
        <w:rPr>
          <w:rFonts w:hint="eastAsia" w:ascii="Times New Roman" w:hAnsi="Times New Roman" w:eastAsia="等线" w:cs="Times New Roman"/>
          <w:i/>
          <w:iCs/>
          <w:sz w:val="24"/>
          <w:szCs w:val="24"/>
        </w:rPr>
        <w:t xml:space="preserve"> </w:t>
      </w:r>
      <w:r>
        <w:rPr>
          <w:rFonts w:ascii="Times New Roman" w:hAnsi="Times New Roman" w:eastAsia="等线" w:cs="Times New Roman"/>
          <w:i/>
          <w:iCs/>
          <w:sz w:val="24"/>
          <w:szCs w:val="24"/>
        </w:rPr>
        <w:t xml:space="preserve">(middle–right) display the associations between </w:t>
      </w:r>
      <w:r>
        <w:rPr>
          <w:rFonts w:hint="eastAsia" w:ascii="Times New Roman" w:hAnsi="Times New Roman" w:eastAsia="等线" w:cs="Times New Roman"/>
          <w:i/>
          <w:iCs/>
          <w:sz w:val="24"/>
          <w:szCs w:val="24"/>
        </w:rPr>
        <w:t>Mg</w:t>
      </w:r>
      <w:r>
        <w:rPr>
          <w:rFonts w:ascii="Times New Roman" w:hAnsi="Times New Roman" w:eastAsia="等线" w:cs="Times New Roman"/>
          <w:i/>
          <w:iCs/>
          <w:sz w:val="24"/>
          <w:szCs w:val="24"/>
        </w:rPr>
        <w:t xml:space="preserve"> concentration and depressive symptoms in the discovery (middle) and replication (right) samples.</w:t>
      </w:r>
      <w:r>
        <w:rPr>
          <w:rFonts w:hint="eastAsia" w:ascii="Times New Roman" w:hAnsi="Times New Roman" w:eastAsia="等线" w:cs="Times New Roman"/>
          <w:i/>
          <w:iCs/>
          <w:sz w:val="24"/>
          <w:szCs w:val="24"/>
        </w:rPr>
        <w:t xml:space="preserve"> P</w:t>
      </w:r>
      <w:r>
        <w:rPr>
          <w:rFonts w:ascii="Times New Roman" w:hAnsi="Times New Roman" w:eastAsia="等线" w:cs="Times New Roman"/>
          <w:i/>
          <w:iCs/>
          <w:sz w:val="24"/>
          <w:szCs w:val="24"/>
        </w:rPr>
        <w:t>oints represent bin-averaged depressive symptoms (mean Y) within 0.25-wide bins of exposure (mean X</w:t>
      </w:r>
      <w:r>
        <w:rPr>
          <w:rFonts w:hint="eastAsia" w:ascii="Times New Roman" w:hAnsi="Times New Roman" w:eastAsia="等线" w:cs="Times New Roman"/>
          <w:i/>
          <w:iCs/>
          <w:sz w:val="24"/>
          <w:szCs w:val="24"/>
        </w:rPr>
        <w:t>; Mg</w:t>
      </w:r>
      <w:r>
        <w:rPr>
          <w:rFonts w:ascii="Times New Roman" w:hAnsi="Times New Roman" w:eastAsia="等线" w:cs="Times New Roman"/>
          <w:i/>
          <w:iCs/>
          <w:sz w:val="24"/>
          <w:szCs w:val="24"/>
        </w:rPr>
        <w:t>) to reduce overplotting; the solid line indicates the fitted linear association estimated from the full</w:t>
      </w:r>
      <w:r>
        <w:rPr>
          <w:rFonts w:hint="eastAsia" w:ascii="Times New Roman" w:hAnsi="Times New Roman" w:eastAsia="等线" w:cs="Times New Roman"/>
          <w:i/>
          <w:iCs/>
          <w:sz w:val="24"/>
          <w:szCs w:val="24"/>
        </w:rPr>
        <w:t xml:space="preserve"> </w:t>
      </w:r>
      <w:r>
        <w:rPr>
          <w:rFonts w:ascii="Times New Roman" w:hAnsi="Times New Roman" w:eastAsia="等线" w:cs="Times New Roman"/>
          <w:i/>
          <w:iCs/>
          <w:sz w:val="24"/>
          <w:szCs w:val="24"/>
        </w:rPr>
        <w:t>sample using multivariable regression models adjusted for covariates, with the shaded band denoting the 95% confidence interval. Reported β coefficients and P values correspond to the covariate-adjusted models.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829"/>
    <w:rsid w:val="00050C55"/>
    <w:rsid w:val="00055963"/>
    <w:rsid w:val="000662C0"/>
    <w:rsid w:val="000A48BD"/>
    <w:rsid w:val="00131B47"/>
    <w:rsid w:val="0014255F"/>
    <w:rsid w:val="0016344D"/>
    <w:rsid w:val="00171D2F"/>
    <w:rsid w:val="00174752"/>
    <w:rsid w:val="001D6247"/>
    <w:rsid w:val="00215A3E"/>
    <w:rsid w:val="0028474C"/>
    <w:rsid w:val="00285BCE"/>
    <w:rsid w:val="0034114E"/>
    <w:rsid w:val="00471332"/>
    <w:rsid w:val="005155D9"/>
    <w:rsid w:val="0066619A"/>
    <w:rsid w:val="007228ED"/>
    <w:rsid w:val="00765261"/>
    <w:rsid w:val="00952EA8"/>
    <w:rsid w:val="00995912"/>
    <w:rsid w:val="00A80684"/>
    <w:rsid w:val="00AB38B0"/>
    <w:rsid w:val="00AF2A70"/>
    <w:rsid w:val="00B17C7E"/>
    <w:rsid w:val="00B94A50"/>
    <w:rsid w:val="00C54E01"/>
    <w:rsid w:val="00C7358F"/>
    <w:rsid w:val="00CB57D7"/>
    <w:rsid w:val="00D51229"/>
    <w:rsid w:val="00D674CA"/>
    <w:rsid w:val="00D94ECC"/>
    <w:rsid w:val="00D95598"/>
    <w:rsid w:val="00DE2D67"/>
    <w:rsid w:val="00E06829"/>
    <w:rsid w:val="00F65AD5"/>
    <w:rsid w:val="011C5C61"/>
    <w:rsid w:val="029D518A"/>
    <w:rsid w:val="05F1156C"/>
    <w:rsid w:val="0D662D48"/>
    <w:rsid w:val="1D8334A3"/>
    <w:rsid w:val="1EB853CE"/>
    <w:rsid w:val="27332D61"/>
    <w:rsid w:val="2BDA4BD6"/>
    <w:rsid w:val="2C6A6E1B"/>
    <w:rsid w:val="2D511343"/>
    <w:rsid w:val="2D685135"/>
    <w:rsid w:val="2E2B29FC"/>
    <w:rsid w:val="340053F5"/>
    <w:rsid w:val="361A5F5D"/>
    <w:rsid w:val="39BD34C1"/>
    <w:rsid w:val="3B0E716A"/>
    <w:rsid w:val="40172161"/>
    <w:rsid w:val="403D74F7"/>
    <w:rsid w:val="40DA29A7"/>
    <w:rsid w:val="465E7D59"/>
    <w:rsid w:val="493D5513"/>
    <w:rsid w:val="52BD7FDF"/>
    <w:rsid w:val="54D43EE4"/>
    <w:rsid w:val="5A063515"/>
    <w:rsid w:val="5A832B81"/>
    <w:rsid w:val="64B960B5"/>
    <w:rsid w:val="665D4746"/>
    <w:rsid w:val="6B296E17"/>
    <w:rsid w:val="6C603B6A"/>
    <w:rsid w:val="6EB4610F"/>
    <w:rsid w:val="75E308CD"/>
    <w:rsid w:val="787A3D0F"/>
    <w:rsid w:val="7A221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tabs>
        <w:tab w:val="center" w:pos="4153"/>
        <w:tab w:val="right" w:pos="8306"/>
      </w:tabs>
      <w:snapToGrid w:val="0"/>
      <w:jc w:val="center"/>
    </w:pPr>
    <w:rPr>
      <w:sz w:val="18"/>
      <w:szCs w:val="18"/>
    </w:rPr>
  </w:style>
  <w:style w:type="paragraph" w:styleId="6">
    <w:name w:val="Normal (Web)"/>
    <w:basedOn w:val="1"/>
    <w:qFormat/>
    <w:uiPriority w:val="0"/>
    <w:rPr>
      <w:rFonts w:ascii="Times New Roman" w:hAnsi="Times New Roman" w:cs="Times New Roman"/>
      <w:sz w:val="24"/>
      <w:szCs w:val="24"/>
    </w:rPr>
  </w:style>
  <w:style w:type="character" w:styleId="9">
    <w:name w:val="Hyperlink"/>
    <w:basedOn w:val="8"/>
    <w:unhideWhenUsed/>
    <w:qFormat/>
    <w:uiPriority w:val="99"/>
    <w:rPr>
      <w:color w:val="0026E5" w:themeColor="hyperlink"/>
      <w:u w:val="single"/>
      <w14:textFill>
        <w14:solidFill>
          <w14:schemeClr w14:val="hlink"/>
        </w14:solidFill>
      </w14:textFill>
    </w:rPr>
  </w:style>
  <w:style w:type="character" w:styleId="10">
    <w:name w:val="annotation reference"/>
    <w:basedOn w:val="8"/>
    <w:qFormat/>
    <w:uiPriority w:val="0"/>
    <w:rPr>
      <w:sz w:val="21"/>
      <w:szCs w:val="21"/>
    </w:rPr>
  </w:style>
  <w:style w:type="character" w:customStyle="1" w:styleId="11">
    <w:name w:val="页眉 字符"/>
    <w:basedOn w:val="8"/>
    <w:link w:val="5"/>
    <w:qFormat/>
    <w:uiPriority w:val="0"/>
    <w:rPr>
      <w:kern w:val="2"/>
      <w:sz w:val="18"/>
      <w:szCs w:val="18"/>
      <w14:ligatures w14:val="standardContextual"/>
    </w:rPr>
  </w:style>
  <w:style w:type="character" w:customStyle="1" w:styleId="12">
    <w:name w:val="页脚 字符"/>
    <w:basedOn w:val="8"/>
    <w:link w:val="4"/>
    <w:qFormat/>
    <w:uiPriority w:val="0"/>
    <w:rPr>
      <w:kern w:val="2"/>
      <w:sz w:val="18"/>
      <w:szCs w:val="18"/>
      <w14:ligatures w14:val="standardContextual"/>
    </w:rPr>
  </w:style>
  <w:style w:type="paragraph" w:customStyle="1" w:styleId="13">
    <w:name w:val="修订1"/>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9D7B4-8389-4C2D-A7DE-E1A957C3D3C4}">
  <ds:schemaRefs/>
</ds:datastoreItem>
</file>

<file path=docProps/app.xml><?xml version="1.0" encoding="utf-8"?>
<Properties xmlns="http://schemas.openxmlformats.org/officeDocument/2006/extended-properties" xmlns:vt="http://schemas.openxmlformats.org/officeDocument/2006/docPropsVTypes">
  <Template>Normal</Template>
  <Pages>5</Pages>
  <Words>800</Words>
  <Characters>5140</Characters>
  <Lines>87</Lines>
  <Paragraphs>19</Paragraphs>
  <TotalTime>0</TotalTime>
  <ScaleCrop>false</ScaleCrop>
  <LinksUpToDate>false</LinksUpToDate>
  <CharactersWithSpaces>5928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2026-01-06T02:46:00Z</dcterms:created>
  <dc:creator>Administrator</dc:creator>
  <cp:lastModifiedBy>我是一只柴柴</cp:lastModifiedBy>
  <dcterms:modified xsi:type="dcterms:W3CDTF">2026-05-08T02:46:37Z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eyJoZGlkIjoiOTExMDJlNTdkYzhkYmM0MWI4ZWFlZTg3ZWE3ZDFhOGMiLCJ1c2VySWQiOiI3MDYwNjcxNTMifQ==</vt:lpwstr>
  </property>
  <property fmtid="{D5CDD505-2E9C-101B-9397-08002B2CF9AE}" pid="4" name="ICV">
    <vt:lpwstr>0AE185AD2D594AFEB06EC3CF6B1A025C_12</vt:lpwstr>
  </property>
</Properties>
</file>