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C1B" w:rsidRDefault="00B60C1B" w:rsidP="00B60C1B">
      <w:pPr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Supplementary Tables</w:t>
      </w:r>
    </w:p>
    <w:p w:rsid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center"/>
        <w:rPr>
          <w:rFonts w:ascii="Times New Roman" w:hAnsi="Times New Roman"/>
          <w:spacing w:val="15"/>
          <w:sz w:val="19"/>
          <w:szCs w:val="19"/>
        </w:rPr>
      </w:pPr>
      <w:r>
        <w:rPr>
          <w:rFonts w:ascii="Times New Roman" w:hAnsi="Times New Roman"/>
          <w:spacing w:val="15"/>
          <w:sz w:val="19"/>
          <w:szCs w:val="19"/>
        </w:rPr>
        <w:t>Supplementary Table 1. MiRNAs that reduce the invasiveness of tumor cells</w:t>
      </w:r>
    </w:p>
    <w:tbl>
      <w:tblPr>
        <w:tblpPr w:leftFromText="180" w:rightFromText="180" w:vertAnchor="text" w:horzAnchor="page" w:tblpX="1821" w:tblpY="33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91"/>
        <w:gridCol w:w="1505"/>
        <w:gridCol w:w="1498"/>
        <w:gridCol w:w="1498"/>
        <w:gridCol w:w="1464"/>
        <w:gridCol w:w="1581"/>
      </w:tblGrid>
      <w:tr w:rsidR="00B60C1B" w:rsidTr="0098464B">
        <w:trPr>
          <w:trHeight w:val="310"/>
        </w:trPr>
        <w:tc>
          <w:tcPr>
            <w:tcW w:w="8737" w:type="dxa"/>
            <w:gridSpan w:val="6"/>
            <w:tcBorders>
              <w:top w:val="single" w:sz="4" w:space="0" w:color="000000"/>
            </w:tcBorders>
          </w:tcPr>
          <w:p w:rsidR="00B60C1B" w:rsidRDefault="00B60C1B" w:rsidP="0098464B">
            <w:pPr>
              <w:pStyle w:val="TableParagraph"/>
              <w:tabs>
                <w:tab w:val="left" w:pos="4091"/>
                <w:tab w:val="left" w:pos="8739"/>
              </w:tabs>
              <w:spacing w:before="76"/>
              <w:ind w:left="14" w:right="-15"/>
              <w:rPr>
                <w:sz w:val="18"/>
              </w:rPr>
            </w:pPr>
            <w:r>
              <w:rPr>
                <w:w w:val="101"/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  <w:t>miRNA</w:t>
            </w:r>
            <w:r>
              <w:rPr>
                <w:sz w:val="18"/>
                <w:u w:val="single"/>
              </w:rPr>
              <w:tab/>
            </w:r>
          </w:p>
        </w:tc>
      </w:tr>
      <w:tr w:rsidR="00B60C1B" w:rsidTr="0098464B">
        <w:trPr>
          <w:trHeight w:val="288"/>
        </w:trPr>
        <w:tc>
          <w:tcPr>
            <w:tcW w:w="1191" w:type="dxa"/>
          </w:tcPr>
          <w:p w:rsidR="00B60C1B" w:rsidRDefault="00B60C1B" w:rsidP="0098464B">
            <w:pPr>
              <w:pStyle w:val="TableParagraph"/>
              <w:spacing w:before="59"/>
              <w:ind w:left="125"/>
              <w:rPr>
                <w:sz w:val="18"/>
              </w:rPr>
            </w:pPr>
            <w:r>
              <w:rPr>
                <w:sz w:val="18"/>
              </w:rPr>
              <w:t>miR-145</w:t>
            </w:r>
          </w:p>
        </w:tc>
        <w:tc>
          <w:tcPr>
            <w:tcW w:w="1505" w:type="dxa"/>
          </w:tcPr>
          <w:p w:rsidR="00B60C1B" w:rsidRDefault="00B60C1B" w:rsidP="0098464B">
            <w:pPr>
              <w:pStyle w:val="TableParagraph"/>
              <w:spacing w:before="59"/>
              <w:ind w:left="331"/>
              <w:rPr>
                <w:sz w:val="18"/>
              </w:rPr>
            </w:pPr>
            <w:r>
              <w:rPr>
                <w:sz w:val="18"/>
              </w:rPr>
              <w:t>miR-137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59"/>
              <w:ind w:left="291"/>
              <w:rPr>
                <w:sz w:val="18"/>
              </w:rPr>
            </w:pPr>
            <w:r>
              <w:rPr>
                <w:sz w:val="18"/>
              </w:rPr>
              <w:t>miR-182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20"/>
              <w:ind w:left="324"/>
              <w:rPr>
                <w:sz w:val="18"/>
              </w:rPr>
            </w:pPr>
            <w:r>
              <w:rPr>
                <w:sz w:val="18"/>
              </w:rPr>
              <w:t>miR-342</w:t>
            </w:r>
          </w:p>
        </w:tc>
        <w:tc>
          <w:tcPr>
            <w:tcW w:w="1464" w:type="dxa"/>
          </w:tcPr>
          <w:p w:rsidR="00B60C1B" w:rsidRDefault="00B60C1B" w:rsidP="0098464B">
            <w:pPr>
              <w:pStyle w:val="TableParagraph"/>
              <w:spacing w:before="20"/>
              <w:ind w:left="291"/>
              <w:rPr>
                <w:sz w:val="18"/>
              </w:rPr>
            </w:pPr>
            <w:r>
              <w:rPr>
                <w:sz w:val="18"/>
              </w:rPr>
              <w:t>miR-152</w:t>
            </w:r>
          </w:p>
        </w:tc>
        <w:tc>
          <w:tcPr>
            <w:tcW w:w="1581" w:type="dxa"/>
          </w:tcPr>
          <w:p w:rsidR="00B60C1B" w:rsidRDefault="00B60C1B" w:rsidP="0098464B">
            <w:pPr>
              <w:pStyle w:val="TableParagraph"/>
              <w:spacing w:before="20"/>
              <w:ind w:left="291"/>
              <w:rPr>
                <w:sz w:val="18"/>
              </w:rPr>
            </w:pPr>
            <w:r>
              <w:rPr>
                <w:sz w:val="18"/>
              </w:rPr>
              <w:t>miR-200</w:t>
            </w:r>
          </w:p>
        </w:tc>
      </w:tr>
      <w:tr w:rsidR="00B60C1B" w:rsidTr="0098464B">
        <w:trPr>
          <w:trHeight w:val="288"/>
        </w:trPr>
        <w:tc>
          <w:tcPr>
            <w:tcW w:w="1191" w:type="dxa"/>
          </w:tcPr>
          <w:p w:rsidR="00B60C1B" w:rsidRDefault="00B60C1B" w:rsidP="0098464B">
            <w:pPr>
              <w:pStyle w:val="TableParagraph"/>
              <w:spacing w:before="59"/>
              <w:ind w:left="125"/>
              <w:rPr>
                <w:sz w:val="18"/>
              </w:rPr>
            </w:pPr>
            <w:r>
              <w:rPr>
                <w:sz w:val="18"/>
              </w:rPr>
              <w:t>miR-218</w:t>
            </w:r>
          </w:p>
        </w:tc>
        <w:tc>
          <w:tcPr>
            <w:tcW w:w="1505" w:type="dxa"/>
          </w:tcPr>
          <w:p w:rsidR="00B60C1B" w:rsidRDefault="00B60C1B" w:rsidP="0098464B">
            <w:pPr>
              <w:pStyle w:val="TableParagraph"/>
              <w:spacing w:before="59"/>
              <w:ind w:left="331"/>
              <w:rPr>
                <w:sz w:val="18"/>
              </w:rPr>
            </w:pPr>
            <w:r>
              <w:rPr>
                <w:sz w:val="18"/>
              </w:rPr>
              <w:t>miR-138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59"/>
              <w:ind w:left="291"/>
              <w:rPr>
                <w:sz w:val="18"/>
              </w:rPr>
            </w:pPr>
            <w:r>
              <w:rPr>
                <w:sz w:val="18"/>
              </w:rPr>
              <w:t>miR-195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324"/>
              <w:rPr>
                <w:sz w:val="18"/>
              </w:rPr>
            </w:pPr>
            <w:r>
              <w:rPr>
                <w:sz w:val="18"/>
              </w:rPr>
              <w:t>miR-34a</w:t>
            </w:r>
          </w:p>
        </w:tc>
        <w:tc>
          <w:tcPr>
            <w:tcW w:w="1464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miR-218</w:t>
            </w:r>
          </w:p>
        </w:tc>
        <w:tc>
          <w:tcPr>
            <w:tcW w:w="1581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miR-206</w:t>
            </w:r>
          </w:p>
        </w:tc>
      </w:tr>
      <w:tr w:rsidR="00B60C1B" w:rsidTr="0098464B">
        <w:trPr>
          <w:trHeight w:val="283"/>
        </w:trPr>
        <w:tc>
          <w:tcPr>
            <w:tcW w:w="1191" w:type="dxa"/>
          </w:tcPr>
          <w:p w:rsidR="00B60C1B" w:rsidRDefault="00B60C1B" w:rsidP="0098464B">
            <w:pPr>
              <w:pStyle w:val="TableParagraph"/>
              <w:spacing w:before="54"/>
              <w:ind w:left="125"/>
              <w:rPr>
                <w:sz w:val="18"/>
              </w:rPr>
            </w:pPr>
            <w:r>
              <w:rPr>
                <w:sz w:val="18"/>
              </w:rPr>
              <w:t>miR-381</w:t>
            </w:r>
          </w:p>
        </w:tc>
        <w:tc>
          <w:tcPr>
            <w:tcW w:w="1505" w:type="dxa"/>
          </w:tcPr>
          <w:p w:rsidR="00B60C1B" w:rsidRDefault="00B60C1B" w:rsidP="0098464B">
            <w:pPr>
              <w:pStyle w:val="TableParagraph"/>
              <w:spacing w:before="54"/>
              <w:ind w:left="331"/>
              <w:rPr>
                <w:sz w:val="18"/>
              </w:rPr>
            </w:pPr>
            <w:r>
              <w:rPr>
                <w:sz w:val="18"/>
              </w:rPr>
              <w:t>miR-142-3p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miR-198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324"/>
              <w:rPr>
                <w:sz w:val="18"/>
              </w:rPr>
            </w:pPr>
            <w:r>
              <w:rPr>
                <w:sz w:val="18"/>
              </w:rPr>
              <w:t>miR-375</w:t>
            </w:r>
          </w:p>
        </w:tc>
        <w:tc>
          <w:tcPr>
            <w:tcW w:w="1464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miR-330-5p</w:t>
            </w:r>
          </w:p>
        </w:tc>
        <w:tc>
          <w:tcPr>
            <w:tcW w:w="1581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miR-222</w:t>
            </w:r>
          </w:p>
        </w:tc>
      </w:tr>
      <w:tr w:rsidR="00B60C1B" w:rsidTr="0098464B">
        <w:trPr>
          <w:trHeight w:val="285"/>
        </w:trPr>
        <w:tc>
          <w:tcPr>
            <w:tcW w:w="1191" w:type="dxa"/>
          </w:tcPr>
          <w:p w:rsidR="00B60C1B" w:rsidRDefault="00B60C1B" w:rsidP="0098464B">
            <w:pPr>
              <w:pStyle w:val="TableParagraph"/>
              <w:spacing w:before="54"/>
              <w:ind w:left="125"/>
              <w:rPr>
                <w:sz w:val="18"/>
              </w:rPr>
            </w:pPr>
            <w:r>
              <w:rPr>
                <w:sz w:val="18"/>
              </w:rPr>
              <w:t>miR-520h</w:t>
            </w:r>
          </w:p>
        </w:tc>
        <w:tc>
          <w:tcPr>
            <w:tcW w:w="1505" w:type="dxa"/>
          </w:tcPr>
          <w:p w:rsidR="00B60C1B" w:rsidRDefault="00B60C1B" w:rsidP="0098464B">
            <w:pPr>
              <w:pStyle w:val="TableParagraph"/>
              <w:spacing w:before="54"/>
              <w:ind w:left="331"/>
              <w:rPr>
                <w:sz w:val="18"/>
              </w:rPr>
            </w:pPr>
            <w:r>
              <w:rPr>
                <w:sz w:val="18"/>
              </w:rPr>
              <w:t>miR-143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miR-200a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324"/>
              <w:rPr>
                <w:sz w:val="18"/>
              </w:rPr>
            </w:pPr>
            <w:r>
              <w:rPr>
                <w:sz w:val="18"/>
              </w:rPr>
              <w:t>miR-381</w:t>
            </w:r>
          </w:p>
        </w:tc>
        <w:tc>
          <w:tcPr>
            <w:tcW w:w="1464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miR-340</w:t>
            </w:r>
          </w:p>
        </w:tc>
        <w:tc>
          <w:tcPr>
            <w:tcW w:w="1581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miR-23b</w:t>
            </w:r>
          </w:p>
        </w:tc>
      </w:tr>
      <w:tr w:rsidR="00B60C1B" w:rsidTr="0098464B">
        <w:trPr>
          <w:trHeight w:val="285"/>
        </w:trPr>
        <w:tc>
          <w:tcPr>
            <w:tcW w:w="1191" w:type="dxa"/>
          </w:tcPr>
          <w:p w:rsidR="00B60C1B" w:rsidRDefault="00B60C1B" w:rsidP="0098464B">
            <w:pPr>
              <w:pStyle w:val="TableParagraph"/>
              <w:spacing w:before="57"/>
              <w:ind w:left="125"/>
              <w:rPr>
                <w:sz w:val="18"/>
              </w:rPr>
            </w:pPr>
            <w:r>
              <w:rPr>
                <w:sz w:val="18"/>
              </w:rPr>
              <w:t>miR-373</w:t>
            </w:r>
          </w:p>
        </w:tc>
        <w:tc>
          <w:tcPr>
            <w:tcW w:w="1505" w:type="dxa"/>
          </w:tcPr>
          <w:p w:rsidR="00B60C1B" w:rsidRDefault="00B60C1B" w:rsidP="0098464B">
            <w:pPr>
              <w:pStyle w:val="TableParagraph"/>
              <w:spacing w:before="57"/>
              <w:ind w:left="331"/>
              <w:rPr>
                <w:sz w:val="18"/>
              </w:rPr>
            </w:pPr>
            <w:r>
              <w:rPr>
                <w:sz w:val="18"/>
              </w:rPr>
              <w:t>miR-144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8"/>
              <w:ind w:left="291"/>
              <w:rPr>
                <w:sz w:val="18"/>
              </w:rPr>
            </w:pPr>
            <w:r>
              <w:rPr>
                <w:sz w:val="18"/>
              </w:rPr>
              <w:t>miR-218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8"/>
              <w:ind w:left="324"/>
              <w:rPr>
                <w:sz w:val="18"/>
              </w:rPr>
            </w:pPr>
            <w:r>
              <w:rPr>
                <w:sz w:val="18"/>
              </w:rPr>
              <w:t>miR-409</w:t>
            </w:r>
          </w:p>
        </w:tc>
        <w:tc>
          <w:tcPr>
            <w:tcW w:w="1464" w:type="dxa"/>
          </w:tcPr>
          <w:p w:rsidR="00B60C1B" w:rsidRDefault="00B60C1B" w:rsidP="0098464B">
            <w:pPr>
              <w:pStyle w:val="TableParagraph"/>
              <w:spacing w:before="18"/>
              <w:ind w:left="291"/>
              <w:rPr>
                <w:sz w:val="18"/>
              </w:rPr>
            </w:pPr>
            <w:r>
              <w:rPr>
                <w:sz w:val="18"/>
              </w:rPr>
              <w:t>miR-491-5p</w:t>
            </w:r>
          </w:p>
        </w:tc>
        <w:tc>
          <w:tcPr>
            <w:tcW w:w="1581" w:type="dxa"/>
          </w:tcPr>
          <w:p w:rsidR="00B60C1B" w:rsidRDefault="00B60C1B" w:rsidP="0098464B">
            <w:pPr>
              <w:pStyle w:val="TableParagraph"/>
              <w:spacing w:before="18"/>
              <w:ind w:left="291"/>
              <w:rPr>
                <w:sz w:val="18"/>
              </w:rPr>
            </w:pPr>
            <w:r>
              <w:rPr>
                <w:sz w:val="18"/>
              </w:rPr>
              <w:t>miR-224</w:t>
            </w:r>
          </w:p>
        </w:tc>
      </w:tr>
      <w:tr w:rsidR="00B60C1B" w:rsidTr="0098464B">
        <w:trPr>
          <w:trHeight w:val="283"/>
        </w:trPr>
        <w:tc>
          <w:tcPr>
            <w:tcW w:w="1191" w:type="dxa"/>
          </w:tcPr>
          <w:p w:rsidR="00B60C1B" w:rsidRDefault="00B60C1B" w:rsidP="0098464B">
            <w:pPr>
              <w:pStyle w:val="TableParagraph"/>
              <w:spacing w:before="54"/>
              <w:ind w:left="125"/>
              <w:rPr>
                <w:sz w:val="18"/>
              </w:rPr>
            </w:pPr>
            <w:r>
              <w:rPr>
                <w:sz w:val="18"/>
              </w:rPr>
              <w:t>miR-125a</w:t>
            </w:r>
          </w:p>
        </w:tc>
        <w:tc>
          <w:tcPr>
            <w:tcW w:w="1505" w:type="dxa"/>
          </w:tcPr>
          <w:p w:rsidR="00B60C1B" w:rsidRDefault="00B60C1B" w:rsidP="0098464B">
            <w:pPr>
              <w:pStyle w:val="TableParagraph"/>
              <w:spacing w:before="54"/>
              <w:ind w:left="331"/>
              <w:rPr>
                <w:sz w:val="18"/>
              </w:rPr>
            </w:pPr>
            <w:r>
              <w:rPr>
                <w:sz w:val="18"/>
              </w:rPr>
              <w:t>miR-146a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miR-29a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324"/>
              <w:rPr>
                <w:sz w:val="18"/>
              </w:rPr>
            </w:pPr>
            <w:r>
              <w:rPr>
                <w:sz w:val="18"/>
              </w:rPr>
              <w:t>miR-409-3p</w:t>
            </w:r>
          </w:p>
        </w:tc>
        <w:tc>
          <w:tcPr>
            <w:tcW w:w="1464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miR-22</w:t>
            </w:r>
          </w:p>
        </w:tc>
        <w:tc>
          <w:tcPr>
            <w:tcW w:w="1581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miR-452</w:t>
            </w:r>
          </w:p>
        </w:tc>
      </w:tr>
      <w:tr w:rsidR="00B60C1B" w:rsidTr="0098464B">
        <w:trPr>
          <w:trHeight w:val="285"/>
        </w:trPr>
        <w:tc>
          <w:tcPr>
            <w:tcW w:w="1191" w:type="dxa"/>
          </w:tcPr>
          <w:p w:rsidR="00B60C1B" w:rsidRDefault="00B60C1B" w:rsidP="0098464B">
            <w:pPr>
              <w:pStyle w:val="TableParagraph"/>
              <w:spacing w:before="54"/>
              <w:ind w:left="125"/>
              <w:rPr>
                <w:sz w:val="18"/>
              </w:rPr>
            </w:pPr>
            <w:r>
              <w:rPr>
                <w:sz w:val="18"/>
              </w:rPr>
              <w:t>miR-125b</w:t>
            </w:r>
          </w:p>
        </w:tc>
        <w:tc>
          <w:tcPr>
            <w:tcW w:w="1505" w:type="dxa"/>
          </w:tcPr>
          <w:p w:rsidR="00B60C1B" w:rsidRDefault="00B60C1B" w:rsidP="0098464B">
            <w:pPr>
              <w:pStyle w:val="TableParagraph"/>
              <w:spacing w:before="54"/>
              <w:ind w:left="331"/>
              <w:rPr>
                <w:sz w:val="18"/>
              </w:rPr>
            </w:pPr>
            <w:r>
              <w:rPr>
                <w:sz w:val="18"/>
              </w:rPr>
              <w:t>miR-148a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miR-29s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324"/>
              <w:rPr>
                <w:sz w:val="18"/>
              </w:rPr>
            </w:pPr>
            <w:r>
              <w:rPr>
                <w:sz w:val="18"/>
              </w:rPr>
              <w:t>miR-584</w:t>
            </w:r>
          </w:p>
        </w:tc>
        <w:tc>
          <w:tcPr>
            <w:tcW w:w="1464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miR-451</w:t>
            </w:r>
          </w:p>
        </w:tc>
        <w:tc>
          <w:tcPr>
            <w:tcW w:w="1581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miR-7</w:t>
            </w:r>
          </w:p>
        </w:tc>
      </w:tr>
      <w:tr w:rsidR="00B60C1B" w:rsidTr="0098464B">
        <w:trPr>
          <w:trHeight w:val="285"/>
        </w:trPr>
        <w:tc>
          <w:tcPr>
            <w:tcW w:w="1191" w:type="dxa"/>
          </w:tcPr>
          <w:p w:rsidR="00B60C1B" w:rsidRDefault="00B60C1B" w:rsidP="0098464B">
            <w:pPr>
              <w:pStyle w:val="TableParagraph"/>
              <w:spacing w:before="56"/>
              <w:ind w:left="125"/>
              <w:rPr>
                <w:sz w:val="18"/>
              </w:rPr>
            </w:pPr>
            <w:r>
              <w:rPr>
                <w:sz w:val="18"/>
              </w:rPr>
              <w:t>miR-1297</w:t>
            </w:r>
          </w:p>
        </w:tc>
        <w:tc>
          <w:tcPr>
            <w:tcW w:w="1505" w:type="dxa"/>
          </w:tcPr>
          <w:p w:rsidR="00B60C1B" w:rsidRDefault="00B60C1B" w:rsidP="0098464B">
            <w:pPr>
              <w:pStyle w:val="TableParagraph"/>
              <w:spacing w:before="56"/>
              <w:ind w:left="331"/>
              <w:rPr>
                <w:sz w:val="18"/>
              </w:rPr>
            </w:pPr>
            <w:r>
              <w:rPr>
                <w:sz w:val="18"/>
              </w:rPr>
              <w:t>miR-150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8"/>
              <w:ind w:left="291"/>
              <w:rPr>
                <w:sz w:val="18"/>
              </w:rPr>
            </w:pPr>
            <w:r>
              <w:rPr>
                <w:sz w:val="18"/>
              </w:rPr>
              <w:t>miR-30b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8"/>
              <w:ind w:left="324"/>
              <w:rPr>
                <w:sz w:val="18"/>
              </w:rPr>
            </w:pPr>
            <w:r>
              <w:rPr>
                <w:sz w:val="18"/>
              </w:rPr>
              <w:t>miR-613</w:t>
            </w:r>
          </w:p>
        </w:tc>
        <w:tc>
          <w:tcPr>
            <w:tcW w:w="1464" w:type="dxa"/>
          </w:tcPr>
          <w:p w:rsidR="00B60C1B" w:rsidRDefault="00B60C1B" w:rsidP="0098464B">
            <w:pPr>
              <w:pStyle w:val="TableParagraph"/>
              <w:spacing w:before="18"/>
              <w:ind w:left="291"/>
              <w:rPr>
                <w:sz w:val="18"/>
              </w:rPr>
            </w:pPr>
            <w:r>
              <w:rPr>
                <w:sz w:val="18"/>
              </w:rPr>
              <w:t>miR-323-3p</w:t>
            </w:r>
          </w:p>
        </w:tc>
        <w:tc>
          <w:tcPr>
            <w:tcW w:w="1581" w:type="dxa"/>
          </w:tcPr>
          <w:p w:rsidR="00B60C1B" w:rsidRDefault="00B60C1B" w:rsidP="0098464B">
            <w:pPr>
              <w:pStyle w:val="TableParagraph"/>
              <w:spacing w:before="18"/>
              <w:ind w:left="291"/>
              <w:rPr>
                <w:sz w:val="18"/>
              </w:rPr>
            </w:pPr>
            <w:r>
              <w:rPr>
                <w:sz w:val="18"/>
              </w:rPr>
              <w:t>miR-99a</w:t>
            </w:r>
          </w:p>
        </w:tc>
      </w:tr>
      <w:tr w:rsidR="00B60C1B" w:rsidTr="0098464B">
        <w:trPr>
          <w:trHeight w:val="283"/>
        </w:trPr>
        <w:tc>
          <w:tcPr>
            <w:tcW w:w="1191" w:type="dxa"/>
          </w:tcPr>
          <w:p w:rsidR="00B60C1B" w:rsidRDefault="00B60C1B" w:rsidP="0098464B">
            <w:pPr>
              <w:pStyle w:val="TableParagraph"/>
              <w:spacing w:before="54"/>
              <w:ind w:left="125"/>
              <w:rPr>
                <w:sz w:val="18"/>
              </w:rPr>
            </w:pPr>
            <w:r>
              <w:rPr>
                <w:sz w:val="18"/>
              </w:rPr>
              <w:t>miR-133a</w:t>
            </w:r>
          </w:p>
        </w:tc>
        <w:tc>
          <w:tcPr>
            <w:tcW w:w="1505" w:type="dxa"/>
          </w:tcPr>
          <w:p w:rsidR="00B60C1B" w:rsidRDefault="00B60C1B" w:rsidP="0098464B">
            <w:pPr>
              <w:pStyle w:val="TableParagraph"/>
              <w:spacing w:before="54"/>
              <w:ind w:left="331"/>
              <w:rPr>
                <w:sz w:val="18"/>
              </w:rPr>
            </w:pPr>
            <w:r>
              <w:rPr>
                <w:sz w:val="18"/>
              </w:rPr>
              <w:t>miR-153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miR-338-3p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324"/>
              <w:rPr>
                <w:sz w:val="18"/>
              </w:rPr>
            </w:pPr>
            <w:r>
              <w:rPr>
                <w:sz w:val="18"/>
              </w:rPr>
              <w:t>miR-149</w:t>
            </w:r>
          </w:p>
        </w:tc>
        <w:tc>
          <w:tcPr>
            <w:tcW w:w="1464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miR-30a-5p</w:t>
            </w:r>
          </w:p>
        </w:tc>
        <w:tc>
          <w:tcPr>
            <w:tcW w:w="1581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miR-1236</w:t>
            </w:r>
          </w:p>
        </w:tc>
      </w:tr>
      <w:tr w:rsidR="00B60C1B" w:rsidTr="0098464B">
        <w:trPr>
          <w:trHeight w:val="288"/>
        </w:trPr>
        <w:tc>
          <w:tcPr>
            <w:tcW w:w="1191" w:type="dxa"/>
          </w:tcPr>
          <w:p w:rsidR="00B60C1B" w:rsidRDefault="00B60C1B" w:rsidP="0098464B">
            <w:pPr>
              <w:pStyle w:val="TableParagraph"/>
              <w:spacing w:before="59"/>
              <w:ind w:left="125"/>
              <w:rPr>
                <w:sz w:val="18"/>
              </w:rPr>
            </w:pPr>
            <w:r>
              <w:rPr>
                <w:sz w:val="18"/>
              </w:rPr>
              <w:t>miR-135a</w:t>
            </w:r>
          </w:p>
        </w:tc>
        <w:tc>
          <w:tcPr>
            <w:tcW w:w="1505" w:type="dxa"/>
          </w:tcPr>
          <w:p w:rsidR="00B60C1B" w:rsidRDefault="00B60C1B" w:rsidP="0098464B">
            <w:pPr>
              <w:pStyle w:val="TableParagraph"/>
              <w:spacing w:before="59"/>
              <w:ind w:left="331"/>
              <w:rPr>
                <w:sz w:val="18"/>
              </w:rPr>
            </w:pPr>
            <w:r>
              <w:rPr>
                <w:sz w:val="18"/>
              </w:rPr>
              <w:t>miR-16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miR-33b</w:t>
            </w:r>
          </w:p>
        </w:tc>
        <w:tc>
          <w:tcPr>
            <w:tcW w:w="1498" w:type="dxa"/>
          </w:tcPr>
          <w:p w:rsidR="00B60C1B" w:rsidRDefault="00B60C1B" w:rsidP="0098464B">
            <w:pPr>
              <w:pStyle w:val="TableParagraph"/>
              <w:spacing w:before="16"/>
              <w:ind w:left="324"/>
              <w:rPr>
                <w:sz w:val="18"/>
              </w:rPr>
            </w:pPr>
            <w:r>
              <w:rPr>
                <w:sz w:val="18"/>
              </w:rPr>
              <w:t>miR-15b</w:t>
            </w:r>
          </w:p>
        </w:tc>
        <w:tc>
          <w:tcPr>
            <w:tcW w:w="1464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miR-203</w:t>
            </w:r>
          </w:p>
        </w:tc>
        <w:tc>
          <w:tcPr>
            <w:tcW w:w="1581" w:type="dxa"/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miR-326</w:t>
            </w:r>
          </w:p>
        </w:tc>
      </w:tr>
      <w:tr w:rsidR="00B60C1B" w:rsidTr="0098464B">
        <w:trPr>
          <w:trHeight w:val="265"/>
        </w:trPr>
        <w:tc>
          <w:tcPr>
            <w:tcW w:w="1191" w:type="dxa"/>
            <w:tcBorders>
              <w:bottom w:val="single" w:sz="4" w:space="0" w:color="000000"/>
            </w:tcBorders>
          </w:tcPr>
          <w:p w:rsidR="00B60C1B" w:rsidRDefault="00B60C1B" w:rsidP="0098464B">
            <w:pPr>
              <w:pStyle w:val="TableParagraph"/>
              <w:spacing w:before="16"/>
              <w:ind w:left="125"/>
              <w:rPr>
                <w:sz w:val="18"/>
              </w:rPr>
            </w:pPr>
            <w:r>
              <w:rPr>
                <w:sz w:val="18"/>
              </w:rPr>
              <w:t>miR-622</w:t>
            </w:r>
          </w:p>
        </w:tc>
        <w:tc>
          <w:tcPr>
            <w:tcW w:w="1505" w:type="dxa"/>
            <w:tcBorders>
              <w:bottom w:val="single" w:sz="4" w:space="0" w:color="000000"/>
            </w:tcBorders>
          </w:tcPr>
          <w:p w:rsidR="00B60C1B" w:rsidRDefault="00B60C1B" w:rsidP="0098464B">
            <w:pPr>
              <w:pStyle w:val="TableParagraph"/>
              <w:spacing w:before="16"/>
              <w:ind w:left="331"/>
              <w:rPr>
                <w:sz w:val="18"/>
              </w:rPr>
            </w:pPr>
            <w:r>
              <w:rPr>
                <w:sz w:val="18"/>
              </w:rPr>
              <w:t>miR-637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miR-34c</w:t>
            </w:r>
          </w:p>
        </w:tc>
        <w:tc>
          <w:tcPr>
            <w:tcW w:w="1498" w:type="dxa"/>
            <w:tcBorders>
              <w:bottom w:val="single" w:sz="4" w:space="0" w:color="000000"/>
            </w:tcBorders>
          </w:tcPr>
          <w:p w:rsidR="00B60C1B" w:rsidRDefault="00B60C1B" w:rsidP="0098464B">
            <w:pPr>
              <w:pStyle w:val="TableParagraph"/>
              <w:spacing w:before="16"/>
              <w:ind w:left="324"/>
              <w:rPr>
                <w:sz w:val="18"/>
              </w:rPr>
            </w:pPr>
            <w:r>
              <w:rPr>
                <w:sz w:val="18"/>
              </w:rPr>
              <w:t>miR-320</w:t>
            </w:r>
          </w:p>
        </w:tc>
        <w:tc>
          <w:tcPr>
            <w:tcW w:w="1464" w:type="dxa"/>
            <w:tcBorders>
              <w:bottom w:val="single" w:sz="4" w:space="0" w:color="000000"/>
            </w:tcBorders>
          </w:tcPr>
          <w:p w:rsidR="00B60C1B" w:rsidRDefault="00B60C1B" w:rsidP="0098464B">
            <w:pPr>
              <w:pStyle w:val="TableParagraph"/>
              <w:spacing w:before="16"/>
              <w:ind w:left="291"/>
              <w:rPr>
                <w:sz w:val="18"/>
              </w:rPr>
            </w:pPr>
            <w:r>
              <w:rPr>
                <w:sz w:val="18"/>
              </w:rPr>
              <w:t>miR-154</w:t>
            </w:r>
          </w:p>
        </w:tc>
        <w:tc>
          <w:tcPr>
            <w:tcW w:w="1581" w:type="dxa"/>
            <w:tcBorders>
              <w:bottom w:val="single" w:sz="4" w:space="0" w:color="000000"/>
            </w:tcBorders>
          </w:tcPr>
          <w:p w:rsidR="00B60C1B" w:rsidRDefault="00B60C1B" w:rsidP="0098464B">
            <w:pPr>
              <w:pStyle w:val="TableParagraph"/>
              <w:spacing w:before="0"/>
              <w:rPr>
                <w:sz w:val="18"/>
              </w:rPr>
            </w:pPr>
          </w:p>
        </w:tc>
      </w:tr>
    </w:tbl>
    <w:p w:rsid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both"/>
        <w:rPr>
          <w:rFonts w:ascii="Times New Roman" w:hAnsi="Times New Roman"/>
          <w:spacing w:val="15"/>
          <w:sz w:val="19"/>
          <w:szCs w:val="19"/>
        </w:rPr>
      </w:pPr>
    </w:p>
    <w:p w:rsid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both"/>
        <w:rPr>
          <w:rFonts w:ascii="Arial" w:hAnsi="Arial" w:cs="Arial"/>
          <w:spacing w:val="15"/>
          <w:sz w:val="19"/>
          <w:szCs w:val="19"/>
        </w:rPr>
      </w:pPr>
    </w:p>
    <w:p w:rsid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center"/>
        <w:rPr>
          <w:rFonts w:ascii="Times New Roman" w:hAnsi="Times New Roman"/>
          <w:spacing w:val="15"/>
          <w:sz w:val="19"/>
          <w:szCs w:val="19"/>
        </w:rPr>
      </w:pPr>
      <w:r>
        <w:rPr>
          <w:rFonts w:ascii="Times New Roman" w:hAnsi="Times New Roman"/>
          <w:spacing w:val="15"/>
          <w:sz w:val="19"/>
          <w:szCs w:val="19"/>
        </w:rPr>
        <w:t>Supplementary</w:t>
      </w:r>
      <w:r>
        <w:rPr>
          <w:rFonts w:ascii="Times New Roman" w:hAnsi="Times New Roman" w:hint="eastAsia"/>
          <w:spacing w:val="15"/>
          <w:sz w:val="19"/>
          <w:szCs w:val="19"/>
        </w:rPr>
        <w:t xml:space="preserve"> </w:t>
      </w:r>
      <w:r>
        <w:rPr>
          <w:rFonts w:ascii="Times New Roman" w:hAnsi="Times New Roman"/>
          <w:spacing w:val="15"/>
          <w:sz w:val="19"/>
          <w:szCs w:val="19"/>
        </w:rPr>
        <w:t>Table 2. MiRNAs that reduce the invasiveness of tumor cells in mouse blastocyst MVs</w:t>
      </w:r>
    </w:p>
    <w:p w:rsid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center"/>
        <w:rPr>
          <w:rFonts w:ascii="Times New Roman" w:hAnsi="Times New Roman"/>
          <w:spacing w:val="15"/>
          <w:sz w:val="19"/>
          <w:szCs w:val="19"/>
        </w:rPr>
      </w:pPr>
    </w:p>
    <w:tbl>
      <w:tblPr>
        <w:tblW w:w="2000" w:type="pct"/>
        <w:jc w:val="center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1294"/>
        <w:gridCol w:w="4461"/>
      </w:tblGrid>
      <w:tr w:rsidR="00B60C1B" w:rsidTr="0098464B">
        <w:trPr>
          <w:trHeight w:val="113"/>
          <w:jc w:val="center"/>
        </w:trPr>
        <w:tc>
          <w:tcPr>
            <w:tcW w:w="1168" w:type="pct"/>
            <w:tcBorders>
              <w:top w:val="single" w:sz="12" w:space="0" w:color="auto"/>
              <w:bottom w:val="single" w:sz="6" w:space="0" w:color="auto"/>
            </w:tcBorders>
            <w:noWrap/>
            <w:vAlign w:val="bottom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Primer</w:t>
            </w:r>
          </w:p>
        </w:tc>
        <w:tc>
          <w:tcPr>
            <w:tcW w:w="3832" w:type="pct"/>
            <w:tcBorders>
              <w:top w:val="single" w:sz="12" w:space="0" w:color="auto"/>
              <w:bottom w:val="single" w:sz="6" w:space="0" w:color="auto"/>
            </w:tcBorders>
            <w:noWrap/>
            <w:vAlign w:val="bottom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Sequence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tcBorders>
              <w:top w:val="single" w:sz="6" w:space="0" w:color="auto"/>
            </w:tcBorders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miR-138</w:t>
            </w:r>
          </w:p>
        </w:tc>
        <w:tc>
          <w:tcPr>
            <w:tcW w:w="3832" w:type="pct"/>
            <w:tcBorders>
              <w:top w:val="single" w:sz="6" w:space="0" w:color="auto"/>
            </w:tcBorders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(F)5'-AGCUGGUGUUGUGAAUCAGGCCG-3'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miR-142-3p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(F)5'-UGUAGUGUUUCCUACUUUAUGGA-3'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miR-143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(F)5'-UGAGAUGAAGCACUGUAGCUC-3'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miR-144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(F)5'-UACAGUAUAGAUGAUGUACU-3'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miR-146a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(F)5'-UGAGAACUGAAUUCCAUGGGUU-3'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miR-148a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(F)5'-UCAGUGCACUACAGAACUUUGU-3'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miR-149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(F)5'-UCUGGCUCCGUGUCUUCACUCCC-3'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miR-150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(F)5'-UCUCCCAACCCUUGUACCAGUG-3'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miR-15b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(F)5'-UAGCAGCACAUCAUGGUUUACA-3'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miR-16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(F)5'-UAGCAGCACGUAAAUAUUGGCG-3'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miR-195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(F)5'-UAGCAGCACAGAAAUAUUGGC-3'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miR-200a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(F)5'-UAACACUGUCUGGUAACGAUGU-3'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miR-206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(F)5'-UGGAAUGUAAGGAAGUGUGUGG-3'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miR-218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(F)5'-UUGUGCUUGAUCUAACCAUGU-3'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miR-22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(F)5'-AAGCUGCCAGUUGAAGAACUGU-3'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miR-222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(F)5'-AGCUACAUCUGGCUACUGGGU-3'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miR-29a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(F)5'-UAGCACCAUCUGAAAUCGGUUA-3'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miR-29a*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(F)5'-ACUGAUUUCUUUUGGUGUUCAG-3'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miR-30b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(F)5'-UGUAAACAUCCUACACUCAGCU-3'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miR-375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(F)5'-UUUGUUCGUUCGGCUCGCGUGA-3'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miR-381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(F)5'-UAUACAAGGGCAAGCUCUCUGU-3'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miR-409-3p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(F)5'-GAAUGUUGCUCGGUGAACCCCU-3'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miR-338-3p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(F)5'-UCCAGCAUCAGUGAUUUUGUUG-3'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miR-34c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(F)5'-AGGCAGUGUAGUUAGCUGAUUGC-3'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miR-320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(F)5'-AAAAGCUGGGUUGAGAGGGCGA-3'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miR-154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(F)5'-UAGGUUAUCCGUGUUGCCUUCG-3'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miR-106b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 UAAAGUGCUGACAGUGCAGAU 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miR-182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 UUUGGCAAUGGUAGAACUCACACCG-3'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miR-200b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 UAAUACUGCCUGGUAAUGAUGA 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miR-130b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 CAGUGCAAUGAUGAAAGGGCAU 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miR-9</w:t>
            </w:r>
          </w:p>
        </w:tc>
        <w:tc>
          <w:tcPr>
            <w:tcW w:w="3832" w:type="pct"/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 UCUUUGGUUAUCUAGCUGUAUGA -3'</w:t>
            </w:r>
          </w:p>
        </w:tc>
      </w:tr>
      <w:tr w:rsidR="00B60C1B" w:rsidTr="0098464B">
        <w:trPr>
          <w:trHeight w:val="113"/>
          <w:jc w:val="center"/>
        </w:trPr>
        <w:tc>
          <w:tcPr>
            <w:tcW w:w="1168" w:type="pct"/>
            <w:tcBorders>
              <w:bottom w:val="single" w:sz="12" w:space="0" w:color="auto"/>
            </w:tcBorders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miR-125b-5p</w:t>
            </w:r>
          </w:p>
        </w:tc>
        <w:tc>
          <w:tcPr>
            <w:tcW w:w="3832" w:type="pct"/>
            <w:tcBorders>
              <w:bottom w:val="single" w:sz="12" w:space="0" w:color="auto"/>
            </w:tcBorders>
            <w:noWrap/>
            <w:vAlign w:val="bottom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(F)5'- ACAGGUGAGGUUCUUGGGAGCC -3'</w:t>
            </w:r>
          </w:p>
        </w:tc>
      </w:tr>
    </w:tbl>
    <w:p w:rsid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both"/>
        <w:rPr>
          <w:rFonts w:ascii="Times New Roman" w:hAnsi="Times New Roman"/>
          <w:spacing w:val="15"/>
          <w:sz w:val="19"/>
          <w:szCs w:val="19"/>
        </w:rPr>
      </w:pPr>
    </w:p>
    <w:p w:rsid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center"/>
        <w:rPr>
          <w:rFonts w:ascii="Times New Roman" w:hAnsi="Times New Roman"/>
          <w:spacing w:val="15"/>
          <w:sz w:val="19"/>
          <w:szCs w:val="19"/>
        </w:rPr>
      </w:pPr>
    </w:p>
    <w:p w:rsid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center"/>
        <w:rPr>
          <w:rFonts w:ascii="Times New Roman" w:hAnsi="Times New Roman"/>
          <w:spacing w:val="15"/>
          <w:sz w:val="19"/>
          <w:szCs w:val="19"/>
        </w:rPr>
      </w:pPr>
      <w:r>
        <w:rPr>
          <w:rFonts w:ascii="Times New Roman" w:hAnsi="Times New Roman"/>
          <w:spacing w:val="15"/>
          <w:sz w:val="19"/>
          <w:szCs w:val="19"/>
        </w:rPr>
        <w:t>Supplementary Table 3. Biological processes of miRNA targets</w:t>
      </w:r>
    </w:p>
    <w:p w:rsid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center"/>
        <w:rPr>
          <w:rFonts w:ascii="Times New Roman" w:hAnsi="Times New Roman"/>
          <w:spacing w:val="15"/>
          <w:sz w:val="19"/>
          <w:szCs w:val="19"/>
        </w:rPr>
      </w:pP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21"/>
        <w:gridCol w:w="1440"/>
        <w:gridCol w:w="2855"/>
        <w:gridCol w:w="1144"/>
      </w:tblGrid>
      <w:tr w:rsidR="00B60C1B" w:rsidTr="0098464B">
        <w:trPr>
          <w:trHeight w:val="300"/>
          <w:jc w:val="center"/>
        </w:trPr>
        <w:tc>
          <w:tcPr>
            <w:tcW w:w="2093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 Term</w:t>
            </w:r>
          </w:p>
        </w:tc>
        <w:tc>
          <w:tcPr>
            <w:tcW w:w="769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No.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of </w:t>
            </w:r>
            <w:r>
              <w:rPr>
                <w:rFonts w:ascii="Times New Roman" w:hAnsi="Times New Roman"/>
                <w:sz w:val="20"/>
                <w:szCs w:val="20"/>
              </w:rPr>
              <w:t>genes</w:t>
            </w:r>
          </w:p>
        </w:tc>
        <w:tc>
          <w:tcPr>
            <w:tcW w:w="1524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Term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v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alue </w:t>
            </w:r>
            <w:r>
              <w:rPr>
                <w:rFonts w:ascii="Times New Roman" w:hAnsi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orrected with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Bonferroni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step down</w:t>
            </w:r>
          </w:p>
        </w:tc>
        <w:tc>
          <w:tcPr>
            <w:tcW w:w="611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Log2P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2093" w:type="pct"/>
            <w:tcBorders>
              <w:top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ranscription, DNA-dependent</w:t>
            </w:r>
          </w:p>
        </w:tc>
        <w:tc>
          <w:tcPr>
            <w:tcW w:w="769" w:type="pct"/>
            <w:tcBorders>
              <w:top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1524" w:type="pct"/>
            <w:tcBorders>
              <w:top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1.79E-29</w:t>
            </w:r>
          </w:p>
        </w:tc>
        <w:tc>
          <w:tcPr>
            <w:tcW w:w="611" w:type="pct"/>
            <w:tcBorders>
              <w:top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68.88858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2093" w:type="pct"/>
            <w:noWrap/>
            <w:vAlign w:val="center"/>
          </w:tcPr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egulation of </w:t>
            </w:r>
            <w:r>
              <w:rPr>
                <w:rFonts w:ascii="Times New Roman" w:hAnsi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ranscription, DNA-dependent</w:t>
            </w:r>
          </w:p>
        </w:tc>
        <w:tc>
          <w:tcPr>
            <w:tcW w:w="769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268</w:t>
            </w:r>
          </w:p>
        </w:tc>
        <w:tc>
          <w:tcPr>
            <w:tcW w:w="1524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1.59E-23</w:t>
            </w:r>
          </w:p>
        </w:tc>
        <w:tc>
          <w:tcPr>
            <w:tcW w:w="611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67.72856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2093" w:type="pct"/>
            <w:noWrap/>
            <w:vAlign w:val="center"/>
          </w:tcPr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ositive regulation of transcription from </w:t>
            </w:r>
          </w:p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RNA polymerase II promoter</w:t>
            </w:r>
          </w:p>
        </w:tc>
        <w:tc>
          <w:tcPr>
            <w:tcW w:w="769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149</w:t>
            </w:r>
          </w:p>
        </w:tc>
        <w:tc>
          <w:tcPr>
            <w:tcW w:w="1524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3.39E-22</w:t>
            </w:r>
          </w:p>
        </w:tc>
        <w:tc>
          <w:tcPr>
            <w:tcW w:w="611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47.24085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2093" w:type="pct"/>
            <w:noWrap/>
            <w:vAlign w:val="center"/>
          </w:tcPr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egative regulation of transcription from </w:t>
            </w:r>
          </w:p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RNA polymerase II promoter</w:t>
            </w:r>
          </w:p>
        </w:tc>
        <w:tc>
          <w:tcPr>
            <w:tcW w:w="769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111</w:t>
            </w:r>
          </w:p>
        </w:tc>
        <w:tc>
          <w:tcPr>
            <w:tcW w:w="1524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3.83E-17</w:t>
            </w:r>
          </w:p>
        </w:tc>
        <w:tc>
          <w:tcPr>
            <w:tcW w:w="611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33.09744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2093" w:type="pct"/>
            <w:noWrap/>
            <w:vAlign w:val="center"/>
          </w:tcPr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>ositive regulation of transcription, DNA-dependent</w:t>
            </w:r>
          </w:p>
        </w:tc>
        <w:tc>
          <w:tcPr>
            <w:tcW w:w="769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</w:t>
            </w:r>
          </w:p>
        </w:tc>
        <w:tc>
          <w:tcPr>
            <w:tcW w:w="1524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5.78E-15</w:t>
            </w:r>
          </w:p>
        </w:tc>
        <w:tc>
          <w:tcPr>
            <w:tcW w:w="611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28.41832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2093" w:type="pct"/>
            <w:noWrap/>
            <w:vAlign w:val="center"/>
          </w:tcPr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multicellular organismal development</w:t>
            </w:r>
          </w:p>
        </w:tc>
        <w:tc>
          <w:tcPr>
            <w:tcW w:w="769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</w:t>
            </w:r>
          </w:p>
        </w:tc>
        <w:tc>
          <w:tcPr>
            <w:tcW w:w="1524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2.71E-12</w:t>
            </w:r>
          </w:p>
        </w:tc>
        <w:tc>
          <w:tcPr>
            <w:tcW w:w="611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26.6923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2093" w:type="pct"/>
            <w:noWrap/>
            <w:vAlign w:val="center"/>
          </w:tcPr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/>
                <w:sz w:val="20"/>
                <w:szCs w:val="20"/>
              </w:rPr>
              <w:t>egative regulation of transcription, DNA-dependent</w:t>
            </w:r>
          </w:p>
        </w:tc>
        <w:tc>
          <w:tcPr>
            <w:tcW w:w="769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</w:t>
            </w:r>
          </w:p>
        </w:tc>
        <w:tc>
          <w:tcPr>
            <w:tcW w:w="1524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3.04E-12</w:t>
            </w:r>
          </w:p>
        </w:tc>
        <w:tc>
          <w:tcPr>
            <w:tcW w:w="611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26.34754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2093" w:type="pct"/>
            <w:noWrap/>
            <w:vAlign w:val="center"/>
          </w:tcPr>
          <w:p w:rsidR="00B60C1B" w:rsidRDefault="00B60C1B" w:rsidP="0098464B">
            <w:pPr>
              <w:spacing w:line="300" w:lineRule="exac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/>
                <w:sz w:val="20"/>
                <w:szCs w:val="20"/>
              </w:rPr>
              <w:t>egative regulation of apoptotic process</w:t>
            </w:r>
          </w:p>
        </w:tc>
        <w:tc>
          <w:tcPr>
            <w:tcW w:w="769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1524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1.03E-10</w:t>
            </w:r>
          </w:p>
        </w:tc>
        <w:tc>
          <w:tcPr>
            <w:tcW w:w="611" w:type="pct"/>
            <w:noWrap/>
            <w:vAlign w:val="center"/>
          </w:tcPr>
          <w:p w:rsidR="00B60C1B" w:rsidRDefault="00B60C1B" w:rsidP="0098464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16.61448</w:t>
            </w:r>
          </w:p>
        </w:tc>
      </w:tr>
    </w:tbl>
    <w:p w:rsid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center"/>
        <w:rPr>
          <w:rFonts w:ascii="Times New Roman" w:hAnsi="Times New Roman" w:hint="eastAsia"/>
          <w:spacing w:val="15"/>
          <w:sz w:val="19"/>
          <w:szCs w:val="19"/>
        </w:rPr>
      </w:pPr>
      <w:r>
        <w:rPr>
          <w:rFonts w:ascii="Times New Roman" w:hAnsi="Times New Roman"/>
          <w:spacing w:val="15"/>
          <w:sz w:val="19"/>
          <w:szCs w:val="19"/>
        </w:rPr>
        <w:t>GO analysis was based on highly expressed miRNA targets. It is worth noting that the category of biological processes included miRNAs to reduce the invasion of tumor cells in mouse blastocysts</w:t>
      </w:r>
      <w:r>
        <w:rPr>
          <w:rFonts w:ascii="Times New Roman" w:hAnsi="Times New Roman" w:hint="eastAsia"/>
          <w:spacing w:val="15"/>
          <w:sz w:val="19"/>
          <w:szCs w:val="19"/>
        </w:rPr>
        <w:t>.</w:t>
      </w:r>
    </w:p>
    <w:p w:rsid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center"/>
        <w:rPr>
          <w:rFonts w:ascii="Times New Roman" w:hAnsi="Times New Roman"/>
          <w:spacing w:val="15"/>
          <w:sz w:val="19"/>
          <w:szCs w:val="19"/>
        </w:rPr>
      </w:pPr>
    </w:p>
    <w:p w:rsid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center"/>
        <w:rPr>
          <w:rFonts w:ascii="Times New Roman" w:hAnsi="Times New Roman"/>
          <w:spacing w:val="15"/>
          <w:sz w:val="19"/>
          <w:szCs w:val="19"/>
        </w:rPr>
      </w:pPr>
      <w:r>
        <w:rPr>
          <w:rFonts w:ascii="Times New Roman" w:hAnsi="Times New Roman"/>
          <w:spacing w:val="15"/>
          <w:sz w:val="19"/>
          <w:szCs w:val="19"/>
        </w:rPr>
        <w:t>Supplementary Table 4. MiRNA target pathway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3499"/>
        <w:gridCol w:w="1254"/>
        <w:gridCol w:w="3353"/>
        <w:gridCol w:w="1254"/>
      </w:tblGrid>
      <w:tr w:rsidR="00B60C1B" w:rsidTr="0098464B">
        <w:trPr>
          <w:trHeight w:val="300"/>
          <w:jc w:val="center"/>
        </w:trPr>
        <w:tc>
          <w:tcPr>
            <w:tcW w:w="1869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GO Term</w:t>
            </w:r>
          </w:p>
        </w:tc>
        <w:tc>
          <w:tcPr>
            <w:tcW w:w="670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No.</w:t>
            </w:r>
            <w:r>
              <w:rPr>
                <w:rFonts w:ascii="Times New Roman" w:hAnsi="Times New Roman" w:hint="eastAsia"/>
                <w:sz w:val="20"/>
                <w:szCs w:val="20"/>
              </w:rPr>
              <w:t>of</w:t>
            </w:r>
            <w:proofErr w:type="spellEnd"/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genes</w:t>
            </w:r>
          </w:p>
        </w:tc>
        <w:tc>
          <w:tcPr>
            <w:tcW w:w="1791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Term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 w:val="20"/>
                <w:szCs w:val="20"/>
              </w:rPr>
              <w:t>v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alue </w:t>
            </w:r>
            <w:r>
              <w:rPr>
                <w:rFonts w:ascii="Times New Roman" w:hAnsi="Times New Roman" w:hint="eastAsia"/>
                <w:sz w:val="20"/>
                <w:szCs w:val="20"/>
              </w:rPr>
              <w:t>c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orrected with </w:t>
            </w:r>
          </w:p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Bonferroni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step down</w:t>
            </w:r>
          </w:p>
        </w:tc>
        <w:tc>
          <w:tcPr>
            <w:tcW w:w="670" w:type="pct"/>
            <w:tcBorders>
              <w:top w:val="single" w:sz="12" w:space="0" w:color="auto"/>
              <w:bottom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Log2P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tcBorders>
              <w:top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PI3K</w:t>
            </w:r>
            <w:r>
              <w:rPr>
                <w:rFonts w:ascii="Times New Roman" w:hAnsi="Times New Roman" w:hint="eastAsia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Akt signaling pathway</w:t>
            </w:r>
          </w:p>
        </w:tc>
        <w:tc>
          <w:tcPr>
            <w:tcW w:w="670" w:type="pct"/>
            <w:tcBorders>
              <w:top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1791" w:type="pct"/>
            <w:tcBorders>
              <w:top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5.70E-08</w:t>
            </w:r>
          </w:p>
        </w:tc>
        <w:tc>
          <w:tcPr>
            <w:tcW w:w="670" w:type="pct"/>
            <w:tcBorders>
              <w:top w:val="single" w:sz="6" w:space="0" w:color="auto"/>
            </w:tcBorders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9.487405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Ubiquitin mediated proteolysis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791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2.39E-07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7.48804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Focal adhesion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791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4.12E-07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7.75816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Pathways in cancer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791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1.61E-06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6.943264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Oocyte meiosis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791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6.02E-06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5.28736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Proteoglycans in cancer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791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7.44E-06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4.478804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MicroRNAs in cancer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791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9.14E-06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3.887156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Axon guidance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1791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1.36E-05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3.996143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FoxO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signaling pathway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791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2.99E-05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3.717213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Prolactin signaling pathway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791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3.14E-05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3.396643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AMPK signaling pathway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791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5.03E-05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3.391648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ErbB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signaling pathway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791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6.35E-05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3.440446</w:t>
            </w:r>
          </w:p>
        </w:tc>
      </w:tr>
      <w:tr w:rsidR="00B60C1B" w:rsidTr="0098464B">
        <w:trPr>
          <w:trHeight w:val="285"/>
          <w:jc w:val="center"/>
        </w:trPr>
        <w:tc>
          <w:tcPr>
            <w:tcW w:w="1869" w:type="pct"/>
            <w:noWrap/>
            <w:vAlign w:val="center"/>
          </w:tcPr>
          <w:p w:rsidR="00B60C1B" w:rsidRDefault="00B60C1B" w:rsidP="0098464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ECM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receptor interaction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791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6.39E-05</w:t>
            </w:r>
          </w:p>
        </w:tc>
        <w:tc>
          <w:tcPr>
            <w:tcW w:w="670" w:type="pct"/>
            <w:noWrap/>
            <w:vAlign w:val="center"/>
          </w:tcPr>
          <w:p w:rsidR="00B60C1B" w:rsidRDefault="00B60C1B" w:rsidP="0098464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3.427079</w:t>
            </w:r>
          </w:p>
        </w:tc>
      </w:tr>
    </w:tbl>
    <w:p w:rsidR="00FF0F33" w:rsidRPr="00B60C1B" w:rsidRDefault="00B60C1B" w:rsidP="00B60C1B">
      <w:pPr>
        <w:pStyle w:val="NormalWeb"/>
        <w:widowControl/>
        <w:spacing w:before="0" w:beforeAutospacing="0" w:after="0" w:afterAutospacing="0" w:line="368" w:lineRule="atLeast"/>
        <w:jc w:val="center"/>
        <w:rPr>
          <w:rFonts w:ascii="Times New Roman" w:hAnsi="Times New Roman"/>
          <w:spacing w:val="15"/>
          <w:sz w:val="19"/>
          <w:szCs w:val="19"/>
        </w:rPr>
      </w:pPr>
      <w:r>
        <w:rPr>
          <w:rFonts w:ascii="Times New Roman" w:hAnsi="Times New Roman"/>
          <w:spacing w:val="15"/>
          <w:sz w:val="19"/>
          <w:szCs w:val="19"/>
        </w:rPr>
        <w:t>KEGG pathway analysis was based on highly expressed miRNA targets. The KEGG pathway enrichment aimed to reduce the invasion of tumor cells in mouse blastocysts</w:t>
      </w:r>
      <w:r>
        <w:rPr>
          <w:rFonts w:ascii="Times New Roman" w:hAnsi="Times New Roman" w:hint="eastAsia"/>
          <w:spacing w:val="15"/>
          <w:sz w:val="19"/>
          <w:szCs w:val="19"/>
        </w:rPr>
        <w:t>.</w:t>
      </w:r>
      <w:bookmarkStart w:id="0" w:name="_GoBack"/>
      <w:bookmarkEnd w:id="0"/>
    </w:p>
    <w:sectPr w:rsidR="00FF0F33" w:rsidRPr="00B60C1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C1B"/>
    <w:rsid w:val="00733948"/>
    <w:rsid w:val="00B60C1B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94481"/>
  <w15:chartTrackingRefBased/>
  <w15:docId w15:val="{EF787DE2-0A8E-4845-9FBA-2D5C99023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0C1B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B60C1B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TableParagraph">
    <w:name w:val="Table Paragraph"/>
    <w:basedOn w:val="Normal"/>
    <w:uiPriority w:val="1"/>
    <w:qFormat/>
    <w:rsid w:val="00B60C1B"/>
    <w:pPr>
      <w:spacing w:before="35"/>
    </w:pPr>
    <w:rPr>
      <w:rFonts w:ascii="Times New Roman" w:eastAsia="Times New Roman" w:hAnsi="Times New Roman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2020-11-25T16:34:00Z</dcterms:created>
  <dcterms:modified xsi:type="dcterms:W3CDTF">2020-11-25T16:34:00Z</dcterms:modified>
</cp:coreProperties>
</file>