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A181B" w14:textId="4DCAC175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  <w:r w:rsidRPr="00424758"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  <w:t>Supplementary information</w:t>
      </w:r>
    </w:p>
    <w:p w14:paraId="554395FB" w14:textId="77777777" w:rsidR="00424758" w:rsidRDefault="00424758" w:rsidP="00424758">
      <w:pPr>
        <w:autoSpaceDE w:val="0"/>
        <w:autoSpaceDN w:val="0"/>
        <w:adjustRightInd w:val="0"/>
        <w:spacing w:line="360" w:lineRule="auto"/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</w:pPr>
    </w:p>
    <w:p w14:paraId="7352E802" w14:textId="354FE652" w:rsidR="00424758" w:rsidRDefault="00424758" w:rsidP="00424758">
      <w:pPr>
        <w:autoSpaceDE w:val="0"/>
        <w:autoSpaceDN w:val="0"/>
        <w:adjustRightInd w:val="0"/>
        <w:spacing w:line="360" w:lineRule="auto"/>
        <w:rPr>
          <w:rFonts w:ascii="Times New Roman" w:eastAsia="BookAntiqua" w:hAnsi="Times New Roman" w:cs="Times New Roman"/>
          <w:b/>
          <w:bCs/>
          <w:kern w:val="0"/>
          <w:sz w:val="24"/>
          <w:szCs w:val="24"/>
        </w:rPr>
      </w:pP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1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: </w:t>
      </w:r>
      <w:r w:rsidRPr="00454451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T</w:t>
      </w:r>
      <w:r w:rsidRPr="00454451"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  <w:t>able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</w:t>
      </w:r>
      <w:r w:rsidRPr="00E15778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The list of </w:t>
      </w:r>
      <w:r w:rsidRPr="00E15778">
        <w:rPr>
          <w:rFonts w:ascii="Times New Roman" w:eastAsia="BookAntiqua" w:hAnsi="Times New Roman" w:cs="Times New Roman"/>
          <w:b/>
          <w:bCs/>
          <w:kern w:val="0"/>
          <w:sz w:val="24"/>
          <w:szCs w:val="24"/>
        </w:rPr>
        <w:t>ferroptosis-related genes</w:t>
      </w:r>
      <w:r>
        <w:rPr>
          <w:rFonts w:ascii="Times New Roman" w:eastAsia="BookAntiqua" w:hAnsi="Times New Roman" w:cs="Times New Roman"/>
          <w:b/>
          <w:bCs/>
          <w:kern w:val="0"/>
          <w:sz w:val="24"/>
          <w:szCs w:val="24"/>
        </w:rPr>
        <w:t>.</w:t>
      </w:r>
    </w:p>
    <w:tbl>
      <w:tblPr>
        <w:tblStyle w:val="a7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5529"/>
      </w:tblGrid>
      <w:tr w:rsidR="00424758" w14:paraId="6D756257" w14:textId="77777777" w:rsidTr="00DB7222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4E9B9873" w14:textId="77777777" w:rsidR="00424758" w:rsidRPr="00051A6C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1A6C"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Ferro</w:t>
            </w:r>
            <w:r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p</w:t>
            </w:r>
            <w:r w:rsidRPr="00051A6C"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tosis</w:t>
            </w:r>
            <w:r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-r</w:t>
            </w:r>
            <w:r w:rsidRPr="00051A6C"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elated genes</w:t>
            </w:r>
          </w:p>
        </w:tc>
        <w:tc>
          <w:tcPr>
            <w:tcW w:w="5529" w:type="dxa"/>
            <w:tcBorders>
              <w:top w:val="single" w:sz="4" w:space="0" w:color="auto"/>
              <w:bottom w:val="single" w:sz="4" w:space="0" w:color="auto"/>
            </w:tcBorders>
          </w:tcPr>
          <w:p w14:paraId="42345A34" w14:textId="77777777" w:rsidR="00424758" w:rsidRPr="00051A6C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</w:pPr>
            <w:r w:rsidRPr="00051A6C">
              <w:rPr>
                <w:rFonts w:ascii="Times New Roman" w:hAnsi="Times New Roman" w:cs="Times New Roman" w:hint="eastAsia"/>
                <w:b/>
                <w:bCs/>
                <w:color w:val="131413"/>
                <w:kern w:val="0"/>
                <w:sz w:val="24"/>
                <w:szCs w:val="24"/>
              </w:rPr>
              <w:t>N</w:t>
            </w:r>
            <w:r w:rsidRPr="00051A6C">
              <w:rPr>
                <w:rFonts w:ascii="Times New Roman" w:hAnsi="Times New Roman" w:cs="Times New Roman"/>
                <w:b/>
                <w:bCs/>
                <w:color w:val="131413"/>
                <w:kern w:val="0"/>
                <w:sz w:val="24"/>
                <w:szCs w:val="24"/>
              </w:rPr>
              <w:t>ame</w:t>
            </w:r>
          </w:p>
        </w:tc>
      </w:tr>
      <w:tr w:rsidR="00424758" w14:paraId="6492748D" w14:textId="77777777" w:rsidTr="00DB7222">
        <w:tc>
          <w:tcPr>
            <w:tcW w:w="2830" w:type="dxa"/>
            <w:tcBorders>
              <w:top w:val="single" w:sz="4" w:space="0" w:color="auto"/>
            </w:tcBorders>
            <w:vAlign w:val="center"/>
          </w:tcPr>
          <w:p w14:paraId="4B4AA18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ABCC1</w:t>
            </w:r>
          </w:p>
        </w:tc>
        <w:tc>
          <w:tcPr>
            <w:tcW w:w="5529" w:type="dxa"/>
            <w:tcBorders>
              <w:top w:val="single" w:sz="4" w:space="0" w:color="auto"/>
            </w:tcBorders>
            <w:vAlign w:val="center"/>
          </w:tcPr>
          <w:p w14:paraId="0924D1D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ATP binding cassette subfamily C member 1</w:t>
            </w:r>
          </w:p>
        </w:tc>
      </w:tr>
      <w:tr w:rsidR="00424758" w14:paraId="52189FD1" w14:textId="77777777" w:rsidTr="00DB7222">
        <w:tc>
          <w:tcPr>
            <w:tcW w:w="2830" w:type="dxa"/>
            <w:vAlign w:val="center"/>
          </w:tcPr>
          <w:p w14:paraId="618E2A7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ACACA</w:t>
            </w:r>
          </w:p>
        </w:tc>
        <w:tc>
          <w:tcPr>
            <w:tcW w:w="5529" w:type="dxa"/>
            <w:vAlign w:val="center"/>
          </w:tcPr>
          <w:p w14:paraId="25FF66D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Acetyl-CoA carboxylase alpha</w:t>
            </w:r>
          </w:p>
        </w:tc>
      </w:tr>
      <w:tr w:rsidR="00424758" w14:paraId="36563099" w14:textId="77777777" w:rsidTr="00DB7222">
        <w:tc>
          <w:tcPr>
            <w:tcW w:w="2830" w:type="dxa"/>
            <w:vAlign w:val="center"/>
          </w:tcPr>
          <w:p w14:paraId="15B7F5B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ACO1</w:t>
            </w:r>
          </w:p>
        </w:tc>
        <w:tc>
          <w:tcPr>
            <w:tcW w:w="5529" w:type="dxa"/>
            <w:vAlign w:val="center"/>
          </w:tcPr>
          <w:p w14:paraId="4D5AFAD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aconitase 1</w:t>
            </w:r>
          </w:p>
        </w:tc>
      </w:tr>
      <w:tr w:rsidR="00424758" w14:paraId="665A3EC1" w14:textId="77777777" w:rsidTr="00DB7222">
        <w:tc>
          <w:tcPr>
            <w:tcW w:w="2830" w:type="dxa"/>
            <w:vAlign w:val="center"/>
          </w:tcPr>
          <w:p w14:paraId="2393284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ACSF2</w:t>
            </w:r>
          </w:p>
        </w:tc>
        <w:tc>
          <w:tcPr>
            <w:tcW w:w="5529" w:type="dxa"/>
            <w:vAlign w:val="center"/>
          </w:tcPr>
          <w:p w14:paraId="5F7D560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acyl-CoA synthetase family member 2</w:t>
            </w:r>
          </w:p>
        </w:tc>
      </w:tr>
      <w:tr w:rsidR="00424758" w14:paraId="6010C8E3" w14:textId="77777777" w:rsidTr="00DB7222">
        <w:tc>
          <w:tcPr>
            <w:tcW w:w="2830" w:type="dxa"/>
            <w:vAlign w:val="center"/>
          </w:tcPr>
          <w:p w14:paraId="2F2667C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ACSL3</w:t>
            </w:r>
          </w:p>
        </w:tc>
        <w:tc>
          <w:tcPr>
            <w:tcW w:w="5529" w:type="dxa"/>
            <w:vAlign w:val="center"/>
          </w:tcPr>
          <w:p w14:paraId="6F67115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acyl-CoA synthetase long-chain family member 3</w:t>
            </w:r>
          </w:p>
        </w:tc>
      </w:tr>
      <w:tr w:rsidR="00424758" w14:paraId="23A26C56" w14:textId="77777777" w:rsidTr="00DB7222">
        <w:tc>
          <w:tcPr>
            <w:tcW w:w="2830" w:type="dxa"/>
            <w:vAlign w:val="center"/>
          </w:tcPr>
          <w:p w14:paraId="7EF7929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ACSL4</w:t>
            </w:r>
          </w:p>
        </w:tc>
        <w:tc>
          <w:tcPr>
            <w:tcW w:w="5529" w:type="dxa"/>
            <w:vAlign w:val="center"/>
          </w:tcPr>
          <w:p w14:paraId="7ABF9AC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acyl-CoA synthetase long-chain family member 4</w:t>
            </w:r>
          </w:p>
        </w:tc>
      </w:tr>
      <w:tr w:rsidR="00424758" w14:paraId="1C8A7A2C" w14:textId="77777777" w:rsidTr="00DB7222">
        <w:tc>
          <w:tcPr>
            <w:tcW w:w="2830" w:type="dxa"/>
            <w:vAlign w:val="center"/>
          </w:tcPr>
          <w:p w14:paraId="2922EC3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AIFM2</w:t>
            </w:r>
          </w:p>
        </w:tc>
        <w:tc>
          <w:tcPr>
            <w:tcW w:w="5529" w:type="dxa"/>
            <w:vAlign w:val="center"/>
          </w:tcPr>
          <w:p w14:paraId="3BCC028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apoptosis inducing factor mitochondria associated 2</w:t>
            </w:r>
          </w:p>
        </w:tc>
      </w:tr>
      <w:tr w:rsidR="00424758" w14:paraId="1E39058A" w14:textId="77777777" w:rsidTr="00DB7222">
        <w:tc>
          <w:tcPr>
            <w:tcW w:w="2830" w:type="dxa"/>
            <w:vAlign w:val="center"/>
          </w:tcPr>
          <w:p w14:paraId="077D9E2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AKR1C1</w:t>
            </w:r>
          </w:p>
        </w:tc>
        <w:tc>
          <w:tcPr>
            <w:tcW w:w="5529" w:type="dxa"/>
            <w:vAlign w:val="center"/>
          </w:tcPr>
          <w:p w14:paraId="7928685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aldo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-keto reductase family 1 member C1</w:t>
            </w:r>
          </w:p>
        </w:tc>
      </w:tr>
      <w:tr w:rsidR="00424758" w14:paraId="70A2912F" w14:textId="77777777" w:rsidTr="00DB7222">
        <w:tc>
          <w:tcPr>
            <w:tcW w:w="2830" w:type="dxa"/>
            <w:vAlign w:val="center"/>
          </w:tcPr>
          <w:p w14:paraId="0C9650E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AKR1C2</w:t>
            </w:r>
          </w:p>
        </w:tc>
        <w:tc>
          <w:tcPr>
            <w:tcW w:w="5529" w:type="dxa"/>
            <w:vAlign w:val="center"/>
          </w:tcPr>
          <w:p w14:paraId="7DA9A81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aldo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-keto reductase family 1 member C2</w:t>
            </w:r>
          </w:p>
        </w:tc>
      </w:tr>
      <w:tr w:rsidR="00424758" w14:paraId="03463F65" w14:textId="77777777" w:rsidTr="00DB7222">
        <w:tc>
          <w:tcPr>
            <w:tcW w:w="2830" w:type="dxa"/>
            <w:vAlign w:val="center"/>
          </w:tcPr>
          <w:p w14:paraId="27A8AAA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AKR1C3</w:t>
            </w:r>
          </w:p>
        </w:tc>
        <w:tc>
          <w:tcPr>
            <w:tcW w:w="5529" w:type="dxa"/>
            <w:vAlign w:val="center"/>
          </w:tcPr>
          <w:p w14:paraId="0CA72515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aldo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-keto reductase family 1 member C3</w:t>
            </w:r>
          </w:p>
        </w:tc>
      </w:tr>
      <w:tr w:rsidR="00424758" w14:paraId="51121022" w14:textId="77777777" w:rsidTr="00DB7222">
        <w:tc>
          <w:tcPr>
            <w:tcW w:w="2830" w:type="dxa"/>
            <w:vAlign w:val="center"/>
          </w:tcPr>
          <w:p w14:paraId="38FAB1F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ALOX12</w:t>
            </w:r>
          </w:p>
        </w:tc>
        <w:tc>
          <w:tcPr>
            <w:tcW w:w="5529" w:type="dxa"/>
            <w:vAlign w:val="center"/>
          </w:tcPr>
          <w:p w14:paraId="048A84B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hyperlink r:id="rId6" w:tooltip="https://www.ncbi.nlm.nih.gov/gene/240" w:history="1">
              <w:r>
                <w:rPr>
                  <w:rStyle w:val="a8"/>
                  <w:rFonts w:ascii="Times New Roman" w:eastAsia="等线" w:hAnsi="Times New Roman" w:cs="Times New Roman"/>
                  <w:color w:val="000000"/>
                </w:rPr>
                <w:t>arachidonate 12-lipoxygenase</w:t>
              </w:r>
            </w:hyperlink>
          </w:p>
        </w:tc>
      </w:tr>
      <w:tr w:rsidR="00424758" w14:paraId="51DA0D0B" w14:textId="77777777" w:rsidTr="00DB7222">
        <w:tc>
          <w:tcPr>
            <w:tcW w:w="2830" w:type="dxa"/>
            <w:vAlign w:val="center"/>
          </w:tcPr>
          <w:p w14:paraId="3D01D64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ALOX15</w:t>
            </w:r>
          </w:p>
        </w:tc>
        <w:tc>
          <w:tcPr>
            <w:tcW w:w="5529" w:type="dxa"/>
            <w:vAlign w:val="center"/>
          </w:tcPr>
          <w:p w14:paraId="0A8600D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hyperlink r:id="rId7" w:tooltip="https://www.ncbi.nlm.nih.gov/gene/246" w:history="1">
              <w:r>
                <w:rPr>
                  <w:rStyle w:val="a8"/>
                  <w:rFonts w:ascii="Times New Roman" w:eastAsia="等线" w:hAnsi="Times New Roman" w:cs="Times New Roman"/>
                  <w:color w:val="000000"/>
                </w:rPr>
                <w:t>arachidonate 15-lipoxygenase</w:t>
              </w:r>
            </w:hyperlink>
          </w:p>
        </w:tc>
      </w:tr>
      <w:tr w:rsidR="00424758" w14:paraId="5BF4C34B" w14:textId="77777777" w:rsidTr="00DB7222">
        <w:tc>
          <w:tcPr>
            <w:tcW w:w="2830" w:type="dxa"/>
            <w:vAlign w:val="center"/>
          </w:tcPr>
          <w:p w14:paraId="353344E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212121"/>
              </w:rPr>
              <w:t>ALOX15B</w:t>
            </w:r>
          </w:p>
        </w:tc>
        <w:tc>
          <w:tcPr>
            <w:tcW w:w="5529" w:type="dxa"/>
            <w:vAlign w:val="center"/>
          </w:tcPr>
          <w:p w14:paraId="0AE7069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212121"/>
              </w:rPr>
              <w:t>arachidonate 15-lipoxygenase second type </w:t>
            </w:r>
          </w:p>
        </w:tc>
      </w:tr>
      <w:tr w:rsidR="00424758" w14:paraId="3B48CF0F" w14:textId="77777777" w:rsidTr="00DB7222">
        <w:tc>
          <w:tcPr>
            <w:tcW w:w="2830" w:type="dxa"/>
            <w:vAlign w:val="center"/>
          </w:tcPr>
          <w:p w14:paraId="57F4F86D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ALOX5</w:t>
            </w:r>
          </w:p>
        </w:tc>
        <w:tc>
          <w:tcPr>
            <w:tcW w:w="5529" w:type="dxa"/>
            <w:vAlign w:val="center"/>
          </w:tcPr>
          <w:p w14:paraId="6BEB41D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hyperlink r:id="rId8" w:tooltip="https://www.ncbi.nlm.nih.gov/gene/240" w:history="1">
              <w:r>
                <w:rPr>
                  <w:rStyle w:val="a8"/>
                  <w:rFonts w:ascii="Times New Roman" w:eastAsia="等线" w:hAnsi="Times New Roman" w:cs="Times New Roman"/>
                  <w:color w:val="000000"/>
                </w:rPr>
                <w:t>arachidonate 5-lipoxygenase</w:t>
              </w:r>
            </w:hyperlink>
          </w:p>
        </w:tc>
      </w:tr>
      <w:tr w:rsidR="00424758" w14:paraId="084F0281" w14:textId="77777777" w:rsidTr="00DB7222">
        <w:tc>
          <w:tcPr>
            <w:tcW w:w="2830" w:type="dxa"/>
            <w:vAlign w:val="center"/>
          </w:tcPr>
          <w:p w14:paraId="733C4E15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ATP5MC3</w:t>
            </w:r>
          </w:p>
        </w:tc>
        <w:tc>
          <w:tcPr>
            <w:tcW w:w="5529" w:type="dxa"/>
            <w:vAlign w:val="center"/>
          </w:tcPr>
          <w:p w14:paraId="6B8C817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ATP synthase membrane subunit c locus 3</w:t>
            </w:r>
          </w:p>
        </w:tc>
      </w:tr>
      <w:tr w:rsidR="00424758" w14:paraId="36F63D90" w14:textId="77777777" w:rsidTr="00DB7222">
        <w:tc>
          <w:tcPr>
            <w:tcW w:w="2830" w:type="dxa"/>
            <w:vAlign w:val="center"/>
          </w:tcPr>
          <w:p w14:paraId="5A1FCDB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CARS</w:t>
            </w:r>
          </w:p>
        </w:tc>
        <w:tc>
          <w:tcPr>
            <w:tcW w:w="5529" w:type="dxa"/>
            <w:vAlign w:val="center"/>
          </w:tcPr>
          <w:p w14:paraId="1124419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cysteinyl tRNA synthetase</w:t>
            </w:r>
          </w:p>
        </w:tc>
      </w:tr>
      <w:tr w:rsidR="00424758" w14:paraId="4A547D54" w14:textId="77777777" w:rsidTr="00DB7222">
        <w:tc>
          <w:tcPr>
            <w:tcW w:w="2830" w:type="dxa"/>
            <w:vAlign w:val="center"/>
          </w:tcPr>
          <w:p w14:paraId="1FA49E1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CBS</w:t>
            </w:r>
          </w:p>
        </w:tc>
        <w:tc>
          <w:tcPr>
            <w:tcW w:w="5529" w:type="dxa"/>
            <w:vAlign w:val="center"/>
          </w:tcPr>
          <w:p w14:paraId="0952D8D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cystathion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ine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beta synthase</w:t>
            </w:r>
          </w:p>
        </w:tc>
      </w:tr>
      <w:tr w:rsidR="00424758" w14:paraId="7864D668" w14:textId="77777777" w:rsidTr="00DB7222">
        <w:tc>
          <w:tcPr>
            <w:tcW w:w="2830" w:type="dxa"/>
            <w:vAlign w:val="center"/>
          </w:tcPr>
          <w:p w14:paraId="2658CA3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CD44</w:t>
            </w:r>
          </w:p>
        </w:tc>
        <w:tc>
          <w:tcPr>
            <w:tcW w:w="5529" w:type="dxa"/>
            <w:vAlign w:val="center"/>
          </w:tcPr>
          <w:p w14:paraId="3752A3D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CD44 molecule</w:t>
            </w:r>
          </w:p>
        </w:tc>
      </w:tr>
      <w:tr w:rsidR="00424758" w14:paraId="536AF6E4" w14:textId="77777777" w:rsidTr="00DB7222">
        <w:tc>
          <w:tcPr>
            <w:tcW w:w="2830" w:type="dxa"/>
            <w:vAlign w:val="center"/>
          </w:tcPr>
          <w:p w14:paraId="4F82496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CHAC1</w:t>
            </w:r>
          </w:p>
        </w:tc>
        <w:tc>
          <w:tcPr>
            <w:tcW w:w="5529" w:type="dxa"/>
            <w:vAlign w:val="center"/>
          </w:tcPr>
          <w:p w14:paraId="54476E9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ChaC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glutathione- specific gamma-glutamyl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cyclotransferase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1</w:t>
            </w:r>
          </w:p>
        </w:tc>
      </w:tr>
      <w:tr w:rsidR="00424758" w14:paraId="6CE79A3B" w14:textId="77777777" w:rsidTr="00DB7222">
        <w:tc>
          <w:tcPr>
            <w:tcW w:w="2830" w:type="dxa"/>
            <w:vAlign w:val="center"/>
          </w:tcPr>
          <w:p w14:paraId="498E66B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CISD1</w:t>
            </w:r>
          </w:p>
        </w:tc>
        <w:tc>
          <w:tcPr>
            <w:tcW w:w="5529" w:type="dxa"/>
            <w:vAlign w:val="center"/>
          </w:tcPr>
          <w:p w14:paraId="770744CE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CDGSH iron sulfur domain 1</w:t>
            </w:r>
          </w:p>
        </w:tc>
      </w:tr>
      <w:tr w:rsidR="00424758" w14:paraId="35B84806" w14:textId="77777777" w:rsidTr="00DB7222">
        <w:tc>
          <w:tcPr>
            <w:tcW w:w="2830" w:type="dxa"/>
            <w:vAlign w:val="center"/>
          </w:tcPr>
          <w:p w14:paraId="0C14ABF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CRYAB</w:t>
            </w:r>
          </w:p>
        </w:tc>
        <w:tc>
          <w:tcPr>
            <w:tcW w:w="5529" w:type="dxa"/>
            <w:vAlign w:val="center"/>
          </w:tcPr>
          <w:p w14:paraId="1015F72E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heat shock protein beta 5</w:t>
            </w:r>
          </w:p>
        </w:tc>
      </w:tr>
      <w:tr w:rsidR="00424758" w14:paraId="48E9AD53" w14:textId="77777777" w:rsidTr="00DB7222">
        <w:tc>
          <w:tcPr>
            <w:tcW w:w="2830" w:type="dxa"/>
            <w:vAlign w:val="center"/>
          </w:tcPr>
          <w:p w14:paraId="79AFDD6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CS</w:t>
            </w:r>
          </w:p>
        </w:tc>
        <w:tc>
          <w:tcPr>
            <w:tcW w:w="5529" w:type="dxa"/>
            <w:vAlign w:val="center"/>
          </w:tcPr>
          <w:p w14:paraId="6ACCABD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citrate synthase</w:t>
            </w:r>
          </w:p>
        </w:tc>
      </w:tr>
      <w:tr w:rsidR="00424758" w14:paraId="718CBACF" w14:textId="77777777" w:rsidTr="00DB7222">
        <w:tc>
          <w:tcPr>
            <w:tcW w:w="2830" w:type="dxa"/>
            <w:vAlign w:val="center"/>
          </w:tcPr>
          <w:p w14:paraId="47AB2EF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DPP4</w:t>
            </w:r>
          </w:p>
        </w:tc>
        <w:tc>
          <w:tcPr>
            <w:tcW w:w="5529" w:type="dxa"/>
            <w:vAlign w:val="center"/>
          </w:tcPr>
          <w:p w14:paraId="0D36274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dipeptidyl-dippeptidase-4</w:t>
            </w:r>
          </w:p>
        </w:tc>
      </w:tr>
      <w:tr w:rsidR="00424758" w14:paraId="6B0BB32E" w14:textId="77777777" w:rsidTr="00DB7222">
        <w:tc>
          <w:tcPr>
            <w:tcW w:w="2830" w:type="dxa"/>
            <w:vAlign w:val="center"/>
          </w:tcPr>
          <w:p w14:paraId="3EE77B0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EMC2</w:t>
            </w:r>
          </w:p>
        </w:tc>
        <w:tc>
          <w:tcPr>
            <w:tcW w:w="5529" w:type="dxa"/>
            <w:vAlign w:val="center"/>
          </w:tcPr>
          <w:p w14:paraId="5166AD1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ER membrane protein complex subunit 2</w:t>
            </w:r>
          </w:p>
        </w:tc>
      </w:tr>
      <w:tr w:rsidR="00424758" w14:paraId="0C9295B1" w14:textId="77777777" w:rsidTr="00DB7222">
        <w:tc>
          <w:tcPr>
            <w:tcW w:w="2830" w:type="dxa"/>
            <w:vAlign w:val="center"/>
          </w:tcPr>
          <w:p w14:paraId="3AE5EBC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FADS2</w:t>
            </w:r>
          </w:p>
        </w:tc>
        <w:tc>
          <w:tcPr>
            <w:tcW w:w="5529" w:type="dxa"/>
            <w:vAlign w:val="center"/>
          </w:tcPr>
          <w:p w14:paraId="2192820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fatty acid desaturase 2/acyl-CoA 6-desaturase</w:t>
            </w:r>
          </w:p>
        </w:tc>
      </w:tr>
      <w:tr w:rsidR="00424758" w14:paraId="76578657" w14:textId="77777777" w:rsidTr="00DB7222">
        <w:tc>
          <w:tcPr>
            <w:tcW w:w="2830" w:type="dxa"/>
            <w:vAlign w:val="center"/>
          </w:tcPr>
          <w:p w14:paraId="6E8570A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FANCD2</w:t>
            </w:r>
          </w:p>
        </w:tc>
        <w:tc>
          <w:tcPr>
            <w:tcW w:w="5529" w:type="dxa"/>
            <w:vAlign w:val="center"/>
          </w:tcPr>
          <w:p w14:paraId="103FB03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Fanconi anemia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comple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mentation group D2</w:t>
            </w:r>
          </w:p>
        </w:tc>
      </w:tr>
      <w:tr w:rsidR="00424758" w14:paraId="72FFD40F" w14:textId="77777777" w:rsidTr="00DB7222">
        <w:tc>
          <w:tcPr>
            <w:tcW w:w="2830" w:type="dxa"/>
            <w:vAlign w:val="center"/>
          </w:tcPr>
          <w:p w14:paraId="16C9B47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lastRenderedPageBreak/>
              <w:t>FDFT1</w:t>
            </w:r>
          </w:p>
        </w:tc>
        <w:tc>
          <w:tcPr>
            <w:tcW w:w="5529" w:type="dxa"/>
            <w:vAlign w:val="center"/>
          </w:tcPr>
          <w:p w14:paraId="531BF7D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farnesyl-diphosphate farnesyltransferase 1</w:t>
            </w:r>
          </w:p>
        </w:tc>
      </w:tr>
      <w:tr w:rsidR="00424758" w14:paraId="6A13EF75" w14:textId="77777777" w:rsidTr="00DB7222">
        <w:tc>
          <w:tcPr>
            <w:tcW w:w="2830" w:type="dxa"/>
            <w:vAlign w:val="center"/>
          </w:tcPr>
          <w:p w14:paraId="5B77454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FTH1</w:t>
            </w:r>
          </w:p>
        </w:tc>
        <w:tc>
          <w:tcPr>
            <w:tcW w:w="5529" w:type="dxa"/>
            <w:vAlign w:val="center"/>
          </w:tcPr>
          <w:p w14:paraId="09AA6C9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ferritin heavy chain 1</w:t>
            </w:r>
          </w:p>
        </w:tc>
      </w:tr>
      <w:tr w:rsidR="00424758" w14:paraId="4260D1EC" w14:textId="77777777" w:rsidTr="00DB7222">
        <w:tc>
          <w:tcPr>
            <w:tcW w:w="2830" w:type="dxa"/>
            <w:vAlign w:val="center"/>
          </w:tcPr>
          <w:p w14:paraId="19D6543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G6PD</w:t>
            </w:r>
          </w:p>
        </w:tc>
        <w:tc>
          <w:tcPr>
            <w:tcW w:w="5529" w:type="dxa"/>
            <w:vAlign w:val="center"/>
          </w:tcPr>
          <w:p w14:paraId="4E698D5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glucose-6-phosphate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dehydrogenas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e</w:t>
            </w:r>
          </w:p>
        </w:tc>
      </w:tr>
      <w:tr w:rsidR="00424758" w14:paraId="363BA4EE" w14:textId="77777777" w:rsidTr="00DB7222">
        <w:tc>
          <w:tcPr>
            <w:tcW w:w="2830" w:type="dxa"/>
            <w:vAlign w:val="center"/>
          </w:tcPr>
          <w:p w14:paraId="176219DD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GCLC</w:t>
            </w:r>
          </w:p>
        </w:tc>
        <w:tc>
          <w:tcPr>
            <w:tcW w:w="5529" w:type="dxa"/>
            <w:vAlign w:val="center"/>
          </w:tcPr>
          <w:p w14:paraId="2986DF9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glutamate-cysteine ligase catalytic subunit</w:t>
            </w:r>
          </w:p>
        </w:tc>
      </w:tr>
      <w:tr w:rsidR="00424758" w14:paraId="53DE6579" w14:textId="77777777" w:rsidTr="00DB7222">
        <w:tc>
          <w:tcPr>
            <w:tcW w:w="2830" w:type="dxa"/>
            <w:vAlign w:val="center"/>
          </w:tcPr>
          <w:p w14:paraId="2932FD7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GCLM</w:t>
            </w:r>
          </w:p>
        </w:tc>
        <w:tc>
          <w:tcPr>
            <w:tcW w:w="5529" w:type="dxa"/>
            <w:vAlign w:val="center"/>
          </w:tcPr>
          <w:p w14:paraId="243301F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glutamate-cysteine ligase modifier subunit</w:t>
            </w:r>
          </w:p>
        </w:tc>
      </w:tr>
      <w:tr w:rsidR="00424758" w14:paraId="59D66FC8" w14:textId="77777777" w:rsidTr="00DB7222">
        <w:tc>
          <w:tcPr>
            <w:tcW w:w="2830" w:type="dxa"/>
            <w:vAlign w:val="center"/>
          </w:tcPr>
          <w:p w14:paraId="15E7B48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GLS2</w:t>
            </w:r>
          </w:p>
        </w:tc>
        <w:tc>
          <w:tcPr>
            <w:tcW w:w="5529" w:type="dxa"/>
            <w:vAlign w:val="center"/>
          </w:tcPr>
          <w:p w14:paraId="7504F275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glutaminase 2</w:t>
            </w:r>
          </w:p>
        </w:tc>
      </w:tr>
      <w:tr w:rsidR="00424758" w14:paraId="2789A93B" w14:textId="77777777" w:rsidTr="00DB7222">
        <w:tc>
          <w:tcPr>
            <w:tcW w:w="2830" w:type="dxa"/>
            <w:vAlign w:val="center"/>
          </w:tcPr>
          <w:p w14:paraId="128B407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GOT1</w:t>
            </w:r>
          </w:p>
        </w:tc>
        <w:tc>
          <w:tcPr>
            <w:tcW w:w="5529" w:type="dxa"/>
            <w:vAlign w:val="center"/>
          </w:tcPr>
          <w:p w14:paraId="03351C4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glutamic-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oxa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loacetic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transaminase 1</w:t>
            </w:r>
          </w:p>
        </w:tc>
      </w:tr>
      <w:tr w:rsidR="00424758" w14:paraId="46497E32" w14:textId="77777777" w:rsidTr="00DB7222">
        <w:tc>
          <w:tcPr>
            <w:tcW w:w="2830" w:type="dxa"/>
            <w:vAlign w:val="center"/>
          </w:tcPr>
          <w:p w14:paraId="672DF81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GPX4</w:t>
            </w:r>
          </w:p>
        </w:tc>
        <w:tc>
          <w:tcPr>
            <w:tcW w:w="5529" w:type="dxa"/>
            <w:vAlign w:val="center"/>
          </w:tcPr>
          <w:p w14:paraId="6992F83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glutathio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ne peroxidase 4</w:t>
            </w:r>
          </w:p>
        </w:tc>
      </w:tr>
      <w:tr w:rsidR="00424758" w14:paraId="1EDCEECC" w14:textId="77777777" w:rsidTr="00DB7222">
        <w:tc>
          <w:tcPr>
            <w:tcW w:w="2830" w:type="dxa"/>
            <w:vAlign w:val="center"/>
          </w:tcPr>
          <w:p w14:paraId="0C7B15B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GSS</w:t>
            </w:r>
          </w:p>
        </w:tc>
        <w:tc>
          <w:tcPr>
            <w:tcW w:w="5529" w:type="dxa"/>
            <w:vAlign w:val="center"/>
          </w:tcPr>
          <w:p w14:paraId="68FBCC6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glutathione synthetase</w:t>
            </w:r>
          </w:p>
        </w:tc>
      </w:tr>
      <w:tr w:rsidR="00424758" w14:paraId="16B67551" w14:textId="77777777" w:rsidTr="00DB7222">
        <w:tc>
          <w:tcPr>
            <w:tcW w:w="2830" w:type="dxa"/>
            <w:vAlign w:val="center"/>
          </w:tcPr>
          <w:p w14:paraId="1CC1D31D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HMGCR</w:t>
            </w:r>
          </w:p>
        </w:tc>
        <w:tc>
          <w:tcPr>
            <w:tcW w:w="5529" w:type="dxa"/>
            <w:vAlign w:val="center"/>
          </w:tcPr>
          <w:p w14:paraId="52CCD28E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3-hydroxy-3-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methylglutaryl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-CoA reductase</w:t>
            </w:r>
          </w:p>
        </w:tc>
      </w:tr>
      <w:tr w:rsidR="00424758" w14:paraId="25DAD792" w14:textId="77777777" w:rsidTr="00DB7222">
        <w:tc>
          <w:tcPr>
            <w:tcW w:w="2830" w:type="dxa"/>
            <w:vAlign w:val="center"/>
          </w:tcPr>
          <w:p w14:paraId="70BF753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HMOX1</w:t>
            </w:r>
          </w:p>
        </w:tc>
        <w:tc>
          <w:tcPr>
            <w:tcW w:w="5529" w:type="dxa"/>
            <w:vAlign w:val="center"/>
          </w:tcPr>
          <w:p w14:paraId="7BFFF805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heme oxygenase 1</w:t>
            </w:r>
          </w:p>
        </w:tc>
      </w:tr>
      <w:tr w:rsidR="00424758" w14:paraId="2ED2E460" w14:textId="77777777" w:rsidTr="00DB7222">
        <w:tc>
          <w:tcPr>
            <w:tcW w:w="2830" w:type="dxa"/>
            <w:vAlign w:val="center"/>
          </w:tcPr>
          <w:p w14:paraId="578CCA5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HSBP1</w:t>
            </w:r>
          </w:p>
        </w:tc>
        <w:tc>
          <w:tcPr>
            <w:tcW w:w="5529" w:type="dxa"/>
            <w:vAlign w:val="center"/>
          </w:tcPr>
          <w:p w14:paraId="4F3B3E5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heat-shock 27-k Da protein 1</w:t>
            </w:r>
          </w:p>
        </w:tc>
      </w:tr>
      <w:tr w:rsidR="00424758" w14:paraId="4A38F2CA" w14:textId="77777777" w:rsidTr="00DB7222">
        <w:tc>
          <w:tcPr>
            <w:tcW w:w="2830" w:type="dxa"/>
            <w:vAlign w:val="center"/>
          </w:tcPr>
          <w:p w14:paraId="6B8FF1C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HSPB1</w:t>
            </w:r>
          </w:p>
        </w:tc>
        <w:tc>
          <w:tcPr>
            <w:tcW w:w="5529" w:type="dxa"/>
            <w:vAlign w:val="center"/>
          </w:tcPr>
          <w:p w14:paraId="0C3AE39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heat shock protein beta 1</w:t>
            </w:r>
          </w:p>
        </w:tc>
      </w:tr>
      <w:tr w:rsidR="00424758" w14:paraId="47B63244" w14:textId="77777777" w:rsidTr="00DB7222">
        <w:tc>
          <w:tcPr>
            <w:tcW w:w="2830" w:type="dxa"/>
            <w:vAlign w:val="center"/>
          </w:tcPr>
          <w:p w14:paraId="05C7034E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IREB2</w:t>
            </w:r>
          </w:p>
        </w:tc>
        <w:tc>
          <w:tcPr>
            <w:tcW w:w="5529" w:type="dxa"/>
            <w:vAlign w:val="center"/>
          </w:tcPr>
          <w:p w14:paraId="3ED68B9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iron response element-binding protein 2</w:t>
            </w:r>
          </w:p>
        </w:tc>
      </w:tr>
      <w:tr w:rsidR="00424758" w14:paraId="4794B52A" w14:textId="77777777" w:rsidTr="00DB7222">
        <w:tc>
          <w:tcPr>
            <w:tcW w:w="2830" w:type="dxa"/>
            <w:vAlign w:val="center"/>
          </w:tcPr>
          <w:p w14:paraId="33B331B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KEAP1</w:t>
            </w:r>
          </w:p>
        </w:tc>
        <w:tc>
          <w:tcPr>
            <w:tcW w:w="5529" w:type="dxa"/>
            <w:vAlign w:val="center"/>
          </w:tcPr>
          <w:p w14:paraId="7C864F1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kelch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-like ECH- associated protein 1</w:t>
            </w:r>
          </w:p>
        </w:tc>
      </w:tr>
      <w:tr w:rsidR="00424758" w14:paraId="056C2923" w14:textId="77777777" w:rsidTr="00DB7222">
        <w:tc>
          <w:tcPr>
            <w:tcW w:w="2830" w:type="dxa"/>
            <w:vAlign w:val="center"/>
          </w:tcPr>
          <w:p w14:paraId="2EF6F2B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LPCAT3</w:t>
            </w:r>
          </w:p>
        </w:tc>
        <w:tc>
          <w:tcPr>
            <w:tcW w:w="5529" w:type="dxa"/>
            <w:vAlign w:val="center"/>
          </w:tcPr>
          <w:p w14:paraId="52C9090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lysophosp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hatidylcholine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acyltransferase 3</w:t>
            </w:r>
          </w:p>
        </w:tc>
      </w:tr>
      <w:tr w:rsidR="00424758" w14:paraId="6A033E6E" w14:textId="77777777" w:rsidTr="00DB7222">
        <w:tc>
          <w:tcPr>
            <w:tcW w:w="2830" w:type="dxa"/>
            <w:vAlign w:val="center"/>
          </w:tcPr>
          <w:p w14:paraId="2172E42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MT1G</w:t>
            </w:r>
          </w:p>
        </w:tc>
        <w:tc>
          <w:tcPr>
            <w:tcW w:w="5529" w:type="dxa"/>
            <w:vAlign w:val="center"/>
          </w:tcPr>
          <w:p w14:paraId="4FA78E1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metallothionein-1G</w:t>
            </w:r>
          </w:p>
        </w:tc>
      </w:tr>
      <w:tr w:rsidR="00424758" w14:paraId="4C1E602F" w14:textId="77777777" w:rsidTr="00DB7222">
        <w:tc>
          <w:tcPr>
            <w:tcW w:w="2830" w:type="dxa"/>
            <w:vAlign w:val="center"/>
          </w:tcPr>
          <w:p w14:paraId="197EEAA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NCOA4</w:t>
            </w:r>
          </w:p>
        </w:tc>
        <w:tc>
          <w:tcPr>
            <w:tcW w:w="5529" w:type="dxa"/>
            <w:vAlign w:val="center"/>
          </w:tcPr>
          <w:p w14:paraId="34FC3F8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nuclear receptor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coactiva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tor 4</w:t>
            </w:r>
          </w:p>
        </w:tc>
      </w:tr>
      <w:tr w:rsidR="00424758" w14:paraId="12A5BD45" w14:textId="77777777" w:rsidTr="00DB7222">
        <w:tc>
          <w:tcPr>
            <w:tcW w:w="2830" w:type="dxa"/>
            <w:vAlign w:val="center"/>
          </w:tcPr>
          <w:p w14:paraId="445CB6C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NFE2L2</w:t>
            </w:r>
          </w:p>
        </w:tc>
        <w:tc>
          <w:tcPr>
            <w:tcW w:w="5529" w:type="dxa"/>
            <w:vAlign w:val="center"/>
          </w:tcPr>
          <w:p w14:paraId="33DBCF2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nuclear factor, erythroid 2 like 2</w:t>
            </w:r>
          </w:p>
        </w:tc>
      </w:tr>
      <w:tr w:rsidR="00424758" w14:paraId="1566B479" w14:textId="77777777" w:rsidTr="00DB7222">
        <w:tc>
          <w:tcPr>
            <w:tcW w:w="2830" w:type="dxa"/>
            <w:vAlign w:val="center"/>
          </w:tcPr>
          <w:p w14:paraId="7B5AADD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NFS1</w:t>
            </w:r>
          </w:p>
        </w:tc>
        <w:tc>
          <w:tcPr>
            <w:tcW w:w="5529" w:type="dxa"/>
            <w:vAlign w:val="center"/>
          </w:tcPr>
          <w:p w14:paraId="60CC36F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cysteine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desulfurase</w:t>
            </w:r>
            <w:proofErr w:type="spellEnd"/>
          </w:p>
        </w:tc>
      </w:tr>
      <w:tr w:rsidR="00424758" w14:paraId="07E50435" w14:textId="77777777" w:rsidTr="00DB7222">
        <w:tc>
          <w:tcPr>
            <w:tcW w:w="2830" w:type="dxa"/>
            <w:vAlign w:val="center"/>
          </w:tcPr>
          <w:p w14:paraId="202645A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NOX1</w:t>
            </w:r>
          </w:p>
        </w:tc>
        <w:tc>
          <w:tcPr>
            <w:tcW w:w="5529" w:type="dxa"/>
            <w:vAlign w:val="center"/>
          </w:tcPr>
          <w:p w14:paraId="774AB3E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NADPH oxidase 1</w:t>
            </w:r>
          </w:p>
        </w:tc>
      </w:tr>
      <w:tr w:rsidR="00424758" w14:paraId="047B3EAC" w14:textId="77777777" w:rsidTr="00DB7222">
        <w:tc>
          <w:tcPr>
            <w:tcW w:w="2830" w:type="dxa"/>
            <w:vAlign w:val="center"/>
          </w:tcPr>
          <w:p w14:paraId="77DF23D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NQO1</w:t>
            </w:r>
          </w:p>
        </w:tc>
        <w:tc>
          <w:tcPr>
            <w:tcW w:w="5529" w:type="dxa"/>
            <w:vAlign w:val="center"/>
          </w:tcPr>
          <w:p w14:paraId="466DFC7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quinone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oxidoreductas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e-1</w:t>
            </w:r>
          </w:p>
        </w:tc>
      </w:tr>
      <w:tr w:rsidR="00424758" w14:paraId="58E07CAF" w14:textId="77777777" w:rsidTr="00DB7222">
        <w:tc>
          <w:tcPr>
            <w:tcW w:w="2830" w:type="dxa"/>
            <w:vAlign w:val="center"/>
          </w:tcPr>
          <w:p w14:paraId="071FED0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PEBP1</w:t>
            </w:r>
          </w:p>
        </w:tc>
        <w:tc>
          <w:tcPr>
            <w:tcW w:w="5529" w:type="dxa"/>
            <w:vAlign w:val="center"/>
          </w:tcPr>
          <w:p w14:paraId="6ED412C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phosphatidy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lethanolamine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-binding protein 1</w:t>
            </w:r>
          </w:p>
        </w:tc>
      </w:tr>
      <w:tr w:rsidR="00424758" w14:paraId="5818746B" w14:textId="77777777" w:rsidTr="00DB7222">
        <w:tc>
          <w:tcPr>
            <w:tcW w:w="2830" w:type="dxa"/>
            <w:vAlign w:val="center"/>
          </w:tcPr>
          <w:p w14:paraId="371C281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PGD</w:t>
            </w:r>
          </w:p>
        </w:tc>
        <w:tc>
          <w:tcPr>
            <w:tcW w:w="5529" w:type="dxa"/>
            <w:vAlign w:val="center"/>
          </w:tcPr>
          <w:p w14:paraId="4E3B682D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phosphoglycerate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dehydrogenas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e</w:t>
            </w:r>
          </w:p>
        </w:tc>
      </w:tr>
      <w:tr w:rsidR="00424758" w14:paraId="1BD93349" w14:textId="77777777" w:rsidTr="00DB7222">
        <w:tc>
          <w:tcPr>
            <w:tcW w:w="2830" w:type="dxa"/>
            <w:vAlign w:val="center"/>
          </w:tcPr>
          <w:p w14:paraId="3D370031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PHKG2</w:t>
            </w:r>
          </w:p>
        </w:tc>
        <w:tc>
          <w:tcPr>
            <w:tcW w:w="5529" w:type="dxa"/>
            <w:vAlign w:val="center"/>
          </w:tcPr>
          <w:p w14:paraId="020F310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phospho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rylase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kinase ,g2</w:t>
            </w:r>
          </w:p>
        </w:tc>
      </w:tr>
      <w:tr w:rsidR="00424758" w14:paraId="20A08F03" w14:textId="77777777" w:rsidTr="00DB7222">
        <w:tc>
          <w:tcPr>
            <w:tcW w:w="2830" w:type="dxa"/>
            <w:vAlign w:val="center"/>
          </w:tcPr>
          <w:p w14:paraId="76914B8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PTGS2</w:t>
            </w:r>
          </w:p>
        </w:tc>
        <w:tc>
          <w:tcPr>
            <w:tcW w:w="5529" w:type="dxa"/>
            <w:vAlign w:val="center"/>
          </w:tcPr>
          <w:p w14:paraId="3F0AE92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prostagla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ndin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>-endoperoxide synthase 2</w:t>
            </w:r>
          </w:p>
        </w:tc>
      </w:tr>
      <w:tr w:rsidR="00424758" w14:paraId="69320AF5" w14:textId="77777777" w:rsidTr="00DB7222">
        <w:tc>
          <w:tcPr>
            <w:tcW w:w="2830" w:type="dxa"/>
            <w:vAlign w:val="center"/>
          </w:tcPr>
          <w:p w14:paraId="4A9B1EE3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RPL8</w:t>
            </w:r>
          </w:p>
        </w:tc>
        <w:tc>
          <w:tcPr>
            <w:tcW w:w="5529" w:type="dxa"/>
            <w:vAlign w:val="center"/>
          </w:tcPr>
          <w:p w14:paraId="3BFCB82B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ribosomal protein L8</w:t>
            </w:r>
          </w:p>
        </w:tc>
      </w:tr>
      <w:tr w:rsidR="00424758" w14:paraId="1BA3AA9A" w14:textId="77777777" w:rsidTr="00DB7222">
        <w:tc>
          <w:tcPr>
            <w:tcW w:w="2830" w:type="dxa"/>
            <w:vAlign w:val="center"/>
          </w:tcPr>
          <w:p w14:paraId="3FDB41D4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SAT1</w:t>
            </w:r>
          </w:p>
        </w:tc>
        <w:tc>
          <w:tcPr>
            <w:tcW w:w="5529" w:type="dxa"/>
            <w:vAlign w:val="center"/>
          </w:tcPr>
          <w:p w14:paraId="5979404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spermidine/spermine N1-acetyltra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nsferase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1</w:t>
            </w:r>
          </w:p>
        </w:tc>
      </w:tr>
      <w:tr w:rsidR="00424758" w14:paraId="6B54EC56" w14:textId="77777777" w:rsidTr="00DB7222">
        <w:tc>
          <w:tcPr>
            <w:tcW w:w="2830" w:type="dxa"/>
            <w:vAlign w:val="center"/>
          </w:tcPr>
          <w:p w14:paraId="70D4A25F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SLC1A5</w:t>
            </w:r>
          </w:p>
        </w:tc>
        <w:tc>
          <w:tcPr>
            <w:tcW w:w="5529" w:type="dxa"/>
            <w:vAlign w:val="center"/>
          </w:tcPr>
          <w:p w14:paraId="2865FAD8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solute carrier family 1 member 5</w:t>
            </w:r>
          </w:p>
        </w:tc>
      </w:tr>
      <w:tr w:rsidR="00424758" w14:paraId="6AC995C7" w14:textId="77777777" w:rsidTr="00DB7222">
        <w:tc>
          <w:tcPr>
            <w:tcW w:w="2830" w:type="dxa"/>
            <w:vAlign w:val="center"/>
          </w:tcPr>
          <w:p w14:paraId="33FB7E1A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lastRenderedPageBreak/>
              <w:t>SLC7A11</w:t>
            </w:r>
          </w:p>
        </w:tc>
        <w:tc>
          <w:tcPr>
            <w:tcW w:w="5529" w:type="dxa"/>
            <w:vAlign w:val="center"/>
          </w:tcPr>
          <w:p w14:paraId="522183C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solute carrier family 7 member 11</w:t>
            </w:r>
          </w:p>
        </w:tc>
      </w:tr>
      <w:tr w:rsidR="00424758" w14:paraId="4B648AC9" w14:textId="77777777" w:rsidTr="00DB7222">
        <w:tc>
          <w:tcPr>
            <w:tcW w:w="2830" w:type="dxa"/>
            <w:vAlign w:val="center"/>
          </w:tcPr>
          <w:p w14:paraId="5283D260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SQLE</w:t>
            </w:r>
          </w:p>
        </w:tc>
        <w:tc>
          <w:tcPr>
            <w:tcW w:w="5529" w:type="dxa"/>
            <w:vAlign w:val="center"/>
          </w:tcPr>
          <w:p w14:paraId="262A9A0C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squalene monooxygenase</w:t>
            </w:r>
          </w:p>
        </w:tc>
      </w:tr>
      <w:tr w:rsidR="00424758" w14:paraId="6DB8F873" w14:textId="77777777" w:rsidTr="00DB7222">
        <w:tc>
          <w:tcPr>
            <w:tcW w:w="2830" w:type="dxa"/>
            <w:vAlign w:val="center"/>
          </w:tcPr>
          <w:p w14:paraId="6B2D2559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STEAP3</w:t>
            </w:r>
          </w:p>
        </w:tc>
        <w:tc>
          <w:tcPr>
            <w:tcW w:w="5529" w:type="dxa"/>
            <w:vAlign w:val="center"/>
          </w:tcPr>
          <w:p w14:paraId="3DFEA97D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six-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transm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color w:val="000000"/>
              </w:rPr>
              <w:t>embrane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</w:rPr>
              <w:t xml:space="preserve"> epithelial antigen of prostate 3</w:t>
            </w:r>
          </w:p>
        </w:tc>
      </w:tr>
      <w:tr w:rsidR="00424758" w14:paraId="71EA59CC" w14:textId="77777777" w:rsidTr="00DB7222">
        <w:tc>
          <w:tcPr>
            <w:tcW w:w="2830" w:type="dxa"/>
            <w:vAlign w:val="center"/>
          </w:tcPr>
          <w:p w14:paraId="6C203E0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TFRC</w:t>
            </w:r>
          </w:p>
        </w:tc>
        <w:tc>
          <w:tcPr>
            <w:tcW w:w="5529" w:type="dxa"/>
            <w:vAlign w:val="center"/>
          </w:tcPr>
          <w:p w14:paraId="2BF85BE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transferrin receptor</w:t>
            </w:r>
          </w:p>
        </w:tc>
      </w:tr>
      <w:tr w:rsidR="00424758" w14:paraId="38193379" w14:textId="77777777" w:rsidTr="00DB7222">
        <w:tc>
          <w:tcPr>
            <w:tcW w:w="2830" w:type="dxa"/>
            <w:vAlign w:val="center"/>
          </w:tcPr>
          <w:p w14:paraId="4683DFBE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TP53</w:t>
            </w:r>
          </w:p>
        </w:tc>
        <w:tc>
          <w:tcPr>
            <w:tcW w:w="5529" w:type="dxa"/>
            <w:vAlign w:val="center"/>
          </w:tcPr>
          <w:p w14:paraId="4C2B66F2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tumor protein 53</w:t>
            </w:r>
          </w:p>
        </w:tc>
      </w:tr>
      <w:tr w:rsidR="00424758" w14:paraId="08A12342" w14:textId="77777777" w:rsidTr="00DB7222">
        <w:tc>
          <w:tcPr>
            <w:tcW w:w="2830" w:type="dxa"/>
            <w:tcBorders>
              <w:bottom w:val="single" w:sz="4" w:space="0" w:color="auto"/>
            </w:tcBorders>
            <w:vAlign w:val="center"/>
          </w:tcPr>
          <w:p w14:paraId="39D86F77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ZEB1</w:t>
            </w:r>
          </w:p>
        </w:tc>
        <w:tc>
          <w:tcPr>
            <w:tcW w:w="5529" w:type="dxa"/>
            <w:tcBorders>
              <w:bottom w:val="single" w:sz="4" w:space="0" w:color="auto"/>
            </w:tcBorders>
            <w:vAlign w:val="center"/>
          </w:tcPr>
          <w:p w14:paraId="3F38FF26" w14:textId="77777777" w:rsidR="00424758" w:rsidRDefault="00424758" w:rsidP="00DB7222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131413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zinc finger E-box-binding homeobox 1</w:t>
            </w:r>
          </w:p>
        </w:tc>
      </w:tr>
    </w:tbl>
    <w:p w14:paraId="766C81AA" w14:textId="1CDD8EE2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7ABF3FA0" w14:textId="15F8E0ED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07D9AB0F" w14:textId="44841273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19C4A1DE" w14:textId="27827E31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542FEEA6" w14:textId="4DE32FC5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1FAC6DC3" w14:textId="34FB9979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333B834F" w14:textId="0D294B10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043164BB" w14:textId="75F20B15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61A02AD3" w14:textId="5897C6C7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51B1B03C" w14:textId="28C2D5E0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5593B150" w14:textId="1E063A15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6FEF004F" w14:textId="3EEBB7E2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73FA2334" w14:textId="5E257461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5DEE9C0E" w14:textId="25E5B7BA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78C630F6" w14:textId="665137C3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54D53158" w14:textId="11D2E054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61F4A472" w14:textId="01559085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4A95EF65" w14:textId="750DCE8E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2DBA133A" w14:textId="56805270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13E77FA3" w14:textId="331847BD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4584E7FD" w14:textId="16C4B5F2" w:rsidR="00424758" w:rsidRDefault="00424758" w:rsidP="0085099D">
      <w:pPr>
        <w:rPr>
          <w:rFonts w:ascii="Times New Roman" w:eastAsia="MyriadPro-Bold" w:hAnsi="Times New Roman" w:cs="Times New Roman"/>
          <w:b/>
          <w:bCs/>
          <w:kern w:val="0"/>
          <w:sz w:val="24"/>
          <w:szCs w:val="24"/>
        </w:rPr>
      </w:pPr>
    </w:p>
    <w:p w14:paraId="3568B8D1" w14:textId="77777777" w:rsidR="00424758" w:rsidRPr="00424758" w:rsidRDefault="00424758" w:rsidP="0085099D">
      <w:pPr>
        <w:rPr>
          <w:rFonts w:ascii="Times New Roman" w:eastAsia="MyriadPro-Bold" w:hAnsi="Times New Roman" w:cs="Times New Roman" w:hint="eastAsia"/>
          <w:b/>
          <w:bCs/>
          <w:kern w:val="0"/>
          <w:sz w:val="24"/>
          <w:szCs w:val="24"/>
        </w:rPr>
      </w:pPr>
    </w:p>
    <w:p w14:paraId="7956DC89" w14:textId="077FD2E8" w:rsidR="0085099D" w:rsidRDefault="0085099D" w:rsidP="0042475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15A8CA" wp14:editId="2A7DB634">
            <wp:extent cx="5274310" cy="279590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5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10B59" w14:textId="2FD09877" w:rsidR="00F80575" w:rsidRDefault="00424758" w:rsidP="00424758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  <w:bookmarkStart w:id="0" w:name="_Hlk54016401"/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2: 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F</w:t>
      </w:r>
      <w:r w:rsidRPr="00424758">
        <w:rPr>
          <w:rFonts w:ascii="Times New Roman" w:eastAsia="MyriadPro-Semibold" w:hAnsi="Times New Roman" w:cs="Times New Roman" w:hint="eastAsia"/>
          <w:b/>
          <w:bCs/>
          <w:kern w:val="0"/>
          <w:sz w:val="24"/>
          <w:szCs w:val="24"/>
        </w:rPr>
        <w:t>igure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 S1</w:t>
      </w:r>
      <w:bookmarkEnd w:id="0"/>
      <w:r w:rsidR="00771546" w:rsidRPr="004247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37F62" w:rsidRPr="004247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37F62" w:rsidRPr="00637F62">
        <w:rPr>
          <w:rFonts w:ascii="Times New Roman" w:hAnsi="Times New Roman" w:cs="Times New Roman"/>
          <w:b/>
          <w:bCs/>
          <w:color w:val="221F1F"/>
          <w:sz w:val="24"/>
          <w:szCs w:val="24"/>
        </w:rPr>
        <w:t xml:space="preserve">Pathway analysis of </w:t>
      </w:r>
      <w:r w:rsidR="00637F62" w:rsidRPr="00637F62">
        <w:rPr>
          <w:rFonts w:ascii="Times New Roman" w:eastAsia="MyriadPro-Light" w:hAnsi="Times New Roman" w:cs="Times New Roman"/>
          <w:b/>
          <w:bCs/>
          <w:kern w:val="0"/>
          <w:sz w:val="24"/>
          <w:szCs w:val="24"/>
        </w:rPr>
        <w:t xml:space="preserve">differentially expressed </w:t>
      </w:r>
      <w:bookmarkStart w:id="1" w:name="OLE_LINK1"/>
      <w:bookmarkStart w:id="2" w:name="OLE_LINK2"/>
      <w:r w:rsidR="00637F62" w:rsidRPr="00637F62">
        <w:rPr>
          <w:rFonts w:ascii="Times New Roman" w:hAnsi="Times New Roman" w:cs="Times New Roman"/>
          <w:b/>
          <w:bCs/>
          <w:kern w:val="0"/>
          <w:sz w:val="24"/>
          <w:szCs w:val="24"/>
        </w:rPr>
        <w:t>ferroptosis-related genes</w:t>
      </w:r>
      <w:bookmarkEnd w:id="1"/>
      <w:bookmarkEnd w:id="2"/>
      <w:r w:rsidR="00637F62" w:rsidRPr="00637F6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(FRGs)</w:t>
      </w:r>
      <w:r w:rsidR="00637F62" w:rsidRPr="00637F62">
        <w:rPr>
          <w:rFonts w:ascii="Times New Roman" w:hAnsi="Times New Roman" w:cs="Times New Roman"/>
          <w:b/>
          <w:bCs/>
          <w:color w:val="221F1F"/>
          <w:sz w:val="24"/>
          <w:szCs w:val="24"/>
        </w:rPr>
        <w:t xml:space="preserve">. 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>(A)</w:t>
      </w:r>
      <w:r w:rsidR="00637F62">
        <w:rPr>
          <w:rFonts w:ascii="Times New Roman" w:hAnsi="Times New Roman" w:cs="Times New Roman"/>
          <w:b/>
          <w:bCs/>
          <w:color w:val="221F1F"/>
          <w:sz w:val="24"/>
          <w:szCs w:val="24"/>
        </w:rPr>
        <w:t xml:space="preserve"> 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The pie chart of the correlation between </w:t>
      </w:r>
      <w:r w:rsidR="00637F62" w:rsidRPr="00637F62">
        <w:rPr>
          <w:rFonts w:ascii="Times New Roman" w:eastAsia="MyriadPro-Light" w:hAnsi="Times New Roman" w:cs="Times New Roman"/>
          <w:kern w:val="0"/>
          <w:sz w:val="24"/>
          <w:szCs w:val="24"/>
        </w:rPr>
        <w:t>differentially expressed</w:t>
      </w:r>
      <w:r w:rsidR="00637F62" w:rsidRPr="00637F62">
        <w:rPr>
          <w:rFonts w:ascii="Times New Roman" w:hAnsi="Times New Roman" w:cs="Times New Roman"/>
          <w:kern w:val="0"/>
          <w:sz w:val="24"/>
          <w:szCs w:val="24"/>
        </w:rPr>
        <w:t xml:space="preserve"> FRGs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and classical cancer pathways.</w:t>
      </w:r>
      <w:r w:rsidR="00F805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>Red color represents</w:t>
      </w:r>
      <w:r w:rsidR="00637F62">
        <w:rPr>
          <w:rFonts w:ascii="Times New Roman" w:hAnsi="Times New Roman" w:cs="Times New Roman"/>
          <w:color w:val="221F1F"/>
          <w:sz w:val="24"/>
          <w:szCs w:val="24"/>
        </w:rPr>
        <w:t xml:space="preserve"> 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>activate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>s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pathways 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 xml:space="preserve">and green color represents 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>inhibit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>s</w:t>
      </w:r>
      <w:r w:rsidR="00637F62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pathways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 xml:space="preserve">. (B) </w:t>
      </w:r>
      <w:r w:rsidR="00637F62" w:rsidRPr="00F80575">
        <w:rPr>
          <w:rFonts w:ascii="Times New Roman" w:hAnsi="Times New Roman" w:cs="Times New Roman"/>
          <w:color w:val="221F1F"/>
          <w:sz w:val="24"/>
          <w:szCs w:val="24"/>
        </w:rPr>
        <w:t xml:space="preserve">Network diagram 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of the correlation between </w:t>
      </w:r>
      <w:r w:rsidR="00F80575" w:rsidRPr="00637F62">
        <w:rPr>
          <w:rFonts w:ascii="Times New Roman" w:eastAsia="MyriadPro-Light" w:hAnsi="Times New Roman" w:cs="Times New Roman"/>
          <w:kern w:val="0"/>
          <w:sz w:val="24"/>
          <w:szCs w:val="24"/>
        </w:rPr>
        <w:t>differentially expressed</w:t>
      </w:r>
      <w:r w:rsidR="00F80575" w:rsidRPr="00637F62">
        <w:rPr>
          <w:rFonts w:ascii="Times New Roman" w:hAnsi="Times New Roman" w:cs="Times New Roman"/>
          <w:kern w:val="0"/>
          <w:sz w:val="24"/>
          <w:szCs w:val="24"/>
        </w:rPr>
        <w:t xml:space="preserve"> FRGs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and classical cancer pathways.</w:t>
      </w:r>
      <w:r w:rsidR="00F8057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>Red color represents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 xml:space="preserve"> 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>activate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>s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pathways 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 xml:space="preserve">and blue color represents 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>inhibit</w:t>
      </w:r>
      <w:r w:rsidR="00F80575">
        <w:rPr>
          <w:rFonts w:ascii="Times New Roman" w:hAnsi="Times New Roman" w:cs="Times New Roman"/>
          <w:color w:val="221F1F"/>
          <w:sz w:val="24"/>
          <w:szCs w:val="24"/>
        </w:rPr>
        <w:t>s</w:t>
      </w:r>
      <w:r w:rsidR="00F80575" w:rsidRPr="00637F62">
        <w:rPr>
          <w:rFonts w:ascii="Times New Roman" w:hAnsi="Times New Roman" w:cs="Times New Roman"/>
          <w:color w:val="221F1F"/>
          <w:sz w:val="24"/>
          <w:szCs w:val="24"/>
        </w:rPr>
        <w:t xml:space="preserve"> pathways</w:t>
      </w:r>
      <w:r w:rsidR="00E15778">
        <w:rPr>
          <w:rFonts w:ascii="Times New Roman" w:hAnsi="Times New Roman" w:cs="Times New Roman"/>
          <w:color w:val="221F1F"/>
          <w:sz w:val="24"/>
          <w:szCs w:val="24"/>
        </w:rPr>
        <w:t>.</w:t>
      </w:r>
    </w:p>
    <w:p w14:paraId="14DE2BC6" w14:textId="2A41F724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3FB2D9FF" w14:textId="4B61F523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08060FF7" w14:textId="6B9F3ECF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5739815C" w14:textId="5424917E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19EE7E45" w14:textId="6D6EDB54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50E1238B" w14:textId="681D796A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4DC7C341" w14:textId="039A7619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57B15C9F" w14:textId="4A3B1ACD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587FF88C" w14:textId="406EF70A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7C080ED9" w14:textId="5C2EA154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03EFEF28" w14:textId="26B68AA1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5D5429D6" w14:textId="77777777" w:rsidR="00E15778" w:rsidRDefault="00E15778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</w:p>
    <w:p w14:paraId="7F26CA5C" w14:textId="2CA3CC6D" w:rsidR="00F80575" w:rsidRPr="00F80575" w:rsidRDefault="00F80575" w:rsidP="00F80575">
      <w:pPr>
        <w:spacing w:line="360" w:lineRule="auto"/>
        <w:rPr>
          <w:rFonts w:ascii="Times New Roman" w:hAnsi="Times New Roman" w:cs="Times New Roman"/>
          <w:color w:val="221F1F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B2EA825" wp14:editId="3F31B45E">
            <wp:extent cx="5274310" cy="242125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2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6D12D" w14:textId="7587B6B5" w:rsidR="005843C4" w:rsidRDefault="00424758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3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: 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F</w:t>
      </w:r>
      <w:r w:rsidRPr="00424758">
        <w:rPr>
          <w:rFonts w:ascii="Times New Roman" w:eastAsia="MyriadPro-Semibold" w:hAnsi="Times New Roman" w:cs="Times New Roman" w:hint="eastAsia"/>
          <w:b/>
          <w:bCs/>
          <w:kern w:val="0"/>
          <w:sz w:val="24"/>
          <w:szCs w:val="24"/>
        </w:rPr>
        <w:t>igure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 S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2</w:t>
      </w:r>
      <w:r w:rsidRPr="0042475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80575" w:rsidRPr="005843C4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 xml:space="preserve"> Survival analyses of each gene from the </w:t>
      </w:r>
      <w:r w:rsidR="005843C4" w:rsidRPr="005843C4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constructed prognostic risk signature</w:t>
      </w:r>
      <w:r w:rsidR="00F80575" w:rsidRPr="005843C4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 xml:space="preserve"> </w:t>
      </w:r>
      <w:r w:rsidR="005843C4" w:rsidRPr="005843C4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based on</w:t>
      </w:r>
      <w:r w:rsidR="00F80575" w:rsidRPr="005843C4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 xml:space="preserve"> the optimal cut-off expression value in the TCGA cohort.</w:t>
      </w:r>
      <w:r w:rsidR="005843C4">
        <w:rPr>
          <w:rFonts w:ascii="Times New Roman" w:eastAsia="TimesNewRomanPSMT" w:hAnsi="Times New Roman" w:cs="Times New Roman" w:hint="eastAsia"/>
          <w:b/>
          <w:bCs/>
          <w:kern w:val="0"/>
          <w:sz w:val="24"/>
          <w:szCs w:val="24"/>
        </w:rPr>
        <w:t xml:space="preserve">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(A)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CBS,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(B)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HMOX1,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(C)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CD44,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(D)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AKR1C2,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(E)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CHAC1,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(F)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 xml:space="preserve">HMGCR, and </w:t>
      </w:r>
      <w:r w:rsidR="005843C4">
        <w:rPr>
          <w:rFonts w:ascii="Times New Roman" w:hAnsi="Times New Roman" w:cs="Times New Roman"/>
          <w:kern w:val="0"/>
          <w:sz w:val="24"/>
          <w:szCs w:val="24"/>
        </w:rPr>
        <w:t xml:space="preserve">(G) </w:t>
      </w:r>
      <w:r w:rsidR="005843C4" w:rsidRPr="00A71290">
        <w:rPr>
          <w:rFonts w:ascii="Times New Roman" w:hAnsi="Times New Roman" w:cs="Times New Roman"/>
          <w:kern w:val="0"/>
          <w:sz w:val="24"/>
          <w:szCs w:val="24"/>
        </w:rPr>
        <w:t>SLC7A11</w:t>
      </w:r>
    </w:p>
    <w:p w14:paraId="0B599B89" w14:textId="07B099FC" w:rsidR="005843C4" w:rsidRDefault="005843C4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1D100967" w14:textId="0B457862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327F16A" w14:textId="2E65309F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B0717AE" w14:textId="5A246FD6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2E347DF" w14:textId="24491BC4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3BAFB4E" w14:textId="5747B5A7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510AB18" w14:textId="1B80B959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453481A" w14:textId="7A01CCD5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21BFAD8" w14:textId="767306DC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5DB1052" w14:textId="300DF0EF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1E0BDD1" w14:textId="45DECF38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FC07E73" w14:textId="66BFB2DA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33D546C" w14:textId="42DC9D68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48F8762" w14:textId="314983F5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6C58212C" w14:textId="0BFD86A7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18237D47" w14:textId="2489C0A5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53B04817" w14:textId="2CCA8581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07075F6" w14:textId="256A3EE0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77FAEF6A" w14:textId="70BF9FC1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02609ED6" w14:textId="4FBA24A0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331BE066" w14:textId="4F7C8477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4A89679D" w14:textId="1458C9C7" w:rsidR="005843C4" w:rsidRDefault="005843C4" w:rsidP="005843C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</w:p>
    <w:p w14:paraId="2D41A5AB" w14:textId="05FA409C" w:rsidR="005843C4" w:rsidRDefault="005843C4" w:rsidP="005843C4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59E1FF" wp14:editId="59114112">
            <wp:extent cx="5274310" cy="354774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7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8D57D1" w14:textId="318CA344" w:rsidR="005843C4" w:rsidRDefault="00424758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4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: 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F</w:t>
      </w:r>
      <w:r w:rsidRPr="00424758">
        <w:rPr>
          <w:rFonts w:ascii="Times New Roman" w:eastAsia="MyriadPro-Semibold" w:hAnsi="Times New Roman" w:cs="Times New Roman" w:hint="eastAsia"/>
          <w:b/>
          <w:bCs/>
          <w:kern w:val="0"/>
          <w:sz w:val="24"/>
          <w:szCs w:val="24"/>
        </w:rPr>
        <w:t>igure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 S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3</w:t>
      </w:r>
      <w:r w:rsidR="005843C4" w:rsidRPr="00C07170">
        <w:rPr>
          <w:rFonts w:ascii="Times New Roman" w:eastAsia="TimesNewRomanPSMT" w:hAnsi="Times New Roman" w:cs="Times New Roman"/>
          <w:b/>
          <w:bCs/>
          <w:kern w:val="0"/>
          <w:sz w:val="24"/>
          <w:szCs w:val="24"/>
        </w:rPr>
        <w:t>.</w:t>
      </w:r>
      <w:r w:rsidR="005843C4" w:rsidRPr="00C07170">
        <w:rPr>
          <w:rFonts w:ascii="Times New Roman" w:hAnsi="Times New Roman" w:cs="Times New Roman"/>
          <w:b/>
          <w:bCs/>
          <w:sz w:val="24"/>
          <w:szCs w:val="24"/>
        </w:rPr>
        <w:t xml:space="preserve"> Validation of the prognostic risk signature in </w:t>
      </w:r>
      <w:r w:rsidR="00C07170" w:rsidRPr="00C07170">
        <w:rPr>
          <w:rFonts w:ascii="Times New Roman" w:hAnsi="Times New Roman" w:cs="Times New Roman"/>
          <w:b/>
          <w:bCs/>
          <w:sz w:val="24"/>
          <w:szCs w:val="24"/>
        </w:rPr>
        <w:t xml:space="preserve">the ICGC databased </w:t>
      </w:r>
      <w:r w:rsidR="005843C4" w:rsidRPr="00C0717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of KIRP patients. </w:t>
      </w:r>
      <w:r w:rsidR="005843C4" w:rsidRPr="00C07170">
        <w:rPr>
          <w:rFonts w:ascii="Times New Roman" w:hAnsi="Times New Roman" w:cs="Times New Roman"/>
          <w:color w:val="221F1F"/>
          <w:sz w:val="24"/>
          <w:szCs w:val="24"/>
        </w:rPr>
        <w:t xml:space="preserve">(A) Kaplan-Meier curve analysis of </w:t>
      </w:r>
      <w:r w:rsidR="00C07170" w:rsidRPr="00C07170">
        <w:rPr>
          <w:rFonts w:ascii="Times New Roman" w:hAnsi="Times New Roman" w:cs="Times New Roman"/>
          <w:color w:val="131413"/>
          <w:kern w:val="0"/>
          <w:sz w:val="24"/>
          <w:szCs w:val="24"/>
        </w:rPr>
        <w:t>overall survival of KIRC patients in high- and low-risk groups.</w:t>
      </w:r>
      <w:r w:rsidR="005843C4" w:rsidRPr="00C07170">
        <w:rPr>
          <w:rFonts w:ascii="Times New Roman" w:hAnsi="Times New Roman" w:cs="Times New Roman"/>
          <w:color w:val="221F1F"/>
          <w:sz w:val="24"/>
          <w:szCs w:val="24"/>
        </w:rPr>
        <w:t xml:space="preserve"> (B) ROC curve analysis. (C)</w:t>
      </w:r>
      <w:r w:rsidR="00C07170" w:rsidRPr="00C0717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Risk score distribution, survival status, and lncRNA expression patterns for KIRC patients in high- and low-risk groups by the prognostic signature.</w:t>
      </w:r>
    </w:p>
    <w:p w14:paraId="4F1729C5" w14:textId="46AA4262" w:rsidR="00C07170" w:rsidRDefault="00C07170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CC17EF3" w14:textId="762FDF7B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59D5C29" w14:textId="20E548B8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17237AAF" w14:textId="47265C1F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5A8F538" w14:textId="5DD424A8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8F2D87" w14:textId="45D26E7B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34E547BD" w14:textId="5AFDFC71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CCA72A3" w14:textId="5D9CAD28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EABBE7B" w14:textId="7DB7648C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F995653" w14:textId="3891BDF1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4A308FE8" w14:textId="440D8A74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56854F71" w14:textId="534590F2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ED66729" w14:textId="7240622A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B02D008" w14:textId="25F3969A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0CE567AB" w14:textId="57C6B6CE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7D5FD2B3" w14:textId="6023235F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color w:val="131413"/>
          <w:kern w:val="0"/>
          <w:sz w:val="24"/>
          <w:szCs w:val="24"/>
        </w:rPr>
      </w:pPr>
    </w:p>
    <w:p w14:paraId="2631B943" w14:textId="362412E5" w:rsidR="000F6421" w:rsidRDefault="000F6421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96E868C" wp14:editId="493041B5">
            <wp:extent cx="5274310" cy="26479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59895F" w14:textId="378E39DB" w:rsidR="000F6421" w:rsidRPr="000F6421" w:rsidRDefault="00424758" w:rsidP="000F6421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221F1F"/>
          <w:sz w:val="24"/>
          <w:szCs w:val="24"/>
        </w:rPr>
      </w:pP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5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: 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F</w:t>
      </w:r>
      <w:r w:rsidRPr="00424758">
        <w:rPr>
          <w:rFonts w:ascii="Times New Roman" w:eastAsia="MyriadPro-Semibold" w:hAnsi="Times New Roman" w:cs="Times New Roman" w:hint="eastAsia"/>
          <w:b/>
          <w:bCs/>
          <w:kern w:val="0"/>
          <w:sz w:val="24"/>
          <w:szCs w:val="24"/>
        </w:rPr>
        <w:t>igure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 S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4</w:t>
      </w:r>
      <w:r w:rsidR="00C07170" w:rsidRPr="00C07170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.</w:t>
      </w:r>
      <w:r w:rsidR="00C07170" w:rsidRPr="00C07170">
        <w:rPr>
          <w:rFonts w:ascii="Times New Roman" w:hAnsi="Times New Roman" w:cs="Times New Roman"/>
          <w:b/>
          <w:bCs/>
          <w:color w:val="221F1F"/>
          <w:sz w:val="24"/>
          <w:szCs w:val="24"/>
        </w:rPr>
        <w:t xml:space="preserve"> T</w:t>
      </w:r>
      <w:r w:rsidR="00C07170" w:rsidRPr="00C0717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he </w:t>
      </w:r>
      <w:r w:rsidR="00C07170" w:rsidRPr="00C07170">
        <w:rPr>
          <w:rFonts w:ascii="Times New Roman" w:hAnsi="Times New Roman" w:cs="Times New Roman"/>
          <w:b/>
          <w:bCs/>
          <w:sz w:val="24"/>
          <w:szCs w:val="24"/>
        </w:rPr>
        <w:t>single nucleotide variations (SNVs) and copy number variations (CNVs)</w:t>
      </w:r>
      <w:r w:rsidR="00C07170" w:rsidRPr="00C0717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of the seven candidate ferroptosis-related genes </w:t>
      </w:r>
      <w:r w:rsidR="00C07170" w:rsidRPr="00C07170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(FRGs)</w:t>
      </w:r>
      <w:r w:rsidR="00C07170" w:rsidRPr="00C07170">
        <w:rPr>
          <w:rFonts w:ascii="Times New Roman" w:hAnsi="Times New Roman" w:cs="Times New Roman"/>
          <w:b/>
          <w:bCs/>
          <w:color w:val="221F1F"/>
          <w:sz w:val="24"/>
          <w:szCs w:val="24"/>
        </w:rPr>
        <w:t xml:space="preserve"> in the TCGA-KIRC dataset.</w:t>
      </w:r>
      <w:r w:rsidR="000F6421">
        <w:rPr>
          <w:rFonts w:ascii="Times New Roman" w:hAnsi="Times New Roman" w:cs="Times New Roman" w:hint="eastAsia"/>
          <w:b/>
          <w:bCs/>
          <w:color w:val="221F1F"/>
          <w:sz w:val="24"/>
          <w:szCs w:val="24"/>
        </w:rPr>
        <w:t xml:space="preserve"> </w:t>
      </w:r>
      <w:r w:rsidR="00C07170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>(A)</w:t>
      </w:r>
      <w:r w:rsidR="00C07170" w:rsidRPr="000F6421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type of genetic alterations of </w:t>
      </w:r>
      <w:r w:rsidR="00C07170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>KIRC patients.</w:t>
      </w:r>
      <w:r w:rsidR="000F6421">
        <w:rPr>
          <w:rFonts w:ascii="Times New Roman" w:hAnsi="Times New Roman" w:cs="Times New Roman" w:hint="eastAsia"/>
          <w:b/>
          <w:bCs/>
          <w:color w:val="221F1F"/>
          <w:sz w:val="24"/>
          <w:szCs w:val="24"/>
        </w:rPr>
        <w:t xml:space="preserve"> </w:t>
      </w:r>
      <w:r w:rsidR="000F6421" w:rsidRPr="000F6421">
        <w:rPr>
          <w:rFonts w:ascii="Times New Roman" w:eastAsia="宋体" w:hAnsi="Times New Roman" w:cs="Times New Roman"/>
          <w:kern w:val="0"/>
          <w:sz w:val="24"/>
          <w:szCs w:val="24"/>
        </w:rPr>
        <w:t xml:space="preserve">(B) The variant classification of </w:t>
      </w:r>
      <w:r w:rsidR="000F6421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>KIRC patients.</w:t>
      </w:r>
      <w:r w:rsidR="000F6421">
        <w:rPr>
          <w:rFonts w:ascii="Times New Roman" w:hAnsi="Times New Roman" w:cs="Times New Roman" w:hint="eastAsia"/>
          <w:b/>
          <w:bCs/>
          <w:color w:val="221F1F"/>
          <w:sz w:val="24"/>
          <w:szCs w:val="24"/>
        </w:rPr>
        <w:t xml:space="preserve"> </w:t>
      </w:r>
      <w:r w:rsidR="000F6421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 xml:space="preserve">(C) </w:t>
      </w:r>
      <w:r w:rsidR="000F6421" w:rsidRPr="000F6421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SNV class of </w:t>
      </w:r>
      <w:r w:rsidR="000F6421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>KIRC patients.</w:t>
      </w:r>
      <w:r w:rsidR="000F6421">
        <w:rPr>
          <w:rFonts w:ascii="Times New Roman" w:hAnsi="Times New Roman" w:cs="Times New Roman" w:hint="eastAsia"/>
          <w:b/>
          <w:bCs/>
          <w:color w:val="221F1F"/>
          <w:sz w:val="24"/>
          <w:szCs w:val="24"/>
        </w:rPr>
        <w:t xml:space="preserve"> </w:t>
      </w:r>
      <w:r w:rsidR="000F6421" w:rsidRPr="000F6421">
        <w:rPr>
          <w:rFonts w:ascii="Times New Roman" w:eastAsia="宋体" w:hAnsi="Times New Roman" w:cs="Times New Roman"/>
          <w:color w:val="221F1F"/>
          <w:sz w:val="24"/>
          <w:szCs w:val="24"/>
        </w:rPr>
        <w:t xml:space="preserve">(D) The </w:t>
      </w:r>
      <w:r w:rsidR="000F6421" w:rsidRPr="000F6421">
        <w:rPr>
          <w:rFonts w:ascii="Times New Roman" w:eastAsia="宋体" w:hAnsi="Times New Roman" w:cs="Times New Roman"/>
          <w:kern w:val="0"/>
          <w:sz w:val="24"/>
          <w:szCs w:val="24"/>
        </w:rPr>
        <w:t xml:space="preserve">characteristic of the </w:t>
      </w:r>
      <w:bookmarkStart w:id="3" w:name="_Hlk50394364"/>
      <w:r w:rsidR="000F6421" w:rsidRPr="000F6421">
        <w:rPr>
          <w:rFonts w:ascii="Times New Roman" w:eastAsia="宋体" w:hAnsi="Times New Roman" w:cs="Times New Roman"/>
          <w:kern w:val="0"/>
          <w:sz w:val="24"/>
          <w:szCs w:val="24"/>
        </w:rPr>
        <w:t>frequently mutated genes</w:t>
      </w:r>
      <w:bookmarkEnd w:id="3"/>
      <w:r w:rsidR="000F6421" w:rsidRPr="000F6421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0F6421">
        <w:rPr>
          <w:rFonts w:ascii="Times New Roman" w:eastAsia="宋体" w:hAnsi="Times New Roman" w:cs="Times New Roman"/>
          <w:kern w:val="0"/>
          <w:sz w:val="24"/>
          <w:szCs w:val="24"/>
        </w:rPr>
        <w:t xml:space="preserve"> (E)</w:t>
      </w:r>
      <w:r w:rsidR="000F6421">
        <w:rPr>
          <w:rFonts w:ascii="Times New Roman" w:hAnsi="Times New Roman" w:cs="Times New Roman" w:hint="eastAsia"/>
          <w:b/>
          <w:bCs/>
          <w:color w:val="221F1F"/>
          <w:sz w:val="24"/>
          <w:szCs w:val="24"/>
        </w:rPr>
        <w:t xml:space="preserve"> </w:t>
      </w:r>
      <w:r w:rsidR="000F6421" w:rsidRPr="000F6421">
        <w:rPr>
          <w:rFonts w:ascii="Times New Roman" w:hAnsi="Times New Roman" w:cs="Times New Roman"/>
          <w:color w:val="221F1F"/>
          <w:sz w:val="24"/>
          <w:szCs w:val="24"/>
        </w:rPr>
        <w:t>The CNV alteration frequency of FRG in KIRC patients</w:t>
      </w:r>
      <w:r w:rsidR="000F6421">
        <w:rPr>
          <w:rFonts w:ascii="Times New Roman" w:hAnsi="Times New Roman" w:cs="Times New Roman"/>
          <w:color w:val="221F1F"/>
          <w:sz w:val="24"/>
          <w:szCs w:val="24"/>
        </w:rPr>
        <w:t>.</w:t>
      </w:r>
    </w:p>
    <w:p w14:paraId="33366CEC" w14:textId="77191418" w:rsidR="00C07170" w:rsidRDefault="00C07170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824DF52" w14:textId="59981757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3AC45A8B" w14:textId="19D25C97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3636DB62" w14:textId="718AFFDD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7C86A323" w14:textId="542D7E9C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705EFB1D" w14:textId="06D47C94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0BBE2C1" w14:textId="62F6C74D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3048AFDD" w14:textId="6F8F716C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6CFF28A7" w14:textId="13C78894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68CF5D9F" w14:textId="76477E04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FBA56D1" w14:textId="1AA1510B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39AEC08E" w14:textId="001DCBDA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2220985" w14:textId="3ED3E3F2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61DC9EB3" w14:textId="67C118A2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75DAF65C" w14:textId="6C2A1CC2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269E29B3" w14:textId="1CB28F2C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092B47FB" w14:textId="5C75161D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2DE3DA4" w14:textId="72EF6DA7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664E9EE5" w14:textId="7132A183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3E6B1520" w14:textId="2D165441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4CAAFD1B" w14:textId="56BCD730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</w:p>
    <w:p w14:paraId="1C1CABF6" w14:textId="6F118C61" w:rsidR="000F6421" w:rsidRDefault="000F6421" w:rsidP="00C0717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12D5C43" wp14:editId="4115740A">
            <wp:extent cx="5274310" cy="37934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9A5F06" w14:textId="0E9FD3C7" w:rsidR="00E15778" w:rsidRDefault="00424758" w:rsidP="006F0F2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Additional file 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6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: 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F</w:t>
      </w:r>
      <w:r w:rsidRPr="00424758">
        <w:rPr>
          <w:rFonts w:ascii="Times New Roman" w:eastAsia="MyriadPro-Semibold" w:hAnsi="Times New Roman" w:cs="Times New Roman" w:hint="eastAsia"/>
          <w:b/>
          <w:bCs/>
          <w:kern w:val="0"/>
          <w:sz w:val="24"/>
          <w:szCs w:val="24"/>
        </w:rPr>
        <w:t>igure</w:t>
      </w:r>
      <w:r w:rsidRPr="00424758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 xml:space="preserve"> S</w:t>
      </w:r>
      <w:r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5</w:t>
      </w:r>
      <w:r w:rsidR="000F6421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.</w:t>
      </w:r>
      <w:r w:rsidR="006F0F2E" w:rsidRPr="00C902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6F0F2E" w:rsidRPr="00C90278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Association of</w:t>
      </w:r>
      <w:r w:rsidR="006F0F2E" w:rsidRPr="00C902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6F0F2E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the </w:t>
      </w:r>
      <w:r w:rsidR="006F0F2E" w:rsidRPr="00C0717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seven candidate ferroptosis-related genes </w:t>
      </w:r>
      <w:r w:rsidR="006F0F2E" w:rsidRPr="00C07170">
        <w:rPr>
          <w:rFonts w:ascii="Times New Roman" w:eastAsia="MyriadPro-Semibold" w:hAnsi="Times New Roman" w:cs="Times New Roman"/>
          <w:b/>
          <w:bCs/>
          <w:kern w:val="0"/>
          <w:sz w:val="24"/>
          <w:szCs w:val="24"/>
        </w:rPr>
        <w:t>(FRGs)</w:t>
      </w:r>
      <w:r w:rsidR="006F0F2E" w:rsidRPr="00C90278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expression with drug sensitivity.</w:t>
      </w:r>
      <w:r w:rsidR="006F0F2E">
        <w:rPr>
          <w:rFonts w:ascii="Times New Roman" w:hAnsi="Times New Roman" w:cs="Times New Roman" w:hint="eastAsia"/>
          <w:b/>
          <w:bCs/>
          <w:color w:val="131413"/>
          <w:kern w:val="0"/>
          <w:sz w:val="24"/>
          <w:szCs w:val="24"/>
        </w:rPr>
        <w:t xml:space="preserve"> </w:t>
      </w:r>
      <w:r w:rsidR="006F0F2E" w:rsidRPr="00934BB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(</w:t>
      </w:r>
      <w:r w:rsidR="006F0F2E" w:rsidRPr="00934BB0">
        <w:rPr>
          <w:rFonts w:ascii="Times New Roman" w:hAnsi="Times New Roman" w:cs="Times New Roman"/>
          <w:color w:val="131413"/>
          <w:kern w:val="0"/>
          <w:sz w:val="24"/>
          <w:szCs w:val="24"/>
        </w:rPr>
        <w:t>A)</w:t>
      </w:r>
      <w:r w:rsidR="006F0F2E" w:rsidRPr="00934BB0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>The h</w:t>
      </w:r>
      <w:r w:rsidR="006F0F2E" w:rsidRPr="00934BB0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eatmap shows the difference of </w:t>
      </w:r>
      <w:r w:rsidR="006F0F2E" w:rsidRPr="00934BB0">
        <w:rPr>
          <w:rFonts w:ascii="Times New Roman" w:hAnsi="Times New Roman" w:cs="Times New Roman"/>
          <w:kern w:val="0"/>
          <w:sz w:val="24"/>
          <w:szCs w:val="24"/>
        </w:rPr>
        <w:t>the</w:t>
      </w:r>
      <w:r w:rsidR="006F0F2E" w:rsidRPr="006F0F2E">
        <w:rPr>
          <w:rFonts w:ascii="Times New Roman" w:hAnsi="Times New Roman" w:cs="Times New Roman"/>
          <w:kern w:val="0"/>
          <w:sz w:val="24"/>
          <w:szCs w:val="24"/>
        </w:rPr>
        <w:t xml:space="preserve"> seven candidate </w:t>
      </w:r>
      <w:r w:rsidR="006F0F2E" w:rsidRPr="006F0F2E">
        <w:rPr>
          <w:rFonts w:ascii="Times New Roman" w:eastAsia="MyriadPro-Semibold" w:hAnsi="Times New Roman" w:cs="Times New Roman"/>
          <w:kern w:val="0"/>
          <w:sz w:val="24"/>
          <w:szCs w:val="24"/>
        </w:rPr>
        <w:t xml:space="preserve">FRGs </w:t>
      </w:r>
      <w:r w:rsidR="006F0F2E" w:rsidRP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expression among </w:t>
      </w:r>
      <w:r w:rsid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>seven</w:t>
      </w:r>
      <w:r w:rsidR="006F0F2E" w:rsidRP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human </w:t>
      </w:r>
      <w:r w:rsidR="006F0F2E" w:rsidRPr="006F0F2E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kidney</w:t>
      </w:r>
      <w:r w:rsidR="006F0F2E" w:rsidRP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 xml:space="preserve"> cancer cell lines.</w:t>
      </w:r>
      <w:r w:rsidR="006F0F2E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 xml:space="preserve"> </w:t>
      </w:r>
      <w:r w:rsidR="006F0F2E" w:rsidRPr="006F0F2E">
        <w:rPr>
          <w:rFonts w:ascii="Times New Roman" w:hAnsi="Times New Roman" w:cs="Times New Roman" w:hint="eastAsia"/>
          <w:color w:val="131413"/>
          <w:kern w:val="0"/>
          <w:sz w:val="24"/>
          <w:szCs w:val="24"/>
        </w:rPr>
        <w:t>(</w:t>
      </w:r>
      <w:r w:rsidR="006F0F2E" w:rsidRPr="006F0F2E">
        <w:rPr>
          <w:rFonts w:ascii="Times New Roman" w:hAnsi="Times New Roman" w:cs="Times New Roman"/>
          <w:color w:val="131413"/>
          <w:kern w:val="0"/>
          <w:sz w:val="24"/>
          <w:szCs w:val="24"/>
        </w:rPr>
        <w:t>B)</w:t>
      </w:r>
      <w:r w:rsidR="006F0F2E" w:rsidRPr="006F0F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sensitivity of </w:t>
      </w:r>
      <w:r w:rsidR="006F0F2E" w:rsidRPr="006F0F2E">
        <w:rPr>
          <w:rFonts w:ascii="Times New Roman" w:hAnsi="Times New Roman" w:cs="Times New Roman"/>
          <w:kern w:val="0"/>
          <w:sz w:val="24"/>
          <w:szCs w:val="24"/>
        </w:rPr>
        <w:t xml:space="preserve">seven candidate </w:t>
      </w:r>
      <w:r w:rsidR="006F0F2E" w:rsidRPr="006F0F2E">
        <w:rPr>
          <w:rFonts w:ascii="Times New Roman" w:eastAsia="MyriadPro-Semibold" w:hAnsi="Times New Roman" w:cs="Times New Roman"/>
          <w:kern w:val="0"/>
          <w:sz w:val="24"/>
          <w:szCs w:val="24"/>
        </w:rPr>
        <w:t>FRGs</w:t>
      </w:r>
      <w:r w:rsidR="006F0F2E" w:rsidRPr="006F0F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various drugs. The red dots represent sensitivity to the drug, while blue dots represent the opposite.</w:t>
      </w:r>
    </w:p>
    <w:sectPr w:rsidR="00E15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A8046F" w14:textId="77777777" w:rsidR="00706C89" w:rsidRDefault="00706C89" w:rsidP="00771546">
      <w:r>
        <w:separator/>
      </w:r>
    </w:p>
  </w:endnote>
  <w:endnote w:type="continuationSeparator" w:id="0">
    <w:p w14:paraId="59B9B9CA" w14:textId="77777777" w:rsidR="00706C89" w:rsidRDefault="00706C89" w:rsidP="00771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MyriadPro-Semibold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BookAntiqua">
    <w:altName w:val="Cambria"/>
    <w:panose1 w:val="00000000000000000000"/>
    <w:charset w:val="00"/>
    <w:family w:val="roman"/>
    <w:notTrueType/>
    <w:pitch w:val="default"/>
    <w:sig w:usb0="00000003" w:usb1="080E0000" w:usb2="00000010" w:usb3="00000000" w:csb0="00040001" w:csb1="00000000"/>
  </w:font>
  <w:font w:name="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E2ED4B" w14:textId="77777777" w:rsidR="00706C89" w:rsidRDefault="00706C89" w:rsidP="00771546">
      <w:r>
        <w:separator/>
      </w:r>
    </w:p>
  </w:footnote>
  <w:footnote w:type="continuationSeparator" w:id="0">
    <w:p w14:paraId="5385C588" w14:textId="77777777" w:rsidR="00706C89" w:rsidRDefault="00706C89" w:rsidP="00771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AD8"/>
    <w:rsid w:val="00051A6C"/>
    <w:rsid w:val="000F6421"/>
    <w:rsid w:val="00343684"/>
    <w:rsid w:val="00343F94"/>
    <w:rsid w:val="00424758"/>
    <w:rsid w:val="005843C4"/>
    <w:rsid w:val="005B2BE6"/>
    <w:rsid w:val="00637F62"/>
    <w:rsid w:val="006F0F2E"/>
    <w:rsid w:val="00706C89"/>
    <w:rsid w:val="00771546"/>
    <w:rsid w:val="0085099D"/>
    <w:rsid w:val="008754EB"/>
    <w:rsid w:val="00A20CDB"/>
    <w:rsid w:val="00C07170"/>
    <w:rsid w:val="00D7340A"/>
    <w:rsid w:val="00E15778"/>
    <w:rsid w:val="00E56AD8"/>
    <w:rsid w:val="00E8286A"/>
    <w:rsid w:val="00F8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B13BA"/>
  <w15:chartTrackingRefBased/>
  <w15:docId w15:val="{76AEEFE7-B4CE-4709-8639-FD6BB3DE9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5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54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5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546"/>
    <w:rPr>
      <w:sz w:val="18"/>
      <w:szCs w:val="18"/>
    </w:rPr>
  </w:style>
  <w:style w:type="table" w:styleId="a7">
    <w:name w:val="Table Grid"/>
    <w:basedOn w:val="a1"/>
    <w:uiPriority w:val="39"/>
    <w:rsid w:val="00051A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051A6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4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gene/240" TargetMode="External"/><Relationship Id="rId13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gene/246" TargetMode="External"/><Relationship Id="rId12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gene/240" TargetMode="External"/><Relationship Id="rId11" Type="http://schemas.openxmlformats.org/officeDocument/2006/relationships/image" Target="media/image3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footnotes" Target="footnote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8</Pages>
  <Words>732</Words>
  <Characters>4175</Characters>
  <Application>Microsoft Office Word</Application>
  <DocSecurity>0</DocSecurity>
  <Lines>34</Lines>
  <Paragraphs>9</Paragraphs>
  <ScaleCrop>false</ScaleCrop>
  <Company/>
  <LinksUpToDate>false</LinksUpToDate>
  <CharactersWithSpaces>4898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sun</dc:creator>
  <cp:keywords/>
  <dc:description/>
  <cp:lastModifiedBy>Alan sun</cp:lastModifiedBy>
  <cp:revision>15</cp:revision>
  <dcterms:created xsi:type="dcterms:W3CDTF">2020-09-07T09:00:00Z</dcterms:created>
  <dcterms:modified xsi:type="dcterms:W3CDTF">2020-10-19T08:16:00Z</dcterms:modified>
</cp:coreProperties>
</file>