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7DBDD" w14:textId="77777777" w:rsidR="003B7C20" w:rsidRPr="00995685" w:rsidRDefault="003B7C20" w:rsidP="003B7C20">
      <w:pPr>
        <w:pStyle w:val="3"/>
        <w:keepNext/>
        <w:keepLines/>
        <w:pageBreakBefore w:val="0"/>
        <w:widowControl/>
        <w:spacing w:before="0" w:after="160" w:line="252" w:lineRule="auto"/>
        <w:ind w:left="0" w:right="0" w:firstLine="0"/>
        <w:jc w:val="left"/>
        <w:rPr>
          <w:b/>
          <w:color w:val="auto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lang w:val="en-US" w:eastAsia="en-US"/>
        </w:rPr>
        <w:t>Supplementary Figure S1. Original exploratory metabolite heatmap</w:t>
      </w:r>
    </w:p>
    <w:p w14:paraId="7F8A7A3C" w14:textId="77777777" w:rsidR="003B7C20" w:rsidRPr="00995685" w:rsidRDefault="003B7C20" w:rsidP="003B7C20">
      <w:pPr>
        <w:keepNext/>
        <w:keepLines/>
        <w:pageBreakBefore w:val="0"/>
        <w:widowControl/>
        <w:spacing w:after="160" w:before="0" w:line="240" w:lineRule="auto"/>
        <w:ind w:left="0" w:right="0" w:firstLine="0"/>
        <w:jc w:val="center"/>
        <w:rPr>
          <w:bCs/>
          <w:color w:val="auto"/>
        </w:rPr>
      </w:pPr>
      <w:r w:rsidRPr="00995685">
        <w:rPr>
          <w:bCs/>
          <w:noProof/>
          <w:color w:val="auto"/>
          <w:sz w:val="2"/>
        </w:rPr>
        <w:drawing>
          <wp:inline distT="0" distB="0" distL="0" distR="0" wp14:anchorId="74E40787" wp14:editId="6B01C26C">
            <wp:extent cx="5303520" cy="1828800"/>
            <wp:effectExtent l="0" t="0" r="0" b="0"/>
            <wp:docPr id="3" name="Picture 3" descr="Supplementary Figure S1. Original exploratory metabolite heatmap" title="Supplementary Figure S1. Original exploratory metabolite heat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rkers_Z_Score_Heatmap_with_Nam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803E8A" w14:textId="77777777" w:rsidR="003B7C20" w:rsidRPr="00995685" w:rsidRDefault="003B7C20" w:rsidP="003B7C20">
      <w:pPr>
        <w:keepNext w:val="0"/>
        <w:keepLines/>
        <w:pageBreakBefore w:val="0"/>
        <w:widowControl/>
        <w:spacing w:line="259" w:lineRule="auto" w:before="0" w:after="140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lang w:val="en-US" w:eastAsia="en-US"/>
        </w:rPr>
        <w:t>Figure legend:</w:t>
      </w:r>
      <w:r>
        <w:rPr>
          <w:rFonts w:ascii="Times New Roman" w:hAnsi="Times New Roman" w:eastAsia="Times New Roman" w:cs="Times New Roman"/>
          <w:b w:val="0"/>
          <w:color w:val="000000"/>
          <w:sz w:val="20"/>
          <w:lang w:val="en-US" w:eastAsia="en-US"/>
        </w:rPr>
        <w:t xml:space="preserve"> Original sample-level standardized heatmap of the five candidate metabolites; colors represent the Z-scores of each metabolite across samples, and the top color bar indicates the V0 and V1 groups.</w:t>
      </w:r>
    </w:p>
    <w:p w14:paraId="18EC1FF5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lang w:val="en-US" w:eastAsia="en-US"/>
        </w:rPr>
        <w:t>Figure results:</w:t>
      </w: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 xml:space="preserve"> All five candidate metabolites show marked intersample heterogeneity, and the heatmap itself does not provide effect sizes, multiple-testing corrections, or independent validation results.</w:t>
      </w:r>
    </w:p>
    <w:p w14:paraId="3592BC2B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>This figure is used only to show how β-HB was initially included among the candidates, cannot replace the audited reanalysis of the 65 samples, and does not serve as primary statistical evidence.</w:t>
      </w:r>
    </w:p>
    <w:p w14:paraId="59498002" w14:textId="77777777" w:rsidR="003B7C20" w:rsidRPr="00995685" w:rsidRDefault="003B7C20" w:rsidP="003B7C20">
      <w:pPr>
        <w:pStyle w:val="3"/>
        <w:keepNext/>
        <w:keepLines/>
        <w:pageBreakBefore/>
        <w:widowControl/>
        <w:spacing w:before="0" w:after="160" w:line="252" w:lineRule="auto"/>
        <w:ind w:left="0" w:right="0" w:firstLine="0"/>
        <w:jc w:val="left"/>
        <w:rPr>
          <w:b/>
          <w:color w:val="auto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lang w:val="en-US" w:eastAsia="en-US"/>
        </w:rPr>
        <w:t>Supplementary Figure S2. Original OPLS-DA permutation output</w:t>
      </w:r>
    </w:p>
    <w:p w14:paraId="73C0A404" w14:textId="77777777" w:rsidR="003B7C20" w:rsidRPr="00995685" w:rsidRDefault="003B7C20" w:rsidP="003B7C20">
      <w:pPr>
        <w:keepNext/>
        <w:keepLines/>
        <w:pageBreakBefore w:val="0"/>
        <w:widowControl/>
        <w:spacing w:after="160" w:before="0" w:line="240" w:lineRule="auto"/>
        <w:ind w:left="0" w:right="0" w:firstLine="0"/>
        <w:jc w:val="center"/>
        <w:rPr>
          <w:bCs/>
          <w:color w:val="auto"/>
        </w:rPr>
      </w:pPr>
      <w:r w:rsidRPr="00995685">
        <w:rPr>
          <w:bCs/>
          <w:noProof/>
          <w:color w:val="auto"/>
          <w:sz w:val="2"/>
        </w:rPr>
        <w:drawing>
          <wp:inline distT="0" distB="0" distL="0" distR="0" wp14:anchorId="3D8C9728" wp14:editId="558F9EFD">
            <wp:extent cx="5303520" cy="4419600"/>
            <wp:effectExtent l="0" t="0" r="0" b="0"/>
            <wp:docPr id="4" name="Picture 4" descr="Supplementary Figure S2. Original OPLS-DA permutation output" title="Supplementary Figure S2. Original OPLS-DA permutation outp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PLSDA_Permutation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41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611EBF" w14:textId="77777777" w:rsidR="003B7C20" w:rsidRPr="00995685" w:rsidRDefault="003B7C20" w:rsidP="003B7C20">
      <w:pPr>
        <w:keepNext w:val="0"/>
        <w:keepLines/>
        <w:pageBreakBefore w:val="0"/>
        <w:widowControl/>
        <w:spacing w:line="259" w:lineRule="auto" w:before="0" w:after="140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lang w:val="en-US" w:eastAsia="en-US"/>
        </w:rPr>
        <w:t>Figure legend:</w:t>
      </w:r>
      <w:r>
        <w:rPr>
          <w:rFonts w:ascii="Times New Roman" w:hAnsi="Times New Roman" w:eastAsia="Times New Roman" w:cs="Times New Roman"/>
          <w:b w:val="0"/>
          <w:color w:val="000000"/>
          <w:sz w:val="20"/>
          <w:lang w:val="en-US" w:eastAsia="en-US"/>
        </w:rPr>
        <w:t xml:space="preserve"> Original OPLS-DA permutation test; the horizontal axis represents the permuted correlation coefficients, and the vertical axis shows the R²Y and Q² statistics and their regression trends.</w:t>
      </w:r>
    </w:p>
    <w:p w14:paraId="68E55170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lang w:val="en-US" w:eastAsia="en-US"/>
        </w:rPr>
        <w:t>Figure results:</w:t>
      </w: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 xml:space="preserve"> The Q² intercept is negative (−0.491), and the results do not provide support for stable prediction or reliable between-group discrimination.</w:t>
      </w:r>
    </w:p>
    <w:p w14:paraId="40721D8A" w14:textId="77777777" w:rsidR="003B7C20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>This figure limits claims of “clear metabolomic group separation” or “stable classification performance,” consistent with the main text’s characterization of β-HB as a single exploratory signal rather than a global metabolic classifier.</w:t>
      </w:r>
    </w:p>
    <w:p w14:paraId="56C8F298" w14:textId="77777777" w:rsidR="003B7C20" w:rsidRPr="00995685" w:rsidRDefault="003B7C20" w:rsidP="003B7C20">
      <w:pPr>
        <w:pStyle w:val="3"/>
        <w:keepNext/>
        <w:keepLines/>
        <w:pageBreakBefore/>
        <w:widowControl/>
        <w:spacing w:before="0" w:after="160" w:line="252" w:lineRule="auto"/>
        <w:ind w:left="0" w:right="0" w:firstLine="0"/>
        <w:jc w:val="left"/>
        <w:rPr>
          <w:b/>
          <w:color w:val="auto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lang w:val="en-US" w:eastAsia="en-US"/>
        </w:rPr>
        <w:t>Supplementary Figure S3. Original ketone-body pathway diagram</w:t>
      </w:r>
    </w:p>
    <w:p w14:paraId="760FA282" w14:textId="77777777" w:rsidR="003B7C20" w:rsidRPr="00995685" w:rsidRDefault="003B7C20" w:rsidP="003B7C20">
      <w:pPr>
        <w:keepNext/>
        <w:keepLines/>
        <w:pageBreakBefore w:val="0"/>
        <w:widowControl/>
        <w:spacing w:after="160" w:before="0" w:line="240" w:lineRule="auto"/>
        <w:ind w:left="0" w:right="0" w:firstLine="0"/>
        <w:jc w:val="center"/>
        <w:rPr>
          <w:bCs/>
          <w:color w:val="auto"/>
        </w:rPr>
      </w:pPr>
      <w:r w:rsidRPr="00995685">
        <w:rPr>
          <w:bCs/>
          <w:noProof/>
          <w:color w:val="auto"/>
          <w:sz w:val="2"/>
        </w:rPr>
        <w:drawing>
          <wp:inline distT="0" distB="0" distL="0" distR="0" wp14:anchorId="3B3E3A9E" wp14:editId="5D5B99E9">
            <wp:extent cx="5303520" cy="4242816"/>
            <wp:effectExtent l="0" t="0" r="0" b="0"/>
            <wp:docPr id="7" name="Picture 7" descr="Supplementary Figure S3. Original ketone-body pathway diagram" title="Supplementary Figure S3. Original ketone-body pathway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etone_bodies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242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DA47A4" w14:textId="77777777" w:rsidR="003B7C20" w:rsidRPr="00995685" w:rsidRDefault="003B7C20" w:rsidP="003B7C20">
      <w:pPr>
        <w:keepNext w:val="0"/>
        <w:keepLines/>
        <w:pageBreakBefore w:val="0"/>
        <w:widowControl/>
        <w:spacing w:line="259" w:lineRule="auto" w:before="0" w:after="140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lang w:val="en-US" w:eastAsia="en-US"/>
        </w:rPr>
        <w:t>Figure legend:</w:t>
      </w:r>
      <w:r>
        <w:rPr>
          <w:rFonts w:ascii="Times New Roman" w:hAnsi="Times New Roman" w:eastAsia="Times New Roman" w:cs="Times New Roman"/>
          <w:b w:val="0"/>
          <w:color w:val="000000"/>
          <w:sz w:val="20"/>
          <w:lang w:val="en-US" w:eastAsia="en-US"/>
        </w:rPr>
        <w:t xml:space="preserve"> Original pathway diagram of ketone-body synthesis and degradation; the red node marks the detected signal annotated as β-HB by untargeted metabolomics.</w:t>
      </w:r>
    </w:p>
    <w:p w14:paraId="60FB4681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lang w:val="en-US" w:eastAsia="en-US"/>
        </w:rPr>
        <w:t>Figure results:</w:t>
      </w: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 xml:space="preserve"> The figure only confirms that β-HB was mapped to the ketone-body pathway; upstream synthesis, downstream utilization, reaction direction, and metabolic flux were not measured.</w:t>
      </w:r>
    </w:p>
    <w:p w14:paraId="22CC9A3B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lang w:val="en-US" w:eastAsia="en-US"/>
        </w:rPr>
        <w:t>Role in the overall argument:</w:t>
      </w: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 xml:space="preserve"> This figure supports the pathway assignment of β-HB but cannot support “activation of ketone-body metabolism” or “enhanced β-HB utilization,” and highlights the need for subsequent targeted quantification and isotope tracing.</w:t>
      </w:r>
    </w:p>
    <w:p w14:paraId="1E459B55" w14:textId="77777777" w:rsidR="003B7C20" w:rsidRPr="00995685" w:rsidRDefault="003B7C20" w:rsidP="003B7C20">
      <w:pPr>
        <w:pStyle w:val="3"/>
        <w:keepNext/>
        <w:keepLines/>
        <w:pageBreakBefore/>
        <w:widowControl/>
        <w:spacing w:before="0" w:after="160" w:line="252" w:lineRule="auto"/>
        <w:ind w:left="0" w:right="0" w:firstLine="0"/>
        <w:jc w:val="left"/>
        <w:rPr>
          <w:b/>
          <w:color w:val="auto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lang w:val="en-US" w:eastAsia="en-US"/>
        </w:rPr>
        <w:t>Supplementary Figure S4. Original butyrate metabolism pathway diagram</w:t>
      </w:r>
    </w:p>
    <w:p w14:paraId="6F64D3CF" w14:textId="77777777" w:rsidR="003B7C20" w:rsidRPr="00995685" w:rsidRDefault="003B7C20" w:rsidP="003B7C20">
      <w:pPr>
        <w:keepNext/>
        <w:keepLines/>
        <w:pageBreakBefore w:val="0"/>
        <w:widowControl/>
        <w:spacing w:after="160" w:before="0" w:line="240" w:lineRule="auto"/>
        <w:ind w:left="0" w:right="0" w:firstLine="0"/>
        <w:jc w:val="center"/>
        <w:rPr>
          <w:bCs/>
          <w:color w:val="auto"/>
        </w:rPr>
      </w:pPr>
      <w:r w:rsidRPr="00995685">
        <w:rPr>
          <w:bCs/>
          <w:noProof/>
          <w:color w:val="auto"/>
          <w:sz w:val="2"/>
        </w:rPr>
        <w:drawing>
          <wp:inline distT="0" distB="0" distL="0" distR="0" wp14:anchorId="1E2C69AC" wp14:editId="28DE9FC9">
            <wp:extent cx="5303520" cy="4242816"/>
            <wp:effectExtent l="0" t="0" r="0" b="0"/>
            <wp:docPr id="8" name="Picture 8" descr="Supplementary Figure S4. Original butyrate metabolism pathway diagram" title="Supplementary Figure S4. Original butyrate metabolism pathway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utanoate_metabolis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242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1E946E" w14:textId="77777777" w:rsidR="003B7C20" w:rsidRPr="00995685" w:rsidRDefault="003B7C20" w:rsidP="003B7C20">
      <w:pPr>
        <w:keepNext w:val="0"/>
        <w:keepLines/>
        <w:pageBreakBefore w:val="0"/>
        <w:widowControl/>
        <w:spacing w:line="259" w:lineRule="auto" w:before="0" w:after="140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lang w:val="en-US" w:eastAsia="en-US"/>
        </w:rPr>
        <w:t>Figure legend:</w:t>
      </w:r>
      <w:r>
        <w:rPr>
          <w:rFonts w:ascii="Times New Roman" w:hAnsi="Times New Roman" w:eastAsia="Times New Roman" w:cs="Times New Roman"/>
          <w:b w:val="0"/>
          <w:color w:val="000000"/>
          <w:sz w:val="20"/>
          <w:lang w:val="en-US" w:eastAsia="en-US"/>
        </w:rPr>
        <w:t xml:space="preserve"> Original butyrate metabolism pathway diagram; the red β-HB node represents the same metabolite signal as the detected feature in Supplementary Figure S4.</w:t>
      </w:r>
    </w:p>
    <w:p w14:paraId="5230E68C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lang w:val="en-US" w:eastAsia="en-US"/>
        </w:rPr>
        <w:t>Figure results:</w:t>
      </w: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 xml:space="preserve"> The figure contains no second independent metabolite hit in butyrate metabolism, and neither butyrate metabolic flux nor the direction of flow between β-HB and the butyrate pathway was directly measured.</w:t>
      </w:r>
    </w:p>
    <w:p w14:paraId="3909779B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lang w:val="en-US" w:eastAsia="en-US"/>
        </w:rPr>
        <w:t>Role in the overall argument:</w:t>
      </w: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 xml:space="preserve"> This figure limits the strength of evidence for the “β-HB–butyrate metabolism” link, provides only a starting point for hypothesis generation at the level of database annotation, and cannot serve as independent validation of β-HB-mediated invasion or LVI.</w:t>
      </w:r>
    </w:p>
    <w:p w14:paraId="16A3932D" w14:textId="77777777" w:rsidR="003B7C20" w:rsidRPr="00995685" w:rsidRDefault="003B7C20" w:rsidP="003B7C20">
      <w:pPr>
        <w:pStyle w:val="3"/>
        <w:keepNext/>
        <w:keepLines/>
        <w:pageBreakBefore/>
        <w:widowControl/>
        <w:spacing w:before="0" w:after="160" w:line="252" w:lineRule="auto"/>
        <w:ind w:left="0" w:right="0" w:firstLine="0"/>
        <w:jc w:val="left"/>
        <w:rPr>
          <w:b/>
          <w:color w:val="auto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lang w:val="en-US" w:eastAsia="en-US"/>
        </w:rPr>
        <w:t>Supplementary Figure S6. Lymph node status sensitivity analysis in GSE246963</w:t>
      </w:r>
    </w:p>
    <w:p w14:paraId="1C51F513" w14:textId="77777777" w:rsidR="003B7C20" w:rsidRPr="00995685" w:rsidRDefault="003B7C20" w:rsidP="003B7C20">
      <w:pPr>
        <w:keepNext/>
        <w:keepLines/>
        <w:pageBreakBefore w:val="0"/>
        <w:widowControl/>
        <w:spacing w:after="160" w:before="0" w:line="240" w:lineRule="auto"/>
        <w:ind w:left="0" w:right="0" w:firstLine="0"/>
        <w:jc w:val="center"/>
        <w:rPr>
          <w:bCs/>
          <w:color w:val="auto"/>
        </w:rPr>
      </w:pPr>
      <w:r w:rsidRPr="00995685">
        <w:rPr>
          <w:bCs/>
          <w:noProof/>
          <w:color w:val="auto"/>
          <w:sz w:val="2"/>
        </w:rPr>
        <w:drawing>
          <wp:inline distT="0" distB="0" distL="0" distR="0" wp14:anchorId="53D67ACD" wp14:editId="6631FF95">
            <wp:extent cx="5806440" cy="4645152"/>
            <wp:effectExtent l="0" t="0" r="0" b="0"/>
            <wp:docPr id="12" name="Picture 12" descr="Supplementary Figure S6. Lymph node status sensitivity analysis in GSE246963" title="Supplementary Figure S6. Lymph node status sensitivity analysis in GSE246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7_GSE246963_LN_metabolic_invasion_validation_no_numb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645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339792" w14:textId="77777777" w:rsidR="003B7C20" w:rsidRPr="00995685" w:rsidRDefault="003B7C20" w:rsidP="003B7C20">
      <w:pPr>
        <w:keepNext w:val="0"/>
        <w:keepLines/>
        <w:pageBreakBefore w:val="0"/>
        <w:widowControl/>
        <w:spacing w:line="259" w:lineRule="auto" w:before="0" w:after="140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lang w:val="en-US" w:eastAsia="en-US"/>
        </w:rPr>
        <w:t>Figure legend:</w:t>
      </w:r>
      <w:r>
        <w:rPr>
          <w:rFonts w:ascii="Times New Roman" w:hAnsi="Times New Roman" w:eastAsia="Times New Roman" w:cs="Times New Roman"/>
          <w:b w:val="0"/>
          <w:color w:val="000000"/>
          <w:sz w:val="20"/>
          <w:lang w:val="en-US" w:eastAsia="en-US"/>
        </w:rPr>
        <w:t xml:space="preserve"> The figure shows scores for six programs in 8 lymph node-positive and 8 lymph node-negative primary gastric cancers, adjusted associations with lymph node status, paired analyses of primary tumors and lymph node metastases, and a sample-centered program heatmap.</w:t>
      </w:r>
    </w:p>
    <w:p w14:paraId="494A8252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lang w:val="en-US" w:eastAsia="en-US"/>
        </w:rPr>
        <w:t>Figure results:</w:t>
      </w: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 xml:space="preserve"> The directions of effect for all three metabolic programs are upward, with butyrate metabolism showing the strongest nominal result (Cliff’s δ effect size = 0.625, P = 0.0406, q = 0.1217).</w:t>
      </w:r>
    </w:p>
    <w:p w14:paraId="4A766C2A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>This figure provides only directional sensitivity information for a surrogate endpoint.</w:t>
      </w:r>
    </w:p>
    <w:p w14:paraId="3C206212" w14:textId="77777777" w:rsidR="003B7C20" w:rsidRPr="00995685" w:rsidRDefault="003B7C20" w:rsidP="003B7C20">
      <w:pPr>
        <w:keepNext w:val="0"/>
        <w:keepLines/>
        <w:pageBreakBefore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>In GSE237876, the median metastasis-minus-primary changes in all six programs across 14 patients were in the direction of the working hypothesis. Fatty acid degradation showed the largest metabolic change (median Δ = 0.221, P = 0.064, q = 0.384). The composite metabolic change was negatively coordinated with the composite invasion/vascular change (ρ = −0.354, P = 0.215). Heterogeneity in metastatic routes and organs allows this dataset to serve as an LVI validation cohort (Supplementary Figure S7).</w:t>
      </w:r>
    </w:p>
    <w:p w14:paraId="415F2C13" w14:textId="77777777" w:rsidR="003B7C20" w:rsidRPr="00995685" w:rsidRDefault="003B7C20" w:rsidP="003B7C20">
      <w:pPr>
        <w:pStyle w:val="3"/>
        <w:keepNext/>
        <w:keepLines/>
        <w:pageBreakBefore w:val="0"/>
        <w:widowControl/>
        <w:spacing w:before="60" w:after="160" w:line="252" w:lineRule="auto"/>
        <w:ind w:left="0" w:right="0" w:firstLine="0"/>
        <w:jc w:val="left"/>
        <w:rPr>
          <w:b/>
          <w:color w:val="auto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lang w:val="en-US" w:eastAsia="en-US"/>
        </w:rPr>
        <w:t>Supplementary Figure S7. Within-patient paired analysis of multisite metastases in GSE237876</w:t>
      </w:r>
    </w:p>
    <w:p w14:paraId="7B2A9F14" w14:textId="77777777" w:rsidR="003B7C20" w:rsidRPr="00995685" w:rsidRDefault="003B7C20" w:rsidP="003B7C20">
      <w:pPr>
        <w:keepNext/>
        <w:keepLines/>
        <w:pageBreakBefore w:val="0"/>
        <w:widowControl/>
        <w:spacing w:after="160" w:before="0" w:line="240" w:lineRule="auto"/>
        <w:ind w:left="0" w:right="0" w:firstLine="0"/>
        <w:jc w:val="center"/>
        <w:rPr>
          <w:bCs/>
          <w:color w:val="auto"/>
        </w:rPr>
      </w:pPr>
      <w:r w:rsidRPr="00995685">
        <w:rPr>
          <w:bCs/>
          <w:noProof/>
          <w:color w:val="auto"/>
          <w:sz w:val="2"/>
        </w:rPr>
        <w:drawing>
          <wp:inline distT="0" distB="0" distL="0" distR="0" wp14:anchorId="2726F3A9" wp14:editId="1C5E6FE4">
            <wp:extent cx="5806440" cy="4451604"/>
            <wp:effectExtent l="0" t="0" r="0" b="0"/>
            <wp:docPr id="13" name="Picture 13" descr="Supplementary Figure S7. Within-patient paired analysis of multisite metastases in GSE237876" title="Supplementary Figure S7. Within-patient paired analysis of multisite metastases in GSE237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eS_GSE237876_multisite_metastasis_program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451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25BBBA" w14:textId="77777777" w:rsidR="003B7C20" w:rsidRPr="00995685" w:rsidRDefault="003B7C20" w:rsidP="003B7C20">
      <w:pPr>
        <w:keepNext w:val="0"/>
        <w:keepLines/>
        <w:pageBreakBefore w:val="0"/>
        <w:widowControl/>
        <w:spacing w:line="259" w:lineRule="auto" w:before="0" w:after="140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lang w:val="en-US" w:eastAsia="en-US"/>
        </w:rPr>
        <w:t>Figure legend:</w:t>
      </w:r>
      <w:r>
        <w:rPr>
          <w:rFonts w:ascii="Times New Roman" w:hAnsi="Times New Roman" w:eastAsia="Times New Roman" w:cs="Times New Roman"/>
          <w:b w:val="0"/>
          <w:color w:val="000000"/>
          <w:sz w:val="20"/>
          <w:lang w:val="en-US" w:eastAsia="en-US"/>
        </w:rPr>
        <w:t xml:space="preserve"> The figure shows the composition of primary tumors and multisite metastases from 14 patients, within-patient paired changes in the six programs, a heatmap of changes for individual patients, and a correlation analysis between composite metabolic changes and composite invasion/vascular changes.</w:t>
      </w:r>
    </w:p>
    <w:p w14:paraId="1B9F92FB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lang w:val="en-US" w:eastAsia="en-US"/>
        </w:rPr>
        <w:t>Figure results:</w:t>
      </w: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 xml:space="preserve"> The directions of median changes in the six programs are generally consistent with the working hypothesis; fatty acid degradation shows the largest median change (Δ = 0.221, P = 0.064, q = 0.384), and composite metabolic changes are negatively correlated with composite invasion/vascular changes (ρ = −0.354, P = 0.215).</w:t>
      </w:r>
    </w:p>
    <w:p w14:paraId="3B826822" w14:textId="77777777" w:rsidR="003B7C20" w:rsidRPr="00995685" w:rsidRDefault="003B7C20" w:rsidP="003B7C20">
      <w:pPr>
        <w:pStyle w:val="3"/>
        <w:keepNext/>
        <w:keepLines/>
        <w:pageBreakBefore/>
        <w:widowControl/>
        <w:spacing w:before="0" w:after="160" w:line="252" w:lineRule="auto"/>
        <w:ind w:left="0" w:right="0" w:firstLine="0"/>
        <w:jc w:val="left"/>
        <w:rPr>
          <w:b/>
          <w:color w:val="auto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lang w:val="en-US" w:eastAsia="en-US"/>
        </w:rPr>
        <w:t>Supplementary Figure S8. Single-cell pseudobulk feasibility analysis in GSE163558</w:t>
      </w:r>
    </w:p>
    <w:p w14:paraId="14E1AEF4" w14:textId="77777777" w:rsidR="003B7C20" w:rsidRPr="00995685" w:rsidRDefault="003B7C20" w:rsidP="003B7C20">
      <w:pPr>
        <w:keepNext/>
        <w:keepLines/>
        <w:pageBreakBefore w:val="0"/>
        <w:widowControl/>
        <w:spacing w:after="160" w:before="0" w:line="240" w:lineRule="auto"/>
        <w:ind w:left="0" w:right="0" w:firstLine="0"/>
        <w:jc w:val="center"/>
        <w:rPr>
          <w:bCs/>
          <w:color w:val="auto"/>
        </w:rPr>
      </w:pPr>
      <w:r w:rsidRPr="00995685">
        <w:rPr>
          <w:bCs/>
          <w:noProof/>
          <w:color w:val="auto"/>
          <w:sz w:val="2"/>
        </w:rPr>
        <w:drawing>
          <wp:inline distT="0" distB="0" distL="0" distR="0" wp14:anchorId="155D47FF" wp14:editId="369FC9F2">
            <wp:extent cx="5806440" cy="4645152"/>
            <wp:effectExtent l="0" t="0" r="0" b="0"/>
            <wp:docPr id="14" name="Picture 14" descr="Supplementary Figure S8. Single-cell pseudobulk feasibility analysis in GSE163558" title="Supplementary Figure S8. Single-cell pseudobulk feasibility analysis in GSE163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ure9_GSE163558_single_cell_metabolic_vascular_validation_no_numb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645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018EDF" w14:textId="77777777" w:rsidR="003B7C20" w:rsidRPr="00995685" w:rsidRDefault="003B7C20" w:rsidP="003B7C20">
      <w:pPr>
        <w:keepNext w:val="0"/>
        <w:keepLines/>
        <w:pageBreakBefore w:val="0"/>
        <w:widowControl/>
        <w:spacing w:line="259" w:lineRule="auto" w:before="0" w:after="140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lang w:val="en-US" w:eastAsia="en-US"/>
        </w:rPr>
        <w:t>Figure legend:</w:t>
      </w:r>
      <w:r>
        <w:rPr>
          <w:rFonts w:ascii="Times New Roman" w:hAnsi="Times New Roman" w:eastAsia="Times New Roman" w:cs="Times New Roman"/>
          <w:b w:val="0"/>
          <w:color w:val="000000"/>
          <w:sz w:val="20"/>
          <w:lang w:val="en-US" w:eastAsia="en-US"/>
        </w:rPr>
        <w:t xml:space="preserve"> The figure shows single-cell quality control, the composition of major non-immune cell types, coverage under stringent epithelial and endothelial annotation, sample-level pseudobulk program correlations, and the sample–lineage correlation matrix.</w:t>
      </w:r>
    </w:p>
    <w:p w14:paraId="23D2DEC0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lang w:val="en-US" w:eastAsia="en-US"/>
        </w:rPr>
        <w:t>Figure results:</w:t>
      </w: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 xml:space="preserve"> A total of 41,854 cells passed quality control, but only 7 and 3 sample units were available for the epithelial and endothelial pseudobulk analyses, respectively.</w:t>
      </w:r>
    </w:p>
    <w:p w14:paraId="6BB82824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>This figure validates metabolic–invasive or metabolic–vascular coupling; because measurements of β-HB, the microbiome, and LVI are lacking, it can only serve as an analysis of feasibility and the limits of the evidence.</w:t>
      </w:r>
    </w:p>
    <w:p w14:paraId="12E8D65B" w14:textId="77777777" w:rsidR="003B7C20" w:rsidRPr="00995685" w:rsidRDefault="003B7C20" w:rsidP="003B7C20">
      <w:pPr>
        <w:keepNext w:val="0"/>
        <w:keepLines/>
        <w:pageBreakBefore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>GSE239676 provided paired primary tumor–metastasis comparisons of epithelial-like cells from 11 patients. The median changes in ketone-body handling (−0.476, q = 0.103), butyrate metabolism (−0.361, q = 0.103), and fatty acid degradation (−0.512, q = 0.103) were all negative, showing the hypothesized decreases. Changes in butyrate metabolism and fatty acid degradation were correlated (ρ = 0.764, q = 0.0374), suggesting internal co-regulation. Given that this cohort lacks direct measurements of β-HB, the microbiome, or LVI, lacks CNV-confirmed malignant cell identity, and contains only four endothelial pairs, it constitutes a boundary analysis rather than positive validation (Supplementary Figure S9).</w:t>
      </w:r>
    </w:p>
    <w:p w14:paraId="09741C7B" w14:textId="77777777" w:rsidR="003B7C20" w:rsidRPr="00995685" w:rsidRDefault="003B7C20" w:rsidP="003B7C20">
      <w:pPr>
        <w:pStyle w:val="3"/>
        <w:keepNext/>
        <w:keepLines/>
        <w:pageBreakBefore w:val="0"/>
        <w:widowControl/>
        <w:spacing w:before="60" w:after="160" w:line="252" w:lineRule="auto"/>
        <w:ind w:left="0" w:right="0" w:firstLine="0"/>
        <w:jc w:val="left"/>
        <w:rPr>
          <w:b/>
          <w:color w:val="auto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lang w:val="en-US" w:eastAsia="en-US"/>
        </w:rPr>
        <w:t>Supplementary Figure S9. Local within-patient paired single-cell sensitivity analysis in GSE239676</w:t>
      </w:r>
    </w:p>
    <w:p w14:paraId="46754FBC" w14:textId="77777777" w:rsidR="003B7C20" w:rsidRPr="00995685" w:rsidRDefault="003B7C20" w:rsidP="003B7C20">
      <w:pPr>
        <w:keepNext/>
        <w:keepLines/>
        <w:pageBreakBefore w:val="0"/>
        <w:widowControl/>
        <w:spacing w:after="160" w:before="0" w:line="240" w:lineRule="auto"/>
        <w:ind w:left="0" w:right="0" w:firstLine="0"/>
        <w:jc w:val="center"/>
        <w:rPr>
          <w:bCs/>
          <w:color w:val="auto"/>
        </w:rPr>
      </w:pPr>
      <w:r w:rsidRPr="00995685">
        <w:rPr>
          <w:bCs/>
          <w:noProof/>
          <w:color w:val="auto"/>
          <w:sz w:val="2"/>
        </w:rPr>
        <w:drawing>
          <wp:inline distT="0" distB="0" distL="0" distR="0" wp14:anchorId="2B130742" wp14:editId="140A2740">
            <wp:extent cx="5806440" cy="5080635"/>
            <wp:effectExtent l="0" t="0" r="0" b="0"/>
            <wp:docPr id="15" name="Picture 15" descr="Supplementary Figure S9. Local within-patient paired single-cell sensitivity analysis in GSE239676" title="Supplementary Figure S9. Local within-patient paired single-cell sensitivity analysis in GSE239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upplementaryFigure_GSE239676_local_multisite_metabolic_validat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080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80A9DA" w14:textId="77777777" w:rsidR="003B7C20" w:rsidRPr="00995685" w:rsidRDefault="003B7C20" w:rsidP="003B7C20">
      <w:pPr>
        <w:keepNext w:val="0"/>
        <w:keepLines/>
        <w:pageBreakBefore w:val="0"/>
        <w:widowControl/>
        <w:spacing w:line="259" w:lineRule="auto" w:before="0" w:after="140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lang w:val="en-US" w:eastAsia="en-US"/>
        </w:rPr>
        <w:t>Figure legend:</w:t>
      </w:r>
      <w:r>
        <w:rPr>
          <w:rFonts w:ascii="Times New Roman" w:hAnsi="Times New Roman" w:eastAsia="Times New Roman" w:cs="Times New Roman"/>
          <w:b w:val="0"/>
          <w:color w:val="000000"/>
          <w:sz w:val="20"/>
          <w:lang w:val="en-US" w:eastAsia="en-US"/>
        </w:rPr>
        <w:t xml:space="preserve"> The figure shows the availability of patient pairs for epithelial-like and endothelial cells, gene coverage of the predefined programs, paired primary tumor–metastasis changes, an epithelial program correlation matrix, and patient-level relationships between metabolic changes and EMT changes.</w:t>
      </w:r>
    </w:p>
    <w:p w14:paraId="6C00DFC4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lang w:val="en-US" w:eastAsia="en-US"/>
        </w:rPr>
        <w:t>Results:</w:t>
      </w: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 xml:space="preserve"> In the paired epithelial-like cell analysis of 11 patients, the median changes in all three metabolic programs were negative, with q = 0.103 for each; changes in butyrate metabolism and fatty acid degradation were correlated (ρ = 0.764, q = 0.0374).</w:t>
      </w:r>
    </w:p>
    <w:p w14:paraId="78955EA8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>This figure supports internal co-regulation of the butyrate and fatty acid transcriptional programs.</w:t>
      </w:r>
    </w:p>
    <w:p w14:paraId="769EA779" w14:textId="77777777" w:rsidR="003B7C20" w:rsidRPr="00995685" w:rsidRDefault="003B7C20" w:rsidP="003B7C20">
      <w:pPr>
        <w:pStyle w:val="3"/>
        <w:keepNext/>
        <w:keepLines/>
        <w:pageBreakBefore/>
        <w:widowControl/>
        <w:spacing w:before="0" w:after="160" w:line="252" w:lineRule="auto"/>
        <w:ind w:left="0" w:right="0" w:firstLine="0"/>
        <w:jc w:val="left"/>
        <w:rPr>
          <w:b/>
          <w:color w:val="auto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lang w:val="en-US" w:eastAsia="en-US"/>
        </w:rPr>
        <w:t>Supplementary Figure S10. DepMap/LINCS in silico perturbation prioritization</w:t>
      </w:r>
    </w:p>
    <w:p w14:paraId="3F8BD46D" w14:textId="77777777" w:rsidR="003B7C20" w:rsidRPr="00995685" w:rsidRDefault="003B7C20" w:rsidP="003B7C20">
      <w:pPr>
        <w:keepNext/>
        <w:keepLines/>
        <w:pageBreakBefore w:val="0"/>
        <w:widowControl/>
        <w:spacing w:after="160" w:before="0" w:line="240" w:lineRule="auto"/>
        <w:ind w:left="0" w:right="0" w:firstLine="0"/>
        <w:jc w:val="center"/>
        <w:rPr>
          <w:bCs/>
          <w:color w:val="auto"/>
        </w:rPr>
      </w:pPr>
      <w:r w:rsidRPr="00995685">
        <w:rPr>
          <w:bCs/>
          <w:noProof/>
          <w:color w:val="auto"/>
          <w:sz w:val="2"/>
        </w:rPr>
        <w:drawing>
          <wp:inline distT="0" distB="0" distL="0" distR="0" wp14:anchorId="5599A6B4" wp14:editId="029D2DAC">
            <wp:extent cx="5715000" cy="4608871"/>
            <wp:effectExtent l="0" t="0" r="0" b="0"/>
            <wp:docPr id="16" name="Picture 16" descr="Supplementary Figure S10. DepMap/LINCS in silico perturbation prioritization" title="Supplementary Figure S10. DepMap/LINCS in silico perturbation priorit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ure8_virtual_KO_betaHB_drug_screen_no_numbe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608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614305" w14:textId="77777777" w:rsidR="003B7C20" w:rsidRPr="00995685" w:rsidRDefault="003B7C20" w:rsidP="003B7C20">
      <w:pPr>
        <w:keepNext w:val="0"/>
        <w:keepLines/>
        <w:pageBreakBefore w:val="0"/>
        <w:widowControl/>
        <w:spacing w:line="259" w:lineRule="auto" w:before="0" w:after="140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lang w:val="en-US" w:eastAsia="en-US"/>
        </w:rPr>
        <w:t>Figure legend:</w:t>
      </w:r>
      <w:r>
        <w:rPr>
          <w:rFonts w:ascii="Times New Roman" w:hAnsi="Times New Roman" w:eastAsia="Times New Roman" w:cs="Times New Roman"/>
          <w:b w:val="0"/>
          <w:color w:val="000000"/>
          <w:sz w:val="20"/>
          <w:lang w:val="en-US" w:eastAsia="en-US"/>
        </w:rPr>
        <w:t xml:space="preserve"> The figure shows candidate gene dependencies in stomach-derived DepMap models, LINCS CRISPR knockout signature-reversal rankings, and compound signature-reversal priorities; the dashed line indicates a commonly used dependency threshold.</w:t>
      </w:r>
    </w:p>
    <w:p w14:paraId="18550676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lang w:val="en-US" w:eastAsia="en-US"/>
        </w:rPr>
        <w:t>Figure results:</w:t>
      </w: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 xml:space="preserve"> SLC16A1 has the strongest median dependency among the candidate genes, but its median gene effect is only −0.197; OXCT1 knockout has the highest LINCS reversal overlap score (5.17), and none of the top-ranked compounds has direct evidence of targeting the proposed metabolic axis.</w:t>
      </w:r>
    </w:p>
    <w:p w14:paraId="10E5A939" w14:textId="77777777" w:rsidR="003B7C20" w:rsidRPr="00995685" w:rsidRDefault="003B7C20" w:rsidP="003B7C20">
      <w:pPr>
        <w:keepNext w:val="0"/>
        <w:keepLines/>
        <w:pageBreakBefore w:val="0"/>
        <w:widowControl/>
        <w:spacing w:before="0" w:after="140" w:line="264" w:lineRule="auto"/>
        <w:ind w:left="0" w:right="0" w:firstLine="0"/>
        <w:jc w:val="left"/>
        <w:rPr>
          <w:bCs/>
          <w:color w:val="auto"/>
          <w:lang w:eastAsia="zh-CN"/>
        </w:rPr>
      </w:pPr>
      <w:r>
        <w:rPr>
          <w:rFonts w:ascii="Times New Roman" w:hAnsi="Times New Roman" w:eastAsia="Times New Roman" w:cs="Times New Roman"/>
          <w:b w:val="0"/>
          <w:color w:val="000000"/>
          <w:sz w:val="22"/>
          <w:lang w:val="en-US" w:eastAsia="en-US"/>
        </w:rPr>
        <w:t>This figure limits in silico knockout and drug screening to tools for prioritizing experiments; it cannot demonstrate target binding, β-HB blockade, invasion rescue, or therapeutic efficacy against LVI, and only provides candidates for subsequent controlled perturbation experiments.</w:t>
      </w:r>
    </w:p>
    <w:sectPr w:rsidR="00710854" w:rsidRPr="003B7C20">
      <w:pgSz w:w="11906" w:h="16838"/>
      <w:pgMar w:top="1080" w:right="1152" w:bottom="1080" w:left="1152" w:header="432" w:footer="43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9EBCC" w14:textId="77777777" w:rsidR="00074A61" w:rsidRDefault="00074A61" w:rsidP="003B7C20">
      <w:pPr>
        <w:spacing w:after="0" w:line="240" w:lineRule="auto"/>
      </w:pPr>
      <w:r>
        <w:separator/>
      </w:r>
    </w:p>
  </w:endnote>
  <w:endnote w:type="continuationSeparator" w:id="0">
    <w:p w14:paraId="61962904" w14:textId="77777777" w:rsidR="00074A61" w:rsidRDefault="00074A61" w:rsidP="003B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33BF8" w14:textId="77777777" w:rsidR="00074A61" w:rsidRDefault="00074A61" w:rsidP="003B7C20">
      <w:pPr>
        <w:spacing w:after="0" w:line="240" w:lineRule="auto"/>
      </w:pPr>
      <w:r>
        <w:separator/>
      </w:r>
    </w:p>
  </w:footnote>
  <w:footnote w:type="continuationSeparator" w:id="0">
    <w:p w14:paraId="4CFD266B" w14:textId="77777777" w:rsidR="00074A61" w:rsidRDefault="00074A61" w:rsidP="003B7C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0B"/>
    <w:rsid w:val="00074A61"/>
    <w:rsid w:val="001E110B"/>
    <w:rsid w:val="003B7C20"/>
    <w:rsid w:val="00710854"/>
    <w:rsid w:val="00813F45"/>
    <w:rsid w:val="00FE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4E28A4D-3B35-4B84-B2C3-AFF9F7C4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C20"/>
    <w:pPr>
      <w:spacing w:line="320" w:lineRule="auto"/>
      <w:jc w:val="both"/>
    </w:pPr>
    <w:rPr>
      <w:rFonts w:ascii="Times New Roman" w:eastAsia="Times New Roman" w:hAnsi="Times New Roman" w:cs="Times New Roman"/>
      <w:b w:val="0"/>
      <w:color w:val="000000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340B"/>
    <w:pPr>
      <w:keepNext/>
      <w:keepLines/>
      <w:widowControl w:val="0"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340B"/>
    <w:pPr>
      <w:keepNext/>
      <w:keepLines/>
      <w:widowControl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E340B"/>
    <w:pPr>
      <w:keepNext/>
      <w:keepLines/>
      <w:widowControl w:val="0"/>
      <w:spacing w:before="160" w:after="80" w:line="278" w:lineRule="auto"/>
      <w:jc w:val="left"/>
      <w:outlineLvl w:val="2"/>
    </w:pPr>
    <w:rPr>
      <w:rFonts w:ascii="Times New Roman" w:hAnsi="Times New Roman" w:eastAsia="Times New Roman" w:cs="Times New Roman"/>
      <w:b/>
      <w:color w:val="000000"/>
      <w:kern w:val="2"/>
      <w:sz w:val="26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340B"/>
    <w:pPr>
      <w:keepNext/>
      <w:keepLines/>
      <w:widowControl w:val="0"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340B"/>
    <w:pPr>
      <w:keepNext/>
      <w:keepLines/>
      <w:widowControl w:val="0"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340B"/>
    <w:pPr>
      <w:keepNext/>
      <w:keepLines/>
      <w:widowControl w:val="0"/>
      <w:spacing w:before="40" w:after="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340B"/>
    <w:pPr>
      <w:keepNext/>
      <w:keepLines/>
      <w:widowControl w:val="0"/>
      <w:spacing w:before="40" w:after="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340B"/>
    <w:pPr>
      <w:keepNext/>
      <w:keepLines/>
      <w:widowControl w:val="0"/>
      <w:spacing w:after="0"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340B"/>
    <w:pPr>
      <w:keepNext/>
      <w:keepLines/>
      <w:widowControl w:val="0"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E340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E3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FE3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E340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E340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E340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E340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E340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E340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E340B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E3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340B"/>
    <w:pPr>
      <w:widowControl w:val="0"/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E34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340B"/>
    <w:pPr>
      <w:widowControl w:val="0"/>
      <w:spacing w:before="160" w:line="278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E34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340B"/>
    <w:pPr>
      <w:widowControl w:val="0"/>
      <w:spacing w:line="278" w:lineRule="auto"/>
      <w:ind w:left="720"/>
      <w:contextualSpacing/>
      <w:jc w:val="left"/>
    </w:pPr>
    <w:rPr>
      <w:rFonts w:asciiTheme="minorHAnsi" w:eastAsiaTheme="minorEastAsia" w:hAnsiTheme="minorHAnsi"/>
      <w:color w:val="auto"/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FE340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340B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E340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340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B7C20"/>
    <w:pPr>
      <w:widowControl w:val="0"/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color w:val="auto"/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3B7C2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B7C20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color w:val="auto"/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3B7C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916</Words>
  <Characters>1238</Characters>
  <Application>Microsoft Office Word</Application>
  <DocSecurity>0</DocSecurity>
  <Lines>45</Lines>
  <Paragraphs>40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Figures — English Translation</dc:title>
  <dc:subject>English translation of supplementary figure titles, legends, and results</dc:subject>
  <dc:creator/>
  <cp:keywords/>
  <dc:description/>
  <cp:lastModifiedBy/>
  <cp:revision>2</cp:revision>
  <dcterms:created xsi:type="dcterms:W3CDTF">2026-09-16T05:30:00Z</dcterms:created>
  <dcterms:modified xsi:type="dcterms:W3CDTF">2026-09-16T05:36:00Z</dcterms:modified>
  <dc:language>en-US</dc:language>
</cp:coreProperties>
</file>