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Times New Roman" w:hAnsi="Times New Roman"/>
          <w:b w:val="0"/>
          <w:color w:val="000000"/>
          <w:sz w:val="23"/>
        </w:rPr>
        <w:t>Table S3. DeLong test for pairwise comparisons of the AUC between the three models within each cohort.</w:t>
      </w:r>
    </w:p>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987"/>
        <w:gridCol w:w="1987"/>
        <w:gridCol w:w="1987"/>
        <w:gridCol w:w="1987"/>
        <w:gridCol w:w="1987"/>
      </w:tblGrid>
      <w:tr>
        <w:trPr>
          <w:tblHeader w:val="true"/>
        </w:trPr>
        <w:tc>
          <w:tcPr>
            <w:tcW w:type="dxa" w:w="2952"/>
            <w:vAlign w:val="center"/>
            <w:tcMar>
              <w:top w:w="60" w:type="dxa"/>
              <w:left w:w="58" w:type="dxa"/>
              <w:bottom w:w="60" w:type="dxa"/>
              <w:right w:w="58" w:type="dxa"/>
            </w:tcMar>
            <w:tcBorders>
              <w:top w:val="single" w:sz="12" w:space="0" w:color="000000"/>
              <w:bottom w:val="single" w:sz="6" w:space="0" w:color="000000"/>
            </w:tcBorders>
          </w:tcPr>
          <w:p>
            <w:pPr>
              <w:spacing w:before="30" w:after="30" w:line="240" w:lineRule="auto"/>
              <w:ind w:left="0"/>
              <w:jc w:val="left"/>
            </w:pPr>
            <w:r>
              <w:rPr>
                <w:rFonts w:ascii="Times New Roman" w:hAnsi="Times New Roman" w:eastAsia="宋体"/>
                <w:b w:val="0"/>
                <w:color w:val="000000"/>
                <w:sz w:val="19"/>
              </w:rPr>
              <w:t>Comparison</w:t>
            </w:r>
          </w:p>
        </w:tc>
        <w:tc>
          <w:tcPr>
            <w:tcW w:type="dxa" w:w="1584"/>
            <w:vAlign w:val="center"/>
            <w:tcMar>
              <w:top w:w="60" w:type="dxa"/>
              <w:left w:w="58" w:type="dxa"/>
              <w:bottom w:w="60" w:type="dxa"/>
              <w:right w:w="58" w:type="dxa"/>
            </w:tcMar>
            <w:tcBorders>
              <w:top w:val="single" w:sz="12" w:space="0" w:color="000000"/>
              <w:bottom w:val="single" w:sz="6" w:space="0" w:color="000000"/>
            </w:tcBorders>
          </w:tcPr>
          <w:p>
            <w:pPr>
              <w:spacing w:before="30" w:after="30" w:line="240" w:lineRule="auto"/>
              <w:ind w:left="0"/>
              <w:jc w:val="center"/>
            </w:pPr>
            <w:r>
              <w:rPr>
                <w:rFonts w:ascii="Times New Roman" w:hAnsi="Times New Roman" w:eastAsia="宋体"/>
                <w:b w:val="0"/>
                <w:color w:val="000000"/>
                <w:sz w:val="19"/>
              </w:rPr>
              <w:t>AUC of model A</w:t>
            </w:r>
          </w:p>
        </w:tc>
        <w:tc>
          <w:tcPr>
            <w:tcW w:type="dxa" w:w="1584"/>
            <w:vAlign w:val="center"/>
            <w:tcMar>
              <w:top w:w="60" w:type="dxa"/>
              <w:left w:w="58" w:type="dxa"/>
              <w:bottom w:w="60" w:type="dxa"/>
              <w:right w:w="58" w:type="dxa"/>
            </w:tcMar>
            <w:tcBorders>
              <w:top w:val="single" w:sz="12" w:space="0" w:color="000000"/>
              <w:bottom w:val="single" w:sz="6" w:space="0" w:color="000000"/>
            </w:tcBorders>
          </w:tcPr>
          <w:p>
            <w:pPr>
              <w:spacing w:before="30" w:after="30" w:line="240" w:lineRule="auto"/>
              <w:ind w:left="0"/>
              <w:jc w:val="center"/>
            </w:pPr>
            <w:r>
              <w:rPr>
                <w:rFonts w:ascii="Times New Roman" w:hAnsi="Times New Roman" w:eastAsia="宋体"/>
                <w:b w:val="0"/>
                <w:color w:val="000000"/>
                <w:sz w:val="19"/>
              </w:rPr>
              <w:t>AUC of model B</w:t>
            </w:r>
          </w:p>
        </w:tc>
        <w:tc>
          <w:tcPr>
            <w:tcW w:type="dxa" w:w="2520"/>
            <w:vAlign w:val="center"/>
            <w:tcMar>
              <w:top w:w="60" w:type="dxa"/>
              <w:left w:w="58" w:type="dxa"/>
              <w:bottom w:w="60" w:type="dxa"/>
              <w:right w:w="58" w:type="dxa"/>
            </w:tcMar>
            <w:tcBorders>
              <w:top w:val="single" w:sz="12" w:space="0" w:color="000000"/>
              <w:bottom w:val="single" w:sz="6" w:space="0" w:color="000000"/>
            </w:tcBorders>
          </w:tcPr>
          <w:p>
            <w:pPr>
              <w:spacing w:before="30" w:after="30" w:line="240" w:lineRule="auto"/>
              <w:ind w:left="0"/>
              <w:jc w:val="center"/>
            </w:pPr>
            <w:r>
              <w:rPr>
                <w:rFonts w:ascii="Times New Roman" w:hAnsi="Times New Roman" w:eastAsia="宋体"/>
                <w:b w:val="0"/>
                <w:color w:val="000000"/>
                <w:sz w:val="19"/>
              </w:rPr>
              <w:t>Difference in AUC (95% CI)</w:t>
            </w:r>
          </w:p>
        </w:tc>
        <w:tc>
          <w:tcPr>
            <w:tcW w:type="dxa" w:w="1224"/>
            <w:vAlign w:val="center"/>
            <w:tcMar>
              <w:top w:w="60" w:type="dxa"/>
              <w:left w:w="58" w:type="dxa"/>
              <w:bottom w:w="60" w:type="dxa"/>
              <w:right w:w="58" w:type="dxa"/>
            </w:tcMar>
            <w:tcBorders>
              <w:top w:val="single" w:sz="12" w:space="0" w:color="000000"/>
              <w:bottom w:val="single" w:sz="6" w:space="0" w:color="000000"/>
            </w:tcBorders>
          </w:tcPr>
          <w:p>
            <w:pPr>
              <w:spacing w:before="30" w:after="30" w:line="240" w:lineRule="auto"/>
              <w:ind w:left="0"/>
              <w:jc w:val="center"/>
            </w:pPr>
            <w:r>
              <w:rPr>
                <w:rFonts w:ascii="Times New Roman" w:hAnsi="Times New Roman" w:eastAsia="宋体"/>
                <w:b w:val="0"/>
                <w:color w:val="000000"/>
                <w:sz w:val="19"/>
              </w:rPr>
              <w:t>P value</w:t>
            </w:r>
          </w:p>
        </w:tc>
      </w:tr>
      <w:tr>
        <w:tc>
          <w:tcPr>
            <w:tcW w:type="dxa" w:w="1224"/>
            <w:gridSpan w:val="5"/>
            <w:vAlign w:val="center"/>
            <w:tcMar>
              <w:top w:w="60" w:type="dxa"/>
              <w:left w:w="58" w:type="dxa"/>
              <w:bottom w:w="60" w:type="dxa"/>
              <w:right w:w="58" w:type="dxa"/>
            </w:tcMar>
            <w:tcBorders>
              <w:top w:val="single" w:sz="4" w:space="0" w:color="A6A6A6"/>
            </w:tcBorders>
          </w:tcPr>
          <w:p>
            <w:pPr>
              <w:spacing w:before="30" w:after="30" w:line="240" w:lineRule="auto"/>
              <w:ind w:left="0"/>
              <w:jc w:val="left"/>
            </w:pPr>
            <w:r>
              <w:rPr>
                <w:rFonts w:ascii="Times New Roman" w:hAnsi="Times New Roman" w:eastAsia="宋体"/>
                <w:b w:val="0"/>
                <w:color w:val="000000"/>
                <w:sz w:val="19"/>
              </w:rPr>
              <w:t>Training cohort (n = 232, PNI-positive = 42)</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Clinical-imaging model vs Radiomics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0.721</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0.883</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-0.162 (-0.269 to -0.055)</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0.003</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Clinical-imaging model vs Multimodal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0.721</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0.906</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-0.185 (-0.268 to -0.101)</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&lt;0.001</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Radiomics model vs Multimodal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0.883</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0.906</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-0.023 (-0.061 to +0.015)</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0.239</w:t>
            </w:r>
          </w:p>
        </w:tc>
      </w:tr>
      <w:tr>
        <w:tc>
          <w:tcPr>
            <w:tcW w:type="dxa" w:w="1224"/>
            <w:gridSpan w:val="5"/>
            <w:vAlign w:val="center"/>
            <w:tcMar>
              <w:top w:w="60" w:type="dxa"/>
              <w:left w:w="58" w:type="dxa"/>
              <w:bottom w:w="60" w:type="dxa"/>
              <w:right w:w="58" w:type="dxa"/>
            </w:tcMar>
            <w:tcBorders>
              <w:top w:val="single" w:sz="4" w:space="0" w:color="A6A6A6"/>
            </w:tcBorders>
          </w:tcPr>
          <w:p>
            <w:pPr>
              <w:spacing w:before="30" w:after="30" w:line="240" w:lineRule="auto"/>
              <w:ind w:left="0"/>
              <w:jc w:val="left"/>
            </w:pPr>
            <w:r>
              <w:rPr>
                <w:rFonts w:ascii="Times New Roman" w:hAnsi="Times New Roman" w:eastAsia="宋体"/>
                <w:b w:val="0"/>
                <w:color w:val="000000"/>
                <w:sz w:val="19"/>
              </w:rPr>
              <w:t>Testing cohort (n = 99, PNI-positive = 20)</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Clinical-imaging model vs Radiomics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0.597</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0.815</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-0.217 (-0.415 to -0.019)</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0.031</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Clinical-imaging model vs Multimodal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0.597</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0.823</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-0.226 (-0.385 to -0.066)</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0.006</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Radiomics model vs Multimodal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0.815</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0.823</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-0.009 (-0.064 to +0.047)</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0.754</w:t>
            </w:r>
          </w:p>
        </w:tc>
      </w:tr>
      <w:tr>
        <w:tc>
          <w:tcPr>
            <w:tcW w:type="dxa" w:w="1224"/>
            <w:gridSpan w:val="5"/>
            <w:vAlign w:val="center"/>
            <w:tcMar>
              <w:top w:w="60" w:type="dxa"/>
              <w:left w:w="58" w:type="dxa"/>
              <w:bottom w:w="60" w:type="dxa"/>
              <w:right w:w="58" w:type="dxa"/>
            </w:tcMar>
            <w:tcBorders>
              <w:top w:val="single" w:sz="4" w:space="0" w:color="A6A6A6"/>
            </w:tcBorders>
          </w:tcPr>
          <w:p>
            <w:pPr>
              <w:spacing w:before="30" w:after="30" w:line="240" w:lineRule="auto"/>
              <w:ind w:left="0"/>
              <w:jc w:val="left"/>
            </w:pPr>
            <w:r>
              <w:rPr>
                <w:rFonts w:ascii="Times New Roman" w:hAnsi="Times New Roman" w:eastAsia="宋体"/>
                <w:b w:val="0"/>
                <w:color w:val="000000"/>
                <w:sz w:val="19"/>
              </w:rPr>
              <w:t>Validation cohort (n = 124, PNI-positive = 30)</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Clinical-imaging model vs Radiomics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0.779</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0.843</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-0.065 (-0.192 to +0.062)</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0.319</w:t>
            </w:r>
          </w:p>
        </w:tc>
      </w:tr>
      <w:tr>
        <w:tc>
          <w:tcPr>
            <w:tcW w:type="dxa" w:w="2952"/>
            <w:vAlign w:val="center"/>
            <w:tcMar>
              <w:top w:w="60" w:type="dxa"/>
              <w:left w:w="58" w:type="dxa"/>
              <w:bottom w:w="60" w:type="dxa"/>
              <w:right w:w="58" w:type="dxa"/>
            </w:tcMar>
          </w:tcPr>
          <w:p>
            <w:pPr>
              <w:spacing w:before="30" w:after="30" w:line="240" w:lineRule="auto"/>
              <w:ind w:left="144"/>
              <w:jc w:val="left"/>
            </w:pPr>
            <w:r>
              <w:rPr>
                <w:rFonts w:ascii="Times New Roman" w:hAnsi="Times New Roman" w:eastAsia="宋体"/>
                <w:b w:val="0"/>
                <w:color w:val="000000"/>
                <w:sz w:val="19"/>
              </w:rPr>
              <w:t>Clinical-imaging model vs Multimodal model</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0.779</w:t>
            </w:r>
          </w:p>
        </w:tc>
        <w:tc>
          <w:tcPr>
            <w:tcW w:type="dxa" w:w="158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0.869</w:t>
            </w:r>
          </w:p>
        </w:tc>
        <w:tc>
          <w:tcPr>
            <w:tcW w:type="dxa" w:w="2520"/>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-0.090 (-0.190 to +0.009)</w:t>
            </w:r>
          </w:p>
        </w:tc>
        <w:tc>
          <w:tcPr>
            <w:tcW w:type="dxa" w:w="1224"/>
            <w:vAlign w:val="center"/>
            <w:tcMar>
              <w:top w:w="60" w:type="dxa"/>
              <w:left w:w="58" w:type="dxa"/>
              <w:bottom w:w="60" w:type="dxa"/>
              <w:right w:w="58" w:type="dxa"/>
            </w:tcMar>
          </w:tcPr>
          <w:p>
            <w:pPr>
              <w:spacing w:before="30" w:after="30" w:line="240" w:lineRule="auto"/>
              <w:ind w:left="0"/>
              <w:jc w:val="center"/>
            </w:pPr>
            <w:r>
              <w:rPr>
                <w:rFonts w:ascii="Times New Roman" w:hAnsi="Times New Roman" w:eastAsia="宋体"/>
                <w:b w:val="0"/>
                <w:color w:val="000000"/>
                <w:sz w:val="19"/>
              </w:rPr>
              <w:t>0.075</w:t>
            </w:r>
          </w:p>
        </w:tc>
      </w:tr>
      <w:tr>
        <w:tc>
          <w:tcPr>
            <w:tcW w:type="dxa" w:w="2952"/>
            <w:vAlign w:val="center"/>
            <w:tcMar>
              <w:top w:w="60" w:type="dxa"/>
              <w:left w:w="58" w:type="dxa"/>
              <w:bottom w:w="60" w:type="dxa"/>
              <w:right w:w="58" w:type="dxa"/>
            </w:tcMar>
            <w:tcBorders>
              <w:bottom w:val="single" w:sz="12" w:space="0" w:color="000000"/>
            </w:tcBorders>
          </w:tcPr>
          <w:p>
            <w:pPr>
              <w:spacing w:before="30" w:after="30" w:line="240" w:lineRule="auto"/>
              <w:ind w:left="144"/>
              <w:jc w:val="left"/>
            </w:pPr>
            <w:r>
              <w:rPr>
                <w:rFonts w:ascii="Times New Roman" w:hAnsi="Times New Roman" w:eastAsia="宋体"/>
                <w:b w:val="0"/>
                <w:color w:val="000000"/>
                <w:sz w:val="19"/>
              </w:rPr>
              <w:t>Radiomics model vs Multimodal model</w:t>
            </w:r>
          </w:p>
        </w:tc>
        <w:tc>
          <w:tcPr>
            <w:tcW w:type="dxa" w:w="1584"/>
            <w:vAlign w:val="center"/>
            <w:tcMar>
              <w:top w:w="60" w:type="dxa"/>
              <w:left w:w="58" w:type="dxa"/>
              <w:bottom w:w="60" w:type="dxa"/>
              <w:right w:w="58" w:type="dxa"/>
            </w:tcMar>
            <w:tcBorders>
              <w:bottom w:val="single" w:sz="12" w:space="0" w:color="000000"/>
            </w:tcBorders>
          </w:tcPr>
          <w:p>
            <w:pPr>
              <w:spacing w:before="30" w:after="30" w:line="240" w:lineRule="auto"/>
              <w:ind w:left="0"/>
              <w:jc w:val="center"/>
            </w:pPr>
            <w:r>
              <w:rPr>
                <w:rFonts w:ascii="Times New Roman" w:hAnsi="Times New Roman" w:eastAsia="宋体"/>
                <w:b w:val="0"/>
                <w:color w:val="000000"/>
                <w:sz w:val="19"/>
              </w:rPr>
              <w:t>0.843</w:t>
            </w:r>
          </w:p>
        </w:tc>
        <w:tc>
          <w:tcPr>
            <w:tcW w:type="dxa" w:w="1584"/>
            <w:vAlign w:val="center"/>
            <w:tcMar>
              <w:top w:w="60" w:type="dxa"/>
              <w:left w:w="58" w:type="dxa"/>
              <w:bottom w:w="60" w:type="dxa"/>
              <w:right w:w="58" w:type="dxa"/>
            </w:tcMar>
            <w:tcBorders>
              <w:bottom w:val="single" w:sz="12" w:space="0" w:color="000000"/>
            </w:tcBorders>
          </w:tcPr>
          <w:p>
            <w:pPr>
              <w:spacing w:before="30" w:after="30" w:line="240" w:lineRule="auto"/>
              <w:ind w:left="0"/>
              <w:jc w:val="center"/>
            </w:pPr>
            <w:r>
              <w:rPr>
                <w:rFonts w:ascii="Times New Roman" w:hAnsi="Times New Roman" w:eastAsia="宋体"/>
                <w:b w:val="0"/>
                <w:color w:val="000000"/>
                <w:sz w:val="19"/>
              </w:rPr>
              <w:t>0.869</w:t>
            </w:r>
          </w:p>
        </w:tc>
        <w:tc>
          <w:tcPr>
            <w:tcW w:type="dxa" w:w="2520"/>
            <w:vAlign w:val="center"/>
            <w:tcMar>
              <w:top w:w="60" w:type="dxa"/>
              <w:left w:w="58" w:type="dxa"/>
              <w:bottom w:w="60" w:type="dxa"/>
              <w:right w:w="58" w:type="dxa"/>
            </w:tcMar>
            <w:tcBorders>
              <w:bottom w:val="single" w:sz="12" w:space="0" w:color="000000"/>
            </w:tcBorders>
          </w:tcPr>
          <w:p>
            <w:pPr>
              <w:spacing w:before="30" w:after="30" w:line="240" w:lineRule="auto"/>
              <w:ind w:left="0"/>
              <w:jc w:val="center"/>
            </w:pPr>
            <w:r>
              <w:rPr>
                <w:rFonts w:ascii="Times New Roman" w:hAnsi="Times New Roman" w:eastAsia="宋体"/>
                <w:b w:val="0"/>
                <w:color w:val="000000"/>
                <w:sz w:val="19"/>
              </w:rPr>
              <w:t>-0.026 (-0.070 to +0.018)</w:t>
            </w:r>
          </w:p>
        </w:tc>
        <w:tc>
          <w:tcPr>
            <w:tcW w:type="dxa" w:w="1224"/>
            <w:vAlign w:val="center"/>
            <w:tcMar>
              <w:top w:w="60" w:type="dxa"/>
              <w:left w:w="58" w:type="dxa"/>
              <w:bottom w:w="60" w:type="dxa"/>
              <w:right w:w="58" w:type="dxa"/>
            </w:tcMar>
            <w:tcBorders>
              <w:bottom w:val="single" w:sz="12" w:space="0" w:color="000000"/>
            </w:tcBorders>
          </w:tcPr>
          <w:p>
            <w:pPr>
              <w:spacing w:before="30" w:after="30" w:line="240" w:lineRule="auto"/>
              <w:ind w:left="0"/>
              <w:jc w:val="center"/>
            </w:pPr>
            <w:r>
              <w:rPr>
                <w:rFonts w:ascii="Times New Roman" w:hAnsi="Times New Roman" w:eastAsia="宋体"/>
                <w:b w:val="0"/>
                <w:color w:val="000000"/>
                <w:sz w:val="19"/>
              </w:rPr>
              <w:t>0.249</w:t>
            </w:r>
          </w:p>
        </w:tc>
      </w:tr>
    </w:tbl>
    <w:p>
      <w:pPr>
        <w:spacing w:before="120" w:after="200"/>
      </w:pPr>
      <w:r>
        <w:rPr>
          <w:rFonts w:ascii="Times New Roman" w:hAnsi="Times New Roman"/>
          <w:color w:val="000000"/>
          <w:sz w:val="18"/>
        </w:rPr>
        <w:t>DeLong tests for correlated receiver operating characteristic curves were used because all three models were evaluated in the same patients. Differences are expressed as the AUC of the first model minus the AUC of the second model. CI, confidence interval; PNI, perineural invasion.</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