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rFonts w:ascii="Times New Roman" w:hAnsi="Times New Roman"/>
          <w:b w:val="0"/>
          <w:color w:val="000000"/>
          <w:sz w:val="23"/>
        </w:rPr>
        <w:t>Table S2. Radiomics features included in the final model.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2484"/>
        <w:gridCol w:w="2484"/>
        <w:gridCol w:w="2484"/>
        <w:gridCol w:w="2484"/>
      </w:tblGrid>
      <w:tr>
        <w:trPr>
          <w:tblHeader w:val="true"/>
        </w:trP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Feature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Feature class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Image type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12" w:space="0" w:color="000000"/>
              <w:bottom w:val="single" w:sz="6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LASSO coefficient (per SD)</w:t>
            </w:r>
          </w:p>
        </w:tc>
      </w:tr>
      <w:tr>
        <w:tc>
          <w:tcPr>
            <w:tcW w:type="dxa" w:w="1944"/>
            <w:gridSpan w:val="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4" w:space="0" w:color="A6A6A6"/>
            </w:tcBorders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T2-weighted imaging (5 features)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wavelet_HLL_firstorder_RootMeanSquared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 HLL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+0.253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wavelet_LHL_glszm_GrayLevelNonUniformityNormalized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GLSZM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 LHL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-0.133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log_sigma_2_0_mm_3D_glszm_SizeZoneNonUniformity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GLSZM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 σ = 2.0 mm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+0.071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log_sigma_2_0_mm_3D_glcm_Correlation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GLCM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 σ = 2.0 mm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-0.068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original_shape_Sphericity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Shape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Original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-0.066</w:t>
            </w:r>
          </w:p>
        </w:tc>
      </w:tr>
      <w:tr>
        <w:tc>
          <w:tcPr>
            <w:tcW w:type="dxa" w:w="1944"/>
            <w:gridSpan w:val="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4" w:space="0" w:color="A6A6A6"/>
            </w:tcBorders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Arterial phase (4 features)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log_sigma_5_0_mm_3D_firstorder_Mean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 σ = 5.0 mm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+0.160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log_sigma_5_0_mm_3D_firstorder_90Percentile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 σ = 5.0 mm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+0.058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wavelet_HHL_firstorder_Kurtosis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 HHL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+0.049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wavelet_HHH_glcm_Idmn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GLCM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 HHH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+0.036</w:t>
            </w:r>
          </w:p>
        </w:tc>
      </w:tr>
      <w:tr>
        <w:tc>
          <w:tcPr>
            <w:tcW w:type="dxa" w:w="1944"/>
            <w:gridSpan w:val="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4" w:space="0" w:color="A6A6A6"/>
            </w:tcBorders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Portal venous phase (8 features)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wavelet_HLL_firstorder_Skewness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 HLL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+0.346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log_sigma_5_0_mm_3D_firstorder_RootMeanSquared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 σ = 5.0 mm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+0.216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wavelet_HHL_firstorder_Range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 HHL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+0.173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log_sigma_2_0_mm_3D_glszm_SmallAreaEmphasis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GLSZM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 σ = 2.0 mm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+0.137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log_sigma_5_0_mm_3D_firstorder_10Percentile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 σ = 5.0 mm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+0.135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wavelet_HLL_firstorder_Maximum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 HLL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+0.126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wavelet_LLL_firstorder_RootMeanSquared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 LLL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-0.108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wavelet_HLL_firstorder_RootMeanSquared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 HLL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+0.076</w:t>
            </w:r>
          </w:p>
        </w:tc>
      </w:tr>
      <w:tr>
        <w:tc>
          <w:tcPr>
            <w:tcW w:type="dxa" w:w="1944"/>
            <w:gridSpan w:val="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top w:val="single" w:sz="4" w:space="0" w:color="A6A6A6"/>
            </w:tcBorders>
          </w:tcPr>
          <w:p>
            <w:pPr>
              <w:spacing w:before="30" w:after="30" w:line="240" w:lineRule="auto"/>
              <w:ind w:left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Delayed phase (4 features)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log_sigma_5_0_mm_3D_firstorder_RootMeanSquared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 σ = 5.0 mm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+0.199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wavelet_LHL_firstorder_Maximum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 LHL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+0.115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wavelet_HLL_firstorder_Skewness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Wavelet HLL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+0.040</w:t>
            </w:r>
          </w:p>
        </w:tc>
      </w:tr>
      <w:tr>
        <w:tc>
          <w:tcPr>
            <w:tcW w:type="dxa" w:w="302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bottom w:val="single" w:sz="12" w:space="0" w:color="000000"/>
            </w:tcBorders>
          </w:tcPr>
          <w:p>
            <w:pPr>
              <w:spacing w:before="30" w:after="30" w:line="240" w:lineRule="auto"/>
              <w:ind w:left="144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log_sigma_2_0_mm_3D_firstorder_Skewness</w:t>
            </w:r>
          </w:p>
        </w:tc>
        <w:tc>
          <w:tcPr>
            <w:tcW w:type="dxa" w:w="1512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bottom w:val="single" w:sz="12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First-order</w:t>
            </w:r>
          </w:p>
        </w:tc>
        <w:tc>
          <w:tcPr>
            <w:tcW w:type="dxa" w:w="2160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bottom w:val="single" w:sz="12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LoG σ = 2.0 mm</w:t>
            </w:r>
          </w:p>
        </w:tc>
        <w:tc>
          <w:tcPr>
            <w:tcW w:type="dxa" w:w="1944"/>
            <w:vAlign w:val="center"/>
            <w:tcMar>
              <w:top w:w="60" w:type="dxa"/>
              <w:left w:w="58" w:type="dxa"/>
              <w:bottom w:w="60" w:type="dxa"/>
              <w:right w:w="58" w:type="dxa"/>
            </w:tcMar>
            <w:tcBorders>
              <w:bottom w:val="single" w:sz="12" w:space="0" w:color="000000"/>
            </w:tcBorders>
          </w:tcPr>
          <w:p>
            <w:pPr>
              <w:spacing w:before="30" w:after="30" w:line="240" w:lineRule="auto"/>
              <w:ind w:left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19"/>
              </w:rPr>
              <w:t>+0.012</w:t>
            </w:r>
          </w:p>
        </w:tc>
      </w:tr>
    </w:tbl>
    <w:p>
      <w:pPr>
        <w:spacing w:before="120" w:after="200"/>
      </w:pPr>
      <w:r>
        <w:rPr>
          <w:rFonts w:ascii="Times New Roman" w:hAnsi="Times New Roman"/>
          <w:color w:val="000000"/>
          <w:sz w:val="18"/>
        </w:rPr>
        <w:t>Features were selected in the training cohort (n = 232, 42 PNI-positive) separately for each phase: Mann-Whitney U test P &lt; 0.05, hierarchical clustering of correlated features (Spearman |r| &gt;= 0.9, one representative feature retained per cluster), then L1-penalized logistic regression with 10-fold cross-validation repeated five times; the 1-SE rule retained 5 features for the t2-weighted imaging, 4 features for the arterial phase, 8 features for the portal venous phase, 4 features for the delayed phase (21 in total). LASSO coefficients are the standardized coefficients at the 1-SE penalty of each phase and indicate the direction and relative weight of each feature. GLCM, gray-level co-occurrence matrix; GLSZM, gray-level size zone matrix; LASSO, least absolute shrinkage and selection operator; LoG, Laplacian of Gaussian; PNI, perineural invasion; SD, standard deviation.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