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D8207" w14:textId="77777777" w:rsidR="00D0546C" w:rsidRPr="00D0546C" w:rsidRDefault="00D0546C" w:rsidP="00D0546C">
      <w:pPr>
        <w:keepNext/>
        <w:keepLines/>
        <w:spacing w:before="480" w:after="0" w:line="240" w:lineRule="auto"/>
        <w:outlineLvl w:val="0"/>
        <w:rPr>
          <w:rFonts w:ascii="Calibri" w:eastAsia="Times New Roman" w:hAnsi="Calibri" w:cs="Times New Roman"/>
          <w:b/>
          <w:bCs/>
          <w:color w:val="4F81BD"/>
          <w:kern w:val="0"/>
          <w:sz w:val="32"/>
          <w:szCs w:val="32"/>
          <w14:ligatures w14:val="none"/>
        </w:rPr>
      </w:pPr>
      <w:bookmarkStart w:id="0" w:name="Xbe88545b47fe6542517c8db6d0fa5578abdb806"/>
      <w:bookmarkStart w:id="1" w:name="_Toc240397251"/>
      <w:r w:rsidRPr="00D0546C">
        <w:rPr>
          <w:rFonts w:ascii="Calibri" w:eastAsia="Times New Roman" w:hAnsi="Calibri" w:cs="Times New Roman"/>
          <w:b/>
          <w:bCs/>
          <w:color w:val="4F81BD"/>
          <w:kern w:val="0"/>
          <w:sz w:val="32"/>
          <w:szCs w:val="32"/>
          <w14:ligatures w14:val="none"/>
        </w:rPr>
        <w:t>Appendix B — The controlled reference dataset</w:t>
      </w:r>
      <w:bookmarkEnd w:id="1"/>
    </w:p>
    <w:p w14:paraId="72E20FBF" w14:textId="77777777" w:rsidR="00D0546C" w:rsidRPr="00D0546C" w:rsidRDefault="00D0546C" w:rsidP="00D0546C">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2" w:name="b.1-record-inventory"/>
      <w:bookmarkStart w:id="3" w:name="_Toc240397252"/>
      <w:r w:rsidRPr="00D0546C">
        <w:rPr>
          <w:rFonts w:ascii="Calibri" w:eastAsia="Times New Roman" w:hAnsi="Calibri" w:cs="Times New Roman"/>
          <w:b/>
          <w:bCs/>
          <w:color w:val="4F81BD"/>
          <w:kern w:val="0"/>
          <w:sz w:val="28"/>
          <w:szCs w:val="28"/>
          <w14:ligatures w14:val="none"/>
        </w:rPr>
        <w:t>B.1 Record inventory</w:t>
      </w:r>
      <w:bookmarkEnd w:id="3"/>
    </w:p>
    <w:p w14:paraId="6582FDFB" w14:textId="77777777" w:rsidR="00D0546C" w:rsidRPr="00D0546C" w:rsidRDefault="00D0546C" w:rsidP="00D0546C">
      <w:pPr>
        <w:spacing w:before="180" w:after="180" w:line="240" w:lineRule="auto"/>
        <w:rPr>
          <w:rFonts w:ascii="Cambria" w:eastAsia="Cambria" w:hAnsi="Cambria" w:cs="Times New Roman"/>
          <w:kern w:val="0"/>
          <w14:ligatures w14:val="none"/>
        </w:rPr>
      </w:pPr>
      <w:r w:rsidRPr="00D0546C">
        <w:rPr>
          <w:rFonts w:ascii="Cambria" w:eastAsia="Cambria" w:hAnsi="Cambria" w:cs="Times New Roman"/>
          <w:kern w:val="0"/>
          <w14:ligatures w14:val="none"/>
        </w:rPr>
        <w:t xml:space="preserve">Thirteen records </w:t>
      </w:r>
      <w:proofErr w:type="gramStart"/>
      <w:r w:rsidRPr="00D0546C">
        <w:rPr>
          <w:rFonts w:ascii="Cambria" w:eastAsia="Cambria" w:hAnsi="Cambria" w:cs="Times New Roman"/>
          <w:kern w:val="0"/>
          <w14:ligatures w14:val="none"/>
        </w:rPr>
        <w:t>converted</w:t>
      </w:r>
      <w:proofErr w:type="gramEnd"/>
      <w:r w:rsidRPr="00D0546C">
        <w:rPr>
          <w:rFonts w:ascii="Cambria" w:eastAsia="Cambria" w:hAnsi="Cambria" w:cs="Times New Roman"/>
          <w:kern w:val="0"/>
          <w14:ligatures w14:val="none"/>
        </w:rPr>
        <w:t xml:space="preserve"> from an authentic ACTD Part II (Quality) submission for a small-molecule immediate-release film-coated tablet. Each record carries YAML front matter with its identifier, ACTD section, document title and source page count, and each source page is delimited in the converted text so that any finding resolves to a page of the original submission.</w:t>
      </w:r>
    </w:p>
    <w:tbl>
      <w:tblPr>
        <w:tblStyle w:val="Table"/>
        <w:tblW w:w="5000" w:type="pct"/>
        <w:tblLook w:val="0020" w:firstRow="1" w:lastRow="0" w:firstColumn="0" w:lastColumn="0" w:noHBand="0" w:noVBand="0"/>
      </w:tblPr>
      <w:tblGrid>
        <w:gridCol w:w="1424"/>
        <w:gridCol w:w="6537"/>
        <w:gridCol w:w="1399"/>
      </w:tblGrid>
      <w:tr w:rsidR="00D0546C" w:rsidRPr="00D0546C" w14:paraId="646FA23E"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6D568017"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ACTD section</w:t>
            </w:r>
          </w:p>
        </w:tc>
        <w:tc>
          <w:tcPr>
            <w:tcW w:w="0" w:type="auto"/>
          </w:tcPr>
          <w:p w14:paraId="2A7CE080"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Record type</w:t>
            </w:r>
          </w:p>
        </w:tc>
        <w:tc>
          <w:tcPr>
            <w:tcW w:w="0" w:type="auto"/>
          </w:tcPr>
          <w:p w14:paraId="13BD68F1"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Source pages</w:t>
            </w:r>
          </w:p>
        </w:tc>
      </w:tr>
      <w:tr w:rsidR="00D0546C" w:rsidRPr="00D0546C" w14:paraId="01A988CE" w14:textId="77777777" w:rsidTr="009B3631">
        <w:tc>
          <w:tcPr>
            <w:tcW w:w="0" w:type="auto"/>
          </w:tcPr>
          <w:p w14:paraId="29B0034F"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P.2</w:t>
            </w:r>
          </w:p>
        </w:tc>
        <w:tc>
          <w:tcPr>
            <w:tcW w:w="0" w:type="auto"/>
          </w:tcPr>
          <w:p w14:paraId="607BBEEB"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Pharmaceutical development report, including microbiological attributes</w:t>
            </w:r>
          </w:p>
        </w:tc>
        <w:tc>
          <w:tcPr>
            <w:tcW w:w="0" w:type="auto"/>
          </w:tcPr>
          <w:p w14:paraId="065839AE"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28</w:t>
            </w:r>
          </w:p>
        </w:tc>
      </w:tr>
      <w:tr w:rsidR="00D0546C" w:rsidRPr="00D0546C" w14:paraId="04211F2D" w14:textId="77777777" w:rsidTr="009B3631">
        <w:tc>
          <w:tcPr>
            <w:tcW w:w="0" w:type="auto"/>
          </w:tcPr>
          <w:p w14:paraId="5FF1E9FA"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P.3.4</w:t>
            </w:r>
          </w:p>
        </w:tc>
        <w:tc>
          <w:tcPr>
            <w:tcW w:w="0" w:type="auto"/>
          </w:tcPr>
          <w:p w14:paraId="5EA9FCED"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In-process control specifications</w:t>
            </w:r>
          </w:p>
        </w:tc>
        <w:tc>
          <w:tcPr>
            <w:tcW w:w="0" w:type="auto"/>
          </w:tcPr>
          <w:p w14:paraId="3A5904FD"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1</w:t>
            </w:r>
          </w:p>
        </w:tc>
      </w:tr>
      <w:tr w:rsidR="00D0546C" w:rsidRPr="00D0546C" w14:paraId="36CD216B" w14:textId="77777777" w:rsidTr="009B3631">
        <w:tc>
          <w:tcPr>
            <w:tcW w:w="0" w:type="auto"/>
          </w:tcPr>
          <w:p w14:paraId="05B5BCD8"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P.3.5</w:t>
            </w:r>
          </w:p>
        </w:tc>
        <w:tc>
          <w:tcPr>
            <w:tcW w:w="0" w:type="auto"/>
          </w:tcPr>
          <w:p w14:paraId="281A667D"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Process validation protocol and report, three batches</w:t>
            </w:r>
          </w:p>
        </w:tc>
        <w:tc>
          <w:tcPr>
            <w:tcW w:w="0" w:type="auto"/>
          </w:tcPr>
          <w:p w14:paraId="17DA8FD8"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69</w:t>
            </w:r>
          </w:p>
        </w:tc>
      </w:tr>
      <w:tr w:rsidR="00D0546C" w:rsidRPr="00D0546C" w14:paraId="78B5465B" w14:textId="77777777" w:rsidTr="009B3631">
        <w:tc>
          <w:tcPr>
            <w:tcW w:w="0" w:type="auto"/>
          </w:tcPr>
          <w:p w14:paraId="7687D870"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P.4.1</w:t>
            </w:r>
          </w:p>
        </w:tc>
        <w:tc>
          <w:tcPr>
            <w:tcW w:w="0" w:type="auto"/>
          </w:tcPr>
          <w:p w14:paraId="54874755"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Excipient specifications, ten materials</w:t>
            </w:r>
          </w:p>
        </w:tc>
        <w:tc>
          <w:tcPr>
            <w:tcW w:w="0" w:type="auto"/>
          </w:tcPr>
          <w:p w14:paraId="64C87173"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13</w:t>
            </w:r>
          </w:p>
        </w:tc>
      </w:tr>
      <w:tr w:rsidR="00D0546C" w:rsidRPr="00D0546C" w14:paraId="47DAD897" w14:textId="77777777" w:rsidTr="009B3631">
        <w:tc>
          <w:tcPr>
            <w:tcW w:w="0" w:type="auto"/>
          </w:tcPr>
          <w:p w14:paraId="5D58FB61"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P.4.2</w:t>
            </w:r>
          </w:p>
        </w:tc>
        <w:tc>
          <w:tcPr>
            <w:tcW w:w="0" w:type="auto"/>
          </w:tcPr>
          <w:p w14:paraId="39B0AEDA"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Excipient test procedures</w:t>
            </w:r>
          </w:p>
        </w:tc>
        <w:tc>
          <w:tcPr>
            <w:tcW w:w="0" w:type="auto"/>
          </w:tcPr>
          <w:p w14:paraId="4A30A947"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64</w:t>
            </w:r>
          </w:p>
        </w:tc>
      </w:tr>
      <w:tr w:rsidR="00D0546C" w:rsidRPr="00D0546C" w14:paraId="3845C783" w14:textId="77777777" w:rsidTr="009B3631">
        <w:tc>
          <w:tcPr>
            <w:tcW w:w="0" w:type="auto"/>
          </w:tcPr>
          <w:p w14:paraId="31B403DB"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P.5.1</w:t>
            </w:r>
          </w:p>
        </w:tc>
        <w:tc>
          <w:tcPr>
            <w:tcW w:w="0" w:type="auto"/>
          </w:tcPr>
          <w:p w14:paraId="6204AAB8"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Finished-product specification</w:t>
            </w:r>
          </w:p>
        </w:tc>
        <w:tc>
          <w:tcPr>
            <w:tcW w:w="0" w:type="auto"/>
          </w:tcPr>
          <w:p w14:paraId="68163D97"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3</w:t>
            </w:r>
          </w:p>
        </w:tc>
      </w:tr>
      <w:tr w:rsidR="00D0546C" w:rsidRPr="00D0546C" w14:paraId="759DB38C" w14:textId="77777777" w:rsidTr="009B3631">
        <w:tc>
          <w:tcPr>
            <w:tcW w:w="0" w:type="auto"/>
          </w:tcPr>
          <w:p w14:paraId="6803B784"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P.5.2</w:t>
            </w:r>
          </w:p>
        </w:tc>
        <w:tc>
          <w:tcPr>
            <w:tcW w:w="0" w:type="auto"/>
          </w:tcPr>
          <w:p w14:paraId="71A4355E"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Finished-product test procedures</w:t>
            </w:r>
          </w:p>
        </w:tc>
        <w:tc>
          <w:tcPr>
            <w:tcW w:w="0" w:type="auto"/>
          </w:tcPr>
          <w:p w14:paraId="43A03F00"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18</w:t>
            </w:r>
          </w:p>
        </w:tc>
      </w:tr>
      <w:tr w:rsidR="00D0546C" w:rsidRPr="00D0546C" w14:paraId="721A7D40" w14:textId="77777777" w:rsidTr="009B3631">
        <w:tc>
          <w:tcPr>
            <w:tcW w:w="0" w:type="auto"/>
          </w:tcPr>
          <w:p w14:paraId="3DFDE5D0"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P.5.3</w:t>
            </w:r>
          </w:p>
        </w:tc>
        <w:tc>
          <w:tcPr>
            <w:tcW w:w="0" w:type="auto"/>
          </w:tcPr>
          <w:p w14:paraId="50664264"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Analytical method validation report</w:t>
            </w:r>
          </w:p>
        </w:tc>
        <w:tc>
          <w:tcPr>
            <w:tcW w:w="0" w:type="auto"/>
          </w:tcPr>
          <w:p w14:paraId="7E0DCA65"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22</w:t>
            </w:r>
          </w:p>
        </w:tc>
      </w:tr>
      <w:tr w:rsidR="00D0546C" w:rsidRPr="00D0546C" w14:paraId="4812BAFB" w14:textId="77777777" w:rsidTr="009B3631">
        <w:tc>
          <w:tcPr>
            <w:tcW w:w="0" w:type="auto"/>
          </w:tcPr>
          <w:p w14:paraId="7D43E420"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P.5.4</w:t>
            </w:r>
          </w:p>
        </w:tc>
        <w:tc>
          <w:tcPr>
            <w:tcW w:w="0" w:type="auto"/>
          </w:tcPr>
          <w:p w14:paraId="3093A4C6"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Certificates of analysis, three batches</w:t>
            </w:r>
          </w:p>
        </w:tc>
        <w:tc>
          <w:tcPr>
            <w:tcW w:w="0" w:type="auto"/>
          </w:tcPr>
          <w:p w14:paraId="2B25113A"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7</w:t>
            </w:r>
          </w:p>
        </w:tc>
      </w:tr>
      <w:tr w:rsidR="00D0546C" w:rsidRPr="00D0546C" w14:paraId="58FDB10C" w14:textId="77777777" w:rsidTr="009B3631">
        <w:tc>
          <w:tcPr>
            <w:tcW w:w="0" w:type="auto"/>
          </w:tcPr>
          <w:p w14:paraId="119C1204"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P.5.5</w:t>
            </w:r>
          </w:p>
        </w:tc>
        <w:tc>
          <w:tcPr>
            <w:tcW w:w="0" w:type="auto"/>
          </w:tcPr>
          <w:p w14:paraId="2B6BED56"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 xml:space="preserve">Impurity </w:t>
            </w:r>
            <w:proofErr w:type="spellStart"/>
            <w:r w:rsidRPr="00D0546C">
              <w:rPr>
                <w:rFonts w:ascii="Cambria" w:eastAsia="Cambria" w:hAnsi="Cambria" w:cs="Times New Roman"/>
                <w:sz w:val="16"/>
                <w:szCs w:val="16"/>
              </w:rPr>
              <w:t>characterisation</w:t>
            </w:r>
            <w:proofErr w:type="spellEnd"/>
            <w:r w:rsidRPr="00D0546C">
              <w:rPr>
                <w:rFonts w:ascii="Cambria" w:eastAsia="Cambria" w:hAnsi="Cambria" w:cs="Times New Roman"/>
                <w:sz w:val="16"/>
                <w:szCs w:val="16"/>
              </w:rPr>
              <w:t xml:space="preserve"> table</w:t>
            </w:r>
          </w:p>
        </w:tc>
        <w:tc>
          <w:tcPr>
            <w:tcW w:w="0" w:type="auto"/>
          </w:tcPr>
          <w:p w14:paraId="667CB376"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1</w:t>
            </w:r>
          </w:p>
        </w:tc>
      </w:tr>
      <w:tr w:rsidR="00D0546C" w:rsidRPr="00D0546C" w14:paraId="1ADED3AC" w14:textId="77777777" w:rsidTr="009B3631">
        <w:tc>
          <w:tcPr>
            <w:tcW w:w="0" w:type="auto"/>
          </w:tcPr>
          <w:p w14:paraId="177E0AE1"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P.6</w:t>
            </w:r>
          </w:p>
        </w:tc>
        <w:tc>
          <w:tcPr>
            <w:tcW w:w="0" w:type="auto"/>
          </w:tcPr>
          <w:p w14:paraId="59741455"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Working standard specification and certificate</w:t>
            </w:r>
          </w:p>
        </w:tc>
        <w:tc>
          <w:tcPr>
            <w:tcW w:w="0" w:type="auto"/>
          </w:tcPr>
          <w:p w14:paraId="553CDC5E"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3</w:t>
            </w:r>
          </w:p>
        </w:tc>
      </w:tr>
      <w:tr w:rsidR="00D0546C" w:rsidRPr="00D0546C" w14:paraId="11311109" w14:textId="77777777" w:rsidTr="009B3631">
        <w:tc>
          <w:tcPr>
            <w:tcW w:w="0" w:type="auto"/>
          </w:tcPr>
          <w:p w14:paraId="716B38EF"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P.8.3</w:t>
            </w:r>
          </w:p>
        </w:tc>
        <w:tc>
          <w:tcPr>
            <w:tcW w:w="0" w:type="auto"/>
          </w:tcPr>
          <w:p w14:paraId="397425A8"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Accelerated and real-time stability reports, three batches</w:t>
            </w:r>
          </w:p>
        </w:tc>
        <w:tc>
          <w:tcPr>
            <w:tcW w:w="0" w:type="auto"/>
          </w:tcPr>
          <w:p w14:paraId="37D5692F"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13</w:t>
            </w:r>
          </w:p>
        </w:tc>
      </w:tr>
      <w:tr w:rsidR="00D0546C" w:rsidRPr="00D0546C" w14:paraId="7C4A78DD" w14:textId="77777777" w:rsidTr="009B3631">
        <w:tc>
          <w:tcPr>
            <w:tcW w:w="0" w:type="auto"/>
          </w:tcPr>
          <w:p w14:paraId="22673B65"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P.9</w:t>
            </w:r>
          </w:p>
        </w:tc>
        <w:tc>
          <w:tcPr>
            <w:tcW w:w="0" w:type="auto"/>
          </w:tcPr>
          <w:p w14:paraId="6D5E6336"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Comparative dissolution profile study</w:t>
            </w:r>
          </w:p>
        </w:tc>
        <w:tc>
          <w:tcPr>
            <w:tcW w:w="0" w:type="auto"/>
          </w:tcPr>
          <w:p w14:paraId="5911006F"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sz w:val="16"/>
                <w:szCs w:val="16"/>
              </w:rPr>
              <w:t>4</w:t>
            </w:r>
          </w:p>
        </w:tc>
      </w:tr>
      <w:tr w:rsidR="00D0546C" w:rsidRPr="00D0546C" w14:paraId="544062AE" w14:textId="77777777" w:rsidTr="009B3631">
        <w:tc>
          <w:tcPr>
            <w:tcW w:w="0" w:type="auto"/>
          </w:tcPr>
          <w:p w14:paraId="500BAE9F" w14:textId="77777777" w:rsidR="00D0546C" w:rsidRPr="00D0546C" w:rsidRDefault="00D0546C" w:rsidP="00D0546C">
            <w:pPr>
              <w:spacing w:before="36" w:after="36"/>
              <w:rPr>
                <w:rFonts w:ascii="Cambria" w:eastAsia="Cambria" w:hAnsi="Cambria" w:cs="Times New Roman"/>
              </w:rPr>
            </w:pPr>
          </w:p>
        </w:tc>
        <w:tc>
          <w:tcPr>
            <w:tcW w:w="0" w:type="auto"/>
          </w:tcPr>
          <w:p w14:paraId="6B36D8CF"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b/>
                <w:bCs/>
                <w:sz w:val="16"/>
                <w:szCs w:val="16"/>
              </w:rPr>
              <w:t>Total</w:t>
            </w:r>
          </w:p>
        </w:tc>
        <w:tc>
          <w:tcPr>
            <w:tcW w:w="0" w:type="auto"/>
          </w:tcPr>
          <w:p w14:paraId="32286F3E" w14:textId="77777777" w:rsidR="00D0546C" w:rsidRPr="00D0546C" w:rsidRDefault="00D0546C" w:rsidP="00D0546C">
            <w:pPr>
              <w:spacing w:before="36" w:after="36"/>
              <w:jc w:val="right"/>
              <w:rPr>
                <w:rFonts w:ascii="Cambria" w:eastAsia="Cambria" w:hAnsi="Cambria" w:cs="Times New Roman"/>
              </w:rPr>
            </w:pPr>
            <w:r w:rsidRPr="00D0546C">
              <w:rPr>
                <w:rFonts w:ascii="Cambria" w:eastAsia="Cambria" w:hAnsi="Cambria" w:cs="Times New Roman"/>
                <w:b/>
                <w:bCs/>
                <w:sz w:val="16"/>
                <w:szCs w:val="16"/>
              </w:rPr>
              <w:t>246</w:t>
            </w:r>
          </w:p>
        </w:tc>
      </w:tr>
    </w:tbl>
    <w:p w14:paraId="4516A027" w14:textId="77777777" w:rsidR="00D0546C" w:rsidRPr="00D0546C" w:rsidRDefault="00D0546C" w:rsidP="00D0546C">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4" w:name="b.2-de-identification-token-map"/>
      <w:bookmarkStart w:id="5" w:name="_Toc240397253"/>
      <w:bookmarkEnd w:id="2"/>
      <w:r w:rsidRPr="00D0546C">
        <w:rPr>
          <w:rFonts w:ascii="Calibri" w:eastAsia="Times New Roman" w:hAnsi="Calibri" w:cs="Times New Roman"/>
          <w:b/>
          <w:bCs/>
          <w:color w:val="4F81BD"/>
          <w:kern w:val="0"/>
          <w:sz w:val="28"/>
          <w:szCs w:val="28"/>
          <w14:ligatures w14:val="none"/>
        </w:rPr>
        <w:t>B.2 De-identification token map</w:t>
      </w:r>
      <w:bookmarkEnd w:id="5"/>
    </w:p>
    <w:p w14:paraId="100AC413" w14:textId="77777777" w:rsidR="00D0546C" w:rsidRPr="00D0546C" w:rsidRDefault="00D0546C" w:rsidP="00D0546C">
      <w:pPr>
        <w:spacing w:before="180" w:after="180" w:line="240" w:lineRule="auto"/>
        <w:rPr>
          <w:rFonts w:ascii="Cambria" w:eastAsia="Cambria" w:hAnsi="Cambria" w:cs="Times New Roman"/>
          <w:kern w:val="0"/>
          <w14:ligatures w14:val="none"/>
        </w:rPr>
      </w:pPr>
      <w:r w:rsidRPr="00D0546C">
        <w:rPr>
          <w:rFonts w:ascii="Cambria" w:eastAsia="Cambria" w:hAnsi="Cambria" w:cs="Times New Roman"/>
          <w:kern w:val="0"/>
          <w14:ligatures w14:val="none"/>
        </w:rPr>
        <w:t>A fixed map applied uniformly across all thirteen documents. The key is held separately from the dataset and is not distributed with it.</w:t>
      </w:r>
    </w:p>
    <w:tbl>
      <w:tblPr>
        <w:tblStyle w:val="Table"/>
        <w:tblW w:w="5000" w:type="pct"/>
        <w:tblLook w:val="0020" w:firstRow="1" w:lastRow="0" w:firstColumn="0" w:lastColumn="0" w:noHBand="0" w:noVBand="0"/>
      </w:tblPr>
      <w:tblGrid>
        <w:gridCol w:w="1896"/>
        <w:gridCol w:w="4265"/>
        <w:gridCol w:w="3199"/>
      </w:tblGrid>
      <w:tr w:rsidR="00D0546C" w:rsidRPr="00D0546C" w14:paraId="340C15B3"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0810C075"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Category</w:t>
            </w:r>
          </w:p>
        </w:tc>
        <w:tc>
          <w:tcPr>
            <w:tcW w:w="0" w:type="auto"/>
          </w:tcPr>
          <w:p w14:paraId="05B3FAC9"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Source content replaced</w:t>
            </w:r>
          </w:p>
        </w:tc>
        <w:tc>
          <w:tcPr>
            <w:tcW w:w="0" w:type="auto"/>
          </w:tcPr>
          <w:p w14:paraId="64A89FEC"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Token</w:t>
            </w:r>
          </w:p>
        </w:tc>
      </w:tr>
      <w:tr w:rsidR="00D0546C" w:rsidRPr="00D0546C" w14:paraId="333D9149" w14:textId="77777777" w:rsidTr="009B3631">
        <w:tc>
          <w:tcPr>
            <w:tcW w:w="0" w:type="auto"/>
          </w:tcPr>
          <w:p w14:paraId="4EA93C42"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Finished product</w:t>
            </w:r>
          </w:p>
        </w:tc>
        <w:tc>
          <w:tcPr>
            <w:tcW w:w="0" w:type="auto"/>
          </w:tcPr>
          <w:p w14:paraId="4D798DB6"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Brand and generic name, all strength variants</w:t>
            </w:r>
          </w:p>
        </w:tc>
        <w:tc>
          <w:tcPr>
            <w:tcW w:w="0" w:type="auto"/>
          </w:tcPr>
          <w:p w14:paraId="4B3E61DF"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TEST PRODUCT 100 mg</w:t>
            </w:r>
          </w:p>
        </w:tc>
      </w:tr>
      <w:tr w:rsidR="00D0546C" w:rsidRPr="00D0546C" w14:paraId="227755B1" w14:textId="77777777" w:rsidTr="009B3631">
        <w:tc>
          <w:tcPr>
            <w:tcW w:w="0" w:type="auto"/>
          </w:tcPr>
          <w:p w14:paraId="5BFB7F3A"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Comparator product</w:t>
            </w:r>
          </w:p>
        </w:tc>
        <w:tc>
          <w:tcPr>
            <w:tcW w:w="0" w:type="auto"/>
          </w:tcPr>
          <w:p w14:paraId="5A4CA883"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Reference brand in the comparative dissolution study</w:t>
            </w:r>
          </w:p>
        </w:tc>
        <w:tc>
          <w:tcPr>
            <w:tcW w:w="0" w:type="auto"/>
          </w:tcPr>
          <w:p w14:paraId="49E99EA1"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REFERENCE PRODUCT 100 mg</w:t>
            </w:r>
          </w:p>
        </w:tc>
      </w:tr>
      <w:tr w:rsidR="00D0546C" w:rsidRPr="00D0546C" w14:paraId="32D448E1" w14:textId="77777777" w:rsidTr="009B3631">
        <w:tc>
          <w:tcPr>
            <w:tcW w:w="0" w:type="auto"/>
          </w:tcPr>
          <w:p w14:paraId="571F1A8D"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Active substance</w:t>
            </w:r>
          </w:p>
        </w:tc>
        <w:tc>
          <w:tcPr>
            <w:tcW w:w="0" w:type="auto"/>
          </w:tcPr>
          <w:p w14:paraId="5F4A765A"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API in every form, including molecular formula</w:t>
            </w:r>
          </w:p>
        </w:tc>
        <w:tc>
          <w:tcPr>
            <w:tcW w:w="0" w:type="auto"/>
          </w:tcPr>
          <w:p w14:paraId="46AB4073"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DRUG SUBSTANCE X</w:t>
            </w:r>
          </w:p>
        </w:tc>
      </w:tr>
      <w:tr w:rsidR="00D0546C" w:rsidRPr="00D0546C" w14:paraId="7A11C1F5" w14:textId="77777777" w:rsidTr="009B3631">
        <w:tc>
          <w:tcPr>
            <w:tcW w:w="0" w:type="auto"/>
          </w:tcPr>
          <w:p w14:paraId="14FCB60F"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Reference standards</w:t>
            </w:r>
          </w:p>
        </w:tc>
        <w:tc>
          <w:tcPr>
            <w:tcW w:w="0" w:type="auto"/>
          </w:tcPr>
          <w:p w14:paraId="3DE11A84"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Compendial and in-house working standard</w:t>
            </w:r>
          </w:p>
        </w:tc>
        <w:tc>
          <w:tcPr>
            <w:tcW w:w="0" w:type="auto"/>
          </w:tcPr>
          <w:p w14:paraId="7FC31536"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DRUG SUBSTANCE X RS</w:t>
            </w:r>
            <w:r w:rsidRPr="00D0546C">
              <w:rPr>
                <w:rFonts w:ascii="Cambria" w:eastAsia="Cambria" w:hAnsi="Cambria" w:cs="Times New Roman"/>
                <w:sz w:val="16"/>
                <w:szCs w:val="16"/>
              </w:rPr>
              <w:t xml:space="preserve">, </w:t>
            </w:r>
            <w:r w:rsidRPr="00D0546C">
              <w:rPr>
                <w:rFonts w:ascii="Consolas" w:eastAsia="Cambria" w:hAnsi="Consolas" w:cs="Times New Roman"/>
                <w:sz w:val="13"/>
                <w:szCs w:val="13"/>
              </w:rPr>
              <w:t>… WS</w:t>
            </w:r>
          </w:p>
        </w:tc>
      </w:tr>
      <w:tr w:rsidR="00D0546C" w:rsidRPr="00D0546C" w14:paraId="37A20D41" w14:textId="77777777" w:rsidTr="009B3631">
        <w:tc>
          <w:tcPr>
            <w:tcW w:w="0" w:type="auto"/>
          </w:tcPr>
          <w:p w14:paraId="164AD243"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Named impurities</w:t>
            </w:r>
          </w:p>
        </w:tc>
        <w:tc>
          <w:tcPr>
            <w:tcW w:w="0" w:type="auto"/>
          </w:tcPr>
          <w:p w14:paraId="4F710A5D"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The four specified organic impurities</w:t>
            </w:r>
          </w:p>
        </w:tc>
        <w:tc>
          <w:tcPr>
            <w:tcW w:w="0" w:type="auto"/>
          </w:tcPr>
          <w:p w14:paraId="3EA76A33"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Impurity A</w:t>
            </w:r>
            <w:r w:rsidRPr="00D0546C">
              <w:rPr>
                <w:rFonts w:ascii="Cambria" w:eastAsia="Cambria" w:hAnsi="Cambria" w:cs="Times New Roman"/>
                <w:sz w:val="16"/>
                <w:szCs w:val="16"/>
              </w:rPr>
              <w:t xml:space="preserve"> … </w:t>
            </w:r>
            <w:r w:rsidRPr="00D0546C">
              <w:rPr>
                <w:rFonts w:ascii="Consolas" w:eastAsia="Cambria" w:hAnsi="Consolas" w:cs="Times New Roman"/>
                <w:sz w:val="13"/>
                <w:szCs w:val="13"/>
              </w:rPr>
              <w:t>Impurity D</w:t>
            </w:r>
          </w:p>
        </w:tc>
      </w:tr>
      <w:tr w:rsidR="00D0546C" w:rsidRPr="00D0546C" w14:paraId="388D20E8" w14:textId="77777777" w:rsidTr="009B3631">
        <w:tc>
          <w:tcPr>
            <w:tcW w:w="0" w:type="auto"/>
          </w:tcPr>
          <w:p w14:paraId="5EE35193"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Applicant / manufacturer</w:t>
            </w:r>
          </w:p>
        </w:tc>
        <w:tc>
          <w:tcPr>
            <w:tcW w:w="0" w:type="auto"/>
          </w:tcPr>
          <w:p w14:paraId="51BD61DF"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Company name in headers, footers, certificates, letterheads</w:t>
            </w:r>
          </w:p>
        </w:tc>
        <w:tc>
          <w:tcPr>
            <w:tcW w:w="0" w:type="auto"/>
          </w:tcPr>
          <w:p w14:paraId="6960904F"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MANUFACTURER A</w:t>
            </w:r>
          </w:p>
        </w:tc>
      </w:tr>
      <w:tr w:rsidR="00D0546C" w:rsidRPr="00D0546C" w14:paraId="7C54B4C4" w14:textId="77777777" w:rsidTr="009B3631">
        <w:tc>
          <w:tcPr>
            <w:tcW w:w="0" w:type="auto"/>
          </w:tcPr>
          <w:p w14:paraId="193447F0"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Comparator manufacturer</w:t>
            </w:r>
          </w:p>
        </w:tc>
        <w:tc>
          <w:tcPr>
            <w:tcW w:w="0" w:type="auto"/>
          </w:tcPr>
          <w:p w14:paraId="05B88BFF"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Manufacturer of the reference product</w:t>
            </w:r>
          </w:p>
        </w:tc>
        <w:tc>
          <w:tcPr>
            <w:tcW w:w="0" w:type="auto"/>
          </w:tcPr>
          <w:p w14:paraId="13DF65E5"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MANUFACTURER B</w:t>
            </w:r>
          </w:p>
        </w:tc>
      </w:tr>
      <w:tr w:rsidR="00D0546C" w:rsidRPr="00D0546C" w14:paraId="567727A8" w14:textId="77777777" w:rsidTr="009B3631">
        <w:tc>
          <w:tcPr>
            <w:tcW w:w="0" w:type="auto"/>
          </w:tcPr>
          <w:p w14:paraId="58A7B458"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Site, location, country</w:t>
            </w:r>
          </w:p>
        </w:tc>
        <w:tc>
          <w:tcPr>
            <w:tcW w:w="0" w:type="auto"/>
          </w:tcPr>
          <w:p w14:paraId="34BE7899"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Plot number, industrial estate, locality, city, postcode, country</w:t>
            </w:r>
          </w:p>
        </w:tc>
        <w:tc>
          <w:tcPr>
            <w:tcW w:w="0" w:type="auto"/>
          </w:tcPr>
          <w:p w14:paraId="0A255D40"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MANUFACTURING SITE A</w:t>
            </w:r>
            <w:r w:rsidRPr="00D0546C">
              <w:rPr>
                <w:rFonts w:ascii="Cambria" w:eastAsia="Cambria" w:hAnsi="Cambria" w:cs="Times New Roman"/>
                <w:sz w:val="16"/>
                <w:szCs w:val="16"/>
              </w:rPr>
              <w:t xml:space="preserve">, </w:t>
            </w:r>
            <w:r w:rsidRPr="00D0546C">
              <w:rPr>
                <w:rFonts w:ascii="Consolas" w:eastAsia="Cambria" w:hAnsi="Consolas" w:cs="Times New Roman"/>
                <w:sz w:val="13"/>
                <w:szCs w:val="13"/>
              </w:rPr>
              <w:t>[REDACTED]</w:t>
            </w:r>
          </w:p>
        </w:tc>
      </w:tr>
      <w:tr w:rsidR="00D0546C" w:rsidRPr="00D0546C" w14:paraId="47DB07B4" w14:textId="77777777" w:rsidTr="009B3631">
        <w:tc>
          <w:tcPr>
            <w:tcW w:w="0" w:type="auto"/>
          </w:tcPr>
          <w:p w14:paraId="343935D8"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Telephone</w:t>
            </w:r>
          </w:p>
        </w:tc>
        <w:tc>
          <w:tcPr>
            <w:tcW w:w="0" w:type="auto"/>
          </w:tcPr>
          <w:p w14:paraId="11D362D5"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Site telephone numbers</w:t>
            </w:r>
          </w:p>
        </w:tc>
        <w:tc>
          <w:tcPr>
            <w:tcW w:w="0" w:type="auto"/>
          </w:tcPr>
          <w:p w14:paraId="7583442A"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[REDACTED]</w:t>
            </w:r>
          </w:p>
        </w:tc>
      </w:tr>
      <w:tr w:rsidR="00D0546C" w:rsidRPr="00D0546C" w14:paraId="7D1032D3" w14:textId="77777777" w:rsidTr="009B3631">
        <w:tc>
          <w:tcPr>
            <w:tcW w:w="0" w:type="auto"/>
          </w:tcPr>
          <w:p w14:paraId="38C35564"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Personnel</w:t>
            </w:r>
          </w:p>
        </w:tc>
        <w:tc>
          <w:tcPr>
            <w:tcW w:w="0" w:type="auto"/>
          </w:tcPr>
          <w:p w14:paraId="38AF9E5E"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Preparers, checkers, reviewers, approvers in every signature block</w:t>
            </w:r>
          </w:p>
        </w:tc>
        <w:tc>
          <w:tcPr>
            <w:tcW w:w="0" w:type="auto"/>
          </w:tcPr>
          <w:p w14:paraId="445B491A"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ANALYST-1</w:t>
            </w:r>
            <w:r w:rsidRPr="00D0546C">
              <w:rPr>
                <w:rFonts w:ascii="Cambria" w:eastAsia="Cambria" w:hAnsi="Cambria" w:cs="Times New Roman"/>
                <w:sz w:val="16"/>
                <w:szCs w:val="16"/>
              </w:rPr>
              <w:t xml:space="preserve"> … </w:t>
            </w:r>
            <w:r w:rsidRPr="00D0546C">
              <w:rPr>
                <w:rFonts w:ascii="Consolas" w:eastAsia="Cambria" w:hAnsi="Consolas" w:cs="Times New Roman"/>
                <w:sz w:val="13"/>
                <w:szCs w:val="13"/>
              </w:rPr>
              <w:t>-4</w:t>
            </w:r>
            <w:r w:rsidRPr="00D0546C">
              <w:rPr>
                <w:rFonts w:ascii="Cambria" w:eastAsia="Cambria" w:hAnsi="Cambria" w:cs="Times New Roman"/>
                <w:sz w:val="16"/>
                <w:szCs w:val="16"/>
              </w:rPr>
              <w:t xml:space="preserve">, </w:t>
            </w:r>
            <w:r w:rsidRPr="00D0546C">
              <w:rPr>
                <w:rFonts w:ascii="Consolas" w:eastAsia="Cambria" w:hAnsi="Consolas" w:cs="Times New Roman"/>
                <w:sz w:val="13"/>
                <w:szCs w:val="13"/>
              </w:rPr>
              <w:t>REVIEWER-1</w:t>
            </w:r>
            <w:r w:rsidRPr="00D0546C">
              <w:rPr>
                <w:rFonts w:ascii="Cambria" w:eastAsia="Cambria" w:hAnsi="Cambria" w:cs="Times New Roman"/>
                <w:sz w:val="16"/>
                <w:szCs w:val="16"/>
              </w:rPr>
              <w:t xml:space="preserve">, </w:t>
            </w:r>
            <w:r w:rsidRPr="00D0546C">
              <w:rPr>
                <w:rFonts w:ascii="Consolas" w:eastAsia="Cambria" w:hAnsi="Consolas" w:cs="Times New Roman"/>
                <w:sz w:val="13"/>
                <w:szCs w:val="13"/>
              </w:rPr>
              <w:t>APPROVER-1</w:t>
            </w:r>
            <w:r w:rsidRPr="00D0546C">
              <w:rPr>
                <w:rFonts w:ascii="Cambria" w:eastAsia="Cambria" w:hAnsi="Cambria" w:cs="Times New Roman"/>
                <w:sz w:val="16"/>
                <w:szCs w:val="16"/>
              </w:rPr>
              <w:t xml:space="preserve">, </w:t>
            </w:r>
            <w:r w:rsidRPr="00D0546C">
              <w:rPr>
                <w:rFonts w:ascii="Consolas" w:eastAsia="Cambria" w:hAnsi="Consolas" w:cs="Times New Roman"/>
                <w:sz w:val="13"/>
                <w:szCs w:val="13"/>
              </w:rPr>
              <w:t>-2</w:t>
            </w:r>
          </w:p>
        </w:tc>
      </w:tr>
      <w:tr w:rsidR="00D0546C" w:rsidRPr="00D0546C" w14:paraId="319AB215" w14:textId="77777777" w:rsidTr="009B3631">
        <w:tc>
          <w:tcPr>
            <w:tcW w:w="0" w:type="auto"/>
          </w:tcPr>
          <w:p w14:paraId="717AB452"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Batch numbers</w:t>
            </w:r>
          </w:p>
        </w:tc>
        <w:tc>
          <w:tcPr>
            <w:tcW w:w="0" w:type="auto"/>
          </w:tcPr>
          <w:p w14:paraId="0B64AEBF"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Three process validation batches, product-coded</w:t>
            </w:r>
          </w:p>
        </w:tc>
        <w:tc>
          <w:tcPr>
            <w:tcW w:w="0" w:type="auto"/>
          </w:tcPr>
          <w:p w14:paraId="309079BA"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PV-2317</w:t>
            </w:r>
            <w:r w:rsidRPr="00D0546C">
              <w:rPr>
                <w:rFonts w:ascii="Cambria" w:eastAsia="Cambria" w:hAnsi="Cambria" w:cs="Times New Roman"/>
                <w:sz w:val="16"/>
                <w:szCs w:val="16"/>
              </w:rPr>
              <w:t xml:space="preserve">, </w:t>
            </w:r>
            <w:r w:rsidRPr="00D0546C">
              <w:rPr>
                <w:rFonts w:ascii="Consolas" w:eastAsia="Cambria" w:hAnsi="Consolas" w:cs="Times New Roman"/>
                <w:sz w:val="13"/>
                <w:szCs w:val="13"/>
              </w:rPr>
              <w:t>PV-2318</w:t>
            </w:r>
            <w:r w:rsidRPr="00D0546C">
              <w:rPr>
                <w:rFonts w:ascii="Cambria" w:eastAsia="Cambria" w:hAnsi="Cambria" w:cs="Times New Roman"/>
                <w:sz w:val="16"/>
                <w:szCs w:val="16"/>
              </w:rPr>
              <w:t xml:space="preserve">, </w:t>
            </w:r>
            <w:r w:rsidRPr="00D0546C">
              <w:rPr>
                <w:rFonts w:ascii="Consolas" w:eastAsia="Cambria" w:hAnsi="Consolas" w:cs="Times New Roman"/>
                <w:sz w:val="13"/>
                <w:szCs w:val="13"/>
              </w:rPr>
              <w:t>PV-2319</w:t>
            </w:r>
          </w:p>
        </w:tc>
      </w:tr>
      <w:tr w:rsidR="00D0546C" w:rsidRPr="00D0546C" w14:paraId="7A322A7F" w14:textId="77777777" w:rsidTr="009B3631">
        <w:tc>
          <w:tcPr>
            <w:tcW w:w="0" w:type="auto"/>
          </w:tcPr>
          <w:p w14:paraId="16AE9D7B"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Comparator batch</w:t>
            </w:r>
          </w:p>
        </w:tc>
        <w:tc>
          <w:tcPr>
            <w:tcW w:w="0" w:type="auto"/>
          </w:tcPr>
          <w:p w14:paraId="43DC46F5"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Reference product batch</w:t>
            </w:r>
          </w:p>
        </w:tc>
        <w:tc>
          <w:tcPr>
            <w:tcW w:w="0" w:type="auto"/>
          </w:tcPr>
          <w:p w14:paraId="749B0595" w14:textId="77777777" w:rsidR="00D0546C" w:rsidRPr="00D0546C" w:rsidRDefault="00D0546C" w:rsidP="00D0546C">
            <w:pPr>
              <w:spacing w:before="36" w:after="36"/>
              <w:rPr>
                <w:rFonts w:ascii="Cambria" w:eastAsia="Cambria" w:hAnsi="Cambria" w:cs="Times New Roman"/>
              </w:rPr>
            </w:pPr>
            <w:r w:rsidRPr="00D0546C">
              <w:rPr>
                <w:rFonts w:ascii="Consolas" w:eastAsia="Cambria" w:hAnsi="Consolas" w:cs="Times New Roman"/>
                <w:sz w:val="13"/>
                <w:szCs w:val="13"/>
              </w:rPr>
              <w:t>REF-1428</w:t>
            </w:r>
          </w:p>
        </w:tc>
      </w:tr>
      <w:tr w:rsidR="00D0546C" w:rsidRPr="00D0546C" w14:paraId="150D5251" w14:textId="77777777" w:rsidTr="009B3631">
        <w:tc>
          <w:tcPr>
            <w:tcW w:w="0" w:type="auto"/>
          </w:tcPr>
          <w:p w14:paraId="719556A0"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lastRenderedPageBreak/>
              <w:t>Document numbers</w:t>
            </w:r>
          </w:p>
        </w:tc>
        <w:tc>
          <w:tcPr>
            <w:tcW w:w="0" w:type="auto"/>
          </w:tcPr>
          <w:p w14:paraId="09292825"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Report numbers embedding company or product code</w:t>
            </w:r>
          </w:p>
        </w:tc>
        <w:tc>
          <w:tcPr>
            <w:tcW w:w="0" w:type="auto"/>
          </w:tcPr>
          <w:p w14:paraId="0AF5DC33" w14:textId="77777777" w:rsidR="00D0546C" w:rsidRPr="00D0546C" w:rsidRDefault="00D0546C" w:rsidP="00D0546C">
            <w:pPr>
              <w:spacing w:before="36" w:after="36"/>
              <w:rPr>
                <w:rFonts w:ascii="Cambria" w:eastAsia="Cambria" w:hAnsi="Cambria" w:cs="Times New Roman"/>
              </w:rPr>
            </w:pPr>
            <w:r w:rsidRPr="00D0546C">
              <w:rPr>
                <w:rFonts w:ascii="Cambria" w:eastAsia="Cambria" w:hAnsi="Cambria" w:cs="Times New Roman"/>
                <w:sz w:val="16"/>
                <w:szCs w:val="16"/>
              </w:rPr>
              <w:t xml:space="preserve">Company prefix dropped; product code → </w:t>
            </w:r>
            <w:r w:rsidRPr="00D0546C">
              <w:rPr>
                <w:rFonts w:ascii="Consolas" w:eastAsia="Cambria" w:hAnsi="Consolas" w:cs="Times New Roman"/>
                <w:sz w:val="13"/>
                <w:szCs w:val="13"/>
              </w:rPr>
              <w:t>TP-100</w:t>
            </w:r>
          </w:p>
        </w:tc>
      </w:tr>
    </w:tbl>
    <w:p w14:paraId="3B1BB356" w14:textId="77777777" w:rsidR="00D0546C" w:rsidRPr="00D0546C" w:rsidRDefault="00D0546C" w:rsidP="00D0546C">
      <w:pPr>
        <w:spacing w:before="180" w:after="180" w:line="240" w:lineRule="auto"/>
        <w:rPr>
          <w:rFonts w:ascii="Cambria" w:eastAsia="Cambria" w:hAnsi="Cambria" w:cs="Times New Roman"/>
          <w:kern w:val="0"/>
          <w14:ligatures w14:val="none"/>
        </w:rPr>
      </w:pPr>
      <w:r w:rsidRPr="00D0546C">
        <w:rPr>
          <w:rFonts w:ascii="Cambria" w:eastAsia="Cambria" w:hAnsi="Cambria" w:cs="Times New Roman"/>
          <w:kern w:val="0"/>
          <w14:ligatures w14:val="none"/>
        </w:rPr>
        <w:t>Role tokens are stable across documents, so signatory-consistency relationships survive de-identification.</w:t>
      </w:r>
    </w:p>
    <w:p w14:paraId="30BBAFC7" w14:textId="77777777" w:rsidR="00D0546C" w:rsidRPr="00D0546C" w:rsidRDefault="00D0546C" w:rsidP="00D0546C">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6" w:name="b.3-what-was-preserved"/>
      <w:bookmarkStart w:id="7" w:name="_Toc240397254"/>
      <w:bookmarkEnd w:id="4"/>
      <w:r w:rsidRPr="00D0546C">
        <w:rPr>
          <w:rFonts w:ascii="Calibri" w:eastAsia="Times New Roman" w:hAnsi="Calibri" w:cs="Times New Roman"/>
          <w:b/>
          <w:bCs/>
          <w:color w:val="4F81BD"/>
          <w:kern w:val="0"/>
          <w:sz w:val="28"/>
          <w:szCs w:val="28"/>
          <w14:ligatures w14:val="none"/>
        </w:rPr>
        <w:t>B.3 What was preserved</w:t>
      </w:r>
      <w:bookmarkEnd w:id="7"/>
    </w:p>
    <w:p w14:paraId="2B532E5A" w14:textId="77777777" w:rsidR="00D0546C" w:rsidRPr="00D0546C" w:rsidRDefault="00D0546C" w:rsidP="00D0546C">
      <w:pPr>
        <w:spacing w:before="180" w:after="180" w:line="240" w:lineRule="auto"/>
        <w:rPr>
          <w:rFonts w:ascii="Cambria" w:eastAsia="Cambria" w:hAnsi="Cambria" w:cs="Times New Roman"/>
          <w:kern w:val="0"/>
          <w14:ligatures w14:val="none"/>
        </w:rPr>
      </w:pPr>
      <w:r w:rsidRPr="00D0546C">
        <w:rPr>
          <w:rFonts w:ascii="Cambria" w:eastAsia="Cambria" w:hAnsi="Cambria" w:cs="Times New Roman"/>
          <w:kern w:val="0"/>
          <w14:ligatures w14:val="none"/>
        </w:rPr>
        <w:t xml:space="preserve">Every numerical result, specification, limit and acceptance criterion; all units; all dates, including issue, effective, review, manufacture, expiry, testing and signature dates; batch sequence numbers and QC request, analytical report and STP numbers; document structure, section numbering, table layout, row order and signature blocks; compendial references and </w:t>
      </w:r>
      <w:proofErr w:type="spellStart"/>
      <w:r w:rsidRPr="00D0546C">
        <w:rPr>
          <w:rFonts w:ascii="Cambria" w:eastAsia="Cambria" w:hAnsi="Cambria" w:cs="Times New Roman"/>
          <w:kern w:val="0"/>
          <w14:ligatures w14:val="none"/>
        </w:rPr>
        <w:t>pharmacopoeial</w:t>
      </w:r>
      <w:proofErr w:type="spellEnd"/>
      <w:r w:rsidRPr="00D0546C">
        <w:rPr>
          <w:rFonts w:ascii="Cambria" w:eastAsia="Cambria" w:hAnsi="Cambria" w:cs="Times New Roman"/>
          <w:kern w:val="0"/>
          <w14:ligatures w14:val="none"/>
        </w:rPr>
        <w:t xml:space="preserve"> method text; excipient, reagent and culture-medium names; and the original wording, </w:t>
      </w:r>
      <w:r w:rsidRPr="00D0546C">
        <w:rPr>
          <w:rFonts w:ascii="Cambria" w:eastAsia="Cambria" w:hAnsi="Cambria" w:cs="Times New Roman"/>
          <w:b/>
          <w:bCs/>
          <w:kern w:val="0"/>
          <w14:ligatures w14:val="none"/>
        </w:rPr>
        <w:t>including its typographical errors and internal inconsistencies</w:t>
      </w:r>
      <w:r w:rsidRPr="00D0546C">
        <w:rPr>
          <w:rFonts w:ascii="Cambria" w:eastAsia="Cambria" w:hAnsi="Cambria" w:cs="Times New Roman"/>
          <w:kern w:val="0"/>
          <w14:ligatures w14:val="none"/>
        </w:rPr>
        <w:t>. The last of these is why the baseline census of Section 4.3 is required.</w:t>
      </w:r>
    </w:p>
    <w:p w14:paraId="3125E9FE" w14:textId="77777777" w:rsidR="00D0546C" w:rsidRPr="00D0546C" w:rsidRDefault="00D0546C" w:rsidP="00D0546C">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8" w:name="b.4-known-limitations-of-the-conversion"/>
      <w:bookmarkStart w:id="9" w:name="_Toc240397255"/>
      <w:bookmarkEnd w:id="6"/>
      <w:r w:rsidRPr="00D0546C">
        <w:rPr>
          <w:rFonts w:ascii="Calibri" w:eastAsia="Times New Roman" w:hAnsi="Calibri" w:cs="Times New Roman"/>
          <w:b/>
          <w:bCs/>
          <w:color w:val="4F81BD"/>
          <w:kern w:val="0"/>
          <w:sz w:val="28"/>
          <w:szCs w:val="28"/>
          <w14:ligatures w14:val="none"/>
        </w:rPr>
        <w:t>B.4 Known limitations of the conversion</w:t>
      </w:r>
      <w:bookmarkEnd w:id="9"/>
    </w:p>
    <w:p w14:paraId="168E9110" w14:textId="77777777" w:rsidR="00D0546C" w:rsidRPr="00D0546C" w:rsidRDefault="00D0546C" w:rsidP="00D0546C">
      <w:pPr>
        <w:spacing w:before="180" w:after="180" w:line="240" w:lineRule="auto"/>
        <w:rPr>
          <w:rFonts w:ascii="Cambria" w:eastAsia="Cambria" w:hAnsi="Cambria" w:cs="Times New Roman"/>
          <w:kern w:val="0"/>
          <w14:ligatures w14:val="none"/>
        </w:rPr>
      </w:pPr>
      <w:r w:rsidRPr="00D0546C">
        <w:rPr>
          <w:rFonts w:ascii="Cambria" w:eastAsia="Cambria" w:hAnsi="Cambria" w:cs="Times New Roman"/>
          <w:kern w:val="0"/>
          <w14:ligatures w14:val="none"/>
        </w:rPr>
        <w:t>Where a source cell spans several physical lines that cannot be aligned unambiguously across columns, the lines are joined rather than guessed at, so no row is silently misaligned. One record (P.5.2, finished-product test procedures) was converted through a layout-text path rather than the table path because its pages carry several thousand image objects each; its tabular regions are preserved as preformatted blocks with original column alignment intact, and table-structure metrics obtained on that record are not comparable with those obtained on the other twelve.</w:t>
      </w:r>
    </w:p>
    <w:bookmarkEnd w:id="0"/>
    <w:bookmarkEnd w:id="8"/>
    <w:p w14:paraId="0BA86AE5" w14:textId="77777777" w:rsidR="000B12B8" w:rsidRDefault="000B12B8"/>
    <w:sectPr w:rsidR="000B1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46C"/>
    <w:rsid w:val="00024454"/>
    <w:rsid w:val="00051484"/>
    <w:rsid w:val="000B12B8"/>
    <w:rsid w:val="00D05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5B53C"/>
  <w15:chartTrackingRefBased/>
  <w15:docId w15:val="{044E5CF6-48E7-4212-8412-3FE0A7914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4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4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4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4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4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4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4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46C"/>
    <w:rPr>
      <w:rFonts w:eastAsiaTheme="majorEastAsia" w:cstheme="majorBidi"/>
      <w:color w:val="272727" w:themeColor="text1" w:themeTint="D8"/>
    </w:rPr>
  </w:style>
  <w:style w:type="paragraph" w:styleId="Title">
    <w:name w:val="Title"/>
    <w:basedOn w:val="Normal"/>
    <w:next w:val="Normal"/>
    <w:link w:val="TitleChar"/>
    <w:uiPriority w:val="10"/>
    <w:qFormat/>
    <w:rsid w:val="00D05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46C"/>
    <w:pPr>
      <w:spacing w:before="160"/>
      <w:jc w:val="center"/>
    </w:pPr>
    <w:rPr>
      <w:i/>
      <w:iCs/>
      <w:color w:val="404040" w:themeColor="text1" w:themeTint="BF"/>
    </w:rPr>
  </w:style>
  <w:style w:type="character" w:customStyle="1" w:styleId="QuoteChar">
    <w:name w:val="Quote Char"/>
    <w:basedOn w:val="DefaultParagraphFont"/>
    <w:link w:val="Quote"/>
    <w:uiPriority w:val="29"/>
    <w:rsid w:val="00D0546C"/>
    <w:rPr>
      <w:i/>
      <w:iCs/>
      <w:color w:val="404040" w:themeColor="text1" w:themeTint="BF"/>
    </w:rPr>
  </w:style>
  <w:style w:type="paragraph" w:styleId="ListParagraph">
    <w:name w:val="List Paragraph"/>
    <w:basedOn w:val="Normal"/>
    <w:uiPriority w:val="34"/>
    <w:qFormat/>
    <w:rsid w:val="00D0546C"/>
    <w:pPr>
      <w:ind w:left="720"/>
      <w:contextualSpacing/>
    </w:pPr>
  </w:style>
  <w:style w:type="character" w:styleId="IntenseEmphasis">
    <w:name w:val="Intense Emphasis"/>
    <w:basedOn w:val="DefaultParagraphFont"/>
    <w:uiPriority w:val="21"/>
    <w:qFormat/>
    <w:rsid w:val="00D0546C"/>
    <w:rPr>
      <w:i/>
      <w:iCs/>
      <w:color w:val="0F4761" w:themeColor="accent1" w:themeShade="BF"/>
    </w:rPr>
  </w:style>
  <w:style w:type="paragraph" w:styleId="IntenseQuote">
    <w:name w:val="Intense Quote"/>
    <w:basedOn w:val="Normal"/>
    <w:next w:val="Normal"/>
    <w:link w:val="IntenseQuoteChar"/>
    <w:uiPriority w:val="30"/>
    <w:qFormat/>
    <w:rsid w:val="00D05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46C"/>
    <w:rPr>
      <w:i/>
      <w:iCs/>
      <w:color w:val="0F4761" w:themeColor="accent1" w:themeShade="BF"/>
    </w:rPr>
  </w:style>
  <w:style w:type="character" w:styleId="IntenseReference">
    <w:name w:val="Intense Reference"/>
    <w:basedOn w:val="DefaultParagraphFont"/>
    <w:uiPriority w:val="32"/>
    <w:qFormat/>
    <w:rsid w:val="00D0546C"/>
    <w:rPr>
      <w:b/>
      <w:bCs/>
      <w:smallCaps/>
      <w:color w:val="0F4761" w:themeColor="accent1" w:themeShade="BF"/>
      <w:spacing w:val="5"/>
    </w:rPr>
  </w:style>
  <w:style w:type="table" w:customStyle="1" w:styleId="Table">
    <w:name w:val="Table"/>
    <w:semiHidden/>
    <w:unhideWhenUsed/>
    <w:qFormat/>
    <w:rsid w:val="00D0546C"/>
    <w:pPr>
      <w:spacing w:after="200" w:line="240" w:lineRule="auto"/>
    </w:pPr>
    <w:rPr>
      <w:kern w:val="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3281</Characters>
  <Application>Microsoft Office Word</Application>
  <DocSecurity>0</DocSecurity>
  <Lines>27</Lines>
  <Paragraphs>7</Paragraphs>
  <ScaleCrop>false</ScaleCrop>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Vivobook</dc:creator>
  <cp:keywords/>
  <dc:description/>
  <cp:lastModifiedBy>Vivobook</cp:lastModifiedBy>
  <cp:revision>1</cp:revision>
  <dcterms:created xsi:type="dcterms:W3CDTF">2026-09-15T15:08:00Z</dcterms:created>
  <dcterms:modified xsi:type="dcterms:W3CDTF">2026-09-15T15:09:00Z</dcterms:modified>
</cp:coreProperties>
</file>