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334" w:rsidRDefault="00876692">
      <w:r>
        <w:t>Infection | Online Resource 1</w:t>
      </w:r>
    </w:p>
    <w:p w:rsidR="001A7334" w:rsidRDefault="00876692">
      <w:r>
        <w:t xml:space="preserve">The Many Faces of </w:t>
      </w:r>
      <w:r>
        <w:rPr>
          <w:i/>
        </w:rPr>
        <w:t>Salmonella</w:t>
      </w:r>
      <w:r>
        <w:t>: Atypical Extraintestinal Infections in a Tertiary Care Hospital in</w:t>
      </w:r>
    </w:p>
    <w:p w:rsidR="001A7334" w:rsidRDefault="00876692">
      <w:r>
        <w:t>Pakistan</w:t>
      </w:r>
    </w:p>
    <w:p w:rsidR="001A7334" w:rsidRDefault="00876692">
      <w:r>
        <w:t>Clinical summary table</w:t>
      </w:r>
    </w:p>
    <w:p w:rsidR="001A7334" w:rsidRPr="00B72667" w:rsidRDefault="00876692">
      <w:pPr>
        <w:rPr>
          <w:vertAlign w:val="superscript"/>
        </w:rPr>
      </w:pPr>
      <w:r>
        <w:t xml:space="preserve">Muhammad Shabir¹˒², Faiza Zaheer¹˒², Faisal Hanif¹˒², Ibrar Hussain³, Muhammad Huzifa⁴, </w:t>
      </w:r>
      <w:proofErr w:type="spellStart"/>
      <w:r>
        <w:t>Taimoor</w:t>
      </w:r>
      <w:proofErr w:type="spellEnd"/>
      <w:r>
        <w:t xml:space="preserve"> </w:t>
      </w:r>
      <w:proofErr w:type="spellStart"/>
      <w:r>
        <w:t>Shahzad</w:t>
      </w:r>
      <w:proofErr w:type="spellEnd"/>
      <w:r>
        <w:t xml:space="preserve">⁵, </w:t>
      </w:r>
      <w:proofErr w:type="spellStart"/>
      <w:r>
        <w:t>Yumna</w:t>
      </w:r>
      <w:proofErr w:type="spellEnd"/>
      <w:r>
        <w:t xml:space="preserve"> Rubab¹˒²</w:t>
      </w:r>
      <w:r w:rsidR="00B72667">
        <w:t xml:space="preserve"> Amir Afzal khan</w:t>
      </w:r>
      <w:r w:rsidR="00B72667">
        <w:rPr>
          <w:vertAlign w:val="superscript"/>
        </w:rPr>
        <w:t>6</w:t>
      </w:r>
      <w:r w:rsidR="00B72667">
        <w:t>,Waqar Ahmad</w:t>
      </w:r>
      <w:r w:rsidR="00B72667">
        <w:rPr>
          <w:vertAlign w:val="superscript"/>
        </w:rPr>
        <w:t>6</w:t>
      </w:r>
    </w:p>
    <w:p w:rsidR="001A7334" w:rsidRDefault="00876692">
      <w:r>
        <w:t>1. Armed Forces Institute of Pathology (AFIP), Rawalpindi, Pakistan</w:t>
      </w:r>
    </w:p>
    <w:p w:rsidR="001A7334" w:rsidRDefault="00876692">
      <w:r>
        <w:t>2. Combined Military Hospital (CMH), Rawalpindi, Pakistan</w:t>
      </w:r>
    </w:p>
    <w:p w:rsidR="001A7334" w:rsidRDefault="00876692">
      <w:r>
        <w:t>3. Pak Emirates Military Hospital (PEMH), Rawalpindi, Pakistan</w:t>
      </w:r>
    </w:p>
    <w:p w:rsidR="001A7334" w:rsidRDefault="00876692">
      <w:r>
        <w:t>4. National Institute of Health (NIH), Islamabad, Pakistan</w:t>
      </w:r>
    </w:p>
    <w:p w:rsidR="001A7334" w:rsidRDefault="00876692">
      <w:r>
        <w:t xml:space="preserve">5. Bacha Khan Medical Complex, </w:t>
      </w:r>
      <w:proofErr w:type="spellStart"/>
      <w:r>
        <w:t>Swabi</w:t>
      </w:r>
      <w:proofErr w:type="spellEnd"/>
      <w:r>
        <w:t>, Pakistan</w:t>
      </w:r>
    </w:p>
    <w:p w:rsidR="00B72667" w:rsidRDefault="00B72667">
      <w:r>
        <w:t>6.Riphah International University,Rawalpindi</w:t>
      </w:r>
      <w:bookmarkStart w:id="0" w:name="_GoBack"/>
      <w:bookmarkEnd w:id="0"/>
    </w:p>
    <w:p w:rsidR="001A7334" w:rsidRDefault="00876692">
      <w:r>
        <w:t>Corresponding author: Muhammad Shabir</w:t>
      </w:r>
    </w:p>
    <w:p w:rsidR="001A7334" w:rsidRDefault="00876692">
      <w:r>
        <w:t>Department of Microbiology, Armed Forces Institute of Pathology (AFIP), Rawalpindi, Pakistan</w:t>
      </w:r>
    </w:p>
    <w:p w:rsidR="001A7334" w:rsidRDefault="00876692">
      <w:r>
        <w:t>Email: mshabbir034519@gmail.com</w:t>
      </w:r>
    </w:p>
    <w:p w:rsidR="001A7334" w:rsidRDefault="00876692">
      <w:r>
        <w:t>Postal address: Tameez-ud-Din Road, CMH Complex, Rawalpindi Cantt, Pakistan</w:t>
      </w:r>
    </w:p>
    <w:p w:rsidR="001A7334" w:rsidRDefault="00876692">
      <w:r>
        <w:br w:type="page"/>
      </w:r>
    </w:p>
    <w:p w:rsidR="001A7334" w:rsidRDefault="00876692">
      <w:pPr>
        <w:pStyle w:val="Heading1"/>
      </w:pPr>
      <w:r>
        <w:lastRenderedPageBreak/>
        <w:t>Online Resource 1</w:t>
      </w:r>
    </w:p>
    <w:p w:rsidR="001A7334" w:rsidRDefault="00876692">
      <w:r>
        <w:t xml:space="preserve">Table 1. Clinical features, specimens, microbiological findings, treatment and outcomes of five patients with extraintestinal </w:t>
      </w:r>
      <w:r>
        <w:rPr>
          <w:i/>
        </w:rPr>
        <w:t>Salmonella</w:t>
      </w:r>
      <w:r>
        <w:t xml:space="preserve"> Typhi infection.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2088"/>
        <w:gridCol w:w="1800"/>
        <w:gridCol w:w="2952"/>
        <w:gridCol w:w="3168"/>
        <w:gridCol w:w="2448"/>
      </w:tblGrid>
      <w:tr w:rsidR="001A7334">
        <w:trPr>
          <w:tblHeader/>
        </w:trPr>
        <w:tc>
          <w:tcPr>
            <w:tcW w:w="648" w:type="dxa"/>
          </w:tcPr>
          <w:p w:rsidR="001A7334" w:rsidRDefault="00876692">
            <w:r>
              <w:rPr>
                <w:b/>
                <w:sz w:val="17"/>
              </w:rPr>
              <w:t>Case</w:t>
            </w:r>
          </w:p>
        </w:tc>
        <w:tc>
          <w:tcPr>
            <w:tcW w:w="1008" w:type="dxa"/>
          </w:tcPr>
          <w:p w:rsidR="001A7334" w:rsidRDefault="00876692">
            <w:r>
              <w:rPr>
                <w:b/>
                <w:sz w:val="17"/>
              </w:rPr>
              <w:t>Age / sex</w:t>
            </w:r>
          </w:p>
        </w:tc>
        <w:tc>
          <w:tcPr>
            <w:tcW w:w="2088" w:type="dxa"/>
          </w:tcPr>
          <w:p w:rsidR="001A7334" w:rsidRDefault="00876692">
            <w:r>
              <w:rPr>
                <w:b/>
                <w:sz w:val="17"/>
              </w:rPr>
              <w:t>Clinical presentation</w:t>
            </w:r>
          </w:p>
        </w:tc>
        <w:tc>
          <w:tcPr>
            <w:tcW w:w="1800" w:type="dxa"/>
          </w:tcPr>
          <w:p w:rsidR="001A7334" w:rsidRDefault="00876692">
            <w:r>
              <w:rPr>
                <w:b/>
                <w:sz w:val="17"/>
              </w:rPr>
              <w:t>Specimens received / examined</w:t>
            </w:r>
          </w:p>
        </w:tc>
        <w:tc>
          <w:tcPr>
            <w:tcW w:w="2952" w:type="dxa"/>
          </w:tcPr>
          <w:p w:rsidR="001A7334" w:rsidRDefault="00876692">
            <w:r>
              <w:rPr>
                <w:b/>
                <w:sz w:val="17"/>
              </w:rPr>
              <w:t>Culture and antimicrobial susceptibility</w:t>
            </w:r>
          </w:p>
        </w:tc>
        <w:tc>
          <w:tcPr>
            <w:tcW w:w="3168" w:type="dxa"/>
          </w:tcPr>
          <w:p w:rsidR="001A7334" w:rsidRDefault="00876692">
            <w:r>
              <w:rPr>
                <w:b/>
                <w:sz w:val="17"/>
              </w:rPr>
              <w:t>Treatment and source control</w:t>
            </w:r>
          </w:p>
        </w:tc>
        <w:tc>
          <w:tcPr>
            <w:tcW w:w="2448" w:type="dxa"/>
          </w:tcPr>
          <w:p w:rsidR="001A7334" w:rsidRDefault="00876692">
            <w:r>
              <w:rPr>
                <w:b/>
                <w:sz w:val="17"/>
              </w:rPr>
              <w:t>Outcome / unresolved details</w:t>
            </w:r>
          </w:p>
        </w:tc>
      </w:tr>
      <w:tr w:rsidR="001A7334">
        <w:tc>
          <w:tcPr>
            <w:tcW w:w="6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1</w:t>
            </w:r>
          </w:p>
        </w:tc>
        <w:tc>
          <w:tcPr>
            <w:tcW w:w="100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5-month-old boy</w:t>
            </w:r>
          </w:p>
        </w:tc>
        <w:tc>
          <w:tcPr>
            <w:tcW w:w="208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Meningitis with seizures; encephalomalacia, subdural hygroma and communicating hydrocephalus.</w:t>
            </w:r>
          </w:p>
        </w:tc>
        <w:tc>
          <w:tcPr>
            <w:tcW w:w="1800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Cerebrospinal fluid (CSF).</w:t>
            </w:r>
          </w:p>
        </w:tc>
        <w:tc>
          <w:tcPr>
            <w:tcW w:w="295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B567AF" w:rsidRDefault="00876692" w:rsidP="00B567AF">
            <w:pPr>
              <w:rPr>
                <w:sz w:val="17"/>
              </w:rPr>
            </w:pPr>
            <w:r>
              <w:rPr>
                <w:sz w:val="17"/>
              </w:rPr>
              <w:t xml:space="preserve">CSF culture: </w:t>
            </w:r>
            <w:r>
              <w:rPr>
                <w:i/>
                <w:sz w:val="17"/>
              </w:rPr>
              <w:t>S.</w:t>
            </w:r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Typhi</w:t>
            </w:r>
            <w:proofErr w:type="spellEnd"/>
            <w:r>
              <w:rPr>
                <w:sz w:val="17"/>
              </w:rPr>
              <w:t>.</w:t>
            </w:r>
          </w:p>
          <w:p w:rsidR="001A7334" w:rsidRDefault="00876692" w:rsidP="00B567AF">
            <w:pPr>
              <w:rPr>
                <w:sz w:val="17"/>
              </w:rPr>
            </w:pPr>
            <w:r>
              <w:rPr>
                <w:sz w:val="17"/>
              </w:rPr>
              <w:t xml:space="preserve"> Susceptible: </w:t>
            </w:r>
            <w:r w:rsidR="00B567AF">
              <w:rPr>
                <w:sz w:val="17"/>
              </w:rPr>
              <w:t xml:space="preserve">ampicillin, </w:t>
            </w:r>
            <w:proofErr w:type="spellStart"/>
            <w:r w:rsidR="00B567AF">
              <w:rPr>
                <w:sz w:val="17"/>
              </w:rPr>
              <w:t>cotrimoxazole</w:t>
            </w:r>
            <w:proofErr w:type="spellEnd"/>
            <w:r w:rsidR="00B567AF">
              <w:rPr>
                <w:sz w:val="17"/>
              </w:rPr>
              <w:t xml:space="preserve">, ceftriaxone,  </w:t>
            </w:r>
            <w:proofErr w:type="spellStart"/>
            <w:r w:rsidR="00B567AF">
              <w:rPr>
                <w:sz w:val="17"/>
              </w:rPr>
              <w:t>meropenem</w:t>
            </w:r>
            <w:proofErr w:type="spellEnd"/>
          </w:p>
          <w:p w:rsidR="00B567AF" w:rsidRDefault="00B567AF" w:rsidP="00B567AF">
            <w:r>
              <w:rPr>
                <w:sz w:val="17"/>
              </w:rPr>
              <w:t>Resistant: ciprofloxacin and levofloxacin.</w:t>
            </w:r>
          </w:p>
        </w:tc>
        <w:tc>
          <w:tcPr>
            <w:tcW w:w="316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Inadequate response to ceftriaxone prompted meropenem (48 days). Vancomycin (~25 days) and initial acyclovir were also given. Empirical antituberculous treatment followed persistent CSF abnormalities.</w:t>
            </w:r>
          </w:p>
        </w:tc>
        <w:tc>
          <w:tcPr>
            <w:tcW w:w="24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Stable and afebrile at follow-up; persistent CSF abnormalities. Neurological follow-up advised.</w:t>
            </w:r>
          </w:p>
        </w:tc>
      </w:tr>
      <w:tr w:rsidR="001A7334">
        <w:tc>
          <w:tcPr>
            <w:tcW w:w="6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2</w:t>
            </w:r>
          </w:p>
        </w:tc>
        <w:tc>
          <w:tcPr>
            <w:tcW w:w="100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35-year-old woman</w:t>
            </w:r>
          </w:p>
        </w:tc>
        <w:tc>
          <w:tcPr>
            <w:tcW w:w="208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Thyroid abscess with painful swelling, dysphagia and intermittent dyspnoea.</w:t>
            </w:r>
          </w:p>
        </w:tc>
        <w:tc>
          <w:tcPr>
            <w:tcW w:w="1800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Thyroid abscess aspirate for culture; thyroid tissue for histopathology.</w:t>
            </w:r>
          </w:p>
        </w:tc>
        <w:tc>
          <w:tcPr>
            <w:tcW w:w="295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B567AF" w:rsidRDefault="00876692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Thyroid aspirate: </w:t>
            </w:r>
            <w:r>
              <w:rPr>
                <w:i/>
                <w:sz w:val="17"/>
              </w:rPr>
              <w:t>S.</w:t>
            </w:r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Typhi</w:t>
            </w:r>
            <w:proofErr w:type="spellEnd"/>
            <w:r>
              <w:rPr>
                <w:sz w:val="17"/>
              </w:rPr>
              <w:t>.</w:t>
            </w:r>
          </w:p>
          <w:p w:rsidR="001A7334" w:rsidRDefault="00876692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Susceptible: </w:t>
            </w:r>
            <w:proofErr w:type="spellStart"/>
            <w:r>
              <w:rPr>
                <w:sz w:val="17"/>
              </w:rPr>
              <w:t>meropenem</w:t>
            </w:r>
            <w:proofErr w:type="spellEnd"/>
            <w:r>
              <w:rPr>
                <w:sz w:val="17"/>
              </w:rPr>
              <w:t>, azithromycin.</w:t>
            </w:r>
          </w:p>
          <w:p w:rsidR="00B567AF" w:rsidRDefault="00B567AF" w:rsidP="00B567AF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Resistant: ampicillin, ceftriaxone, </w:t>
            </w:r>
            <w:proofErr w:type="spellStart"/>
            <w:r>
              <w:rPr>
                <w:sz w:val="17"/>
              </w:rPr>
              <w:t>cotrimoxazole</w:t>
            </w:r>
            <w:proofErr w:type="spellEnd"/>
            <w:r>
              <w:rPr>
                <w:sz w:val="17"/>
              </w:rPr>
              <w:t xml:space="preserve">. Intermediate: ciprofloxacin, levofloxacin. </w:t>
            </w:r>
          </w:p>
          <w:p w:rsidR="00B567AF" w:rsidRDefault="00B567AF">
            <w:pPr>
              <w:spacing w:after="60"/>
            </w:pPr>
          </w:p>
        </w:tc>
        <w:tc>
          <w:tcPr>
            <w:tcW w:w="316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Partial thyroidectomy for pressure symptoms and inadequate drainage; susceptibility-guided antibiotics. Histology showed infection without malignancy.</w:t>
            </w:r>
          </w:p>
        </w:tc>
        <w:tc>
          <w:tcPr>
            <w:tcW w:w="24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Clinical improvement; antibiotic regimen and follow-up interval not documented.</w:t>
            </w:r>
          </w:p>
        </w:tc>
      </w:tr>
      <w:tr w:rsidR="001A7334">
        <w:tc>
          <w:tcPr>
            <w:tcW w:w="6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3</w:t>
            </w:r>
          </w:p>
        </w:tc>
        <w:tc>
          <w:tcPr>
            <w:tcW w:w="100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15-day-old boy</w:t>
            </w:r>
          </w:p>
        </w:tc>
        <w:tc>
          <w:tcPr>
            <w:tcW w:w="208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Neonatal meningitis with fever, poor feeding, lethargy and watery stools.</w:t>
            </w:r>
          </w:p>
        </w:tc>
        <w:tc>
          <w:tcPr>
            <w:tcW w:w="1800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CSF for examination, culture and HSV PCR.</w:t>
            </w:r>
          </w:p>
        </w:tc>
        <w:tc>
          <w:tcPr>
            <w:tcW w:w="295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B567AF" w:rsidRDefault="00876692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CSF culture: </w:t>
            </w:r>
            <w:r>
              <w:rPr>
                <w:i/>
                <w:sz w:val="17"/>
              </w:rPr>
              <w:t>S.</w:t>
            </w:r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Typhi</w:t>
            </w:r>
            <w:proofErr w:type="spellEnd"/>
            <w:r>
              <w:rPr>
                <w:sz w:val="17"/>
              </w:rPr>
              <w:t>.</w:t>
            </w:r>
          </w:p>
          <w:p w:rsidR="001A7334" w:rsidRDefault="00876692">
            <w:pPr>
              <w:spacing w:after="60"/>
            </w:pPr>
            <w:r>
              <w:rPr>
                <w:sz w:val="17"/>
              </w:rPr>
              <w:t xml:space="preserve"> Susceptible: ampicillin, cotrimoxazole, ceftriaxone, cefotaxime, meropenem. Resistant: ciprofloxacin, levofloxacin. CSF HSV-1/2 PCR negative.</w:t>
            </w:r>
          </w:p>
        </w:tc>
        <w:tc>
          <w:tcPr>
            <w:tcW w:w="316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Treatment included meropenem, vancomycin, initial acyclovir, ampicillin and cefotaxime; levetiracetam was given. Vancomycin and acyclovir were discontinued.</w:t>
            </w:r>
          </w:p>
        </w:tc>
        <w:tc>
          <w:tcPr>
            <w:tcW w:w="24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Improved after approximately one month of treatment; well at follow-up.</w:t>
            </w:r>
          </w:p>
        </w:tc>
      </w:tr>
      <w:tr w:rsidR="001A7334">
        <w:tc>
          <w:tcPr>
            <w:tcW w:w="6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4</w:t>
            </w:r>
          </w:p>
        </w:tc>
        <w:tc>
          <w:tcPr>
            <w:tcW w:w="100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22-year-old man</w:t>
            </w:r>
          </w:p>
        </w:tc>
        <w:tc>
          <w:tcPr>
            <w:tcW w:w="208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L3–L4 spondylodiscitis with left psoas abscess (4.0 × 3.1 × 5.6 cm); severe back pain and difficulty walking.</w:t>
            </w:r>
          </w:p>
        </w:tc>
        <w:tc>
          <w:tcPr>
            <w:tcW w:w="1800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Tissue from the psoas lesion for culture; left psoas biopsy for histopathology.</w:t>
            </w:r>
          </w:p>
        </w:tc>
        <w:tc>
          <w:tcPr>
            <w:tcW w:w="295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B567AF" w:rsidRDefault="00876692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Tissue culture: </w:t>
            </w:r>
            <w:r>
              <w:rPr>
                <w:i/>
                <w:sz w:val="17"/>
              </w:rPr>
              <w:t>S.</w:t>
            </w:r>
            <w:r>
              <w:rPr>
                <w:sz w:val="17"/>
              </w:rPr>
              <w:t xml:space="preserve"> Typhi. </w:t>
            </w:r>
          </w:p>
          <w:p w:rsidR="00B567AF" w:rsidRDefault="00876692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Susceptible: ampicillin, ceftriaxone, azithromycin, meropenem. </w:t>
            </w:r>
          </w:p>
          <w:p w:rsidR="00B567AF" w:rsidRDefault="00876692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Intermediate: </w:t>
            </w:r>
          </w:p>
          <w:p w:rsidR="00B567AF" w:rsidRDefault="00876692">
            <w:pPr>
              <w:spacing w:after="60"/>
              <w:rPr>
                <w:sz w:val="17"/>
              </w:rPr>
            </w:pPr>
            <w:proofErr w:type="gramStart"/>
            <w:r>
              <w:rPr>
                <w:sz w:val="17"/>
              </w:rPr>
              <w:t>ciprofloxacin</w:t>
            </w:r>
            <w:proofErr w:type="gram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cotrimoxazole</w:t>
            </w:r>
            <w:proofErr w:type="spellEnd"/>
            <w:r>
              <w:rPr>
                <w:sz w:val="17"/>
              </w:rPr>
              <w:t xml:space="preserve">. </w:t>
            </w:r>
          </w:p>
          <w:p w:rsidR="001A7334" w:rsidRDefault="00876692">
            <w:pPr>
              <w:spacing w:after="60"/>
            </w:pPr>
            <w:r>
              <w:rPr>
                <w:sz w:val="17"/>
              </w:rPr>
              <w:t xml:space="preserve">ZN stain, </w:t>
            </w:r>
            <w:proofErr w:type="spellStart"/>
            <w:r>
              <w:rPr>
                <w:sz w:val="17"/>
              </w:rPr>
              <w:t>GeneXpert</w:t>
            </w:r>
            <w:proofErr w:type="spellEnd"/>
            <w:r>
              <w:rPr>
                <w:sz w:val="17"/>
              </w:rPr>
              <w:t xml:space="preserve"> MTB/RIF and mycobacterial culture negative.</w:t>
            </w:r>
          </w:p>
        </w:tc>
        <w:tc>
          <w:tcPr>
            <w:tcW w:w="316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Sampling and drainage. Antituberculous treatment stopped after infectious diseases review. Ceftriaxone 2 g IV every 12 hours plus azithromycin 500 mg orally daily initiated; total antibiotic course six weeks.</w:t>
            </w:r>
          </w:p>
        </w:tc>
        <w:tc>
          <w:tcPr>
            <w:tcW w:w="24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Improvement persisted at long-term follow-up. Positive Brucella serology remained unconfirmed.</w:t>
            </w:r>
          </w:p>
        </w:tc>
      </w:tr>
      <w:tr w:rsidR="001A7334">
        <w:tc>
          <w:tcPr>
            <w:tcW w:w="6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5</w:t>
            </w:r>
          </w:p>
        </w:tc>
        <w:tc>
          <w:tcPr>
            <w:tcW w:w="100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27-year-old woman</w:t>
            </w:r>
          </w:p>
        </w:tc>
        <w:tc>
          <w:tcPr>
            <w:tcW w:w="208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Hydatid disease with pleural involvement; loculated right pleural effusion and right hepatic cyst with air locules.</w:t>
            </w:r>
          </w:p>
        </w:tc>
        <w:tc>
          <w:tcPr>
            <w:tcW w:w="1800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Pleural fluid for microscopy; excised cyst-wall tissue for culture.</w:t>
            </w:r>
          </w:p>
        </w:tc>
        <w:tc>
          <w:tcPr>
            <w:tcW w:w="295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B567AF" w:rsidRDefault="00876692">
            <w:pPr>
              <w:rPr>
                <w:sz w:val="17"/>
              </w:rPr>
            </w:pPr>
            <w:r>
              <w:rPr>
                <w:sz w:val="17"/>
              </w:rPr>
              <w:t xml:space="preserve">Pleural fluid: </w:t>
            </w:r>
            <w:r>
              <w:rPr>
                <w:i/>
                <w:sz w:val="17"/>
              </w:rPr>
              <w:t>Echinococcus</w:t>
            </w:r>
            <w:r>
              <w:rPr>
                <w:sz w:val="17"/>
              </w:rPr>
              <w:t xml:space="preserve"> hooklets. Cyst-wall culture: </w:t>
            </w:r>
            <w:r>
              <w:rPr>
                <w:i/>
                <w:sz w:val="17"/>
              </w:rPr>
              <w:t>S.</w:t>
            </w:r>
            <w:r>
              <w:rPr>
                <w:sz w:val="17"/>
              </w:rPr>
              <w:t xml:space="preserve"> Typhi. </w:t>
            </w:r>
          </w:p>
          <w:p w:rsidR="00B567AF" w:rsidRDefault="00B567AF">
            <w:pPr>
              <w:rPr>
                <w:sz w:val="17"/>
              </w:rPr>
            </w:pPr>
            <w:r>
              <w:rPr>
                <w:sz w:val="17"/>
              </w:rPr>
              <w:t xml:space="preserve">Susceptible : </w:t>
            </w:r>
            <w:proofErr w:type="spellStart"/>
            <w:r>
              <w:rPr>
                <w:sz w:val="17"/>
              </w:rPr>
              <w:t>meropenem</w:t>
            </w:r>
            <w:proofErr w:type="spellEnd"/>
            <w:r>
              <w:rPr>
                <w:sz w:val="17"/>
              </w:rPr>
              <w:t>, azithromycin</w:t>
            </w:r>
          </w:p>
          <w:p w:rsidR="00B567AF" w:rsidRDefault="00876692">
            <w:pPr>
              <w:rPr>
                <w:sz w:val="17"/>
              </w:rPr>
            </w:pPr>
            <w:r>
              <w:rPr>
                <w:sz w:val="17"/>
              </w:rPr>
              <w:t xml:space="preserve">Intermediate: </w:t>
            </w:r>
          </w:p>
          <w:p w:rsidR="00B567AF" w:rsidRDefault="00B567AF">
            <w:pPr>
              <w:rPr>
                <w:sz w:val="17"/>
              </w:rPr>
            </w:pPr>
            <w:r>
              <w:rPr>
                <w:sz w:val="17"/>
              </w:rPr>
              <w:t>C</w:t>
            </w:r>
            <w:r w:rsidR="00876692">
              <w:rPr>
                <w:sz w:val="17"/>
              </w:rPr>
              <w:t xml:space="preserve">iprofloxacin and levofloxacin. Resistant: ampicillin, ceftriaxone and cotrimoxazole. </w:t>
            </w:r>
          </w:p>
          <w:p w:rsidR="001A7334" w:rsidRDefault="00876692">
            <w:r>
              <w:rPr>
                <w:sz w:val="17"/>
              </w:rPr>
              <w:t xml:space="preserve">Blood culture and </w:t>
            </w:r>
            <w:proofErr w:type="spellStart"/>
            <w:r>
              <w:rPr>
                <w:i/>
                <w:sz w:val="17"/>
              </w:rPr>
              <w:t>Echinococcus</w:t>
            </w:r>
            <w:proofErr w:type="spellEnd"/>
            <w:r>
              <w:rPr>
                <w:sz w:val="17"/>
              </w:rPr>
              <w:t xml:space="preserve"> serology were not performed.</w:t>
            </w:r>
          </w:p>
        </w:tc>
        <w:tc>
          <w:tcPr>
            <w:tcW w:w="316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Thoracotomy, decortication and cyst excision; albendazole and meropenem.</w:t>
            </w:r>
          </w:p>
        </w:tc>
        <w:tc>
          <w:tcPr>
            <w:tcW w:w="2448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1A7334" w:rsidRDefault="00876692">
            <w:pPr>
              <w:spacing w:after="60"/>
            </w:pPr>
            <w:r>
              <w:rPr>
                <w:sz w:val="17"/>
              </w:rPr>
              <w:t>Clinical improvement; CRP fell from 198 to 14 mg/L. Long-term outcome and hepatic–thoracic continuity undocumented.</w:t>
            </w:r>
          </w:p>
        </w:tc>
      </w:tr>
    </w:tbl>
    <w:p w:rsidR="001A7334" w:rsidRDefault="00876692">
      <w:r>
        <w:t xml:space="preserve">AST, antimicrobial susceptibility testing; CSF, cerebrospinal fluid; CRP, C-reactive protein; HSV, herpes simplex virus; IV, intravenous; ZN, Ziehl–Neelsen. All five isolates were confirmed as Typhi using specific antisera. </w:t>
      </w:r>
    </w:p>
    <w:sectPr w:rsidR="001A7334" w:rsidSect="00034616">
      <w:pgSz w:w="16848" w:h="11952" w:orient="landscape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7334"/>
    <w:rsid w:val="0029639D"/>
    <w:rsid w:val="00326F90"/>
    <w:rsid w:val="00876692"/>
    <w:rsid w:val="00AA1D8D"/>
    <w:rsid w:val="00B47730"/>
    <w:rsid w:val="00B567AF"/>
    <w:rsid w:val="00B7266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E1293C0-13ED-4F2F-84A8-FCABF618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F05180-8744-49D5-B07E-7E24A822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 S</cp:lastModifiedBy>
  <cp:revision>3</cp:revision>
  <dcterms:created xsi:type="dcterms:W3CDTF">2026-10-12T03:03:00Z</dcterms:created>
  <dcterms:modified xsi:type="dcterms:W3CDTF">2026-10-12T03:52:00Z</dcterms:modified>
  <cp:category/>
</cp:coreProperties>
</file>