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F678" w14:textId="77777777" w:rsidR="00C037FE" w:rsidRPr="00B600F9" w:rsidRDefault="00000000">
      <w:pPr>
        <w:pStyle w:val="11"/>
        <w:keepNext w:val="0"/>
        <w:rPr>
          <w:rFonts w:hint="eastAsia"/>
          <w:sz w:val="21"/>
          <w:szCs w:val="21"/>
        </w:rPr>
      </w:pPr>
      <w:bookmarkStart w:id="0" w:name="supplementary-results-and-methods"/>
      <w:r w:rsidRPr="00B600F9">
        <w:rPr>
          <w:rFonts w:ascii="Arial" w:hAnsi="Arial"/>
          <w:sz w:val="21"/>
          <w:szCs w:val="21"/>
        </w:rPr>
        <w:t>Supplementary Results and Methods</w:t>
      </w:r>
    </w:p>
    <w:p w14:paraId="388746EA" w14:textId="796AB37E" w:rsidR="00B600F9" w:rsidRDefault="00000000">
      <w:pPr>
        <w:rPr>
          <w:szCs w:val="21"/>
        </w:rPr>
      </w:pPr>
      <w:r w:rsidRPr="00B600F9">
        <w:rPr>
          <w:szCs w:val="21"/>
        </w:rPr>
        <w:t>Identifying Robust Single-Cell 3D Genome Domain Boundaries with CellRoB</w:t>
      </w:r>
    </w:p>
    <w:p w14:paraId="0D74EC93" w14:textId="77777777" w:rsidR="00B600F9" w:rsidRDefault="00B600F9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13496D9A" w14:textId="1CAFA718" w:rsidR="00C037FE" w:rsidRDefault="00000000" w:rsidP="00B600F9">
      <w:pPr>
        <w:pStyle w:val="11"/>
        <w:keepNext w:val="0"/>
      </w:pPr>
      <w:bookmarkStart w:id="1" w:name="supplementary-figures"/>
      <w:bookmarkEnd w:id="0"/>
      <w:r w:rsidRPr="00B600F9">
        <w:rPr>
          <w:rFonts w:ascii="Arial" w:hAnsi="Arial"/>
          <w:sz w:val="21"/>
          <w:szCs w:val="21"/>
        </w:rPr>
        <w:lastRenderedPageBreak/>
        <w:t>Supplementary Figures</w:t>
      </w:r>
      <w:r>
        <w:rPr>
          <w:noProof/>
        </w:rPr>
        <w:drawing>
          <wp:inline distT="0" distB="0" distL="0" distR="0" wp14:anchorId="2C8048AD" wp14:editId="5070DC67">
            <wp:extent cx="5486400" cy="27962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-Fig-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E697E" w14:textId="77777777" w:rsidR="00C037FE" w:rsidRDefault="00000000">
      <w:pPr>
        <w:keepLines/>
      </w:pPr>
      <w:r>
        <w:rPr>
          <w:b/>
        </w:rPr>
        <w:t>Supplementary Fig. 1</w:t>
      </w:r>
      <w:r>
        <w:t xml:space="preserve"> | </w:t>
      </w:r>
      <w:r>
        <w:rPr>
          <w:b/>
        </w:rPr>
        <w:t>Schematic of single‑cell versus bulk Hi‑C data. a,</w:t>
      </w:r>
      <w:r>
        <w:t xml:space="preserve"> True chromatin contacts in an individual cell (left) contrasted with observed single‑cell Hi‑C data (right), where sparsity and technical noise can bias domain‑boundary detection. </w:t>
      </w:r>
      <w:r>
        <w:rPr>
          <w:b/>
        </w:rPr>
        <w:t>b,</w:t>
      </w:r>
      <w:r>
        <w:t xml:space="preserve"> Bulk Hi‑C captures the ensemble‐averaged chromatin structure (shaded), which may obscure cell‑to‑cell variability and yield domain boundaries that diverge from those in any single cell.</w:t>
      </w:r>
    </w:p>
    <w:p w14:paraId="7521B141" w14:textId="77777777" w:rsidR="00C037FE" w:rsidRDefault="009F49F2">
      <w:pPr>
        <w:keepNext/>
        <w:pageBreakBefore/>
      </w:pPr>
      <w:r>
        <w:rPr>
          <w:noProof/>
        </w:rPr>
        <w:lastRenderedPageBreak/>
        <w:drawing>
          <wp:inline distT="0" distB="0" distL="0" distR="0" wp14:anchorId="14C4472B" wp14:editId="48EAF7BD">
            <wp:extent cx="5274310" cy="2917190"/>
            <wp:effectExtent l="0" t="0" r="2540" b="0"/>
            <wp:docPr id="17876455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6455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A0A72" w14:textId="77777777" w:rsidR="00C037FE" w:rsidRDefault="00000000">
      <w:pPr>
        <w:keepLines/>
      </w:pPr>
      <w:r>
        <w:rPr>
          <w:b/>
        </w:rPr>
        <w:t>Supplementary Fig. 2</w:t>
      </w:r>
      <w:r>
        <w:t xml:space="preserve"> | </w:t>
      </w:r>
      <w:r>
        <w:rPr>
          <w:b/>
        </w:rPr>
        <w:t>Evaluation of the CellRoB framework. a and b,</w:t>
      </w:r>
      <w:r>
        <w:t xml:space="preserve"> Comparison of boundary detection accuracy for CellRoB, HiCS, and other methods as single‑cell Hi‑C data drop‑out increases (e.g., Precision, Recall, or Jaccard index). </w:t>
      </w:r>
      <w:r>
        <w:rPr>
          <w:b/>
        </w:rPr>
        <w:t>c,</w:t>
      </w:r>
      <w:r>
        <w:t xml:space="preserve"> UMAP visualization of Dip-C based on features derived from CellRoB.</w:t>
      </w:r>
    </w:p>
    <w:p w14:paraId="388F7D53" w14:textId="77777777" w:rsidR="00C037FE" w:rsidRDefault="00000000">
      <w:pPr>
        <w:keepNext/>
        <w:pageBreakBefore/>
      </w:pPr>
      <w:r>
        <w:rPr>
          <w:noProof/>
        </w:rPr>
        <w:lastRenderedPageBreak/>
        <w:drawing>
          <wp:inline distT="0" distB="0" distL="0" distR="0" wp14:anchorId="792EF38F" wp14:editId="1942B65A">
            <wp:extent cx="5486400" cy="358164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-Fig-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1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79EAF" w14:textId="77777777" w:rsidR="00C037FE" w:rsidRDefault="00000000">
      <w:pPr>
        <w:keepLines/>
      </w:pPr>
      <w:r>
        <w:rPr>
          <w:b/>
        </w:rPr>
        <w:t>Supplementary Fig. 3</w:t>
      </w:r>
      <w:r>
        <w:t xml:space="preserve"> | </w:t>
      </w:r>
      <w:r>
        <w:rPr>
          <w:b/>
        </w:rPr>
        <w:t>Boundary detection performance across sampling rates and comparison. a, b and c,</w:t>
      </w:r>
      <w:r>
        <w:t xml:space="preserve"> Total number of domain boundaries called a, precision b, and recall c by CellRoB, MSTD, IS, and TopDom at varying single‑cell Hi‑C data drop‑out rates. </w:t>
      </w:r>
      <w:r>
        <w:rPr>
          <w:b/>
        </w:rPr>
        <w:t>d,</w:t>
      </w:r>
      <w:r>
        <w:t xml:space="preserve"> Comparison of boundaries identified by CellRoB versus TopDom.</w:t>
      </w:r>
    </w:p>
    <w:p w14:paraId="4C1F8EFE" w14:textId="77777777" w:rsidR="00C037FE" w:rsidRDefault="00000000">
      <w:pPr>
        <w:keepNext/>
        <w:pageBreakBefore/>
      </w:pPr>
      <w:r>
        <w:rPr>
          <w:noProof/>
        </w:rPr>
        <w:lastRenderedPageBreak/>
        <w:drawing>
          <wp:inline distT="0" distB="0" distL="0" distR="0" wp14:anchorId="2F5A68D9" wp14:editId="3A75119E">
            <wp:extent cx="5011128" cy="64922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-Fig-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11128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D8402" w14:textId="77777777" w:rsidR="00C037FE" w:rsidRDefault="00000000">
      <w:pPr>
        <w:keepLines/>
      </w:pPr>
      <w:r>
        <w:rPr>
          <w:b/>
        </w:rPr>
        <w:t>Supplementary Fig. 4</w:t>
      </w:r>
      <w:r>
        <w:t xml:space="preserve"> | </w:t>
      </w:r>
      <w:r>
        <w:rPr>
          <w:b/>
        </w:rPr>
        <w:t>a,</w:t>
      </w:r>
      <w:r>
        <w:t xml:space="preserve"> Enrichment analysis of various insulator proteins across resolutions. </w:t>
      </w:r>
      <w:r>
        <w:rPr>
          <w:b/>
        </w:rPr>
        <w:t>b,</w:t>
      </w:r>
      <w:r>
        <w:t xml:space="preserve"> Comparative enrichment of epigenomic marks at CellRoB‑identified boundaries stratified by high, medium, and low strength.</w:t>
      </w:r>
    </w:p>
    <w:p w14:paraId="0E7E237C" w14:textId="77777777" w:rsidR="00C037FE" w:rsidRDefault="00000000">
      <w:pPr>
        <w:keepNext/>
        <w:pageBreakBefore/>
      </w:pPr>
      <w:r>
        <w:rPr>
          <w:noProof/>
        </w:rPr>
        <w:lastRenderedPageBreak/>
        <w:drawing>
          <wp:inline distT="0" distB="0" distL="0" distR="0" wp14:anchorId="3831AA7F" wp14:editId="6466AAA4">
            <wp:extent cx="5486400" cy="488687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-Fig-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40F1C" w14:textId="03EF5824" w:rsidR="00B600F9" w:rsidRDefault="00000000" w:rsidP="000302DD">
      <w:pPr>
        <w:keepLines/>
      </w:pPr>
      <w:r>
        <w:rPr>
          <w:b/>
        </w:rPr>
        <w:t>Supplementary Fig. 5</w:t>
      </w:r>
      <w:r>
        <w:t xml:space="preserve"> | </w:t>
      </w:r>
      <w:r>
        <w:rPr>
          <w:b/>
        </w:rPr>
        <w:t>Cell trajectory reconstruction and boundary dynamics analysis using domain boundary features. a,</w:t>
      </w:r>
      <w:r>
        <w:t xml:space="preserve"> Low‑dimensional embedding of cells based on CellRoB‑defined domain boundary features, revealing a clear developmental trajectory. </w:t>
      </w:r>
      <w:r>
        <w:rPr>
          <w:b/>
        </w:rPr>
        <w:t>b,</w:t>
      </w:r>
      <w:r>
        <w:t xml:space="preserve"> Differential expression analysis between Subtype1 and Subtype2 cells, highlighting transcriptomic distinctions. </w:t>
      </w:r>
      <w:r>
        <w:rPr>
          <w:b/>
        </w:rPr>
        <w:t>c,</w:t>
      </w:r>
      <w:r>
        <w:t xml:space="preserve"> Venn diagram of overlaps among differentially expressed genes (DEGs), highly variable genes in EPI cells, and the total gene set. </w:t>
      </w:r>
      <w:r>
        <w:rPr>
          <w:b/>
        </w:rPr>
        <w:t>d,</w:t>
      </w:r>
      <w:r>
        <w:t xml:space="preserve"> Correspondence of domain boundaries between Subtype 1 and Subtype 2, highlighting conserved and shifted boundary positions.</w:t>
      </w:r>
      <w:bookmarkEnd w:id="1"/>
    </w:p>
    <w:p w14:paraId="10150B3D" w14:textId="77777777" w:rsidR="00B600F9" w:rsidRDefault="00B600F9">
      <w:pPr>
        <w:widowControl/>
        <w:jc w:val="left"/>
      </w:pPr>
      <w:r>
        <w:br w:type="page"/>
      </w:r>
    </w:p>
    <w:p w14:paraId="3A646E74" w14:textId="77777777" w:rsidR="00E0759E" w:rsidRDefault="00000000">
      <w:pPr>
        <w:spacing w:beforeLines="50" w:before="156" w:afterLines="50" w:after="156"/>
        <w:rPr>
          <w:rFonts w:cs="Arial"/>
          <w:b/>
          <w:bCs/>
        </w:rPr>
      </w:pPr>
      <w:r>
        <w:rPr>
          <w:rFonts w:cs="Arial" w:hint="eastAsia"/>
          <w:b/>
          <w:bCs/>
        </w:rPr>
        <w:lastRenderedPageBreak/>
        <w:t>Supplementary Table Legends</w:t>
      </w:r>
    </w:p>
    <w:p w14:paraId="39EE2458" w14:textId="77777777" w:rsidR="00E0759E" w:rsidRDefault="00000000">
      <w:pPr>
        <w:rPr>
          <w:rFonts w:cs="Arial"/>
          <w:b/>
          <w:bCs/>
        </w:rPr>
      </w:pPr>
      <w:r>
        <w:rPr>
          <w:rFonts w:cs="Arial"/>
          <w:b/>
          <w:bCs/>
        </w:rPr>
        <w:t>Supplementary Table 1 | GO enrichment analysis of genes associated with rare and conserved domain boundaries in the scMicro-C dataset.</w:t>
      </w:r>
    </w:p>
    <w:p w14:paraId="7FF51364" w14:textId="77777777" w:rsidR="00E0759E" w:rsidRDefault="00000000">
      <w:pPr>
        <w:rPr>
          <w:rFonts w:cs="Arial"/>
          <w:b/>
          <w:bCs/>
        </w:rPr>
      </w:pPr>
      <w:r>
        <w:rPr>
          <w:rFonts w:cs="Arial"/>
          <w:b/>
          <w:bCs/>
        </w:rPr>
        <w:t>Supplementary Table 2 | GO enrichment analysis of genes associated with rare, weakly conserved, and strongly conserved domain boundaries in the Dip-C dataset.</w:t>
      </w:r>
    </w:p>
    <w:p w14:paraId="77F5D1D8" w14:textId="77777777" w:rsidR="00E0759E" w:rsidRDefault="00000000">
      <w:pPr>
        <w:rPr>
          <w:rFonts w:cs="Arial"/>
          <w:b/>
          <w:bCs/>
        </w:rPr>
      </w:pPr>
      <w:r>
        <w:rPr>
          <w:rFonts w:cs="Arial"/>
          <w:b/>
          <w:bCs/>
        </w:rPr>
        <w:t>Supplementary Table 3 | GO enrichment analysis of genes upregulated in EPI Subtype 1 and Subtype 2 in the HiRES dataset.</w:t>
      </w:r>
    </w:p>
    <w:sectPr w:rsidR="00E075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4B7B" w14:textId="77777777" w:rsidR="009F7E6B" w:rsidRDefault="009F7E6B">
      <w:r>
        <w:separator/>
      </w:r>
    </w:p>
  </w:endnote>
  <w:endnote w:type="continuationSeparator" w:id="0">
    <w:p w14:paraId="3B7590E8" w14:textId="77777777" w:rsidR="009F7E6B" w:rsidRDefault="009F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3C86D" w14:textId="77777777" w:rsidR="009F7E6B" w:rsidRDefault="009F7E6B">
      <w:r>
        <w:separator/>
      </w:r>
    </w:p>
  </w:footnote>
  <w:footnote w:type="continuationSeparator" w:id="0">
    <w:p w14:paraId="5700CD27" w14:textId="77777777" w:rsidR="009F7E6B" w:rsidRDefault="009F7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BC8460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75204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420"/>
  <w:drawingGridHorizontalSpacing w:val="36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209CC"/>
    <w:rsid w:val="000302DD"/>
    <w:rsid w:val="000D6499"/>
    <w:rsid w:val="00340E0F"/>
    <w:rsid w:val="003E3B3D"/>
    <w:rsid w:val="007167BA"/>
    <w:rsid w:val="00721D96"/>
    <w:rsid w:val="007510C5"/>
    <w:rsid w:val="007A3C9A"/>
    <w:rsid w:val="008462E5"/>
    <w:rsid w:val="008666A5"/>
    <w:rsid w:val="009209CC"/>
    <w:rsid w:val="00945CDC"/>
    <w:rsid w:val="0096184D"/>
    <w:rsid w:val="009808D3"/>
    <w:rsid w:val="009F49F2"/>
    <w:rsid w:val="009F7E6B"/>
    <w:rsid w:val="00B600F9"/>
    <w:rsid w:val="00B83AA0"/>
    <w:rsid w:val="00C037FE"/>
    <w:rsid w:val="00C425D7"/>
    <w:rsid w:val="00C66E9E"/>
    <w:rsid w:val="00D906BC"/>
    <w:rsid w:val="00E0759E"/>
    <w:rsid w:val="00F00FCC"/>
    <w:rsid w:val="00FC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72394"/>
  <w15:docId w15:val="{D8E1B828-C510-4CC5-BF75-1F450E46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9CC"/>
    <w:pPr>
      <w:widowControl w:val="0"/>
      <w:jc w:val="both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09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character" w:customStyle="1" w:styleId="a4">
    <w:name w:val="页眉 字符"/>
    <w:basedOn w:val="a0"/>
    <w:link w:val="a3"/>
    <w:uiPriority w:val="99"/>
    <w:rsid w:val="009209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09CC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character" w:customStyle="1" w:styleId="a6">
    <w:name w:val="页脚 字符"/>
    <w:basedOn w:val="a0"/>
    <w:link w:val="a5"/>
    <w:uiPriority w:val="99"/>
    <w:rsid w:val="009209CC"/>
    <w:rPr>
      <w:sz w:val="18"/>
      <w:szCs w:val="18"/>
    </w:rPr>
  </w:style>
  <w:style w:type="character" w:styleId="a7">
    <w:name w:val="Placeholder Text"/>
    <w:basedOn w:val="a0"/>
    <w:uiPriority w:val="99"/>
    <w:semiHidden/>
    <w:rsid w:val="009209CC"/>
    <w:rPr>
      <w:color w:val="808080"/>
    </w:rPr>
  </w:style>
  <w:style w:type="paragraph" w:customStyle="1" w:styleId="EndNoteBibliographyTitle">
    <w:name w:val="EndNote Bibliography Title"/>
    <w:basedOn w:val="a"/>
    <w:link w:val="EndNoteBibliographyTitle0"/>
    <w:rsid w:val="009209CC"/>
    <w:pPr>
      <w:jc w:val="center"/>
    </w:pPr>
    <w:rPr>
      <w:rFonts w:eastAsia="等线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9209CC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209CC"/>
    <w:rPr>
      <w:rFonts w:eastAsia="等线"/>
      <w:noProof/>
    </w:rPr>
  </w:style>
  <w:style w:type="character" w:customStyle="1" w:styleId="EndNoteBibliography0">
    <w:name w:val="EndNote Bibliography 字符"/>
    <w:basedOn w:val="a0"/>
    <w:link w:val="EndNoteBibliography"/>
    <w:rsid w:val="009209CC"/>
    <w:rPr>
      <w:rFonts w:ascii="等线" w:eastAsia="等线" w:hAnsi="等线"/>
      <w:noProof/>
      <w:sz w:val="20"/>
    </w:rPr>
  </w:style>
  <w:style w:type="paragraph" w:styleId="a8">
    <w:name w:val="Normal (Web)"/>
    <w:basedOn w:val="a"/>
    <w:uiPriority w:val="99"/>
    <w:semiHidden/>
    <w:unhideWhenUsed/>
    <w:rsid w:val="009209CC"/>
    <w:pPr>
      <w:widowControl/>
      <w:spacing w:before="100" w:beforeAutospacing="1" w:after="100" w:afterAutospacing="1"/>
      <w:jc w:val="left"/>
    </w:pPr>
    <w:rPr>
      <w:rFonts w:eastAsia="宋体" w:cs="宋体"/>
      <w:kern w:val="0"/>
      <w:szCs w:val="24"/>
    </w:rPr>
  </w:style>
  <w:style w:type="paragraph" w:customStyle="1" w:styleId="11">
    <w:name w:val="标题 11"/>
    <w:pPr>
      <w:keepNext/>
      <w:spacing w:before="156" w:after="156"/>
    </w:pPr>
    <w:rPr>
      <w:b/>
      <w:sz w:val="28"/>
    </w:rPr>
  </w:style>
  <w:style w:type="paragraph" w:customStyle="1" w:styleId="21">
    <w:name w:val="标题 21"/>
    <w:pPr>
      <w:keepNext/>
      <w:spacing w:before="156" w:after="156"/>
    </w:pPr>
    <w:rPr>
      <w:b/>
      <w:sz w:val="24"/>
    </w:rPr>
  </w:style>
  <w:style w:type="paragraph" w:customStyle="1" w:styleId="31">
    <w:name w:val="标题 31"/>
    <w:pPr>
      <w:keepNext/>
      <w:spacing w:before="156" w:after="156"/>
    </w:pPr>
    <w:rPr>
      <w:b/>
      <w:sz w:val="22"/>
    </w:rPr>
  </w:style>
  <w:style w:type="paragraph" w:customStyle="1" w:styleId="SourceCode">
    <w:name w:val="Source Code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paragraph" w:customStyle="1" w:styleId="1">
    <w:name w:val="正文文本1"/>
    <w:basedOn w:val="a"/>
  </w:style>
  <w:style w:type="paragraph" w:customStyle="1" w:styleId="FirstParagraph">
    <w:name w:val="First Paragraph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dell</cp:lastModifiedBy>
  <cp:revision>6</cp:revision>
  <dcterms:created xsi:type="dcterms:W3CDTF">2026-10-09T04:56:00Z</dcterms:created>
  <dcterms:modified xsi:type="dcterms:W3CDTF">2026-10-09T08:08:00Z</dcterms:modified>
</cp:coreProperties>
</file>