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Times New Roman" w:hAnsi="Times New Roman"/>
          <w:b/>
          <w:i w:val="0"/>
          <w:sz w:val="32"/>
        </w:rPr>
        <w:t>Supplementary Material</w:t>
      </w:r>
    </w:p>
    <w:p>
      <w:pPr>
        <w:spacing w:after="40" w:before="0"/>
        <w:jc w:val="center"/>
      </w:pPr>
      <w:r>
        <w:rPr>
          <w:rFonts w:ascii="Times New Roman" w:hAnsi="Times New Roman"/>
          <w:b/>
          <w:i w:val="0"/>
          <w:sz w:val="24"/>
        </w:rPr>
        <w:t>Model Rankings in Drug–Target Affinity Prediction Vary Across Evaluation Regimes: A Controlled Multi-Seed Study of Model-Comparison Reliability</w:t>
      </w:r>
    </w:p>
    <w:p>
      <w:pPr>
        <w:spacing w:after="200" w:before="0"/>
        <w:jc w:val="center"/>
      </w:pPr>
      <w:r>
        <w:rPr>
          <w:rFonts w:ascii="Times New Roman" w:hAnsi="Times New Roman"/>
          <w:b w:val="0"/>
          <w:i w:val="0"/>
          <w:sz w:val="22"/>
        </w:rPr>
        <w:t>Haobo Kui, Xinyuan Cui</w:t>
      </w:r>
    </w:p>
    <w:p>
      <w:pPr>
        <w:spacing w:after="60" w:before="0"/>
      </w:pPr>
      <w:r>
        <w:rPr>
          <w:rFonts w:ascii="Times New Roman" w:hAnsi="Times New Roman"/>
          <w:b/>
          <w:i w:val="0"/>
          <w:sz w:val="24"/>
        </w:rPr>
        <w:t>Contents and notes</w:t>
      </w:r>
    </w:p>
    <w:p>
      <w:pPr>
        <w:spacing w:after="80" w:before="0"/>
      </w:pPr>
      <w:r>
        <w:rPr>
          <w:rFonts w:ascii="Times New Roman" w:hAnsi="Times New Roman"/>
          <w:b w:val="0"/>
          <w:i w:val="0"/>
          <w:sz w:val="19"/>
        </w:rPr>
        <w:t>This document provides the complete tabular material supporting the manuscript. Tables S1 and S2 report unique-input results; Tables S3 and S4 support the exploratory VEGFR2 post-hoc case (Sections 2.9 and 3.5, Figure 5).</w:t>
      </w:r>
    </w:p>
    <w:p>
      <w:pPr>
        <w:spacing w:after="80" w:before="0"/>
      </w:pPr>
      <w:r>
        <w:rPr>
          <w:rFonts w:ascii="Times New Roman" w:hAnsi="Times New Roman"/>
          <w:b w:val="0"/>
          <w:i w:val="0"/>
          <w:sz w:val="19"/>
        </w:rPr>
        <w:t>Unique-input aggregation: multiple records sharing the same canonical SMILES and full target sequence are first averaged within a run before the metric is computed, so that frequently repeated compounds or targets are not over-weighted. Values are mean ± standard deviation (SD) across the three paired model seeds (42, 123, 2026).</w:t>
      </w:r>
    </w:p>
    <w:p>
      <w:pPr>
        <w:spacing w:after="80" w:before="0"/>
      </w:pPr>
      <w:r>
        <w:rPr>
          <w:rFonts w:ascii="Times New Roman" w:hAnsi="Times New Roman"/>
          <w:b w:val="0"/>
          <w:i w:val="0"/>
          <w:sz w:val="19"/>
        </w:rPr>
        <w:t>All tabulated metrics are reported on the original (raw) affinity scale after inverse transformation from the standardized labels used during training. MSE, RMSE, MAE = mean squared, root mean squared, and mean absolute error (lower is better); the concordance index (C-index) ranges from 0 to 1 (higher is better).</w:t>
      </w:r>
    </w:p>
    <w:p>
      <w:pPr>
        <w:spacing w:after="60" w:before="200"/>
      </w:pPr>
      <w:r>
        <w:rPr>
          <w:rFonts w:ascii="Times New Roman" w:hAnsi="Times New Roman"/>
          <w:b/>
          <w:i w:val="0"/>
          <w:sz w:val="22"/>
        </w:rPr>
        <w:t>Table S1. Complete unique-input results for the three primary fusion models (mean ± SD over three seeds).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964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Dataset</w:t>
            </w:r>
          </w:p>
        </w:tc>
        <w:tc>
          <w:tcPr>
            <w:tcW w:type="dxa" w:w="1134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Setting</w:t>
            </w:r>
          </w:p>
        </w:tc>
        <w:tc>
          <w:tcPr>
            <w:tcW w:type="dxa" w:w="1587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Model</w:t>
            </w:r>
          </w:p>
        </w:tc>
        <w:tc>
          <w:tcPr>
            <w:tcW w:type="dxa" w:w="1559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MSE (raw)</w:t>
            </w:r>
          </w:p>
        </w:tc>
        <w:tc>
          <w:tcPr>
            <w:tcW w:type="dxa" w:w="1559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RMSE (raw)</w:t>
            </w:r>
          </w:p>
        </w:tc>
        <w:tc>
          <w:tcPr>
            <w:tcW w:type="dxa" w:w="1559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MAE (raw)</w:t>
            </w:r>
          </w:p>
        </w:tc>
        <w:tc>
          <w:tcPr>
            <w:tcW w:type="dxa" w:w="1446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C-index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ConcatFusion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0.1958 ± 0.0038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0.4425 ± 0.0043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0.2720 ± 0.0018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0.8534 ± 0.0011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ProductFusion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0.1891 ± 0.0016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0.4348 ± 0.0019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0.2640 ± 0.0028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0.8544 ± 0.0012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AttentionFusion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0.2110 ± 0.0007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0.4593 ± 0.0007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0.2843 ± 0.0034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0.8444 ± 0.0004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ConcatFusion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0.4411 ± 0.0169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0.6641 ± 0.0128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0.4707 ± 0.0096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0.6665 ± 0.0167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ProductFusion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0.4530 ± 0.0348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0.6727 ± 0.0256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0.4819 ± 0.0248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0.6691 ± 0.0021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AttentionFusion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0.4218 ± 0.0259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0.6493 ± 0.0201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0.4666 ± 0.0239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0.6793 ± 0.0204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ConcatFusion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0.3264 ± 0.0050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0.5713 ± 0.0044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0.3634 ± 0.0081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0.7759 ± 0.0034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ProductFusion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0.3254 ± 0.0055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0.5705 ± 0.0049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0.3679 ± 0.0036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0.7754 ± 0.0009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AttentionFusion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0.3375 ± 0.0067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0.5809 ± 0.0057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0.3807 ± 0.0047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0.7676 ± 0.0045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ConcatFusion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0.2321 ± 0.0035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0.4818 ± 0.0036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0.2664 ± 0.0044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0.8662 ± 0.0032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ProductFusion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0.1980 ± 0.0099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0.4449 ± 0.0112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0.2327 ± 0.0072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0.8771 ± 0.0046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AttentionFusion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0.2589 ± 0.0115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0.5087 ± 0.0113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0.2922 ± 0.0039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0.8561 ± 0.0047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ConcatFusion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0.4542 ± 0.0036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0.6739 ± 0.0027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0.3801 ± 0.0191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0.7903 ± 0.0073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ProductFusion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0.4425 ± 0.0067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0.6652 ± 0.0050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0.3576 ± 0.0055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0.7965 ± 0.0012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AttentionFusion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0.4518 ± 0.0084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0.6722 ± 0.0063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0.3997 ± 0.0182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0.7870 ± 0.0057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ConcatFusion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0.4687 ± 0.0226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0.6845 ± 0.0165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0.4080 ± 0.0301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0.6946 ± 0.0190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ProductFusion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0.5510 ± 0.0768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0.7411 ± 0.0513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0.5258 ± 0.1086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0.7180 ± 0.0123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AttentionFusion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0.5482 ± 0.0818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0.7390 ± 0.0563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0.4147 ± 0.0415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0.6682 ± 0.0467</w:t>
            </w:r>
          </w:p>
        </w:tc>
      </w:tr>
    </w:tbl>
    <w:p>
      <w:pPr>
        <w:spacing w:after="40" w:before="40"/>
      </w:pPr>
      <w:r>
        <w:rPr>
          <w:rFonts w:ascii="Times New Roman" w:hAnsi="Times New Roman"/>
          <w:b w:val="0"/>
          <w:i/>
          <w:sz w:val="17"/>
        </w:rPr>
        <w:t>All values are based on the same frozen held-out test records used in the manuscript and are reported on the original (raw) affinity scale. MSE/RMSE/MAE: lower is better; C-index: higher is better. The corresponding record-level (non-aggregated) RMSE values are summarized in the manuscript tables.</w:t>
      </w:r>
    </w:p>
    <w:p>
      <w:pPr>
        <w:spacing w:after="60" w:before="200"/>
      </w:pPr>
      <w:r>
        <w:rPr>
          <w:rFonts w:ascii="Times New Roman" w:hAnsi="Times New Roman"/>
          <w:b/>
          <w:i w:val="0"/>
          <w:sz w:val="22"/>
        </w:rPr>
        <w:t>Table S2. Unique-input results for the two controlled architectural baselines and the two prespecified single-factor sensitivity analyses (mean ± SD over three seeds).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964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Dataset</w:t>
            </w:r>
          </w:p>
        </w:tc>
        <w:tc>
          <w:tcPr>
            <w:tcW w:type="dxa" w:w="1134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Setting</w:t>
            </w:r>
          </w:p>
        </w:tc>
        <w:tc>
          <w:tcPr>
            <w:tcW w:type="dxa" w:w="1587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Model</w:t>
            </w:r>
          </w:p>
        </w:tc>
        <w:tc>
          <w:tcPr>
            <w:tcW w:type="dxa" w:w="1559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MSE (raw)</w:t>
            </w:r>
          </w:p>
        </w:tc>
        <w:tc>
          <w:tcPr>
            <w:tcW w:type="dxa" w:w="1559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RMSE (raw)</w:t>
            </w:r>
          </w:p>
        </w:tc>
        <w:tc>
          <w:tcPr>
            <w:tcW w:type="dxa" w:w="1559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MAE (raw)</w:t>
            </w:r>
          </w:p>
        </w:tc>
        <w:tc>
          <w:tcPr>
            <w:tcW w:type="dxa" w:w="1446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C-index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DeepDTA-style baseline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0.1916 ± 0.0049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0.4376 ± 0.0056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0.2643 ± 0.0037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0.8591 ± 0.0030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GraphDTA-GCN-style baseline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0.1720 ± 0.0012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0.4148 ± 0.0015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0.2517 ± 0.0033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0.8663 ± 0.0013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DeepDTA-style baseline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0.3764 ± 0.0258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0.6133 ± 0.0212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0.4452 ± 0.0221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0.6838 ± 0.0268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GraphDTA-GCN-style baseline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0.3820 ± 0.0084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0.6180 ± 0.0068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0.4439 ± 0.0094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0.6935 ± 0.0108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DeepDTA-style baseline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0.3505 ± 0.0086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0.5920 ± 0.0073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0.3787 ± 0.0079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0.7627 ± 0.0049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GraphDTA-GCN-style baseline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0.3497 ± 0.0034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0.5914 ± 0.0028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0.3793 ± 0.0047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0.7617 ± 0.0023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DeepDTA-style baseline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0.1935 ± 0.0118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0.4397 ± 0.0134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0.2381 ± 0.0137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0.8778 ± 0.0051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GraphDTA-GCN-style baseline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0.2039 ± 0.0115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0.4514 ± 0.0128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0.2494 ± 0.0076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0.8757 ± 0.0016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DeepDTA-style baseline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0.4559 ± 0.0118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0.6751 ± 0.0087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0.3829 ± 0.0075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0.7842 ± 0.0012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GraphDTA-GCN-style baseline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0.4548 ± 0.0141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0.6743 ± 0.0105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0.3735 ± 0.0114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0.7881 ± 0.0055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DeepDTA-style baseline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0.5510 ± 0.0762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0.7412 ± 0.0504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0.4487 ± 0.0454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0.5983 ± 0.0981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GraphDTA-GCN-style baseline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0.5838 ± 0.0233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0.7640 ± 0.0154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0.4671 ± 0.0161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0.6606 ± 0.0144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Mean-pooling sensitivity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0.2013 ± 0.0040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0.4487 ± 0.0044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0.2764 ± 0.0040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0.8518 ± 0.0015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max_len = 1000 sensitivity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0.1935 ± 0.0040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0.4398 ± 0.0046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0.2661 ± 0.0032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0.8552 ± 0.0007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Mean-pooling sensitivity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0.3961 ± 0.0377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0.6289 ± 0.0297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0.4581 ± 0.0315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0.6913 ± 0.0146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max_len = 1000 sensitivity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0.4165 ± 0.0051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0.6453 ± 0.0040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0.4638 ± 0.0111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0.6723 ± 0.0028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Mean-pooling sensitivity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0.3249 ± 0.0038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0.5700 ± 0.0033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0.3666 ± 0.0078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0.7755 ± 0.0034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KIBA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max_len = 1000 sensitivity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0.3230 ± 0.0072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0.5683 ± 0.0063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0.3601 ± 0.0058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0.7780 ± 0.0049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Mean-pooling sensitivity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0.2080 ± 0.0018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0.4561 ± 0.0020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0.2506 ± 0.0130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0.8740 ± 0.0006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Warm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max_len = 1000 sensitivity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0.2295 ± 0.0105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0.4790 ± 0.0110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0.2595 ± 0.0076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0.8684 ± 0.0032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Mean-pooling sensitivity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0.4500 ± 0.0216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0.6707 ± 0.0161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0.3824 ± 0.0173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0.7907 ± 0.0019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Cold-target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max_len = 1000 sensitivity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0.4836 ± 0.0397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0.6950 ± 0.0285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0.3808 ± 0.0140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0.7890 ± 0.0102</w:t>
            </w:r>
          </w:p>
        </w:tc>
      </w:tr>
      <w:tr>
        <w:tc>
          <w:tcPr>
            <w:tcW w:type="dxa" w:w="96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Mean-pooling sensitivity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0.4742 ± 0.0303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0.6884 ± 0.0221</w:t>
            </w:r>
          </w:p>
        </w:tc>
        <w:tc>
          <w:tcPr>
            <w:tcW w:type="dxa" w:w="1559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0.4252 ± 0.0370</w:t>
            </w:r>
          </w:p>
        </w:tc>
        <w:tc>
          <w:tcPr>
            <w:tcW w:type="dxa" w:w="1446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0.6913 ± 0.0382</w:t>
            </w:r>
          </w:p>
        </w:tc>
      </w:tr>
      <w:tr>
        <w:tc>
          <w:tcPr>
            <w:tcW w:type="dxa" w:w="96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Davis</w:t>
            </w:r>
          </w:p>
        </w:tc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Cold-drug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max_len = 1000 sensitivity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0.4859 ± 0.0034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0.6971 ± 0.0025</w:t>
            </w:r>
          </w:p>
        </w:tc>
        <w:tc>
          <w:tcPr>
            <w:tcW w:type="dxa" w:w="1559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0.4023 ± 0.0143</w:t>
            </w:r>
          </w:p>
        </w:tc>
        <w:tc>
          <w:tcPr>
            <w:tcW w:type="dxa" w:w="1446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0.6655 ± 0.0039</w:t>
            </w:r>
          </w:p>
        </w:tc>
      </w:tr>
    </w:tbl>
    <w:p>
      <w:pPr>
        <w:spacing w:after="40" w:before="40"/>
      </w:pPr>
      <w:r>
        <w:rPr>
          <w:rFonts w:ascii="Times New Roman" w:hAnsi="Times New Roman"/>
          <w:b w:val="0"/>
          <w:i/>
          <w:sz w:val="17"/>
        </w:rPr>
        <w:t>Baselines are re-implemented under the same unified protocol, frozen splits, and training budget; raw-scale metrics are shown. The mean-pooling sensitivity replaces learned global pooling with mean pooling, and the max_len = 1000 sensitivity lowers the protein truncation threshold from 1500 to 1000 residues. Both sensitivity variants use the ConcatFusion architecture.</w:t>
      </w:r>
    </w:p>
    <w:p>
      <w:pPr>
        <w:spacing w:after="60" w:before="200"/>
      </w:pPr>
      <w:r>
        <w:rPr>
          <w:rFonts w:ascii="Times New Roman" w:hAnsi="Times New Roman"/>
          <w:b/>
          <w:i w:val="0"/>
          <w:sz w:val="22"/>
        </w:rPr>
        <w:t>Table S3. Mapping of the observed top-10 VEGFR2 compounds (V01–V10) to canonical SMILES and observed affinity Label.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134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Compound ID</w:t>
            </w:r>
          </w:p>
        </w:tc>
        <w:tc>
          <w:tcPr>
            <w:tcW w:type="dxa" w:w="1587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Observed Label (raw)</w:t>
            </w:r>
          </w:p>
        </w:tc>
        <w:tc>
          <w:tcPr>
            <w:tcW w:type="dxa" w:w="7143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Canonical SMILES</w:t>
            </w:r>
          </w:p>
        </w:tc>
      </w:tr>
      <w:tr>
        <w:tc>
          <w:tcPr>
            <w:tcW w:type="dxa" w:w="113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V01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8.958607</w:t>
            </w:r>
          </w:p>
        </w:tc>
        <w:tc>
          <w:tcPr>
            <w:tcW w:type="dxa" w:w="7143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6"/>
              </w:rPr>
            </w:r>
            <w:r>
              <w:rPr>
                <w:rFonts w:ascii="Consolas" w:hAnsi="Consolas" w:eastAsia="Consolas"/>
                <w:b w:val="0"/>
                <w:sz w:val="16"/>
              </w:rPr>
              <w:t>COc1cc2c(Oc3ccc4[nH]c(C)cc4c3F)ncnc2cc1OCCCN1CCCC1</w:t>
            </w:r>
          </w:p>
        </w:tc>
      </w:tr>
      <w:tr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V02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8.823909</w:t>
            </w:r>
          </w:p>
        </w:tc>
        <w:tc>
          <w:tcPr>
            <w:tcW w:type="dxa" w:w="7143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6"/>
              </w:rPr>
            </w:r>
            <w:r>
              <w:rPr>
                <w:rFonts w:ascii="Consolas" w:hAnsi="Consolas" w:eastAsia="Consolas"/>
                <w:b w:val="0"/>
                <w:sz w:val="16"/>
              </w:rPr>
              <w:t>CCN(CC)CCNC(=O)c1c(C)[nH]c(C=C2C(=O)Nc3ccc(F)cc32)c1C</w:t>
            </w:r>
          </w:p>
        </w:tc>
      </w:tr>
      <w:tr>
        <w:tc>
          <w:tcPr>
            <w:tcW w:type="dxa" w:w="113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V03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8.638272</w:t>
            </w:r>
          </w:p>
        </w:tc>
        <w:tc>
          <w:tcPr>
            <w:tcW w:type="dxa" w:w="7143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6"/>
              </w:rPr>
            </w:r>
            <w:r>
              <w:rPr>
                <w:rFonts w:ascii="Consolas" w:hAnsi="Consolas" w:eastAsia="Consolas"/>
                <w:b w:val="0"/>
                <w:sz w:val="16"/>
              </w:rPr>
              <w:t>Cc1[nH]c(C=C2C(=O)Nc3ccc(F)cc32)c(C)c1C(=O)NCC(O)CN1CCOCC1</w:t>
            </w:r>
          </w:p>
        </w:tc>
      </w:tr>
      <w:tr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V04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8.537602</w:t>
            </w:r>
          </w:p>
        </w:tc>
        <w:tc>
          <w:tcPr>
            <w:tcW w:type="dxa" w:w="7143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6"/>
              </w:rPr>
            </w:r>
            <w:r>
              <w:rPr>
                <w:rFonts w:ascii="Consolas" w:hAnsi="Consolas" w:eastAsia="Consolas"/>
                <w:b w:val="0"/>
                <w:sz w:val="16"/>
              </w:rPr>
              <w:t>COC(=O)c1ccc2c(c1)NC(=O)C2=C(Nc1ccc(N(C)C(=O)CN2CCN(C)CC2)cc1)c1ccccc1</w:t>
            </w:r>
          </w:p>
        </w:tc>
      </w:tr>
      <w:tr>
        <w:tc>
          <w:tcPr>
            <w:tcW w:type="dxa" w:w="113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V05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8.301030</w:t>
            </w:r>
          </w:p>
        </w:tc>
        <w:tc>
          <w:tcPr>
            <w:tcW w:type="dxa" w:w="7143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6"/>
              </w:rPr>
            </w:r>
            <w:r>
              <w:rPr>
                <w:rFonts w:ascii="Consolas" w:hAnsi="Consolas" w:eastAsia="Consolas"/>
                <w:b w:val="0"/>
                <w:sz w:val="16"/>
              </w:rPr>
              <w:t>Cc1cc2c(F)c(Oc3ncnn4cc(OCC(C)O)c(C)c34)ccc2[nH]1</w:t>
            </w:r>
          </w:p>
        </w:tc>
      </w:tr>
      <w:tr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V06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8.229148</w:t>
            </w:r>
          </w:p>
        </w:tc>
        <w:tc>
          <w:tcPr>
            <w:tcW w:type="dxa" w:w="7143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6"/>
              </w:rPr>
            </w:r>
            <w:r>
              <w:rPr>
                <w:rFonts w:ascii="Consolas" w:hAnsi="Consolas" w:eastAsia="Consolas"/>
                <w:b w:val="0"/>
                <w:sz w:val="16"/>
              </w:rPr>
              <w:t>CNC(=O)c1ccccc1Sc1ccc2c(C=Cc3ccccn3)n[nH]c2c1</w:t>
            </w:r>
          </w:p>
        </w:tc>
      </w:tr>
      <w:tr>
        <w:tc>
          <w:tcPr>
            <w:tcW w:type="dxa" w:w="113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V07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8.091515</w:t>
            </w:r>
          </w:p>
        </w:tc>
        <w:tc>
          <w:tcPr>
            <w:tcW w:type="dxa" w:w="7143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6"/>
              </w:rPr>
            </w:r>
            <w:r>
              <w:rPr>
                <w:rFonts w:ascii="Consolas" w:hAnsi="Consolas" w:eastAsia="Consolas"/>
                <w:b w:val="0"/>
                <w:sz w:val="16"/>
              </w:rPr>
              <w:t>Cc1ccc(F)c(NC(=O)Nc2ccc(-c3cccc4[nH]nc(N)c34)cc2)c1</w:t>
            </w:r>
          </w:p>
        </w:tc>
      </w:tr>
      <w:tr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V08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7.920819</w:t>
            </w:r>
          </w:p>
        </w:tc>
        <w:tc>
          <w:tcPr>
            <w:tcW w:type="dxa" w:w="7143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6"/>
              </w:rPr>
            </w:r>
            <w:r>
              <w:rPr>
                <w:rFonts w:ascii="Consolas" w:hAnsi="Consolas" w:eastAsia="Consolas"/>
                <w:b w:val="0"/>
                <w:sz w:val="16"/>
              </w:rPr>
              <w:t>COc1cc2c(Oc3ccc(NC(=O)C4(C(=O)Nc5ccc(F)cc5)CC4)cc3F)ccnc2cc1OCCCN1CCOCC1</w:t>
            </w:r>
          </w:p>
        </w:tc>
      </w:tr>
      <w:tr>
        <w:tc>
          <w:tcPr>
            <w:tcW w:type="dxa" w:w="1134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V09</w:t>
            </w:r>
          </w:p>
        </w:tc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7.853872</w:t>
            </w:r>
          </w:p>
        </w:tc>
        <w:tc>
          <w:tcPr>
            <w:tcW w:type="dxa" w:w="7143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6"/>
              </w:rPr>
            </w:r>
            <w:r>
              <w:rPr>
                <w:rFonts w:ascii="Consolas" w:hAnsi="Consolas" w:eastAsia="Consolas"/>
                <w:b w:val="0"/>
                <w:sz w:val="16"/>
              </w:rPr>
              <w:t>Cc1ccc(Nc2nccc(N(C)c3ccc4c(C)n(C)nc4c3)n2)cc1S(N)(=O)=O</w:t>
            </w:r>
          </w:p>
        </w:tc>
      </w:tr>
      <w:tr>
        <w:tc>
          <w:tcPr>
            <w:tcW w:type="dxa" w:w="1134"/>
            <w:shd w:val="clear" w:color="auto" w:fill="F2F5FB"/>
          </w:tcPr>
          <w:p>
            <w:pPr>
              <w:spacing w:after="20" w:before="20"/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V10</w:t>
            </w:r>
          </w:p>
        </w:tc>
        <w:tc>
          <w:tcPr>
            <w:tcW w:type="dxa" w:w="158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7.585027</w:t>
            </w:r>
          </w:p>
        </w:tc>
        <w:tc>
          <w:tcPr>
            <w:tcW w:type="dxa" w:w="7143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6"/>
              </w:rPr>
            </w:r>
            <w:r>
              <w:rPr>
                <w:rFonts w:ascii="Consolas" w:hAnsi="Consolas" w:eastAsia="Consolas"/>
                <w:b w:val="0"/>
                <w:sz w:val="16"/>
              </w:rPr>
              <w:t>CC1(C)CNc2cc(NC(=O)c3cccnc3NCc3ccncc3)ccc21</w:t>
            </w:r>
          </w:p>
        </w:tc>
      </w:tr>
    </w:tbl>
    <w:p>
      <w:pPr>
        <w:spacing w:after="40" w:before="40"/>
      </w:pPr>
      <w:r>
        <w:rPr>
          <w:rFonts w:ascii="Times New Roman" w:hAnsi="Times New Roman"/>
          <w:b w:val="0"/>
          <w:i/>
          <w:sz w:val="17"/>
        </w:rPr>
        <w:t>Compounds are ordered by measured affinity (Label_raw, descending); V01 is the strongest binder. Label direction was verified as described in Section 2.9 (larger Label = stronger affinity). SMILES retain stereochemical information as specified in Section 2.1. This table is cited in the Figure 5 caption.</w:t>
      </w:r>
    </w:p>
    <w:p>
      <w:pPr>
        <w:spacing w:after="60" w:before="200"/>
      </w:pPr>
      <w:r>
        <w:rPr>
          <w:rFonts w:ascii="Times New Roman" w:hAnsi="Times New Roman"/>
          <w:b/>
          <w:i w:val="0"/>
          <w:sz w:val="22"/>
        </w:rPr>
        <w:t>Table S4. All 68 VEGFR2 compounds with observed rank/Label and three-seed-mean raw-scale predictions for each method.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680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Obs. rank</w:t>
            </w:r>
          </w:p>
        </w:tc>
        <w:tc>
          <w:tcPr>
            <w:tcW w:type="dxa" w:w="3855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Canonical SMILES</w:t>
            </w:r>
          </w:p>
        </w:tc>
        <w:tc>
          <w:tcPr>
            <w:tcW w:type="dxa" w:w="794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Label</w:t>
            </w:r>
          </w:p>
        </w:tc>
        <w:tc>
          <w:tcPr>
            <w:tcW w:type="dxa" w:w="850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Concat</w:t>
            </w:r>
          </w:p>
        </w:tc>
        <w:tc>
          <w:tcPr>
            <w:tcW w:type="dxa" w:w="850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Product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Attention</w:t>
            </w:r>
          </w:p>
        </w:tc>
        <w:tc>
          <w:tcPr>
            <w:tcW w:type="dxa" w:w="850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DeepDTA</w:t>
            </w:r>
          </w:p>
        </w:tc>
        <w:tc>
          <w:tcPr>
            <w:tcW w:type="dxa" w:w="850"/>
            <w:shd w:val="clear" w:color="auto" w:fill="D9E2F3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GraphDTA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COc1cc2c(Oc3ccc4[nH]c(C)cc4c3F)ncnc2cc1OCCCN1CCCC1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8.958607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6.3611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7.3952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6.3838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8.0622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8.5661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CCN(CC)CCNC(=O)c1c(C)[nH]c(C=C2C(=O)Nc3ccc(F)cc32)c1C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8.823909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7.2943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7.2943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7.2597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7.2646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7.7163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Cc1[nH]c(C=C2C(=O)Nc3ccc(F)cc32)c(C)c1C(=O)NCC(O)CN1CCOCC1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8.638272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7.0375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7.1380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6.9445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6.9911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7.7183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COC(=O)c1ccc2c(c1)NC(=O)C2=C(Nc1ccc(N(C)C(=O)CN2CCN(C)CC2)cc1)c1ccccc1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8.537602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7.0970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6.7208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7.1170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6.7409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7.2785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Cc1cc2c(F)c(Oc3ncnn4cc(OCC(C)O)c(C)c34)ccc2[nH]1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8.301030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6.0135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6.2830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5.5874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6.9141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7.2770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CNC(=O)c1ccccc1Sc1ccc2c(C=Cc3ccccn3)n[nH]c2c1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8.229148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5.8987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6.5605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6.2578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7.0919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7.3428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Cc1ccc(F)c(NC(=O)Nc2ccc(-c3cccc4[nH]nc(N)c34)cc2)c1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8.091515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5.9886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6.7386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6.2159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7.1497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7.6191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COc1cc2c(Oc3ccc(NC(=O)C4(C(=O)Nc5ccc(F)cc5)CC4)cc3F)ccnc2cc1OCCCN1CCOCC1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7.920819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6.9026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8.0677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7.4614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8.0581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8.2285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9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Cc1ccc(Nc2nccc(N(C)c3ccc4c(C)n(C)nc4c3)n2)cc1S(N)(=O)=O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7.853872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5.9903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6.7764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5.7257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7.2535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7.7176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10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CC1(C)CNc2cc(NC(=O)c3cccnc3NCc3ccncc3)ccc21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7.585027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5.8683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6.7018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5.9272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6.8619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7.6611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11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COc1cc(Nc2ncc(F)c(Nc3ccc4c(n3)NC(=O)C(C)(C)O4)n2)cc(OC)c1OC.O=S(=O)(O)c1ccccc1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7.397940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6.9051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7.5505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7.1664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7.4394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7.5947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12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CNC(=O)c1cc(Oc2ccc(NC(=O)Nc3ccc(Cl)c(C(F)(F)F)c3)cc2)ccn1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7.229148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5.9083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6.5498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6.2048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7.1009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7.2008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13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Clc1ccc(Nc2nnc(Cc3ccncc3)c3ccccc23)cc1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7.207608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5.4806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6.0793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5.0394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5.8596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6.6220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14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CC(O)C(=O)O.CN1CCN(c2ccc3c(c2)NC(=C2C(=O)N=c4cccc(F)c4=C2N)N3)CC1.O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7.167491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6.3059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6.2200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6.6864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6.5122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6.7847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15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CC(C)(C)c1cc(NC(=O)Nc2ccc(-c3cn4c(n3)sc3cc(OCCN5CCOCC5)ccc34)cc2)no1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7.060481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5.9981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6.5051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5.9946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6.8186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7.3850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16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O=C(c1ccc(C=Cc2n[nH]c3ccccc23)cc1)N1CCNCC1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6.920819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6.7319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6.4664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6.8851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6.5009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6.4788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17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CCN1CCN(Cc2ccc(NC(=O)Nc3ccc(Oc4cc(NC)ncn4)cc3)cc2C(F)(F)F)CC1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6.698970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6.5241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7.1809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6.9909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7.1457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6.8756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18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CC12OC(CC1(O)CO)n1c3ccccc3c3c4c(c5c6ccccc6n2c5c31)CNC4=O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6.657577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7.1467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7.2852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7.4558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6.7307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7.1680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19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CNC1CC2OC(C)(C1OC)n1c3ccccc3c3c4c(c5c6ccccc6n2c5c31)C(=O)NC4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6.657577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7.8068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7.3346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7.7915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7.1336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7.3683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20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CN1CCN(C(=O)c2cc3cc(Cl)ccc3[nH]2)CC1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6.337242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6.6253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6.4964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6.9836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6.7468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6.6578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21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CCN(CCO)CCCOc1ccc2c(Nc3cc(CC(=O)Nc4cccc(F)c4)[nH]n3)ncnc2c1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6.301030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5.6569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5.8460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6.0715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6.3709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6.2644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22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CSc1cccc(Nc2ncc3cc(-c4c(Cl)cccc4Cl)c(=O)n(C)c3n2)c1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6.161151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6.1293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6.6586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6.0406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7.2301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7.0308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23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COc1cc2c(Nc3ccc(Br)cc3F)ncnc2cc1OCC1CCN(C)CC1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6.086186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5.6550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6.0328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5.7532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6.3524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6.3763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24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COc1cc(N2CCC(N3CCN(C)CC3)CC2)ccc1Nc1ncc(Cl)c(Nc2ccccc2S(=O)(=O)C(C)C)n1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6.026872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6.7747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7.1367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7.1044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6.4610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6.5941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25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CC(C)N1NC(=C2C=c3cc(O)ccc3=N2)c2c(N)ncnc21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5.920819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5.9894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5.8801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5.8760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6.2024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6.2997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26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Cn1c(Nc2ccc(C(F)(F)F)cc2)nc2cc(Oc3ccnc(-c4ncc(C(F)(F)F)[nH]4)c3)ccc21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5.886057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5.3622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5.4976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5.8270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6.2073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6.0643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27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Cc1cc(Nc2cc(N3CCN(C)CC3)nc(Sc3ccc(NC(=O)C4CC4)cc3)n2)n[nH]1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5.698970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6.1367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6.3302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6.5962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6.2978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6.3037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28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CCCS(=O)(=O)Nc1ccc(F)c(C(=O)c2c[nH]c3ncc(Cl)cc23)c1F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5.677781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5.3088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5.4718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5.2150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5.5234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5.5275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29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Cc1nc(Nc2ncc(C(=O)Nc3c(C)cccc3Cl)s2)cc(N2CCN(CCO)CC2)n1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5.537602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5.6630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5.3132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5.4680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6.3351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5.6884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30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COC1C(N(C)C(=O)c2ccccc2)CC2OC1(C)n1c3ccccc3c3c4c(c5c6ccccc6n2c5c31)C(=O)NC4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5.494850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5.9240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6.1814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6.3013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5.9490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6.3444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31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Cc1ccc(-n2nc(C(C)(C)C)cc2NC(=O)Nc2ccc(OCCN3CCOCC3)c3ccccc23)cc1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5.408935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5.3468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5.3513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5.5587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5.8831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5.4507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32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Cc1cnc(Nc2ccc(OCCN3CCCC3)cc2)nc1Nc1cccc(S(=O)(=O)NC(C)(C)C)c1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5.283997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6.1363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5.9554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6.5043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6.1874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6.1809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33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C#Cc1cccc(Nc2ncnc3cc(OCCOC)c(OCCOC)cc23)c1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5.244125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5.2340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5.3429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5.4638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5.2431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5.3636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34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C=CC(=O)Nc1cc2c(Nc3ccc(F)c(Cl)c3)ncnc2cc1OCCCN1CCOCC1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5.1728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5.1811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5.3730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5.1764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5.1919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35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CC(C)(C)c1cnc(CSc2cnc(NC(=O)C3CCNCC3)s2)o1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5.1168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5.0275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5.0469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5.0264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5.0385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36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CC(Oc1cc(-c2cnn(C3CCNCC3)c2)cnc1N)c1c(Cl)ccc(F)c1Cl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5.6952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5.8085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5.8704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5.4797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5.2612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37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CC1CCN(C(=O)CC#N)CC1N(C)c1ncnc2[nH]ccc12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5.1344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5.0369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5.1149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5.1216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5.0192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38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CCC1C(=O)N(C)c2cnc(Nc3ccc(C(=O)NC4CCN(C)CC4)cc3OC)nc2N1C1CCCC1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5.1633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5.0424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5.1503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5.0892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5.0047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39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CCOc1cc2ncc(C#N)c(Nc3ccc(OCc4ccccn4)c(Cl)c3)c2cc1NC(=O)C=CCN(C)C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5.3106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5.0864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5.3091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5.0794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5.0141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40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CCn1c(-c2nonc2N)nc2c(C#CC(C)(C)O)ncc(OCC3CCCNC3)c21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5.1239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5.0581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5.0866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5.1292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5.1734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41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CN(C)CC1CCn2cc(c3ccccc32)C2=C(C(=O)NC2=O)c2cn(c3ccccc23)CCO1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5.1309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5.0452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5.0791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5.0980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5.0715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42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CN(C)CC=CC(=O)Nc1cc2c(Nc3ccc(F)c(Cl)c3)ncnc2cc1OC1CCOC1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5.1065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5.0787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5.2324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5.0704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5.0564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43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CN1CCC(c2c(O)cc(O)c3c(=O)cc(-c4ccccc4Cl)oc23)C(O)C1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5.2181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5.0481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5.1536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5.0772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5.0518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44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COc1c(Cl)cc2c([nH]c3cnccc32)c1NC(=O)c1cccnc1C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5.0367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5.0114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5.0377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5.0678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5.0676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45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COc1cc(Nc2c(C#N)cnc3cc(OCCCN4CCN(C)CC4)c(OC)cc23)c(Cl)cc1Cl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5.7611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5.3093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5.7394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5.3338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5.3443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46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COc1cc2c(N3CCN(C(=O)Nc4ccc(OC(C)C)cc4)CC3)ncnc2cc1OCCCN1CCCCC1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5.6843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5.4448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5.7112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5.5112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5.7683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47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COc1cc2ncnc(Nc3ccc(F)c(Cl)c3)c2cc1OCCCN1CCOCC1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5.1166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5.1402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5.3162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5.1147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5.0875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48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COc1ccc(COc2ccc(Cc3cnc(N)nc3N)cc2OC)cc1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5.0386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5.0285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5.0250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5.0537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5.1012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49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CS(=O)(=O)CCNCc1ccc(-c2ccc3ncnc(Nc4ccc(OCc5cccc(F)c5)c(Cl)c4)c3c2)o1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5.0384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5.0326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5.0983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5.0281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5.0306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50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CS(=O)(=O)N1CCN(Cc2cc3nc(-c4cccc5[nH]ncc45)nc(N4CCOCC4)c3s2)CC1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5.0874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5.0258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5.0456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5.0438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5.0657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51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CS(=O)c1ccc(-c2nc(-c3ccc(F)cc3)c(-c3ccncc3)[nH]2)cc1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5.0742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5.0338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5.0913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5.0740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5.0268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52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Cc1[nH]c(C=C2C(=O)Nc3ccc(S(=O)(=O)Cc4c(Cl)cccc4Cl)cc32)c(C)c1C(=O)N1CCCC1CN1CCCC1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5.5818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5.2641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5.6405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5.3967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5.3918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53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Cc1[nH]nc2ccc(-c3cncc(OCC(N)Cc4ccccc4)c3)cc12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5.2561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5.0391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5.1576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5.0672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5.1024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54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Cc1ccc(NC(=O)c2ccc(CN3CCN(C)CC3)cc2)cc1Nc1nc(-c2cccnc2)cs1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5.0517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5.0529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5.3080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5.3781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5.2274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55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Cc1ccc(NC(=O)c2ccc(CN3CCN(C)CC3)cc2)cc1Nc1nccc(-c2cccnc2)n1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5.0596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5.0550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5.2511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5.3456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5.2328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56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Cc1ccc2nc(NCCN)c3ncc(C)n3c2c1.Cl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5.0477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5.0127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5.0250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5.0606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5.0567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57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Cc1cn(-c2cc(NC(=O)c3ccc(C)c(Nc4nccc(-c5cccnc5)n4)c3)cc(C(F)(F)F)c2)cn1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5.2350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5.1323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5.4079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5.6909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5.2982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58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Cn1cc(-c2ccc3nnc(Sc4ccc5ncccc5c4)n3n2)cn1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5.0353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5.0089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5.0227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5.0326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5.0274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59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Cn1cc(C2=C(c3cn(C4CCN(Cc5ccccn5)CC4)c4ccccc34)C(=O)NC2=O)c2ccccc21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5.1131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5.0322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5.1183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5.0818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5.0881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60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Cn1cnc2c(F)c(Nc3ccc(Br)cc3Cl)c(C(=O)NOCCO)cc21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5.0374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5.0110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5.0354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5.0402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5.0504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61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N#CCC(C1CCCC1)n1cc(-c2ncnc3[nH]ccc23)cn1.O=P(O)(O)O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5.2863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5.0408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5.2570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5.1794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5.0753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62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Nc1nc(N)c2nc(-c3cccc(O)c3)c(-c3cccc(O)c3)nc2n1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5.1327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5.0380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5.1020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5.0564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5.0429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63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O=C(NC1CCNCC1)c1[nH]ncc1NC(=O)c1c(Cl)cccc1Cl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5.0614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5.0234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5.0373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5.0059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5.0368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64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O=C(NOCC1CC1)c1ccc(F)c(F)c1Nc1ccc(I)cc1Cl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5.0449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5.0217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5.0226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5.0372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5.0499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65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O=C(O)c1ccc(Nc2ncc3c(n2)-c2ccc(Cl)cc2C(c2c(F)cccc2F)=NC3)cc1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5.1192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5.5494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5.1700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5.3849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5.3908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66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O=c1ncn2nc(Sc3ccc(F)cc3F)ccc2c1-c1c(Cl)cccc1Cl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5.0436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5.0197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5.0373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5.0607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5.0977</w:t>
            </w:r>
          </w:p>
        </w:tc>
      </w:tr>
      <w:tr>
        <w:tc>
          <w:tcPr>
            <w:tcW w:type="dxa" w:w="68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67</w:t>
            </w:r>
          </w:p>
        </w:tc>
        <w:tc>
          <w:tcPr>
            <w:tcW w:type="dxa" w:w="3855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OCCn1cc(-c2ccc3c(c2)CCC3=NO)c(-c2ccncc2)n1</w:t>
            </w:r>
          </w:p>
        </w:tc>
        <w:tc>
          <w:tcPr>
            <w:tcW w:type="dxa" w:w="794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5.0743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5.0228</w:t>
            </w:r>
          </w:p>
        </w:tc>
        <w:tc>
          <w:tcPr>
            <w:tcW w:type="dxa" w:w="907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5.0302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5.0691</w:t>
            </w:r>
          </w:p>
        </w:tc>
        <w:tc>
          <w:tcPr>
            <w:tcW w:type="dxa" w:w="850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5.0553</w:t>
            </w:r>
          </w:p>
        </w:tc>
      </w:tr>
      <w:tr>
        <w:tc>
          <w:tcPr>
            <w:tcW w:type="dxa" w:w="68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68</w:t>
            </w:r>
          </w:p>
        </w:tc>
        <w:tc>
          <w:tcPr>
            <w:tcW w:type="dxa" w:w="3855"/>
            <w:shd w:val="clear" w:color="auto" w:fill="F2F5FB"/>
          </w:tcPr>
          <w:p>
            <w:pPr>
              <w:spacing w:after="20" w:before="20"/>
              <w:jc w:val="left"/>
            </w:pPr>
            <w:r>
              <w:rPr>
                <w:rFonts w:ascii="Consolas" w:hAnsi="Consolas" w:eastAsia="Consolas"/>
                <w:sz w:val="14"/>
              </w:rPr>
            </w:r>
            <w:r>
              <w:rPr>
                <w:rFonts w:ascii="Consolas" w:hAnsi="Consolas" w:eastAsia="Consolas"/>
                <w:b w:val="0"/>
                <w:sz w:val="14"/>
              </w:rPr>
              <w:t>Oc1cccc(-c2nc(N3CCOCC3)c3oc4ncccc4c3n2)c1</w:t>
            </w:r>
          </w:p>
        </w:tc>
        <w:tc>
          <w:tcPr>
            <w:tcW w:type="dxa" w:w="794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5.000000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5.0657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5.0226</w:t>
            </w:r>
          </w:p>
        </w:tc>
        <w:tc>
          <w:tcPr>
            <w:tcW w:type="dxa" w:w="907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5.0500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5.0392</w:t>
            </w:r>
          </w:p>
        </w:tc>
        <w:tc>
          <w:tcPr>
            <w:tcW w:type="dxa" w:w="850"/>
            <w:shd w:val="clear" w:color="auto" w:fill="F2F5FB"/>
          </w:tcPr>
          <w:p>
            <w:pPr>
              <w:spacing w:after="20" w:before="20"/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5.0143</w:t>
            </w:r>
          </w:p>
        </w:tc>
      </w:tr>
    </w:tbl>
    <w:p>
      <w:pPr>
        <w:spacing w:after="40" w:before="40"/>
      </w:pPr>
      <w:r>
        <w:rPr>
          <w:rFonts w:ascii="Times New Roman" w:hAnsi="Times New Roman"/>
          <w:b w:val="0"/>
          <w:i/>
          <w:sz w:val="17"/>
        </w:rPr>
        <w:t>Predictions are the mean of the three seed Prediction_raw values; no retraining was performed. Sorting each method column by predicted value reproduces the compound-prioritization profiles in Figure 5 and the Kendall τ-b and Top-10 overlap values reported in Section 3.5.</w:t>
      </w:r>
    </w:p>
    <w:sectPr w:rsidR="00FC693F" w:rsidRPr="0006063C" w:rsidSect="00034616">
      <w:pgSz w:w="11906" w:h="16838"/>
      <w:pgMar w:top="1134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魁浩博</dc:creator>
  <cp:keywords/>
  <dc:description/>
  <cp:lastModifiedBy>魁浩博</cp:lastModifiedBy>
  <cp:revision>3</cp:revision>
  <dcterms:created xsi:type="dcterms:W3CDTF">2026-09-23T10:00:00Z</dcterms:created>
  <dcterms:modified xsi:type="dcterms:W3CDTF">2026-09-23T10:00:00Z</dcterms:modified>
  <cp:category/>
</cp:coreProperties>
</file>