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48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eastAsiaTheme="minorEastAsia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Figure S1: PNS regulates the expression of miR-26b-5p The expression level of miR-26b-5p was detected by qRT-PCR.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 w:eastAsiaTheme="minorEastAsia"/>
          <w:sz w:val="20"/>
          <w:szCs w:val="20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i/>
          <w:iCs/>
          <w:sz w:val="20"/>
          <w:szCs w:val="20"/>
          <w:lang w:eastAsia="zh-CN"/>
        </w:rPr>
        <w:t>P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 &lt; 0.05, </w:t>
      </w:r>
      <w:r>
        <w:rPr>
          <w:rFonts w:hint="default" w:ascii="Arial" w:hAnsi="Arial" w:cs="Arial" w:eastAsiaTheme="minorEastAsia"/>
          <w:sz w:val="20"/>
          <w:szCs w:val="20"/>
          <w:lang w:eastAsia="zh-CN"/>
        </w:rPr>
        <w:t>**</w:t>
      </w:r>
      <w:r>
        <w:rPr>
          <w:rFonts w:hint="default" w:ascii="Times New Roman" w:hAnsi="Times New Roman" w:cs="Times New Roman" w:eastAsiaTheme="minorEastAsia"/>
          <w:i/>
          <w:iCs/>
          <w:sz w:val="20"/>
          <w:szCs w:val="20"/>
          <w:lang w:eastAsia="zh-CN"/>
        </w:rPr>
        <w:t>P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 &lt; 0.01, </w:t>
      </w:r>
      <w:r>
        <w:rPr>
          <w:rFonts w:hint="default" w:ascii="Arial" w:hAnsi="Arial" w:cs="Arial" w:eastAsiaTheme="minorEastAsia"/>
          <w:sz w:val="20"/>
          <w:szCs w:val="20"/>
          <w:lang w:eastAsia="zh-CN"/>
        </w:rPr>
        <w:t>***</w:t>
      </w:r>
      <w:r>
        <w:rPr>
          <w:rFonts w:hint="default" w:ascii="Times New Roman" w:hAnsi="Times New Roman" w:cs="Times New Roman" w:eastAsiaTheme="minorEastAsia"/>
          <w:i/>
          <w:iCs/>
          <w:sz w:val="20"/>
          <w:szCs w:val="20"/>
          <w:lang w:eastAsia="zh-CN"/>
        </w:rPr>
        <w:t>P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 &lt; 0.001 versus control.</w:t>
      </w:r>
    </w:p>
    <w:p w14:paraId="517F59FB"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61745" cy="1835150"/>
            <wp:effectExtent l="0" t="0" r="3175" b="0"/>
            <wp:docPr id="1" name="图片 1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E7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>Figure 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 PNS concentration gradient experiment. HUVECs were treated with 25 μg/mL BLM and simultaneously incubated with different concentrations (25, 50, 100, 200 μg/mL) of PNS for 24h. The expression level of miR-16-5p was detected by qRT-PCR; </w:t>
      </w:r>
      <w:r>
        <w:rPr>
          <w:rFonts w:hint="default" w:ascii="Times New Roman" w:hAnsi="Times New Roman" w:cs="Times New Roman" w:eastAsiaTheme="minorEastAsia"/>
          <w:sz w:val="20"/>
          <w:szCs w:val="20"/>
          <w:vertAlign w:val="superscript"/>
          <w:lang w:eastAsia="zh-CN"/>
        </w:rPr>
        <w:t>#</w:t>
      </w:r>
      <w:r>
        <w:rPr>
          <w:rFonts w:hint="default" w:ascii="Times New Roman" w:hAnsi="Times New Roman" w:cs="Times New Roman" w:eastAsiaTheme="minorEastAsia"/>
          <w:i/>
          <w:iCs/>
          <w:sz w:val="20"/>
          <w:szCs w:val="20"/>
          <w:lang w:eastAsia="zh-CN"/>
        </w:rPr>
        <w:t>P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 &lt; 0.05, </w:t>
      </w:r>
      <w:r>
        <w:rPr>
          <w:rFonts w:hint="default" w:ascii="Times New Roman" w:hAnsi="Times New Roman" w:cs="Times New Roman" w:eastAsiaTheme="minorEastAsia"/>
          <w:sz w:val="20"/>
          <w:szCs w:val="20"/>
          <w:vertAlign w:val="superscript"/>
          <w:lang w:eastAsia="zh-CN"/>
        </w:rPr>
        <w:t>##</w:t>
      </w:r>
      <w:r>
        <w:rPr>
          <w:rFonts w:hint="default" w:ascii="Times New Roman" w:hAnsi="Times New Roman" w:cs="Times New Roman" w:eastAsiaTheme="minorEastAsia"/>
          <w:i/>
          <w:iCs/>
          <w:sz w:val="20"/>
          <w:szCs w:val="20"/>
          <w:lang w:eastAsia="zh-CN"/>
        </w:rPr>
        <w:t>P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 &lt; 0.01, </w:t>
      </w:r>
      <w:r>
        <w:rPr>
          <w:rFonts w:hint="default" w:ascii="Times New Roman" w:hAnsi="Times New Roman" w:cs="Times New Roman" w:eastAsiaTheme="minorEastAsia"/>
          <w:sz w:val="20"/>
          <w:szCs w:val="20"/>
          <w:vertAlign w:val="superscript"/>
          <w:lang w:eastAsia="zh-CN"/>
        </w:rPr>
        <w:t>###</w:t>
      </w:r>
      <w:r>
        <w:rPr>
          <w:rFonts w:hint="default" w:ascii="Times New Roman" w:hAnsi="Times New Roman" w:cs="Times New Roman" w:eastAsiaTheme="minorEastAsia"/>
          <w:i/>
          <w:iCs/>
          <w:sz w:val="20"/>
          <w:szCs w:val="20"/>
          <w:lang w:eastAsia="zh-CN"/>
        </w:rPr>
        <w:t>P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 &lt; 0.001 versus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BLM</w: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t xml:space="preserve"> . </w:t>
      </w:r>
    </w:p>
    <w:p w14:paraId="56EBB9C3"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2313305" cy="1642745"/>
            <wp:effectExtent l="0" t="0" r="0" b="0"/>
            <wp:docPr id="7" name="图片 7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FF014">
      <w:pPr>
        <w:rPr>
          <w:rFonts w:hint="eastAsia" w:ascii="Times New Roman" w:hAnsi="Times New Roman" w:cs="Times New Roman"/>
          <w:lang w:val="en-US" w:eastAsia="zh-CN"/>
        </w:rPr>
      </w:pPr>
    </w:p>
    <w:p w14:paraId="0FADFFC2">
      <w:pPr>
        <w:rPr>
          <w:rFonts w:hint="eastAsia" w:ascii="Times New Roman" w:hAnsi="Times New Roman" w:cs="Times New Roman"/>
          <w:lang w:val="en-US" w:eastAsia="zh-CN"/>
        </w:rPr>
      </w:pPr>
    </w:p>
    <w:p w14:paraId="6DFCDF81">
      <w:pPr>
        <w:rPr>
          <w:rFonts w:hint="eastAsia" w:ascii="Times New Roman" w:hAnsi="Times New Roman" w:cs="Times New Roman"/>
          <w:lang w:val="en-US" w:eastAsia="zh-CN"/>
        </w:rPr>
      </w:pPr>
    </w:p>
    <w:p w14:paraId="1031750E">
      <w:pPr>
        <w:rPr>
          <w:rFonts w:hint="eastAsia" w:ascii="Times New Roman" w:hAnsi="Times New Roman" w:cs="Times New Roman"/>
          <w:lang w:val="en-US" w:eastAsia="zh-CN"/>
        </w:rPr>
      </w:pPr>
    </w:p>
    <w:p w14:paraId="483F6746">
      <w:pPr>
        <w:rPr>
          <w:rFonts w:hint="eastAsia" w:ascii="Times New Roman" w:hAnsi="Times New Roman" w:cs="Times New Roman"/>
          <w:lang w:val="en-US" w:eastAsia="zh-CN"/>
        </w:rPr>
      </w:pPr>
    </w:p>
    <w:p w14:paraId="31AF2797">
      <w:pPr>
        <w:rPr>
          <w:rFonts w:hint="eastAsia" w:ascii="Times New Roman" w:hAnsi="Times New Roman" w:cs="Times New Roman"/>
          <w:lang w:val="en-US" w:eastAsia="zh-CN"/>
        </w:rPr>
      </w:pPr>
    </w:p>
    <w:p w14:paraId="4B39A669">
      <w:pPr>
        <w:rPr>
          <w:rFonts w:hint="eastAsia" w:ascii="Times New Roman" w:hAnsi="Times New Roman" w:cs="Times New Roman"/>
          <w:lang w:val="en-US" w:eastAsia="zh-CN"/>
        </w:rPr>
      </w:pPr>
    </w:p>
    <w:p w14:paraId="4418F232">
      <w:pPr>
        <w:rPr>
          <w:rFonts w:hint="eastAsia" w:ascii="Times New Roman" w:hAnsi="Times New Roman" w:cs="Times New Roman"/>
          <w:lang w:val="en-US" w:eastAsia="zh-CN"/>
        </w:rPr>
      </w:pPr>
    </w:p>
    <w:p w14:paraId="4097037A">
      <w:pPr>
        <w:rPr>
          <w:rFonts w:hint="eastAsia" w:ascii="Times New Roman" w:hAnsi="Times New Roman" w:cs="Times New Roman"/>
          <w:lang w:val="en-US" w:eastAsia="zh-CN"/>
        </w:rPr>
      </w:pPr>
    </w:p>
    <w:p w14:paraId="225E0721">
      <w:pPr>
        <w:rPr>
          <w:rFonts w:hint="eastAsia" w:ascii="Times New Roman" w:hAnsi="Times New Roman" w:cs="Times New Roman"/>
          <w:lang w:val="en-US" w:eastAsia="zh-CN"/>
        </w:rPr>
      </w:pPr>
    </w:p>
    <w:p w14:paraId="1856A992">
      <w:pPr>
        <w:rPr>
          <w:rFonts w:hint="eastAsia" w:ascii="Times New Roman" w:hAnsi="Times New Roman" w:cs="Times New Roman"/>
          <w:lang w:val="en-US" w:eastAsia="zh-CN"/>
        </w:rPr>
      </w:pPr>
    </w:p>
    <w:p w14:paraId="2EE6BFDC">
      <w:pPr>
        <w:rPr>
          <w:rFonts w:hint="eastAsia" w:ascii="Times New Roman" w:hAnsi="Times New Roman" w:cs="Times New Roman"/>
          <w:lang w:val="en-US" w:eastAsia="zh-CN"/>
        </w:rPr>
      </w:pPr>
    </w:p>
    <w:p w14:paraId="06B1A4D9">
      <w:pPr>
        <w:rPr>
          <w:rFonts w:hint="eastAsia" w:ascii="Times New Roman" w:hAnsi="Times New Roman" w:cs="Times New Roman"/>
          <w:lang w:val="en-US" w:eastAsia="zh-CN"/>
        </w:rPr>
      </w:pPr>
    </w:p>
    <w:p w14:paraId="7F1AA5D1">
      <w:pPr>
        <w:rPr>
          <w:rFonts w:hint="eastAsia" w:ascii="Times New Roman" w:hAnsi="Times New Roman" w:cs="Times New Roman"/>
          <w:lang w:val="en-US" w:eastAsia="zh-CN"/>
        </w:rPr>
      </w:pPr>
    </w:p>
    <w:p w14:paraId="38DC948D">
      <w:pPr>
        <w:rPr>
          <w:rFonts w:hint="eastAsia" w:ascii="Times New Roman" w:hAnsi="Times New Roman" w:cs="Times New Roman"/>
          <w:lang w:val="en-US" w:eastAsia="zh-CN"/>
        </w:rPr>
      </w:pPr>
    </w:p>
    <w:p w14:paraId="1D07F580">
      <w:pPr>
        <w:rPr>
          <w:rFonts w:hint="eastAsia" w:ascii="Times New Roman" w:hAnsi="Times New Roman" w:cs="Times New Roman"/>
          <w:lang w:val="en-US" w:eastAsia="zh-CN"/>
        </w:rPr>
      </w:pPr>
    </w:p>
    <w:p w14:paraId="080AD848">
      <w:pPr>
        <w:rPr>
          <w:rFonts w:hint="eastAsia" w:ascii="Times New Roman" w:hAnsi="Times New Roman" w:cs="Times New Roman"/>
          <w:lang w:val="en-US" w:eastAsia="zh-CN"/>
        </w:rPr>
      </w:pPr>
    </w:p>
    <w:p w14:paraId="2BEC3AA8">
      <w:pPr>
        <w:rPr>
          <w:rFonts w:hint="eastAsia" w:ascii="Times New Roman" w:hAnsi="Times New Roman" w:cs="Times New Roman"/>
          <w:lang w:val="en-US" w:eastAsia="zh-CN"/>
        </w:rPr>
      </w:pPr>
    </w:p>
    <w:p w14:paraId="6584210A">
      <w:pPr>
        <w:rPr>
          <w:rFonts w:hint="eastAsia" w:ascii="Times New Roman" w:hAnsi="Times New Roman" w:cs="Times New Roman"/>
          <w:lang w:val="en-US" w:eastAsia="zh-CN"/>
        </w:rPr>
      </w:pPr>
    </w:p>
    <w:p w14:paraId="30616901">
      <w:pPr>
        <w:rPr>
          <w:rFonts w:hint="default" w:ascii="Times New Roman" w:hAnsi="Times New Roman" w:eastAsia="宋体" w:cs="Times New Roman"/>
          <w:sz w:val="20"/>
          <w:szCs w:val="20"/>
          <w:lang w:val="en-US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Table S1 Comparison of baseline characteristics between the two groups</w:t>
      </w:r>
    </w:p>
    <w:tbl>
      <w:tblPr>
        <w:tblStyle w:val="3"/>
        <w:tblW w:w="8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167"/>
        <w:gridCol w:w="1870"/>
        <w:gridCol w:w="1920"/>
        <w:gridCol w:w="1210"/>
      </w:tblGrid>
      <w:tr w14:paraId="6DD88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240612D9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216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80DCD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ealthy controls (n = 14)</w:t>
            </w:r>
          </w:p>
        </w:tc>
        <w:tc>
          <w:tcPr>
            <w:tcW w:w="187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6487CF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IPF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patients</w:t>
            </w:r>
            <w:r>
              <w:rPr>
                <w:rStyle w:val="6"/>
                <w:rFonts w:ascii="Times New Roman" w:hAnsi="Times New Roman" w:eastAsia="宋体" w:cs="Times New Roman"/>
                <w:sz w:val="18"/>
                <w:szCs w:val="18"/>
                <w:lang w:bidi="ar"/>
              </w:rPr>
              <w:t>(n=14)</w:t>
            </w:r>
          </w:p>
        </w:tc>
        <w:tc>
          <w:tcPr>
            <w:tcW w:w="192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92FD3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Test statistic / method</w:t>
            </w:r>
          </w:p>
        </w:tc>
        <w:tc>
          <w:tcPr>
            <w:tcW w:w="121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AE27C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P value</w:t>
            </w:r>
          </w:p>
        </w:tc>
      </w:tr>
      <w:tr w14:paraId="7CE9B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F04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Age (years)</w:t>
            </w:r>
          </w:p>
        </w:tc>
        <w:tc>
          <w:tcPr>
            <w:tcW w:w="2167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4BEBC8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63.6 ± 9.0</w:t>
            </w:r>
          </w:p>
        </w:tc>
        <w:tc>
          <w:tcPr>
            <w:tcW w:w="1870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2F781D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64.5 ± 10.8</w:t>
            </w:r>
          </w:p>
        </w:tc>
        <w:tc>
          <w:tcPr>
            <w:tcW w:w="192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6AE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U=88.0</w:t>
            </w:r>
          </w:p>
        </w:tc>
        <w:tc>
          <w:tcPr>
            <w:tcW w:w="121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3734BAA9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  <w:t>0.723</w:t>
            </w:r>
          </w:p>
        </w:tc>
      </w:tr>
      <w:tr w14:paraId="0B32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9B617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8"/>
                <w:szCs w:val="18"/>
              </w:rPr>
              <w:t>Sex [n (%)]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B6A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5D1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FD8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Fisher’s exact test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635EA6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  <w:t>0.228</w:t>
            </w:r>
          </w:p>
        </w:tc>
      </w:tr>
      <w:tr w14:paraId="4969F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F4721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8"/>
                <w:szCs w:val="18"/>
              </w:rPr>
              <w:t>Male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A1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10 (71.4)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8E2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 (42.9)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828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0B986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</w:p>
        </w:tc>
      </w:tr>
      <w:tr w14:paraId="0A72E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2751575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8"/>
                <w:szCs w:val="18"/>
              </w:rPr>
              <w:t>Female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0C4D8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4（28.6）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AA383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8（57.1）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DEF91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A9CBFB2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</w:p>
        </w:tc>
      </w:tr>
    </w:tbl>
    <w:p w14:paraId="74555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 xml:space="preserve">Note: Age data are presented as mean ± standard deviation, and sex data are presented as n (%). The Mann–Whitney U test was used to compare age between the control and IPF groups. Fisher’s exact test was used to compare sex; therefore, no test statistic is reported. </w:t>
      </w:r>
      <w:r>
        <w:rPr>
          <w:rFonts w:hint="default" w:ascii="Times New Roman" w:hAnsi="Times New Roman" w:eastAsia="宋体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&lt; 0.05 was considered statistically significant.</w:t>
      </w:r>
    </w:p>
    <w:p w14:paraId="37B2E0AF">
      <w:pPr>
        <w:ind w:firstLine="420" w:firstLineChars="200"/>
        <w:rPr>
          <w:rFonts w:hint="default" w:ascii="Times New Roman" w:hAnsi="Times New Roman" w:eastAsia="宋体" w:cs="Times New Roman"/>
          <w:szCs w:val="21"/>
        </w:rPr>
      </w:pPr>
    </w:p>
    <w:p w14:paraId="5A5FD3F9"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Table S2. Baseline characteristics of patients with IPF</w:t>
      </w:r>
    </w:p>
    <w:tbl>
      <w:tblPr>
        <w:tblStyle w:val="3"/>
        <w:tblW w:w="8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1860"/>
        <w:gridCol w:w="1930"/>
        <w:gridCol w:w="1830"/>
        <w:gridCol w:w="940"/>
      </w:tblGrid>
      <w:tr w14:paraId="0649F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85C3EE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86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5E696FC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discovery phase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Style w:val="5"/>
                <w:rFonts w:ascii="Times New Roman" w:hAnsi="Times New Roman" w:eastAsia="宋体" w:cs="Times New Roman"/>
                <w:sz w:val="18"/>
                <w:szCs w:val="18"/>
                <w:lang w:bidi="ar"/>
              </w:rPr>
              <w:t>(n=4)</w:t>
            </w:r>
          </w:p>
        </w:tc>
        <w:tc>
          <w:tcPr>
            <w:tcW w:w="193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A3B24A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validation phase</w:t>
            </w:r>
            <w:r>
              <w:rPr>
                <w:rStyle w:val="5"/>
                <w:rFonts w:ascii="Times New Roman" w:hAnsi="Times New Roman" w:eastAsia="宋体" w:cs="Times New Roman"/>
                <w:sz w:val="18"/>
                <w:szCs w:val="18"/>
                <w:lang w:bidi="ar"/>
              </w:rPr>
              <w:t>(n=1</w:t>
            </w:r>
            <w:r>
              <w:rPr>
                <w:rStyle w:val="5"/>
                <w:rFonts w:hint="eastAsia" w:ascii="Times New Roman" w:hAnsi="Times New Roman" w:eastAsia="宋体" w:cs="Times New Roman"/>
                <w:sz w:val="18"/>
                <w:szCs w:val="18"/>
                <w:lang w:bidi="ar"/>
              </w:rPr>
              <w:t>0</w:t>
            </w:r>
            <w:r>
              <w:rPr>
                <w:rStyle w:val="5"/>
                <w:rFonts w:ascii="Times New Roman" w:hAnsi="Times New Roman" w:eastAsia="宋体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183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9FAE6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Test statistic / method</w:t>
            </w:r>
          </w:p>
        </w:tc>
        <w:tc>
          <w:tcPr>
            <w:tcW w:w="9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96D6F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P value</w:t>
            </w:r>
          </w:p>
        </w:tc>
      </w:tr>
      <w:tr w14:paraId="66358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2D1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Age (years)</w:t>
            </w:r>
          </w:p>
        </w:tc>
        <w:tc>
          <w:tcPr>
            <w:tcW w:w="186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10036C0F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65.3 ± 11.1</w:t>
            </w:r>
          </w:p>
        </w:tc>
        <w:tc>
          <w:tcPr>
            <w:tcW w:w="193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6E553810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64.2 ± 11.2</w:t>
            </w:r>
          </w:p>
        </w:tc>
        <w:tc>
          <w:tcPr>
            <w:tcW w:w="183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5654BBFE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U = 19.0</w:t>
            </w:r>
          </w:p>
        </w:tc>
        <w:tc>
          <w:tcPr>
            <w:tcW w:w="94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0BBCD49F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0.883</w:t>
            </w:r>
          </w:p>
        </w:tc>
      </w:tr>
      <w:tr w14:paraId="3341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879C34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8"/>
                <w:szCs w:val="18"/>
              </w:rPr>
              <w:t>Sex [n (%)]</w:t>
            </w:r>
          </w:p>
        </w:tc>
        <w:tc>
          <w:tcPr>
            <w:tcW w:w="186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23805501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3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0D49C03D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3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092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Fisher’s exact test</w:t>
            </w:r>
          </w:p>
        </w:tc>
        <w:tc>
          <w:tcPr>
            <w:tcW w:w="94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50DFC2CF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0.999</w:t>
            </w:r>
          </w:p>
        </w:tc>
      </w:tr>
      <w:tr w14:paraId="15F55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4EEBCA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8"/>
                <w:szCs w:val="18"/>
              </w:rPr>
              <w:t>Male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8A350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1（25.0）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5E0283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4（40.0）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933C40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B22DD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</w:p>
        </w:tc>
      </w:tr>
      <w:tr w14:paraId="5530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95B934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8"/>
                <w:szCs w:val="18"/>
              </w:rPr>
              <w:t>Female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EEBE16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3（75.0）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FEFC55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6（60.0）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22F98B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C3595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</w:p>
        </w:tc>
      </w:tr>
      <w:tr w14:paraId="5D89F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7F1B6">
            <w:pPr>
              <w:jc w:val="center"/>
              <w:rPr>
                <w:rFonts w:hint="default"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History of smoking[n (%)]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E09A99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1（25.0）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97C45C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3（30.0）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4E3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Fisher’s exact test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9642B5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0.999</w:t>
            </w:r>
          </w:p>
        </w:tc>
      </w:tr>
      <w:tr w14:paraId="4A91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7F7BF">
            <w:pPr>
              <w:jc w:val="center"/>
              <w:rPr>
                <w:rFonts w:hint="default"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FVC（%）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B81653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55.3 ± 12.1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D7A58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57.7 ± 14.4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B561E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U = 18.0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36FB3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0.754</w:t>
            </w:r>
          </w:p>
        </w:tc>
      </w:tr>
      <w:tr w14:paraId="1A88F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4EF3C">
            <w:pPr>
              <w:jc w:val="center"/>
              <w:rPr>
                <w:rFonts w:hint="default"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DLCO（%）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AA9BA6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45.3 ± 11.3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21AC0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42.7 ± 11.8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6923B9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U = 16.5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C403B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0.580</w:t>
            </w:r>
          </w:p>
        </w:tc>
      </w:tr>
      <w:tr w14:paraId="3C49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915C9F">
            <w:pPr>
              <w:jc w:val="center"/>
              <w:rPr>
                <w:rFonts w:hint="default"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GAP stage [n (%)]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B0345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D96127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115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hint="eastAsia" w:ascii="Times New Roman" w:hAnsi="Times New Roman" w:eastAsia="宋体" w:cs="Times New Roman"/>
                <w:color w:val="0F1115"/>
                <w:kern w:val="0"/>
                <w:sz w:val="18"/>
                <w:szCs w:val="18"/>
                <w:lang w:bidi="ar"/>
              </w:rPr>
              <w:t>Fisher’s exact test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4DAF43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0.558</w:t>
            </w:r>
          </w:p>
        </w:tc>
      </w:tr>
      <w:tr w14:paraId="7D48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84858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F1115"/>
                <w:sz w:val="18"/>
                <w:szCs w:val="18"/>
                <w:shd w:val="clear" w:color="auto" w:fill="FFFFFF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EC4A76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1（25.0）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F15952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3（30.0）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C916E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3FF5B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</w:tr>
      <w:tr w14:paraId="7A544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811DC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F1115"/>
                <w:sz w:val="18"/>
                <w:szCs w:val="18"/>
                <w:shd w:val="clear" w:color="auto" w:fill="FFFFFF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2085A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2（50.0）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573FF5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6（60.0）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D7CFC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0A771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</w:tr>
      <w:tr w14:paraId="5C7CE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F8DE173">
            <w:pPr>
              <w:jc w:val="center"/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F1115"/>
                <w:sz w:val="18"/>
                <w:szCs w:val="18"/>
                <w:shd w:val="clear" w:color="auto" w:fill="FFFFFF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10EBD56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1（25.0）</w:t>
            </w:r>
          </w:p>
        </w:tc>
        <w:tc>
          <w:tcPr>
            <w:tcW w:w="19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D826DCD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18"/>
                <w:szCs w:val="18"/>
                <w:shd w:val="clear" w:color="auto" w:fill="FFFFFF"/>
              </w:rPr>
              <w:t>1（10.0）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FBB17FB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793CF19">
            <w:pPr>
              <w:jc w:val="center"/>
              <w:rPr>
                <w:rFonts w:ascii="Times New Roman" w:hAnsi="Times New Roman" w:eastAsia="宋体" w:cs="Times New Roman"/>
                <w:color w:val="08090C"/>
                <w:sz w:val="18"/>
                <w:szCs w:val="18"/>
                <w:highlight w:val="cyan"/>
              </w:rPr>
            </w:pPr>
          </w:p>
        </w:tc>
      </w:tr>
    </w:tbl>
    <w:p w14:paraId="2EAEB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Note: Age, FVC (%), and DLCO (%) are presented as mean ± standard deviation; sex, smoking history, and GAP stage are presented as n (%). The Mann–Whitney U test was used to compare age, FVC (%), and DLCO (%) between the discovery and validation cohorts. Fisher’s exact test was used to compare sex, smoking history, and GAP stage; therefore, no test statistic is reported. 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&lt; 0.05 was considered statistically significant.</w:t>
      </w:r>
    </w:p>
    <w:p w14:paraId="78B6D810">
      <w:pPr>
        <w:rPr>
          <w:rFonts w:hint="default" w:ascii="Times New Roman" w:hAnsi="Times New Roman" w:cs="Times New Roman"/>
          <w:lang w:val="en-US" w:eastAsia="zh-CN"/>
        </w:rPr>
      </w:pPr>
    </w:p>
    <w:p w14:paraId="157ABE0B">
      <w:pPr>
        <w:rPr>
          <w:rFonts w:hint="eastAsia" w:ascii="Times New Roman" w:hAnsi="Times New Roman" w:cs="Times New Roman"/>
          <w:lang w:val="en-US" w:eastAsia="zh-CN"/>
        </w:rPr>
      </w:pPr>
    </w:p>
    <w:p w14:paraId="5937DB97">
      <w:pPr>
        <w:rPr>
          <w:rFonts w:hint="eastAsia" w:ascii="Times New Roman" w:hAnsi="Times New Roman" w:cs="Times New Roman"/>
          <w:lang w:val="en-US" w:eastAsia="zh-CN"/>
        </w:rPr>
      </w:pPr>
    </w:p>
    <w:p w14:paraId="02632167">
      <w:pPr>
        <w:rPr>
          <w:rFonts w:hint="eastAsia" w:ascii="Times New Roman" w:hAnsi="Times New Roman" w:cs="Times New Roman"/>
          <w:lang w:val="en-US" w:eastAsia="zh-CN"/>
        </w:rPr>
      </w:pPr>
    </w:p>
    <w:p w14:paraId="62D978DA">
      <w:pPr>
        <w:rPr>
          <w:rFonts w:hint="eastAsia" w:ascii="Times New Roman" w:hAnsi="Times New Roman" w:cs="Times New Roman"/>
          <w:lang w:val="en-US" w:eastAsia="zh-CN"/>
        </w:rPr>
      </w:pPr>
    </w:p>
    <w:p w14:paraId="761864EF">
      <w:pPr>
        <w:rPr>
          <w:rFonts w:hint="eastAsia" w:ascii="Times New Roman" w:hAnsi="Times New Roman" w:cs="Times New Roman"/>
          <w:lang w:val="en-US" w:eastAsia="zh-CN"/>
        </w:rPr>
      </w:pPr>
    </w:p>
    <w:p w14:paraId="72EA2FAD">
      <w:pPr>
        <w:rPr>
          <w:rFonts w:hint="eastAsia" w:ascii="Times New Roman" w:hAnsi="Times New Roman" w:cs="Times New Roman"/>
          <w:lang w:val="en-US" w:eastAsia="zh-CN"/>
        </w:rPr>
      </w:pPr>
    </w:p>
    <w:p w14:paraId="627471E5">
      <w:pPr>
        <w:rPr>
          <w:rFonts w:hint="eastAsia" w:ascii="Times New Roman" w:hAnsi="Times New Roman" w:cs="Times New Roman"/>
          <w:lang w:val="en-US" w:eastAsia="zh-CN"/>
        </w:rPr>
      </w:pPr>
    </w:p>
    <w:p w14:paraId="14D55D3E">
      <w:pPr>
        <w:rPr>
          <w:rFonts w:hint="eastAsia" w:ascii="Times New Roman" w:hAnsi="Times New Roman" w:cs="Times New Roman"/>
          <w:lang w:val="en-US" w:eastAsia="zh-CN"/>
        </w:rPr>
      </w:pPr>
    </w:p>
    <w:p w14:paraId="2E773C78">
      <w:pPr>
        <w:rPr>
          <w:rFonts w:hint="eastAsia" w:ascii="Times New Roman" w:hAnsi="Times New Roman" w:cs="Times New Roman"/>
          <w:lang w:val="en-US" w:eastAsia="zh-CN"/>
        </w:rPr>
      </w:pPr>
    </w:p>
    <w:p w14:paraId="55D14D36">
      <w:pPr>
        <w:rPr>
          <w:rFonts w:hint="eastAsia" w:ascii="Times New Roman" w:hAnsi="Times New Roman" w:cs="Times New Roman"/>
          <w:lang w:val="en-US" w:eastAsia="zh-CN"/>
        </w:rPr>
      </w:pPr>
    </w:p>
    <w:p w14:paraId="314043D2">
      <w:pPr>
        <w:rPr>
          <w:rFonts w:hint="eastAsia" w:ascii="Times New Roman" w:hAnsi="Times New Roman" w:cs="Times New Roman"/>
          <w:lang w:val="en-US" w:eastAsia="zh-CN"/>
        </w:rPr>
      </w:pPr>
    </w:p>
    <w:p w14:paraId="2CA8FCBE">
      <w:pPr>
        <w:rPr>
          <w:rFonts w:hint="eastAsia" w:ascii="Times New Roman" w:hAnsi="Times New Roman" w:cs="Times New Roman"/>
          <w:lang w:val="en-US" w:eastAsia="zh-CN"/>
        </w:rPr>
      </w:pPr>
    </w:p>
    <w:p w14:paraId="37804063">
      <w:pPr>
        <w:rPr>
          <w:rFonts w:hint="eastAsia" w:ascii="Times New Roman" w:hAnsi="Times New Roman" w:cs="Times New Roman"/>
          <w:lang w:val="en-US" w:eastAsia="zh-CN"/>
        </w:rPr>
      </w:pPr>
    </w:p>
    <w:p w14:paraId="6DC19923">
      <w:pPr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Table S3 qRT-PCR primers</w:t>
      </w:r>
      <w:bookmarkStart w:id="0" w:name="_GoBack"/>
      <w:bookmarkEnd w:id="0"/>
    </w:p>
    <w:tbl>
      <w:tblPr>
        <w:tblStyle w:val="3"/>
        <w:tblW w:w="10579" w:type="dxa"/>
        <w:tblInd w:w="-8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6180"/>
        <w:gridCol w:w="2885"/>
      </w:tblGrid>
      <w:tr w14:paraId="775C9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74DB3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61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AF1D7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Forward 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—3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  <w:tc>
          <w:tcPr>
            <w:tcW w:w="288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E9D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Reverse 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—5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2C79D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6B7E6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For human</w:t>
            </w:r>
          </w:p>
        </w:tc>
        <w:tc>
          <w:tcPr>
            <w:tcW w:w="61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8082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B48A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 w14:paraId="2D83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2B3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let-7e-5p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0B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-CTCAACTGGTGTCGTGGAGTCGGCAATTCAGTTGAGCTGAGGTA-3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29A00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B6A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1CE1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ACACTCCAGCTGGGAACTATACAACCTCC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15C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7FF9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7DB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miR-16-5p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36A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-CTCAACTGGTGTCGTGGAGTCGGCAATTCAGTTGAGTAGCAGCA-3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42DE1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D6B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64BA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ACACTCCAGCTGGGACGCCAATATTTACG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43D8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42856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2BA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let-7c-5p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8AC3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-CTCAACTGGTGTCGTGGAGTCGGCAATTCAGTTGAGTGAGGTAG-3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78182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04D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0B8F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ACACTCCAGCTGGGAATACAACCTA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A8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097CF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83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miR-409-3p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6E81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CTCAACTGGTGTCGTGGAGTCGGCAATTCAGTTGAGGAATGTTG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7C37D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13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67E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ACACTCCAGCTGGGAAGGGGTTCACCGAG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AA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798EC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23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miR-26b-5p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0C1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-CTCAACTGGTGTCGTGGAGTCGGCAATTCAGTTGAGACCTATCC-3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0EB2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7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A0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ACACTCCAGCTGGGATTCAAGTAATTCA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1437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30CA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8E4C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miR-27b-3p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7D9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-CTCAACTGGTGTCGTGGAGTCGGCAATTCAGTTGAGGCAGAACT-3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6541E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C8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40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ACACTCCAGCTGGGATTCACAGTGGCTA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12C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1977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65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c-Jun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8E1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TCCAAGTGCCGAAAAAGGAAG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706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CGAGTTCTGAGCTTTCAAGGT</w:t>
            </w:r>
          </w:p>
        </w:tc>
      </w:tr>
      <w:tr w14:paraId="2623B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AA8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CCN2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34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CAGCATGGACGTTCGCTG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A54A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AACCACGGTTTGGTCCTTGG</w:t>
            </w:r>
          </w:p>
        </w:tc>
      </w:tr>
      <w:tr w14:paraId="62D5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C1E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α-SMA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156F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AAAAGACAGCTACGTGGGTGA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FE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GCCATGTTCTATCGGGTACTTC</w:t>
            </w:r>
          </w:p>
        </w:tc>
      </w:tr>
      <w:tr w14:paraId="71501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5C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Collagen I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4FAF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GAGGGCCAAGACGAAGACATC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9D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CAGATCACGTCATCGCACAAC</w:t>
            </w:r>
          </w:p>
        </w:tc>
      </w:tr>
      <w:tr w14:paraId="7CDCB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018D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FN1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A9A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AGGAAGCCGAGGTTTTAACTG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2C8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AGGACGCTCATAAGTGTCACC</w:t>
            </w:r>
          </w:p>
        </w:tc>
      </w:tr>
      <w:tr w14:paraId="3880F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87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CD31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9D75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AACAGTGTTGACATGAAGAGCC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AF6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TGTAAAACAGCACGTCATCCTT</w:t>
            </w:r>
          </w:p>
        </w:tc>
      </w:tr>
      <w:tr w14:paraId="1B496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5D1D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VE-cad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E0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TTGGAACCAGATGCACATTGAT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A78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TCTTGCGACTCACGCTTGAC</w:t>
            </w:r>
          </w:p>
        </w:tc>
      </w:tr>
      <w:tr w14:paraId="71B2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EB3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VWF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6D6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AGCCTTGTGAAACTGAAGCAT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ab/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18A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GCCCTGGTTGCCATTGTAATTC</w:t>
            </w:r>
          </w:p>
        </w:tc>
      </w:tr>
      <w:tr w14:paraId="1096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768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cel-39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C71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-CTCAACTGGTGTCGTGGAGTCGGCAATTCAGTTGAGCAAGCTGA-3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3DF65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084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280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ACACTCCAGCTGGGATCACCGGGTTAAA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0F1D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796D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7D1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β-actin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E852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TTCCTTCCTGGGCATGGAGT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B435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TCTTCATTGTGCTGGGTGCC</w:t>
            </w:r>
          </w:p>
        </w:tc>
      </w:tr>
      <w:tr w14:paraId="5B35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6EB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For mouse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1F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057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 w14:paraId="032A1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BED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miR-16-5p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1B6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RT-primer:5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-CTCAACTGGTGTCGTGGAGTCGGCAATTCAGTTGAGCGCCAATA-3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25FC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3F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308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ACACTCCAGCTGGGATAGCAGCACGTAAA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17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CTGGTGTCGTGGAGTCGG</w:t>
            </w:r>
          </w:p>
        </w:tc>
      </w:tr>
      <w:tr w14:paraId="45CA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E6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c-Jun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C99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CCTTCTACGACGATGCCCTC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40DF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GGTTCAAGGTCATGCTCTGTTT</w:t>
            </w:r>
          </w:p>
        </w:tc>
      </w:tr>
      <w:tr w14:paraId="668BC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F0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CCN2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7B9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GACCCAACTATGATG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GAGCC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ACB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CC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ATCCCACAGGTCTTAGAAC</w:t>
            </w:r>
          </w:p>
        </w:tc>
      </w:tr>
      <w:tr w14:paraId="7DCD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F4C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α-SMA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82E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GTCCCAGACATCAGGGAGTAA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FE4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TCGGATACTTCAGCGTCAGGA</w:t>
            </w:r>
          </w:p>
        </w:tc>
      </w:tr>
      <w:tr w14:paraId="4AE7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18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Collagen I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4A0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TAAGGGTCCCCAATGGTGAGA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C17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TTCCAGGCAATCCACGAGC</w:t>
            </w:r>
          </w:p>
        </w:tc>
      </w:tr>
      <w:tr w14:paraId="58836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D323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FN1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76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ATGTGGACCCCTCCTGATAGT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48E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GCCCAGTGATTTCAGCAAAGG</w:t>
            </w:r>
          </w:p>
        </w:tc>
      </w:tr>
      <w:tr w14:paraId="06FEC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419D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β-actin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3E9F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AACAGTCCGCCTAGAAGCAC</w:t>
            </w: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06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CGTTGACATCCGTAAAGACC</w:t>
            </w:r>
          </w:p>
        </w:tc>
      </w:tr>
      <w:tr w14:paraId="3F1C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F4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For human/mouse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2090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0B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 w14:paraId="1983E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9E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U6</w:t>
            </w:r>
          </w:p>
        </w:tc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E2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RT-primer:5’-CGCTTCACGAATTTGCGTGTCAT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-3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7191D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3576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AD1E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CAGCACATATACTAAAATTGGAACG</w:t>
            </w:r>
          </w:p>
        </w:tc>
        <w:tc>
          <w:tcPr>
            <w:tcW w:w="28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146B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ACGAATTTGCGTGTCATCC</w:t>
            </w:r>
          </w:p>
        </w:tc>
      </w:tr>
    </w:tbl>
    <w:p w14:paraId="4AFD889C">
      <w:pPr>
        <w:rPr>
          <w:rFonts w:hint="default" w:ascii="Times New Roman" w:hAnsi="Times New Roman" w:cs="Times New Roman" w:eastAsiaTheme="minorEastAsia"/>
          <w:lang w:eastAsia="zh-CN"/>
        </w:rPr>
      </w:pPr>
    </w:p>
    <w:p w14:paraId="55BA46BF">
      <w:pPr>
        <w:rPr>
          <w:rFonts w:hint="default" w:ascii="Times New Roman" w:hAnsi="Times New Roman" w:cs="Times New Roman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F00C3"/>
    <w:rsid w:val="18D73931"/>
    <w:rsid w:val="340549AD"/>
    <w:rsid w:val="34F92CB5"/>
    <w:rsid w:val="39DD16EF"/>
    <w:rsid w:val="3EF02569"/>
    <w:rsid w:val="51D17917"/>
    <w:rsid w:val="5936703B"/>
    <w:rsid w:val="79907C6A"/>
    <w:rsid w:val="7F03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ascii="Segoe UI" w:hAnsi="Segoe UI" w:eastAsia="Segoe UI" w:cs="Segoe UI"/>
      <w:color w:val="000000"/>
      <w:sz w:val="23"/>
      <w:szCs w:val="23"/>
      <w:u w:val="none"/>
    </w:rPr>
  </w:style>
  <w:style w:type="character" w:customStyle="1" w:styleId="6">
    <w:name w:val="font11"/>
    <w:basedOn w:val="4"/>
    <w:qFormat/>
    <w:uiPriority w:val="0"/>
    <w:rPr>
      <w:rFonts w:hint="default" w:ascii="Segoe UI" w:hAnsi="Segoe UI" w:eastAsia="Segoe UI" w:cs="Segoe UI"/>
      <w:color w:val="00000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491</Words>
  <Characters>3483</Characters>
  <Lines>0</Lines>
  <Paragraphs>0</Paragraphs>
  <TotalTime>13</TotalTime>
  <ScaleCrop>false</ScaleCrop>
  <LinksUpToDate>false</LinksUpToDate>
  <CharactersWithSpaces>3758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2026-06-18T03:10:00Z</dcterms:created>
  <dc:creator>小星星</dc:creator>
  <cp:lastModifiedBy>qzuser</cp:lastModifiedBy>
  <dcterms:modified xsi:type="dcterms:W3CDTF">2026-10-10T12:27:40Z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eyJoZGlkIjoiNjM2MTc5MmFiYmYwMmY1NDI5ZjkzMGFkYTU0MTY4ZTQiLCJ1c2VySWQiOiIzMjAxOTE1ODUifQ==</vt:lpwstr>
  </property>
  <property fmtid="{D5CDD505-2E9C-101B-9397-08002B2CF9AE}" pid="4" name="ICV">
    <vt:lpwstr>2AEFCA47E7EA49ECAA3A7158674CC9C8_12</vt:lpwstr>
  </property>
</Properties>
</file>