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Times New Roman" w:cs="Times New Roman" w:eastAsia="Times New Roman" w:hAnsi="Times New Roman"/>
          <w:b/>
          <w:bCs/>
          <w:sz w:val="26"/>
          <w:szCs w:val="26"/>
        </w:rPr>
        <w:t xml:space="preserve">Supplementary file. Mechanism-equivalent age quantifies how many years of ageing equal a road traffic injury after limb fracture in 547,024 patients</w:t>
      </w:r>
    </w:p>
    <w:p>
      <w:pPr>
        <w:pStyle w:val="Heading1"/>
        <w:spacing w:after="100" w:before="220"/>
      </w:pPr>
      <w:r>
        <w:rPr>
          <w:rFonts w:ascii="Times New Roman" w:cs="Times New Roman" w:eastAsia="Times New Roman" w:hAnsi="Times New Roman"/>
          <w:b/>
          <w:bCs/>
          <w:sz w:val="24"/>
          <w:szCs w:val="24"/>
        </w:rPr>
        <w:t xml:space="preserve">S1. Analysis plan, dated amendment and hashes</w:t>
      </w:r>
    </w:p>
    <w:p>
      <w:pPr>
        <w:spacing w:after="120" w:line="300"/>
      </w:pPr>
      <w:r>
        <w:rPr>
          <w:rFonts w:ascii="Times New Roman" w:cs="Times New Roman" w:eastAsia="Times New Roman" w:hAnsi="Times New Roman"/>
          <w:sz w:val="21"/>
          <w:szCs w:val="21"/>
        </w:rPr>
        <w:t xml:space="preserve">The first plan (LEP_tasarim_v0.md, 11 October 2026) was written and hash stamped before any cohort was built; one crude feasibility table (Brazil, tibial fracture, age group by mechanism by death) and the external cause coding rate had been seen before it was locked. Two dated amendments follow. The first was written after external review of the first full draft and after all results were known. The second defined mechanism-equivalent age, its censoring rules, two hypotheses and the crossover age, and was hash stamped before any MEA value was computed.</w:t>
      </w:r>
    </w:p>
    <w:p>
      <w:pPr>
        <w:spacing w:after="120" w:line="300"/>
      </w:pPr>
      <w:r>
        <w:rPr>
          <w:rFonts w:ascii="Times New Roman" w:cs="Times New Roman" w:eastAsia="Times New Roman" w:hAnsi="Times New Roman"/>
          <w:sz w:val="21"/>
          <w:szCs w:val="21"/>
        </w:rPr>
        <w:t xml:space="preserve">8f6b52b73e20ad6b3cdd57ac6c6fdd626e4d14aef90222854a68ef8c651870ad  LEP_tasarim_v0.md
d5e9428a79119d5fcb6127d626b1986b8bc2437c77dcf72ddbc5d7b76c7e4a79  LEP_tasarim_v1.md
</w:t>
      </w:r>
    </w:p>
    <w:p>
      <w:pPr>
        <w:spacing w:after="120" w:line="300"/>
      </w:pPr>
      <w:r>
        <w:rPr>
          <w:rFonts w:ascii="Times New Roman" w:cs="Times New Roman" w:eastAsia="Times New Roman" w:hAnsi="Times New Roman"/>
          <w:sz w:val="21"/>
          <w:szCs w:val="21"/>
        </w:rPr>
        <w:t xml:space="preserve"># LOW-ENERGY PARADOX (LEP) tasarım v0, 11 Ekim 2026 (KİLİT)</w:t>
      </w:r>
    </w:p>
    <w:p>
      <w:pPr>
        <w:spacing w:after="120" w:line="300"/>
      </w:pPr>
      <w:r>
        <w:rPr>
          <w:rFonts w:ascii="Times New Roman" w:cs="Times New Roman" w:eastAsia="Times New Roman" w:hAnsi="Times New Roman"/>
          <w:sz w:val="21"/>
          <w:szCs w:val="21"/>
        </w:rPr>
        <w:t xml:space="preserve">Başlık (çalışma): Does low energy trauma conceal high mortality risk? Age and fracture specific associations of injury mechanism with in hospital death in three hospital databases.</w:t>
      </w:r>
    </w:p>
    <w:p>
      <w:pPr>
        <w:spacing w:after="120" w:line="300"/>
      </w:pPr>
      <w:r>
        <w:rPr>
          <w:rFonts w:ascii="Times New Roman" w:cs="Times New Roman" w:eastAsia="Times New Roman" w:hAnsi="Times New Roman"/>
          <w:sz w:val="21"/>
          <w:szCs w:val="21"/>
        </w:rPr>
        <w:t xml:space="preserve"/>
      </w:r>
    </w:p>
    <w:p>
      <w:pPr>
        <w:spacing w:after="120" w:line="300"/>
      </w:pPr>
      <w:r>
        <w:rPr>
          <w:rFonts w:ascii="Times New Roman" w:cs="Times New Roman" w:eastAsia="Times New Roman" w:hAnsi="Times New Roman"/>
          <w:sz w:val="21"/>
          <w:szCs w:val="21"/>
        </w:rPr>
        <w:t xml:space="preserve">## Soru</w:t>
      </w:r>
    </w:p>
    <w:p>
      <w:pPr>
        <w:spacing w:after="120" w:line="300"/>
      </w:pPr>
      <w:r>
        <w:rPr>
          <w:rFonts w:ascii="Times New Roman" w:cs="Times New Roman" w:eastAsia="Times New Roman" w:hAnsi="Times New Roman"/>
          <w:sz w:val="21"/>
          <w:szCs w:val="21"/>
        </w:rPr>
        <w:t xml:space="preserve">Aynı anatomik kırıkta düşmeye bağlı (fall related) ve trafiğe bağlı (traffic related) yaralanmanın hastane içi ölümle ilişkisi yaşa göre değişmekte mi; ileri yaşta düşmeyle gelen kırığın mutlak ölüm riski genç yaşta trafikle gelen aynı kırığınkine ulaşmakta ya da onu aşmakta mı?</w:t>
      </w:r>
    </w:p>
    <w:p>
      <w:pPr>
        <w:spacing w:after="120" w:line="300"/>
      </w:pPr>
      <w:r>
        <w:rPr>
          <w:rFonts w:ascii="Times New Roman" w:cs="Times New Roman" w:eastAsia="Times New Roman" w:hAnsi="Times New Roman"/>
          <w:sz w:val="21"/>
          <w:szCs w:val="21"/>
        </w:rPr>
        <w:t xml:space="preserve"/>
      </w:r>
    </w:p>
    <w:p>
      <w:pPr>
        <w:spacing w:after="120" w:line="300"/>
      </w:pPr>
      <w:r>
        <w:rPr>
          <w:rFonts w:ascii="Times New Roman" w:cs="Times New Roman" w:eastAsia="Times New Roman" w:hAnsi="Times New Roman"/>
          <w:sz w:val="21"/>
          <w:szCs w:val="21"/>
        </w:rPr>
        <w:t xml:space="preserve">## Görülen şey (şeffaflık)</w:t>
      </w:r>
    </w:p>
    <w:p>
      <w:pPr>
        <w:spacing w:after="120" w:line="300"/>
      </w:pPr>
      <w:r>
        <w:rPr>
          <w:rFonts w:ascii="Times New Roman" w:cs="Times New Roman" w:eastAsia="Times New Roman" w:hAnsi="Times New Roman"/>
          <w:sz w:val="21"/>
          <w:szCs w:val="21"/>
        </w:rPr>
        <w:t xml:space="preserve">Tasarım yazılmadan önce Brezilya'da dış neden kodlanma oranı (erişkinlerde %98) ve tibia kırığı için yaş grubu × mekanizma × ölüm kaba tablosu görülmüştür (80+ düşme %2,7, 18-39 trafik %0,18). Başka hiçbir kırık ve hiçbir kohort için çapraz görülmemiştir. Hipotez yönü bu tablodan bağımsız olarak zaten düşünülmüştü; yine de tibia için doğrulayıcı değil keşifsel sayılır.</w:t>
      </w:r>
    </w:p>
    <w:p>
      <w:pPr>
        <w:spacing w:after="120" w:line="300"/>
      </w:pPr>
      <w:r>
        <w:rPr>
          <w:rFonts w:ascii="Times New Roman" w:cs="Times New Roman" w:eastAsia="Times New Roman" w:hAnsi="Times New Roman"/>
          <w:sz w:val="21"/>
          <w:szCs w:val="21"/>
        </w:rPr>
        <w:t xml:space="preserve"/>
      </w:r>
    </w:p>
    <w:p>
      <w:pPr>
        <w:spacing w:after="120" w:line="300"/>
      </w:pPr>
      <w:r>
        <w:rPr>
          <w:rFonts w:ascii="Times New Roman" w:cs="Times New Roman" w:eastAsia="Times New Roman" w:hAnsi="Times New Roman"/>
          <w:sz w:val="21"/>
          <w:szCs w:val="21"/>
        </w:rPr>
        <w:t xml:space="preserve">## Veri setleri ve rolleri</w:t>
      </w:r>
    </w:p>
    <w:p>
      <w:pPr>
        <w:spacing w:after="120" w:line="300"/>
      </w:pPr>
      <w:r>
        <w:rPr>
          <w:rFonts w:ascii="Times New Roman" w:cs="Times New Roman" w:eastAsia="Times New Roman" w:hAnsi="Times New Roman"/>
          <w:sz w:val="21"/>
          <w:szCs w:val="21"/>
        </w:rPr>
        <w:t xml:space="preserve">- Brezilya SIH/SUS 2023-2026 (birincil, erişkin 2,0 milyon kırık yatışı; dış neden DIAGSEC alanlarında; hastane CNES). Fasyotomi/kafa yaralanması sorunları bu soruyu ilgilendirmez.</w:t>
      </w:r>
    </w:p>
    <w:p>
      <w:pPr>
        <w:spacing w:after="120" w:line="300"/>
      </w:pPr>
      <w:r>
        <w:rPr>
          <w:rFonts w:ascii="Times New Roman" w:cs="Times New Roman" w:eastAsia="Times New Roman" w:hAnsi="Times New Roman"/>
          <w:sz w:val="21"/>
          <w:szCs w:val="21"/>
        </w:rPr>
        <w:t xml:space="preserve">- Meksika SAEH 2022-2023 (ikinci ulusal kohort; dış neden CAUSAEXT veya ikincil tanı, %69 kayıtlı; hastane CLUES).</w:t>
      </w:r>
    </w:p>
    <w:p>
      <w:pPr>
        <w:spacing w:after="120" w:line="300"/>
      </w:pPr>
      <w:r>
        <w:rPr>
          <w:rFonts w:ascii="Times New Roman" w:cs="Times New Roman" w:eastAsia="Times New Roman" w:hAnsi="Times New Roman"/>
          <w:sz w:val="21"/>
          <w:szCs w:val="21"/>
        </w:rPr>
        <w:t xml:space="preserve">- MIMIC-IV 3.1 (üçüncü kohort; komorbidite ve erken fizyoloji ile duyarlılık).</w:t>
      </w:r>
    </w:p>
    <w:p>
      <w:pPr>
        <w:spacing w:after="120" w:line="300"/>
      </w:pPr>
      <w:r>
        <w:rPr>
          <w:rFonts w:ascii="Times New Roman" w:cs="Times New Roman" w:eastAsia="Times New Roman" w:hAnsi="Times New Roman"/>
          <w:sz w:val="21"/>
          <w:szCs w:val="21"/>
        </w:rPr>
        <w:t xml:space="preserve">- eICU: mekanizma kaydı yok, çalışma dışı.</w:t>
      </w:r>
    </w:p>
    <w:p>
      <w:pPr>
        <w:spacing w:after="120" w:line="300"/>
      </w:pPr>
      <w:r>
        <w:rPr>
          <w:rFonts w:ascii="Times New Roman" w:cs="Times New Roman" w:eastAsia="Times New Roman" w:hAnsi="Times New Roman"/>
          <w:sz w:val="21"/>
          <w:szCs w:val="21"/>
        </w:rPr>
        <w:t xml:space="preserve"/>
      </w:r>
    </w:p>
    <w:p>
      <w:pPr>
        <w:spacing w:after="120" w:line="300"/>
      </w:pPr>
      <w:r>
        <w:rPr>
          <w:rFonts w:ascii="Times New Roman" w:cs="Times New Roman" w:eastAsia="Times New Roman" w:hAnsi="Times New Roman"/>
          <w:sz w:val="21"/>
          <w:szCs w:val="21"/>
        </w:rPr>
        <w:t xml:space="preserve">## Kohort</w:t>
      </w:r>
    </w:p>
    <w:p>
      <w:pPr>
        <w:spacing w:after="120" w:line="300"/>
      </w:pPr>
      <w:r>
        <w:rPr>
          <w:rFonts w:ascii="Times New Roman" w:cs="Times New Roman" w:eastAsia="Times New Roman" w:hAnsi="Times New Roman"/>
          <w:sz w:val="21"/>
          <w:szCs w:val="21"/>
        </w:rPr>
        <w:t xml:space="preserve">18 yaş ve üstü, ana tanı (Brezilya, Meksika) ya da herhangi tanı (MIMIC, ana tanı önceliği ile) aşağıdaki kırıklardan biri:</w:t>
      </w:r>
    </w:p>
    <w:p>
      <w:pPr>
        <w:spacing w:after="120" w:line="300"/>
      </w:pPr>
      <w:r>
        <w:rPr>
          <w:rFonts w:ascii="Times New Roman" w:cs="Times New Roman" w:eastAsia="Times New Roman" w:hAnsi="Times New Roman"/>
          <w:sz w:val="21"/>
          <w:szCs w:val="21"/>
        </w:rPr>
        <w:t xml:space="preserve">kalça (S72.0-S72.2), femur cismi (S72.3), tibia (S82.1-S82.3), önkol cismi (S52.2-S52.4), proksimal humerus (S42.2), vertebra (S22.0, S32.0), pelvis halkası (S32.1-S32.8).</w:t>
      </w:r>
    </w:p>
    <w:p>
      <w:pPr>
        <w:spacing w:after="120" w:line="300"/>
      </w:pPr>
      <w:r>
        <w:rPr>
          <w:rFonts w:ascii="Times New Roman" w:cs="Times New Roman" w:eastAsia="Times New Roman" w:hAnsi="Times New Roman"/>
          <w:sz w:val="21"/>
          <w:szCs w:val="21"/>
        </w:rPr>
        <w:t xml:space="preserve">Her kırık tipi ayrı tabaka; birden fazla kırık tipi olan hasta ana tanısının kırığına atanır.</w:t>
      </w:r>
    </w:p>
    <w:p>
      <w:pPr>
        <w:spacing w:after="120" w:line="300"/>
      </w:pPr>
      <w:r>
        <w:rPr>
          <w:rFonts w:ascii="Times New Roman" w:cs="Times New Roman" w:eastAsia="Times New Roman" w:hAnsi="Times New Roman"/>
          <w:sz w:val="21"/>
          <w:szCs w:val="21"/>
        </w:rPr>
        <w:t xml:space="preserve"/>
      </w:r>
    </w:p>
    <w:p>
      <w:pPr>
        <w:spacing w:after="120" w:line="300"/>
      </w:pPr>
      <w:r>
        <w:rPr>
          <w:rFonts w:ascii="Times New Roman" w:cs="Times New Roman" w:eastAsia="Times New Roman" w:hAnsi="Times New Roman"/>
          <w:sz w:val="21"/>
          <w:szCs w:val="21"/>
        </w:rPr>
        <w:t xml:space="preserve">## Maruziyet</w:t>
      </w:r>
    </w:p>
    <w:p>
      <w:pPr>
        <w:spacing w:after="120" w:line="300"/>
      </w:pPr>
      <w:r>
        <w:rPr>
          <w:rFonts w:ascii="Times New Roman" w:cs="Times New Roman" w:eastAsia="Times New Roman" w:hAnsi="Times New Roman"/>
          <w:sz w:val="21"/>
          <w:szCs w:val="21"/>
        </w:rPr>
        <w:t xml:space="preserve">Mekanizma, dış neden kodundan: düşmeye bağlı (W00-W19), trafiğe bağlı (V01-V89). Diğer kayıtlı neden ve kaydedilmemiş neden ayrı kategoriler olarak tutulur, birincil karşılaştırmaya girmez. "Düşük enerji" ve "yüksek enerji" terimleri kullanılmaz, çünkü W kodu enerji düzeyini vermez; yükseklikten düşme (W10-W17) duyarlılıkta ayrılır.</w:t>
      </w:r>
    </w:p>
    <w:p>
      <w:pPr>
        <w:spacing w:after="120" w:line="300"/>
      </w:pPr>
      <w:r>
        <w:rPr>
          <w:rFonts w:ascii="Times New Roman" w:cs="Times New Roman" w:eastAsia="Times New Roman" w:hAnsi="Times New Roman"/>
          <w:sz w:val="21"/>
          <w:szCs w:val="21"/>
        </w:rPr>
        <w:t xml:space="preserve"/>
      </w:r>
    </w:p>
    <w:p>
      <w:pPr>
        <w:spacing w:after="120" w:line="300"/>
      </w:pPr>
      <w:r>
        <w:rPr>
          <w:rFonts w:ascii="Times New Roman" w:cs="Times New Roman" w:eastAsia="Times New Roman" w:hAnsi="Times New Roman"/>
          <w:sz w:val="21"/>
          <w:szCs w:val="21"/>
        </w:rPr>
        <w:t xml:space="preserve">## Sonlanım</w:t>
      </w:r>
    </w:p>
    <w:p>
      <w:pPr>
        <w:spacing w:after="120" w:line="300"/>
      </w:pPr>
      <w:r>
        <w:rPr>
          <w:rFonts w:ascii="Times New Roman" w:cs="Times New Roman" w:eastAsia="Times New Roman" w:hAnsi="Times New Roman"/>
          <w:sz w:val="21"/>
          <w:szCs w:val="21"/>
        </w:rPr>
        <w:t xml:space="preserve">Hastane içi ölüm (Brezilya MORTE, Meksika MOTEGRE 5, MIMIC hospital_expire_flag). İkincil: yatış süresi, YBÜ (Brezilya UTI günü, MIMIC YBÜ).</w:t>
      </w:r>
    </w:p>
    <w:p>
      <w:pPr>
        <w:spacing w:after="120" w:line="300"/>
      </w:pPr>
      <w:r>
        <w:rPr>
          <w:rFonts w:ascii="Times New Roman" w:cs="Times New Roman" w:eastAsia="Times New Roman" w:hAnsi="Times New Roman"/>
          <w:sz w:val="21"/>
          <w:szCs w:val="21"/>
        </w:rPr>
        <w:t xml:space="preserve"/>
      </w:r>
    </w:p>
    <w:p>
      <w:pPr>
        <w:spacing w:after="120" w:line="300"/>
      </w:pPr>
      <w:r>
        <w:rPr>
          <w:rFonts w:ascii="Times New Roman" w:cs="Times New Roman" w:eastAsia="Times New Roman" w:hAnsi="Times New Roman"/>
          <w:sz w:val="21"/>
          <w:szCs w:val="21"/>
        </w:rPr>
        <w:t xml:space="preserve">## Hipotezler</w:t>
      </w:r>
    </w:p>
    <w:p>
      <w:pPr>
        <w:spacing w:after="120" w:line="300"/>
      </w:pPr>
      <w:r>
        <w:rPr>
          <w:rFonts w:ascii="Times New Roman" w:cs="Times New Roman" w:eastAsia="Times New Roman" w:hAnsi="Times New Roman"/>
          <w:sz w:val="21"/>
          <w:szCs w:val="21"/>
        </w:rPr>
        <w:t xml:space="preserve">H1 (birincil, Brezilya): Mekanizma ile ölüm ilişkisi yaşa bağlıdır; trafik/düşme OR'sı yaş arttıkça 1'e yaklaşır ya da altına iner (mekanizma × yaş etkileşimi, yaş kısıtlı kübik spline, ortak Wald).</w:t>
      </w:r>
    </w:p>
    <w:p>
      <w:pPr>
        <w:spacing w:after="120" w:line="300"/>
      </w:pPr>
      <w:r>
        <w:rPr>
          <w:rFonts w:ascii="Times New Roman" w:cs="Times New Roman" w:eastAsia="Times New Roman" w:hAnsi="Times New Roman"/>
          <w:sz w:val="21"/>
          <w:szCs w:val="21"/>
        </w:rPr>
        <w:t xml:space="preserve">H2 (birincil, Brezilya, mutlak ölçek): Her kırık tipinde 80 yaşta düşmeye bağlı kırığın standardize ölüm riski, 40 yaşta trafiğe bağlı aynı kırığın standardize riskinden düşük değildir (fark ve %95 GA; GA sıfırı dışlayıp pozitifse "aşmakta", sıfırı içeriyorsa "ulaşmakta", negatifse hipotez reddedilmekte).</w:t>
      </w:r>
    </w:p>
    <w:p>
      <w:pPr>
        <w:spacing w:after="120" w:line="300"/>
      </w:pPr>
      <w:r>
        <w:rPr>
          <w:rFonts w:ascii="Times New Roman" w:cs="Times New Roman" w:eastAsia="Times New Roman" w:hAnsi="Times New Roman"/>
          <w:sz w:val="21"/>
          <w:szCs w:val="21"/>
        </w:rPr>
        <w:t xml:space="preserve">H3: Yaş eğimi kırık tipine göre değişir (mekanizma × yaş × kırık tipi; ortak Wald, keşifsel).</w:t>
      </w:r>
    </w:p>
    <w:p>
      <w:pPr>
        <w:spacing w:after="120" w:line="300"/>
      </w:pPr>
      <w:r>
        <w:rPr>
          <w:rFonts w:ascii="Times New Roman" w:cs="Times New Roman" w:eastAsia="Times New Roman" w:hAnsi="Times New Roman"/>
          <w:sz w:val="21"/>
          <w:szCs w:val="21"/>
        </w:rPr>
        <w:t xml:space="preserve">H4: Meksika ve MIMIC'te H1 ve H2 aynı yönde (ülke başına ayrı tahmin; havuzlama yok, yalnız heterojenlik istatistiği).</w:t>
      </w:r>
    </w:p>
    <w:p>
      <w:pPr>
        <w:spacing w:after="120" w:line="300"/>
      </w:pPr>
      <w:r>
        <w:rPr>
          <w:rFonts w:ascii="Times New Roman" w:cs="Times New Roman" w:eastAsia="Times New Roman" w:hAnsi="Times New Roman"/>
          <w:sz w:val="21"/>
          <w:szCs w:val="21"/>
        </w:rPr>
        <w:t xml:space="preserve"/>
      </w:r>
    </w:p>
    <w:p>
      <w:pPr>
        <w:spacing w:after="120" w:line="300"/>
      </w:pPr>
      <w:r>
        <w:rPr>
          <w:rFonts w:ascii="Times New Roman" w:cs="Times New Roman" w:eastAsia="Times New Roman" w:hAnsi="Times New Roman"/>
          <w:sz w:val="21"/>
          <w:szCs w:val="21"/>
        </w:rPr>
        <w:t xml:space="preserve">## Modeller</w:t>
      </w:r>
    </w:p>
    <w:p>
      <w:pPr>
        <w:spacing w:after="120" w:line="300"/>
      </w:pPr>
      <w:r>
        <w:rPr>
          <w:rFonts w:ascii="Times New Roman" w:cs="Times New Roman" w:eastAsia="Times New Roman" w:hAnsi="Times New Roman"/>
          <w:sz w:val="21"/>
          <w:szCs w:val="21"/>
        </w:rPr>
        <w:t xml:space="preserve">Lojistik regresyon, ölüm ~ mekanizma × bs(yaş, 4 düğüm) + cinsiyet + yıl + kırık tipi (tabakalı modeller kırık tipi içinde). Model A (birincil) yalnız bu başlangıç değişkenleri; ek yaralanma yükü (kafa, toraks, karın, pelvis) mekanizmanın ölüme giden yolunun bir parçası olduğundan birincil modele GİRMEZ, Model B duyarlılığında girer (doğrudan etki). MIMIC'te Model C: Charlson komorbidite ve erken fizyoloji. Hastane kümeli sandviç SE. Standardize riskler g-hesaplama ile yaş 40, 65 ve 80 ve her mekanizma için; mutlak farklar hastane kümeli bootstrap (200). Seyrek olay tabakalarında (olay &lt;20) Firth. Çoklu test: H1 ve H2 Brezilya'da Holm. Kabul kuralı: dört ana kırık tipinden (kalça, tibia, femur cismi, önkol) en az ikisinde H2 "ulaşmakta ya da aşmakta" ise ana mesaj paradoks; hiçbirinde değilse "mekanizma her yaşta prognostik" diye raporlanır, başlık buna göre değişir.</w:t>
      </w:r>
    </w:p>
    <w:p>
      <w:pPr>
        <w:spacing w:after="120" w:line="300"/>
      </w:pPr>
      <w:r>
        <w:rPr>
          <w:rFonts w:ascii="Times New Roman" w:cs="Times New Roman" w:eastAsia="Times New Roman" w:hAnsi="Times New Roman"/>
          <w:sz w:val="21"/>
          <w:szCs w:val="21"/>
        </w:rPr>
        <w:t xml:space="preserve"/>
      </w:r>
    </w:p>
    <w:p>
      <w:pPr>
        <w:spacing w:after="120" w:line="300"/>
      </w:pPr>
      <w:r>
        <w:rPr>
          <w:rFonts w:ascii="Times New Roman" w:cs="Times New Roman" w:eastAsia="Times New Roman" w:hAnsi="Times New Roman"/>
          <w:sz w:val="21"/>
          <w:szCs w:val="21"/>
        </w:rPr>
        <w:t xml:space="preserve">## Sınırlılıklar (önceden)</w:t>
      </w:r>
    </w:p>
    <w:p>
      <w:pPr>
        <w:spacing w:after="120" w:line="300"/>
      </w:pPr>
      <w:r>
        <w:rPr>
          <w:rFonts w:ascii="Times New Roman" w:cs="Times New Roman" w:eastAsia="Times New Roman" w:hAnsi="Times New Roman"/>
          <w:sz w:val="21"/>
          <w:szCs w:val="21"/>
        </w:rPr>
        <w:t xml:space="preserve">Hastane içi ölüm; W kodu enerji vermez; düşme nedenleri (senkop, zayıflık) kodlanmaz; sevk ve tekrar yatış bağlanamaz; Brezilya SUS kamu sistemi; MIMIC tek merkez.</w:t>
      </w:r>
    </w:p>
    <w:p>
      <w:pPr>
        <w:spacing w:after="120" w:line="300"/>
      </w:pPr>
      <w:r>
        <w:rPr>
          <w:rFonts w:ascii="Times New Roman" w:cs="Times New Roman" w:eastAsia="Times New Roman" w:hAnsi="Times New Roman"/>
          <w:sz w:val="21"/>
          <w:szCs w:val="21"/>
        </w:rPr>
        <w:t xml:space="preserve"/>
      </w:r>
    </w:p>
    <w:p>
      <w:pPr>
        <w:spacing w:after="120" w:line="300"/>
      </w:pPr>
      <w:r>
        <w:rPr>
          <w:rFonts w:ascii="Times New Roman" w:cs="Times New Roman" w:eastAsia="Times New Roman" w:hAnsi="Times New Roman"/>
          <w:sz w:val="21"/>
          <w:szCs w:val="21"/>
        </w:rPr>
        <w:t xml:space="preserve">## Hedef dergi</w:t>
      </w:r>
    </w:p>
    <w:p>
      <w:pPr>
        <w:spacing w:after="120" w:line="300"/>
      </w:pPr>
      <w:r>
        <w:rPr>
          <w:rFonts w:ascii="Times New Roman" w:cs="Times New Roman" w:eastAsia="Times New Roman" w:hAnsi="Times New Roman"/>
          <w:sz w:val="21"/>
          <w:szCs w:val="21"/>
        </w:rPr>
        <w:t xml:space="preserve">European Journal of Trauma and Emergency Surgery; yedek Injury.</w:t>
      </w:r>
    </w:p>
    <w:p>
      <w:pPr>
        <w:spacing w:after="120" w:line="300"/>
      </w:pPr>
      <w:r>
        <w:rPr>
          <w:rFonts w:ascii="Times New Roman" w:cs="Times New Roman" w:eastAsia="Times New Roman" w:hAnsi="Times New Roman"/>
          <w:sz w:val="21"/>
          <w:szCs w:val="21"/>
        </w:rPr>
        <w:t xml:space="preserve"/>
      </w:r>
    </w:p>
    <w:p>
      <w:pPr>
        <w:spacing w:after="120" w:line="300"/>
      </w:pPr>
      <w:r>
        <w:rPr>
          <w:rFonts w:ascii="Times New Roman" w:cs="Times New Roman" w:eastAsia="Times New Roman" w:hAnsi="Times New Roman"/>
          <w:sz w:val="21"/>
          <w:szCs w:val="21"/>
        </w:rPr>
        <w:t xml:space="preserve">---</w:t>
      </w:r>
    </w:p>
    <w:p>
      <w:pPr>
        <w:spacing w:after="120" w:line="300"/>
      </w:pPr>
      <w:r>
        <w:rPr>
          <w:rFonts w:ascii="Times New Roman" w:cs="Times New Roman" w:eastAsia="Times New Roman" w:hAnsi="Times New Roman"/>
          <w:sz w:val="21"/>
          <w:szCs w:val="21"/>
        </w:rPr>
        <w:t xml:space="preserve"># DEĞİŞİKLİK 1 (11 Ekim 2026, v3 taslağının dış değerlendirmesinden sonra; tüm birincil sonuçlar görüldükten sonra yazılmıştır)</w:t>
      </w:r>
    </w:p>
    <w:p>
      <w:pPr>
        <w:spacing w:after="120" w:line="300"/>
      </w:pPr>
      <w:r>
        <w:rPr>
          <w:rFonts w:ascii="Times New Roman" w:cs="Times New Roman" w:eastAsia="Times New Roman" w:hAnsi="Times New Roman"/>
          <w:sz w:val="21"/>
          <w:szCs w:val="21"/>
        </w:rPr>
        <w:t xml:space="preserve">Bu değişiklik post hoc'tur. v0 plan hash'i: 8f6b52b73e20ad6b3cdd57ac6c6fdd626e4d14aef90222854a68ef8c651870ad</w:t>
      </w:r>
    </w:p>
    <w:p>
      <w:pPr>
        <w:spacing w:after="120" w:line="300"/>
      </w:pPr>
      <w:r>
        <w:rPr>
          <w:rFonts w:ascii="Times New Roman" w:cs="Times New Roman" w:eastAsia="Times New Roman" w:hAnsi="Times New Roman"/>
          <w:sz w:val="21"/>
          <w:szCs w:val="21"/>
        </w:rPr>
        <w:t xml:space="preserve"/>
      </w:r>
    </w:p>
    <w:p>
      <w:pPr>
        <w:spacing w:after="120" w:line="300"/>
      </w:pPr>
      <w:r>
        <w:rPr>
          <w:rFonts w:ascii="Times New Roman" w:cs="Times New Roman" w:eastAsia="Times New Roman" w:hAnsi="Times New Roman"/>
          <w:sz w:val="21"/>
          <w:szCs w:val="21"/>
        </w:rPr>
        <w:t xml:space="preserve">1. Birincil soru değişti. v0'ın H2'si (80 yaş düşmeye bağlı kırık ölümü, 40 yaş trafiğe bağlı kırık ölümüne ulaşıyor mu) yaş ile mekanizmayı karıştırır; pozitif çıkması mekanizmanın prognostik anlamının yaşla değiştiğini göstermez. Yeni birincil soru: yaş ve kırık yeri bilindikten sonra mekanizma hastane içi ölüme ilişkin ayırt edici güce ve kalibrasyona katkı yapıyor mu. H1 ve H2 betimsel kalır.</w:t>
      </w:r>
    </w:p>
    <w:p>
      <w:pPr>
        <w:spacing w:after="120" w:line="300"/>
      </w:pPr>
      <w:r>
        <w:rPr>
          <w:rFonts w:ascii="Times New Roman" w:cs="Times New Roman" w:eastAsia="Times New Roman" w:hAnsi="Times New Roman"/>
          <w:sz w:val="21"/>
          <w:szCs w:val="21"/>
        </w:rPr>
        <w:t xml:space="preserve">2. Artısal değer analizi (yalnız Brezilya): Model 0 yaş (kırığa özgü kübik spline, bir iç düğüm), cinsiyet, kırık tipi. Model 1 Model 0 artı mekanizma, mekanizma x kırık tipi ve mekanizma x yaş spline. Eğitim 2023-2024, test 2025-2026 (zamansal); ayrıca hastanelerin rastgele yarısında eğitim, diğer yarısında test (tohum 5). Ölçüler AUC, Brier, kalibrasyon eğimi ve kesimi, eğitim setinde olabilirlik oran testi, AUC farkı için test setinde hasta düzeyinde 1000 bootstrap ile yüzdelik GA. Meksika ve MIMIC-IV bu analize alınmaz (olay sayısı AUC farkını hassas tahmin etmeye yetmez).</w:t>
      </w:r>
    </w:p>
    <w:p>
      <w:pPr>
        <w:spacing w:after="120" w:line="300"/>
      </w:pPr>
      <w:r>
        <w:rPr>
          <w:rFonts w:ascii="Times New Roman" w:cs="Times New Roman" w:eastAsia="Times New Roman" w:hAnsi="Times New Roman"/>
          <w:sz w:val="21"/>
          <w:szCs w:val="21"/>
        </w:rPr>
        <w:t xml:space="preserve">3. Standardize riskler Brezilya'da hücre tabanlı hızlı modelle, 1000 hastane kümeli bootstrap ile yeniden hesaplanır (v0'da 200 yazıldı, uygulamada 40 koşuldu; bu tutarsızlık düzeltilir). Noktasal tahminler eski yöntemle aynıdır (kalça 0,54, 0,62, 4,13, 3,90 ve H2 +3,51 ile doğrulandı). Meksika bootstrap'i 100 kalır.</w:t>
      </w:r>
    </w:p>
    <w:p>
      <w:pPr>
        <w:spacing w:after="120" w:line="300"/>
      </w:pPr>
      <w:r>
        <w:rPr>
          <w:rFonts w:ascii="Times New Roman" w:cs="Times New Roman" w:eastAsia="Times New Roman" w:hAnsi="Times New Roman"/>
          <w:sz w:val="21"/>
          <w:szCs w:val="21"/>
        </w:rPr>
        <w:t xml:space="preserve">4. Meksika femur cismi (24 ölüm, trafik grubunda 5 ölüm) kanıt olarak kullanılmaz, ek dosyada gösterilir. MIMIC-IV'te standardize modeller bazı hücrelerde sıfır ölüm nedeniyle kararsızdır; yalnız ham oranlar bildirilir.</w:t>
      </w:r>
    </w:p>
    <w:p>
      <w:pPr>
        <w:spacing w:after="120" w:line="300"/>
      </w:pPr>
      <w:r>
        <w:rPr>
          <w:rFonts w:ascii="Times New Roman" w:cs="Times New Roman" w:eastAsia="Times New Roman" w:hAnsi="Times New Roman"/>
          <w:sz w:val="21"/>
          <w:szCs w:val="21"/>
        </w:rPr>
        <w:t xml:space="preserve">5. Model B "doğrudan etki" olarak değil, eşlik eden yaralanma yüküne koşullandırılmış ilişki olarak adlandırılır.</w:t>
      </w:r>
    </w:p>
    <w:p>
      <w:pPr>
        <w:spacing w:after="120" w:line="300"/>
      </w:pPr>
      <w:r>
        <w:rPr>
          <w:rFonts w:ascii="Times New Roman" w:cs="Times New Roman" w:eastAsia="Times New Roman" w:hAnsi="Times New Roman"/>
          <w:sz w:val="21"/>
          <w:szCs w:val="21"/>
        </w:rPr>
        <w:t xml:space="preserve">6. Birincil kohort her veri tabanında aynı dört kırıktır (kalça, femur cismi, tibia, önkol cismi). Önceki taslaktaki Meksika ve MIMIC toplamları yedi katmanı içeriyordu, düzeltildi.</w:t>
      </w:r>
    </w:p>
    <w:p>
      <w:pPr>
        <w:spacing w:after="120" w:line="300"/>
      </w:pPr>
      <w:r>
        <w:rPr>
          <w:rFonts w:ascii="Times New Roman" w:cs="Times New Roman" w:eastAsia="Times New Roman" w:hAnsi="Times New Roman"/>
          <w:sz w:val="21"/>
          <w:szCs w:val="21"/>
        </w:rPr>
        <w:t xml:space="preserve">7. Yatış süresi dağılımı bildirilir; nakil Brezilya ve Meksika verisinde bağlanamaz.</w:t>
      </w:r>
    </w:p>
    <w:p>
      <w:pPr>
        <w:spacing w:after="120" w:line="300"/>
      </w:pPr>
      <w:r>
        <w:rPr>
          <w:rFonts w:ascii="Times New Roman" w:cs="Times New Roman" w:eastAsia="Times New Roman" w:hAnsi="Times New Roman"/>
          <w:sz w:val="21"/>
          <w:szCs w:val="21"/>
        </w:rPr>
        <w:t xml:space="preserve"/>
      </w:r>
    </w:p>
    <w:p>
      <w:pPr>
        <w:spacing w:after="120" w:line="300"/>
      </w:pPr>
      <w:r>
        <w:rPr>
          <w:rFonts w:ascii="Times New Roman" w:cs="Times New Roman" w:eastAsia="Times New Roman" w:hAnsi="Times New Roman"/>
          <w:sz w:val="21"/>
          <w:szCs w:val="21"/>
        </w:rPr>
        <w:t xml:space="preserve">---</w:t>
      </w:r>
    </w:p>
    <w:p>
      <w:pPr>
        <w:spacing w:after="120" w:line="300"/>
      </w:pPr>
      <w:r>
        <w:rPr>
          <w:rFonts w:ascii="Times New Roman" w:cs="Times New Roman" w:eastAsia="Times New Roman" w:hAnsi="Times New Roman"/>
          <w:sz w:val="21"/>
          <w:szCs w:val="21"/>
        </w:rPr>
        <w:t xml:space="preserve"># DEĞİŞİKLİK 2 (11 Ekim 2026, altıncı dış değerlendirmeden sonra; MEA değerleri hesaplanmadan ÖNCE yazıldı ve hash'lendi)</w:t>
      </w:r>
    </w:p>
    <w:p>
      <w:pPr>
        <w:spacing w:after="120" w:line="300"/>
      </w:pPr>
      <w:r>
        <w:rPr>
          <w:rFonts w:ascii="Times New Roman" w:cs="Times New Roman" w:eastAsia="Times New Roman" w:hAnsi="Times New Roman"/>
          <w:sz w:val="21"/>
          <w:szCs w:val="21"/>
        </w:rPr>
        <w:t xml:space="preserve">Yeni birincil estimand: Mechanism-Equivalent Age gap (MEA), yıl.</w:t>
      </w:r>
    </w:p>
    <w:p>
      <w:pPr>
        <w:spacing w:after="120" w:line="300"/>
      </w:pPr>
      <w:r>
        <w:rPr>
          <w:rFonts w:ascii="Times New Roman" w:cs="Times New Roman" w:eastAsia="Times New Roman" w:hAnsi="Times New Roman"/>
          <w:sz w:val="21"/>
          <w:szCs w:val="21"/>
        </w:rPr>
        <w:t xml:space="preserve">Tanım: Kırık tipi içinde, standardize risk eğrileri r_T(x) (trafik) ve r_F(x) (düşme), x kronolojik yaş, g-hesaplama ile cinsiyet ve yıl dağılımı üzerinden, Değişiklik 1'deki hücre tabanlı model (mekanizma × yaş spline). MEA(x) = Δ öyle ki r_F(x+Δ) = r_T(x). Δ, r_F eğrisi üzerinde doğrusal interpolasyonla çözülür; r_F'nin monoton artmadığı bölgelerde (minimumun altı) ve r_T(x) &gt; r_F(100) ise MEA sansürlüdür ve "&gt; 100 − x" olarak bildirilir; r_T(x) &lt; min r_F ise "&lt; 18 − x". Raporlama yaşları 30, 40, 50, 65, 80; eğri 25-85 arası figürde.</w:t>
      </w:r>
    </w:p>
    <w:p>
      <w:pPr>
        <w:spacing w:after="120" w:line="300"/>
      </w:pPr>
      <w:r>
        <w:rPr>
          <w:rFonts w:ascii="Times New Roman" w:cs="Times New Roman" w:eastAsia="Times New Roman" w:hAnsi="Times New Roman"/>
          <w:sz w:val="21"/>
          <w:szCs w:val="21"/>
        </w:rPr>
        <w:t xml:space="preserve">Belirsizlik: Brezilya 1000 hastane kümeli bootstrap (aynı yeniden örneklemeler), Meksika 1000; yüzdelik GA; sansürlü bootstrap tekrarları için sansür sınırı kullanılır ve sansür oranı bildirilir.</w:t>
      </w:r>
    </w:p>
    <w:p>
      <w:pPr>
        <w:spacing w:after="120" w:line="300"/>
      </w:pPr>
      <w:r>
        <w:rPr>
          <w:rFonts w:ascii="Times New Roman" w:cs="Times New Roman" w:eastAsia="Times New Roman" w:hAnsi="Times New Roman"/>
          <w:sz w:val="21"/>
          <w:szCs w:val="21"/>
        </w:rPr>
        <w:t xml:space="preserve">İkincil: (a) Yaş-mekanizma baskınlık yaşı: düşmeyle gelen hastada on yıl yaşlanmanın mutlak risk artışı [r_F(x+10) − r_F(x)] ile mekanizma değişiminin aynı yaştaki mutlak risk artışı [r_T(x) − r_F(x)] karşılaştırılır; ikisinin eşitlendiği en küçük yaş "crossover". (b) Anatomik heterojenlik: MEA(40)'ın kırıklar arası farkı (bootstrap farkı). (c) MEA yaşla azalıyor mu: MEA(40) − MEA(80), GA.</w:t>
      </w:r>
    </w:p>
    <w:p>
      <w:pPr>
        <w:spacing w:after="120" w:line="300"/>
      </w:pPr>
      <w:r>
        <w:rPr>
          <w:rFonts w:ascii="Times New Roman" w:cs="Times New Roman" w:eastAsia="Times New Roman" w:hAnsi="Times New Roman"/>
          <w:sz w:val="21"/>
          <w:szCs w:val="21"/>
        </w:rPr>
        <w:t xml:space="preserve">Hipotez (önceden yazılı, sonuç görülmeden): H-MEA1 kalçada MEA tüm yaşlarda 5 yılın altında; H-MEA2 tibiada MEA yaşla azalır (konak kırılganlığı arttıkça mekanizmanın ağırlığı düşer). Her iki hipotez düşerse aynen bildirilir.</w:t>
      </w:r>
    </w:p>
    <w:p>
      <w:pPr>
        <w:spacing w:after="120" w:line="300"/>
      </w:pPr>
      <w:r>
        <w:rPr>
          <w:rFonts w:ascii="Times New Roman" w:cs="Times New Roman" w:eastAsia="Times New Roman" w:hAnsi="Times New Roman"/>
          <w:sz w:val="21"/>
          <w:szCs w:val="21"/>
        </w:rPr>
        <w:t xml:space="preserve">Değişmeyen: artısal değer analizi (Değişiklik 1) korunur ve MEA'nın klinik ağırlığını sınırlayan sonuç olarak yanında raporlanır. Önkol (32 ölüm) MEA için keşifseldir. MIMIC-IV MEA hesaplanmaz.</w:t>
      </w:r>
    </w:p>
    <w:p>
      <w:pPr>
        <w:spacing w:after="120" w:line="300"/>
      </w:pPr>
      <w:r>
        <w:rPr>
          <w:rFonts w:ascii="Times New Roman" w:cs="Times New Roman" w:eastAsia="Times New Roman" w:hAnsi="Times New Roman"/>
          <w:sz w:val="21"/>
          <w:szCs w:val="21"/>
        </w:rPr>
        <w:t xml:space="preserve"/>
      </w:r>
    </w:p>
    <w:p>
      <w:r>
        <w:br w:type="page"/>
      </w:r>
    </w:p>
    <w:p>
      <w:pPr>
        <w:pStyle w:val="Heading1"/>
        <w:spacing w:after="100" w:before="220"/>
      </w:pPr>
      <w:r>
        <w:rPr>
          <w:rFonts w:ascii="Times New Roman" w:cs="Times New Roman" w:eastAsia="Times New Roman" w:hAnsi="Times New Roman"/>
          <w:b/>
          <w:bCs/>
          <w:sz w:val="24"/>
          <w:szCs w:val="24"/>
        </w:rPr>
        <w:t xml:space="preserve">S2. Selection of the Brazilian cohort and note on the extract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00"/>
        <w:gridCol w:w="3160"/>
      </w:tblGrid>
      <w:tr>
        <w:tc>
          <w:tcPr>
            <w:tcW w:type="dxa" w:w="6200"/>
            <w:shd w:fill="E7E6E6" w:color="auto" w:val="clear"/>
          </w:tcPr>
          <w:p>
            <w:pPr>
              <w:spacing w:after="0"/>
            </w:pPr>
            <w:r>
              <w:rPr>
                <w:rFonts w:ascii="Times New Roman" w:cs="Times New Roman" w:eastAsia="Times New Roman" w:hAnsi="Times New Roman"/>
                <w:b/>
                <w:bCs/>
                <w:sz w:val="16"/>
                <w:szCs w:val="16"/>
              </w:rPr>
              <w:t xml:space="preserve">Step</w:t>
            </w:r>
          </w:p>
        </w:tc>
        <w:tc>
          <w:tcPr>
            <w:tcW w:type="dxa" w:w="3160"/>
            <w:shd w:fill="E7E6E6" w:color="auto" w:val="clear"/>
          </w:tcPr>
          <w:p>
            <w:pPr>
              <w:spacing w:after="0"/>
            </w:pPr>
            <w:r>
              <w:rPr>
                <w:rFonts w:ascii="Times New Roman" w:cs="Times New Roman" w:eastAsia="Times New Roman" w:hAnsi="Times New Roman"/>
                <w:b/>
                <w:bCs/>
                <w:sz w:val="16"/>
                <w:szCs w:val="16"/>
              </w:rPr>
              <w:t xml:space="preserve">Admissions</w:t>
            </w:r>
          </w:p>
        </w:tc>
      </w:tr>
      <w:tr>
        <w:tc>
          <w:tcPr>
            <w:tcW w:type="dxa" w:w="6200"/>
          </w:tcPr>
          <w:p>
            <w:pPr>
              <w:spacing w:after="0"/>
            </w:pPr>
            <w:r>
              <w:rPr>
                <w:rFonts w:ascii="Times New Roman" w:cs="Times New Roman" w:eastAsia="Times New Roman" w:hAnsi="Times New Roman"/>
                <w:b w:val="false"/>
                <w:bCs w:val="false"/>
                <w:sz w:val="16"/>
                <w:szCs w:val="16"/>
              </w:rPr>
              <w:t xml:space="preserve">Principal diagnosis is hip, femoral shaft, tibial or forearm shaft fracture, adults</w:t>
            </w:r>
          </w:p>
        </w:tc>
        <w:tc>
          <w:tcPr>
            <w:tcW w:type="dxa" w:w="3160"/>
          </w:tcPr>
          <w:p>
            <w:pPr>
              <w:spacing w:after="0"/>
            </w:pPr>
            <w:r>
              <w:rPr>
                <w:rFonts w:ascii="Times New Roman" w:cs="Times New Roman" w:eastAsia="Times New Roman" w:hAnsi="Times New Roman"/>
                <w:b w:val="false"/>
                <w:bCs w:val="false"/>
                <w:sz w:val="16"/>
                <w:szCs w:val="16"/>
              </w:rPr>
              <w:t xml:space="preserve">769,917</w:t>
            </w:r>
          </w:p>
        </w:tc>
      </w:tr>
      <w:tr>
        <w:tc>
          <w:tcPr>
            <w:tcW w:type="dxa" w:w="6200"/>
          </w:tcPr>
          <w:p>
            <w:pPr>
              <w:spacing w:after="0"/>
            </w:pPr>
            <w:r>
              <w:rPr>
                <w:rFonts w:ascii="Times New Roman" w:cs="Times New Roman" w:eastAsia="Times New Roman" w:hAnsi="Times New Roman"/>
                <w:b w:val="false"/>
                <w:bCs w:val="false"/>
                <w:sz w:val="16"/>
                <w:szCs w:val="16"/>
              </w:rPr>
              <w:t xml:space="preserve">Fall related external cause (W00 to W19)</w:t>
            </w:r>
          </w:p>
        </w:tc>
        <w:tc>
          <w:tcPr>
            <w:tcW w:type="dxa" w:w="3160"/>
          </w:tcPr>
          <w:p>
            <w:pPr>
              <w:spacing w:after="0"/>
            </w:pPr>
            <w:r>
              <w:rPr>
                <w:rFonts w:ascii="Times New Roman" w:cs="Times New Roman" w:eastAsia="Times New Roman" w:hAnsi="Times New Roman"/>
                <w:b w:val="false"/>
                <w:bCs w:val="false"/>
                <w:sz w:val="16"/>
                <w:szCs w:val="16"/>
              </w:rPr>
              <w:t xml:space="preserve">335,153</w:t>
            </w:r>
          </w:p>
        </w:tc>
      </w:tr>
      <w:tr>
        <w:tc>
          <w:tcPr>
            <w:tcW w:type="dxa" w:w="6200"/>
          </w:tcPr>
          <w:p>
            <w:pPr>
              <w:spacing w:after="0"/>
            </w:pPr>
            <w:r>
              <w:rPr>
                <w:rFonts w:ascii="Times New Roman" w:cs="Times New Roman" w:eastAsia="Times New Roman" w:hAnsi="Times New Roman"/>
                <w:b w:val="false"/>
                <w:bCs w:val="false"/>
                <w:sz w:val="16"/>
                <w:szCs w:val="16"/>
              </w:rPr>
              <w:t xml:space="preserve">Traffic related external cause (V01 to V89)</w:t>
            </w:r>
          </w:p>
        </w:tc>
        <w:tc>
          <w:tcPr>
            <w:tcW w:type="dxa" w:w="3160"/>
          </w:tcPr>
          <w:p>
            <w:pPr>
              <w:spacing w:after="0"/>
            </w:pPr>
            <w:r>
              <w:rPr>
                <w:rFonts w:ascii="Times New Roman" w:cs="Times New Roman" w:eastAsia="Times New Roman" w:hAnsi="Times New Roman"/>
                <w:b w:val="false"/>
                <w:bCs w:val="false"/>
                <w:sz w:val="16"/>
                <w:szCs w:val="16"/>
              </w:rPr>
              <w:t xml:space="preserve">169,107</w:t>
            </w:r>
          </w:p>
        </w:tc>
      </w:tr>
      <w:tr>
        <w:tc>
          <w:tcPr>
            <w:tcW w:type="dxa" w:w="6200"/>
          </w:tcPr>
          <w:p>
            <w:pPr>
              <w:spacing w:after="0"/>
            </w:pPr>
            <w:r>
              <w:rPr>
                <w:rFonts w:ascii="Times New Roman" w:cs="Times New Roman" w:eastAsia="Times New Roman" w:hAnsi="Times New Roman"/>
                <w:b w:val="false"/>
                <w:bCs w:val="false"/>
                <w:sz w:val="16"/>
                <w:szCs w:val="16"/>
              </w:rPr>
              <w:t xml:space="preserve">Other recorded external cause (not analysed)</w:t>
            </w:r>
          </w:p>
        </w:tc>
        <w:tc>
          <w:tcPr>
            <w:tcW w:type="dxa" w:w="3160"/>
          </w:tcPr>
          <w:p>
            <w:pPr>
              <w:spacing w:after="0"/>
            </w:pPr>
            <w:r>
              <w:rPr>
                <w:rFonts w:ascii="Times New Roman" w:cs="Times New Roman" w:eastAsia="Times New Roman" w:hAnsi="Times New Roman"/>
                <w:b w:val="false"/>
                <w:bCs w:val="false"/>
                <w:sz w:val="16"/>
                <w:szCs w:val="16"/>
              </w:rPr>
              <w:t xml:space="preserve">257,064</w:t>
            </w:r>
          </w:p>
        </w:tc>
      </w:tr>
      <w:tr>
        <w:tc>
          <w:tcPr>
            <w:tcW w:type="dxa" w:w="6200"/>
          </w:tcPr>
          <w:p>
            <w:pPr>
              <w:spacing w:after="0"/>
            </w:pPr>
            <w:r>
              <w:rPr>
                <w:rFonts w:ascii="Times New Roman" w:cs="Times New Roman" w:eastAsia="Times New Roman" w:hAnsi="Times New Roman"/>
                <w:b w:val="false"/>
                <w:bCs w:val="false"/>
                <w:sz w:val="16"/>
                <w:szCs w:val="16"/>
              </w:rPr>
              <w:t xml:space="preserve">No external cause code (not analysed)</w:t>
            </w:r>
          </w:p>
        </w:tc>
        <w:tc>
          <w:tcPr>
            <w:tcW w:type="dxa" w:w="3160"/>
          </w:tcPr>
          <w:p>
            <w:pPr>
              <w:spacing w:after="0"/>
            </w:pPr>
            <w:r>
              <w:rPr>
                <w:rFonts w:ascii="Times New Roman" w:cs="Times New Roman" w:eastAsia="Times New Roman" w:hAnsi="Times New Roman"/>
                <w:b w:val="false"/>
                <w:bCs w:val="false"/>
                <w:sz w:val="16"/>
                <w:szCs w:val="16"/>
              </w:rPr>
              <w:t xml:space="preserve">8,593</w:t>
            </w:r>
          </w:p>
        </w:tc>
      </w:tr>
      <w:tr>
        <w:tc>
          <w:tcPr>
            <w:tcW w:type="dxa" w:w="6200"/>
          </w:tcPr>
          <w:p>
            <w:pPr>
              <w:spacing w:after="0"/>
            </w:pPr>
            <w:r>
              <w:rPr>
                <w:rFonts w:ascii="Times New Roman" w:cs="Times New Roman" w:eastAsia="Times New Roman" w:hAnsi="Times New Roman"/>
                <w:b w:val="false"/>
                <w:bCs w:val="false"/>
                <w:sz w:val="16"/>
                <w:szCs w:val="16"/>
              </w:rPr>
              <w:t xml:space="preserve">Analysed (fall or traffic related)</w:t>
            </w:r>
          </w:p>
        </w:tc>
        <w:tc>
          <w:tcPr>
            <w:tcW w:type="dxa" w:w="3160"/>
          </w:tcPr>
          <w:p>
            <w:pPr>
              <w:spacing w:after="0"/>
            </w:pPr>
            <w:r>
              <w:rPr>
                <w:rFonts w:ascii="Times New Roman" w:cs="Times New Roman" w:eastAsia="Times New Roman" w:hAnsi="Times New Roman"/>
                <w:b w:val="false"/>
                <w:bCs w:val="false"/>
                <w:sz w:val="16"/>
                <w:szCs w:val="16"/>
              </w:rPr>
              <w:t xml:space="preserve">504,260 (65.5%)</w:t>
            </w:r>
          </w:p>
        </w:tc>
      </w:tr>
    </w:tbl>
    <w:p>
      <w:pPr>
        <w:spacing w:after="180" w:before="60"/>
      </w:pPr>
      <w:r>
        <w:rPr>
          <w:rFonts w:ascii="Times New Roman" w:cs="Times New Roman" w:eastAsia="Times New Roman" w:hAnsi="Times New Roman"/>
          <w:sz w:val="17"/>
          <w:szCs w:val="17"/>
        </w:rPr>
        <w:t xml:space="preserve">Any external cause code was present in 98.9%. Mexico, 37,608 of 55,434 (67.8%) analysed, other cause 17,823, none 3. MIMIC-IV, 5,156 of 5,579 (92.4%) analysed, other cause 408, none 15.</w:t>
      </w:r>
    </w:p>
    <w:p>
      <w:pPr>
        <w:spacing w:after="120" w:line="300"/>
      </w:pPr>
      <w:r>
        <w:rPr>
          <w:rFonts w:ascii="Times New Roman" w:cs="Times New Roman" w:eastAsia="Times New Roman" w:hAnsi="Times New Roman"/>
          <w:sz w:val="21"/>
          <w:szCs w:val="21"/>
        </w:rPr>
        <w:t xml:space="preserve">The Brazilian SIH/SUS extract was built for an extremity injury project and holds admissions with limb fracture codes in any diagnosis field. Isolated vertebral and pelvic fractures are therefore almost absent (fewer than 400 admissions) and are not reported for Brazil. Proximal humeral fracture was available and is given below as a secondary stratum.</w:t>
      </w:r>
    </w:p>
    <w:p>
      <w:pPr>
        <w:pStyle w:val="Heading1"/>
        <w:spacing w:after="100" w:before="220"/>
      </w:pPr>
      <w:r>
        <w:rPr>
          <w:rFonts w:ascii="Times New Roman" w:cs="Times New Roman" w:eastAsia="Times New Roman" w:hAnsi="Times New Roman"/>
          <w:b/>
          <w:bCs/>
          <w:sz w:val="24"/>
          <w:szCs w:val="24"/>
        </w:rPr>
        <w:t xml:space="preserve">S3. Crude counts by age group, Brazil (n; deaths)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1500"/>
        <w:gridCol w:w="1500"/>
        <w:gridCol w:w="1700"/>
        <w:gridCol w:w="1660"/>
      </w:tblGrid>
      <w:tr>
        <w:tc>
          <w:tcPr>
            <w:tcW w:type="dxa" w:w="3000"/>
            <w:shd w:fill="E7E6E6" w:color="auto" w:val="clear"/>
          </w:tcPr>
          <w:p>
            <w:pPr>
              <w:spacing w:after="0"/>
            </w:pPr>
            <w:r>
              <w:rPr>
                <w:rFonts w:ascii="Times New Roman" w:cs="Times New Roman" w:eastAsia="Times New Roman" w:hAnsi="Times New Roman"/>
                <w:b/>
                <w:bCs/>
                <w:sz w:val="16"/>
                <w:szCs w:val="16"/>
              </w:rPr>
              <w:t xml:space="preserve">Fracture, mechanism</w:t>
            </w:r>
          </w:p>
        </w:tc>
        <w:tc>
          <w:tcPr>
            <w:tcW w:type="dxa" w:w="1500"/>
            <w:shd w:fill="E7E6E6" w:color="auto" w:val="clear"/>
          </w:tcPr>
          <w:p>
            <w:pPr>
              <w:spacing w:after="0"/>
            </w:pPr>
            <w:r>
              <w:rPr>
                <w:rFonts w:ascii="Times New Roman" w:cs="Times New Roman" w:eastAsia="Times New Roman" w:hAnsi="Times New Roman"/>
                <w:b/>
                <w:bCs/>
                <w:sz w:val="16"/>
                <w:szCs w:val="16"/>
              </w:rPr>
              <w:t xml:space="preserve">18 to 39</w:t>
            </w:r>
          </w:p>
        </w:tc>
        <w:tc>
          <w:tcPr>
            <w:tcW w:type="dxa" w:w="1500"/>
            <w:shd w:fill="E7E6E6" w:color="auto" w:val="clear"/>
          </w:tcPr>
          <w:p>
            <w:pPr>
              <w:spacing w:after="0"/>
            </w:pPr>
            <w:r>
              <w:rPr>
                <w:rFonts w:ascii="Times New Roman" w:cs="Times New Roman" w:eastAsia="Times New Roman" w:hAnsi="Times New Roman"/>
                <w:b/>
                <w:bCs/>
                <w:sz w:val="16"/>
                <w:szCs w:val="16"/>
              </w:rPr>
              <w:t xml:space="preserve">40 to 64</w:t>
            </w:r>
          </w:p>
        </w:tc>
        <w:tc>
          <w:tcPr>
            <w:tcW w:type="dxa" w:w="1700"/>
            <w:shd w:fill="E7E6E6" w:color="auto" w:val="clear"/>
          </w:tcPr>
          <w:p>
            <w:pPr>
              <w:spacing w:after="0"/>
            </w:pPr>
            <w:r>
              <w:rPr>
                <w:rFonts w:ascii="Times New Roman" w:cs="Times New Roman" w:eastAsia="Times New Roman" w:hAnsi="Times New Roman"/>
                <w:b/>
                <w:bCs/>
                <w:sz w:val="16"/>
                <w:szCs w:val="16"/>
              </w:rPr>
              <w:t xml:space="preserve">65 to 79</w:t>
            </w:r>
          </w:p>
        </w:tc>
        <w:tc>
          <w:tcPr>
            <w:tcW w:type="dxa" w:w="1660"/>
            <w:shd w:fill="E7E6E6" w:color="auto" w:val="clear"/>
          </w:tcPr>
          <w:p>
            <w:pPr>
              <w:spacing w:after="0"/>
            </w:pPr>
            <w:r>
              <w:rPr>
                <w:rFonts w:ascii="Times New Roman" w:cs="Times New Roman" w:eastAsia="Times New Roman" w:hAnsi="Times New Roman"/>
                <w:b/>
                <w:bCs/>
                <w:sz w:val="16"/>
                <w:szCs w:val="16"/>
              </w:rPr>
              <w:t xml:space="preserve">80 and over</w:t>
            </w:r>
          </w:p>
        </w:tc>
      </w:tr>
      <w:tr>
        <w:tc>
          <w:tcPr>
            <w:tcW w:type="dxa" w:w="3000"/>
          </w:tcPr>
          <w:p>
            <w:pPr>
              <w:spacing w:after="0"/>
            </w:pPr>
            <w:r>
              <w:rPr>
                <w:rFonts w:ascii="Times New Roman" w:cs="Times New Roman" w:eastAsia="Times New Roman" w:hAnsi="Times New Roman"/>
                <w:b w:val="false"/>
                <w:bCs w:val="false"/>
                <w:sz w:val="16"/>
                <w:szCs w:val="16"/>
              </w:rPr>
              <w:t xml:space="preserve">Hip, fall</w:t>
            </w:r>
          </w:p>
        </w:tc>
        <w:tc>
          <w:tcPr>
            <w:tcW w:type="dxa" w:w="1500"/>
          </w:tcPr>
          <w:p>
            <w:pPr>
              <w:spacing w:after="0"/>
            </w:pPr>
            <w:r>
              <w:rPr>
                <w:rFonts w:ascii="Times New Roman" w:cs="Times New Roman" w:eastAsia="Times New Roman" w:hAnsi="Times New Roman"/>
                <w:b w:val="false"/>
                <w:bCs w:val="false"/>
                <w:sz w:val="16"/>
                <w:szCs w:val="16"/>
              </w:rPr>
              <w:t xml:space="preserve">5,488; 21</w:t>
            </w:r>
          </w:p>
        </w:tc>
        <w:tc>
          <w:tcPr>
            <w:tcW w:type="dxa" w:w="1500"/>
          </w:tcPr>
          <w:p>
            <w:pPr>
              <w:spacing w:after="0"/>
            </w:pPr>
            <w:r>
              <w:rPr>
                <w:rFonts w:ascii="Times New Roman" w:cs="Times New Roman" w:eastAsia="Times New Roman" w:hAnsi="Times New Roman"/>
                <w:b w:val="false"/>
                <w:bCs w:val="false"/>
                <w:sz w:val="16"/>
                <w:szCs w:val="16"/>
              </w:rPr>
              <w:t xml:space="preserve">29,296; 356</w:t>
            </w:r>
          </w:p>
        </w:tc>
        <w:tc>
          <w:tcPr>
            <w:tcW w:type="dxa" w:w="1700"/>
          </w:tcPr>
          <w:p>
            <w:pPr>
              <w:spacing w:after="0"/>
            </w:pPr>
            <w:r>
              <w:rPr>
                <w:rFonts w:ascii="Times New Roman" w:cs="Times New Roman" w:eastAsia="Times New Roman" w:hAnsi="Times New Roman"/>
                <w:b w:val="false"/>
                <w:bCs w:val="false"/>
                <w:sz w:val="16"/>
                <w:szCs w:val="16"/>
              </w:rPr>
              <w:t xml:space="preserve">71,557; 1,938</w:t>
            </w:r>
          </w:p>
        </w:tc>
        <w:tc>
          <w:tcPr>
            <w:tcW w:type="dxa" w:w="1660"/>
          </w:tcPr>
          <w:p>
            <w:pPr>
              <w:spacing w:after="0"/>
            </w:pPr>
            <w:r>
              <w:rPr>
                <w:rFonts w:ascii="Times New Roman" w:cs="Times New Roman" w:eastAsia="Times New Roman" w:hAnsi="Times New Roman"/>
                <w:b w:val="false"/>
                <w:bCs w:val="false"/>
                <w:sz w:val="16"/>
                <w:szCs w:val="16"/>
              </w:rPr>
              <w:t xml:space="preserve">83,052; 5,641</w:t>
            </w:r>
          </w:p>
        </w:tc>
      </w:tr>
      <w:tr>
        <w:tc>
          <w:tcPr>
            <w:tcW w:type="dxa" w:w="3000"/>
          </w:tcPr>
          <w:p>
            <w:pPr>
              <w:spacing w:after="0"/>
            </w:pPr>
            <w:r>
              <w:rPr>
                <w:rFonts w:ascii="Times New Roman" w:cs="Times New Roman" w:eastAsia="Times New Roman" w:hAnsi="Times New Roman"/>
                <w:b w:val="false"/>
                <w:bCs w:val="false"/>
                <w:sz w:val="16"/>
                <w:szCs w:val="16"/>
              </w:rPr>
              <w:t xml:space="preserve">Hip, traffic</w:t>
            </w:r>
          </w:p>
        </w:tc>
        <w:tc>
          <w:tcPr>
            <w:tcW w:type="dxa" w:w="1500"/>
          </w:tcPr>
          <w:p>
            <w:pPr>
              <w:spacing w:after="0"/>
            </w:pPr>
            <w:r>
              <w:rPr>
                <w:rFonts w:ascii="Times New Roman" w:cs="Times New Roman" w:eastAsia="Times New Roman" w:hAnsi="Times New Roman"/>
                <w:b w:val="false"/>
                <w:bCs w:val="false"/>
                <w:sz w:val="16"/>
                <w:szCs w:val="16"/>
              </w:rPr>
              <w:t xml:space="preserve">5,243; 30</w:t>
            </w:r>
          </w:p>
        </w:tc>
        <w:tc>
          <w:tcPr>
            <w:tcW w:type="dxa" w:w="1500"/>
          </w:tcPr>
          <w:p>
            <w:pPr>
              <w:spacing w:after="0"/>
            </w:pPr>
            <w:r>
              <w:rPr>
                <w:rFonts w:ascii="Times New Roman" w:cs="Times New Roman" w:eastAsia="Times New Roman" w:hAnsi="Times New Roman"/>
                <w:b w:val="false"/>
                <w:bCs w:val="false"/>
                <w:sz w:val="16"/>
                <w:szCs w:val="16"/>
              </w:rPr>
              <w:t xml:space="preserve">5,097; 52</w:t>
            </w:r>
          </w:p>
        </w:tc>
        <w:tc>
          <w:tcPr>
            <w:tcW w:type="dxa" w:w="1700"/>
          </w:tcPr>
          <w:p>
            <w:pPr>
              <w:spacing w:after="0"/>
            </w:pPr>
            <w:r>
              <w:rPr>
                <w:rFonts w:ascii="Times New Roman" w:cs="Times New Roman" w:eastAsia="Times New Roman" w:hAnsi="Times New Roman"/>
                <w:b w:val="false"/>
                <w:bCs w:val="false"/>
                <w:sz w:val="16"/>
                <w:szCs w:val="16"/>
              </w:rPr>
              <w:t xml:space="preserve">3,536; 83</w:t>
            </w:r>
          </w:p>
        </w:tc>
        <w:tc>
          <w:tcPr>
            <w:tcW w:type="dxa" w:w="1660"/>
          </w:tcPr>
          <w:p>
            <w:pPr>
              <w:spacing w:after="0"/>
            </w:pPr>
            <w:r>
              <w:rPr>
                <w:rFonts w:ascii="Times New Roman" w:cs="Times New Roman" w:eastAsia="Times New Roman" w:hAnsi="Times New Roman"/>
                <w:b w:val="false"/>
                <w:bCs w:val="false"/>
                <w:sz w:val="16"/>
                <w:szCs w:val="16"/>
              </w:rPr>
              <w:t xml:space="preserve">2,723; 162</w:t>
            </w:r>
          </w:p>
        </w:tc>
      </w:tr>
      <w:tr>
        <w:tc>
          <w:tcPr>
            <w:tcW w:type="dxa" w:w="3000"/>
          </w:tcPr>
          <w:p>
            <w:pPr>
              <w:spacing w:after="0"/>
            </w:pPr>
            <w:r>
              <w:rPr>
                <w:rFonts w:ascii="Times New Roman" w:cs="Times New Roman" w:eastAsia="Times New Roman" w:hAnsi="Times New Roman"/>
                <w:b w:val="false"/>
                <w:bCs w:val="false"/>
                <w:sz w:val="16"/>
                <w:szCs w:val="16"/>
              </w:rPr>
              <w:t xml:space="preserve">Femoral shaft, fall</w:t>
            </w:r>
          </w:p>
        </w:tc>
        <w:tc>
          <w:tcPr>
            <w:tcW w:type="dxa" w:w="1500"/>
          </w:tcPr>
          <w:p>
            <w:pPr>
              <w:spacing w:after="0"/>
            </w:pPr>
            <w:r>
              <w:rPr>
                <w:rFonts w:ascii="Times New Roman" w:cs="Times New Roman" w:eastAsia="Times New Roman" w:hAnsi="Times New Roman"/>
                <w:b w:val="false"/>
                <w:bCs w:val="false"/>
                <w:sz w:val="16"/>
                <w:szCs w:val="16"/>
              </w:rPr>
              <w:t xml:space="preserve">8,876; 39</w:t>
            </w:r>
          </w:p>
        </w:tc>
        <w:tc>
          <w:tcPr>
            <w:tcW w:type="dxa" w:w="1500"/>
          </w:tcPr>
          <w:p>
            <w:pPr>
              <w:spacing w:after="0"/>
            </w:pPr>
            <w:r>
              <w:rPr>
                <w:rFonts w:ascii="Times New Roman" w:cs="Times New Roman" w:eastAsia="Times New Roman" w:hAnsi="Times New Roman"/>
                <w:b w:val="false"/>
                <w:bCs w:val="false"/>
                <w:sz w:val="16"/>
                <w:szCs w:val="16"/>
              </w:rPr>
              <w:t xml:space="preserve">6,336; 58</w:t>
            </w:r>
          </w:p>
        </w:tc>
        <w:tc>
          <w:tcPr>
            <w:tcW w:type="dxa" w:w="1700"/>
          </w:tcPr>
          <w:p>
            <w:pPr>
              <w:spacing w:after="0"/>
            </w:pPr>
            <w:r>
              <w:rPr>
                <w:rFonts w:ascii="Times New Roman" w:cs="Times New Roman" w:eastAsia="Times New Roman" w:hAnsi="Times New Roman"/>
                <w:b w:val="false"/>
                <w:bCs w:val="false"/>
                <w:sz w:val="16"/>
                <w:szCs w:val="16"/>
              </w:rPr>
              <w:t xml:space="preserve">5,962; 162</w:t>
            </w:r>
          </w:p>
        </w:tc>
        <w:tc>
          <w:tcPr>
            <w:tcW w:type="dxa" w:w="1660"/>
          </w:tcPr>
          <w:p>
            <w:pPr>
              <w:spacing w:after="0"/>
            </w:pPr>
            <w:r>
              <w:rPr>
                <w:rFonts w:ascii="Times New Roman" w:cs="Times New Roman" w:eastAsia="Times New Roman" w:hAnsi="Times New Roman"/>
                <w:b w:val="false"/>
                <w:bCs w:val="false"/>
                <w:sz w:val="16"/>
                <w:szCs w:val="16"/>
              </w:rPr>
              <w:t xml:space="preserve">3,882; 282</w:t>
            </w:r>
          </w:p>
        </w:tc>
      </w:tr>
      <w:tr>
        <w:tc>
          <w:tcPr>
            <w:tcW w:type="dxa" w:w="3000"/>
          </w:tcPr>
          <w:p>
            <w:pPr>
              <w:spacing w:after="0"/>
            </w:pPr>
            <w:r>
              <w:rPr>
                <w:rFonts w:ascii="Times New Roman" w:cs="Times New Roman" w:eastAsia="Times New Roman" w:hAnsi="Times New Roman"/>
                <w:b w:val="false"/>
                <w:bCs w:val="false"/>
                <w:sz w:val="16"/>
                <w:szCs w:val="16"/>
              </w:rPr>
              <w:t xml:space="preserve">Femoral shaft, traffic</w:t>
            </w:r>
          </w:p>
        </w:tc>
        <w:tc>
          <w:tcPr>
            <w:tcW w:type="dxa" w:w="1500"/>
          </w:tcPr>
          <w:p>
            <w:pPr>
              <w:spacing w:after="0"/>
            </w:pPr>
            <w:r>
              <w:rPr>
                <w:rFonts w:ascii="Times New Roman" w:cs="Times New Roman" w:eastAsia="Times New Roman" w:hAnsi="Times New Roman"/>
                <w:b w:val="false"/>
                <w:bCs w:val="false"/>
                <w:sz w:val="16"/>
                <w:szCs w:val="16"/>
              </w:rPr>
              <w:t xml:space="preserve">23,450; 170</w:t>
            </w:r>
          </w:p>
        </w:tc>
        <w:tc>
          <w:tcPr>
            <w:tcW w:type="dxa" w:w="1500"/>
          </w:tcPr>
          <w:p>
            <w:pPr>
              <w:spacing w:after="0"/>
            </w:pPr>
            <w:r>
              <w:rPr>
                <w:rFonts w:ascii="Times New Roman" w:cs="Times New Roman" w:eastAsia="Times New Roman" w:hAnsi="Times New Roman"/>
                <w:b w:val="false"/>
                <w:bCs w:val="false"/>
                <w:sz w:val="16"/>
                <w:szCs w:val="16"/>
              </w:rPr>
              <w:t xml:space="preserve">6,057; 126</w:t>
            </w:r>
          </w:p>
        </w:tc>
        <w:tc>
          <w:tcPr>
            <w:tcW w:type="dxa" w:w="1700"/>
          </w:tcPr>
          <w:p>
            <w:pPr>
              <w:spacing w:after="0"/>
            </w:pPr>
            <w:r>
              <w:rPr>
                <w:rFonts w:ascii="Times New Roman" w:cs="Times New Roman" w:eastAsia="Times New Roman" w:hAnsi="Times New Roman"/>
                <w:b w:val="false"/>
                <w:bCs w:val="false"/>
                <w:sz w:val="16"/>
                <w:szCs w:val="16"/>
              </w:rPr>
              <w:t xml:space="preserve">750; 26</w:t>
            </w:r>
          </w:p>
        </w:tc>
        <w:tc>
          <w:tcPr>
            <w:tcW w:type="dxa" w:w="1660"/>
          </w:tcPr>
          <w:p>
            <w:pPr>
              <w:spacing w:after="0"/>
            </w:pPr>
            <w:r>
              <w:rPr>
                <w:rFonts w:ascii="Times New Roman" w:cs="Times New Roman" w:eastAsia="Times New Roman" w:hAnsi="Times New Roman"/>
                <w:b w:val="false"/>
                <w:bCs w:val="false"/>
                <w:sz w:val="16"/>
                <w:szCs w:val="16"/>
              </w:rPr>
              <w:t xml:space="preserve">224; 18</w:t>
            </w:r>
          </w:p>
        </w:tc>
      </w:tr>
      <w:tr>
        <w:tc>
          <w:tcPr>
            <w:tcW w:type="dxa" w:w="3000"/>
          </w:tcPr>
          <w:p>
            <w:pPr>
              <w:spacing w:after="0"/>
            </w:pPr>
            <w:r>
              <w:rPr>
                <w:rFonts w:ascii="Times New Roman" w:cs="Times New Roman" w:eastAsia="Times New Roman" w:hAnsi="Times New Roman"/>
                <w:b w:val="false"/>
                <w:bCs w:val="false"/>
                <w:sz w:val="16"/>
                <w:szCs w:val="16"/>
              </w:rPr>
              <w:t xml:space="preserve">Tibia, fall</w:t>
            </w:r>
          </w:p>
        </w:tc>
        <w:tc>
          <w:tcPr>
            <w:tcW w:type="dxa" w:w="1500"/>
          </w:tcPr>
          <w:p>
            <w:pPr>
              <w:spacing w:after="0"/>
            </w:pPr>
            <w:r>
              <w:rPr>
                <w:rFonts w:ascii="Times New Roman" w:cs="Times New Roman" w:eastAsia="Times New Roman" w:hAnsi="Times New Roman"/>
                <w:b w:val="false"/>
                <w:bCs w:val="false"/>
                <w:sz w:val="16"/>
                <w:szCs w:val="16"/>
              </w:rPr>
              <w:t xml:space="preserve">38,477; 31</w:t>
            </w:r>
          </w:p>
        </w:tc>
        <w:tc>
          <w:tcPr>
            <w:tcW w:type="dxa" w:w="1500"/>
          </w:tcPr>
          <w:p>
            <w:pPr>
              <w:spacing w:after="0"/>
            </w:pPr>
            <w:r>
              <w:rPr>
                <w:rFonts w:ascii="Times New Roman" w:cs="Times New Roman" w:eastAsia="Times New Roman" w:hAnsi="Times New Roman"/>
                <w:b w:val="false"/>
                <w:bCs w:val="false"/>
                <w:sz w:val="16"/>
                <w:szCs w:val="16"/>
              </w:rPr>
              <w:t xml:space="preserve">43,566; 76</w:t>
            </w:r>
          </w:p>
        </w:tc>
        <w:tc>
          <w:tcPr>
            <w:tcW w:type="dxa" w:w="1700"/>
          </w:tcPr>
          <w:p>
            <w:pPr>
              <w:spacing w:after="0"/>
            </w:pPr>
            <w:r>
              <w:rPr>
                <w:rFonts w:ascii="Times New Roman" w:cs="Times New Roman" w:eastAsia="Times New Roman" w:hAnsi="Times New Roman"/>
                <w:b w:val="false"/>
                <w:bCs w:val="false"/>
                <w:sz w:val="16"/>
                <w:szCs w:val="16"/>
              </w:rPr>
              <w:t xml:space="preserve">9,245; 67</w:t>
            </w:r>
          </w:p>
        </w:tc>
        <w:tc>
          <w:tcPr>
            <w:tcW w:type="dxa" w:w="1660"/>
          </w:tcPr>
          <w:p>
            <w:pPr>
              <w:spacing w:after="0"/>
            </w:pPr>
            <w:r>
              <w:rPr>
                <w:rFonts w:ascii="Times New Roman" w:cs="Times New Roman" w:eastAsia="Times New Roman" w:hAnsi="Times New Roman"/>
                <w:b w:val="false"/>
                <w:bCs w:val="false"/>
                <w:sz w:val="16"/>
                <w:szCs w:val="16"/>
              </w:rPr>
              <w:t xml:space="preserve">1,463; 39</w:t>
            </w:r>
          </w:p>
        </w:tc>
      </w:tr>
      <w:tr>
        <w:tc>
          <w:tcPr>
            <w:tcW w:type="dxa" w:w="3000"/>
          </w:tcPr>
          <w:p>
            <w:pPr>
              <w:spacing w:after="0"/>
            </w:pPr>
            <w:r>
              <w:rPr>
                <w:rFonts w:ascii="Times New Roman" w:cs="Times New Roman" w:eastAsia="Times New Roman" w:hAnsi="Times New Roman"/>
                <w:b w:val="false"/>
                <w:bCs w:val="false"/>
                <w:sz w:val="16"/>
                <w:szCs w:val="16"/>
              </w:rPr>
              <w:t xml:space="preserve">Tibia, traffic</w:t>
            </w:r>
          </w:p>
        </w:tc>
        <w:tc>
          <w:tcPr>
            <w:tcW w:type="dxa" w:w="1500"/>
          </w:tcPr>
          <w:p>
            <w:pPr>
              <w:spacing w:after="0"/>
            </w:pPr>
            <w:r>
              <w:rPr>
                <w:rFonts w:ascii="Times New Roman" w:cs="Times New Roman" w:eastAsia="Times New Roman" w:hAnsi="Times New Roman"/>
                <w:b w:val="false"/>
                <w:bCs w:val="false"/>
                <w:sz w:val="16"/>
                <w:szCs w:val="16"/>
              </w:rPr>
              <w:t xml:space="preserve">60,464; 107</w:t>
            </w:r>
          </w:p>
        </w:tc>
        <w:tc>
          <w:tcPr>
            <w:tcW w:type="dxa" w:w="1500"/>
          </w:tcPr>
          <w:p>
            <w:pPr>
              <w:spacing w:after="0"/>
            </w:pPr>
            <w:r>
              <w:rPr>
                <w:rFonts w:ascii="Times New Roman" w:cs="Times New Roman" w:eastAsia="Times New Roman" w:hAnsi="Times New Roman"/>
                <w:b w:val="false"/>
                <w:bCs w:val="false"/>
                <w:sz w:val="16"/>
                <w:szCs w:val="16"/>
              </w:rPr>
              <w:t xml:space="preserve">38,809; 157</w:t>
            </w:r>
          </w:p>
        </w:tc>
        <w:tc>
          <w:tcPr>
            <w:tcW w:type="dxa" w:w="1700"/>
          </w:tcPr>
          <w:p>
            <w:pPr>
              <w:spacing w:after="0"/>
            </w:pPr>
            <w:r>
              <w:rPr>
                <w:rFonts w:ascii="Times New Roman" w:cs="Times New Roman" w:eastAsia="Times New Roman" w:hAnsi="Times New Roman"/>
                <w:b w:val="false"/>
                <w:bCs w:val="false"/>
                <w:sz w:val="16"/>
                <w:szCs w:val="16"/>
              </w:rPr>
              <w:t xml:space="preserve">4,666; 78</w:t>
            </w:r>
          </w:p>
        </w:tc>
        <w:tc>
          <w:tcPr>
            <w:tcW w:type="dxa" w:w="1660"/>
          </w:tcPr>
          <w:p>
            <w:pPr>
              <w:spacing w:after="0"/>
            </w:pPr>
            <w:r>
              <w:rPr>
                <w:rFonts w:ascii="Times New Roman" w:cs="Times New Roman" w:eastAsia="Times New Roman" w:hAnsi="Times New Roman"/>
                <w:b w:val="false"/>
                <w:bCs w:val="false"/>
                <w:sz w:val="16"/>
                <w:szCs w:val="16"/>
              </w:rPr>
              <w:t xml:space="preserve">460; 29</w:t>
            </w:r>
          </w:p>
        </w:tc>
      </w:tr>
      <w:tr>
        <w:tc>
          <w:tcPr>
            <w:tcW w:type="dxa" w:w="3000"/>
          </w:tcPr>
          <w:p>
            <w:pPr>
              <w:spacing w:after="0"/>
            </w:pPr>
            <w:r>
              <w:rPr>
                <w:rFonts w:ascii="Times New Roman" w:cs="Times New Roman" w:eastAsia="Times New Roman" w:hAnsi="Times New Roman"/>
                <w:b w:val="false"/>
                <w:bCs w:val="false"/>
                <w:sz w:val="16"/>
                <w:szCs w:val="16"/>
              </w:rPr>
              <w:t xml:space="preserve">Forearm shaft, fall</w:t>
            </w:r>
          </w:p>
        </w:tc>
        <w:tc>
          <w:tcPr>
            <w:tcW w:type="dxa" w:w="1500"/>
          </w:tcPr>
          <w:p>
            <w:pPr>
              <w:spacing w:after="0"/>
            </w:pPr>
            <w:r>
              <w:rPr>
                <w:rFonts w:ascii="Times New Roman" w:cs="Times New Roman" w:eastAsia="Times New Roman" w:hAnsi="Times New Roman"/>
                <w:b w:val="false"/>
                <w:bCs w:val="false"/>
                <w:sz w:val="16"/>
                <w:szCs w:val="16"/>
              </w:rPr>
              <w:t xml:space="preserve">12,836; 3</w:t>
            </w:r>
          </w:p>
        </w:tc>
        <w:tc>
          <w:tcPr>
            <w:tcW w:type="dxa" w:w="1500"/>
          </w:tcPr>
          <w:p>
            <w:pPr>
              <w:spacing w:after="0"/>
            </w:pPr>
            <w:r>
              <w:rPr>
                <w:rFonts w:ascii="Times New Roman" w:cs="Times New Roman" w:eastAsia="Times New Roman" w:hAnsi="Times New Roman"/>
                <w:b w:val="false"/>
                <w:bCs w:val="false"/>
                <w:sz w:val="16"/>
                <w:szCs w:val="16"/>
              </w:rPr>
              <w:t xml:space="preserve">11,293; 5</w:t>
            </w:r>
          </w:p>
        </w:tc>
        <w:tc>
          <w:tcPr>
            <w:tcW w:type="dxa" w:w="1700"/>
          </w:tcPr>
          <w:p>
            <w:pPr>
              <w:spacing w:after="0"/>
            </w:pPr>
            <w:r>
              <w:rPr>
                <w:rFonts w:ascii="Times New Roman" w:cs="Times New Roman" w:eastAsia="Times New Roman" w:hAnsi="Times New Roman"/>
                <w:b w:val="false"/>
                <w:bCs w:val="false"/>
                <w:sz w:val="16"/>
                <w:szCs w:val="16"/>
              </w:rPr>
              <w:t xml:space="preserve">3,113; 5</w:t>
            </w:r>
          </w:p>
        </w:tc>
        <w:tc>
          <w:tcPr>
            <w:tcW w:type="dxa" w:w="1660"/>
          </w:tcPr>
          <w:p>
            <w:pPr>
              <w:spacing w:after="0"/>
            </w:pPr>
            <w:r>
              <w:rPr>
                <w:rFonts w:ascii="Times New Roman" w:cs="Times New Roman" w:eastAsia="Times New Roman" w:hAnsi="Times New Roman"/>
                <w:b w:val="false"/>
                <w:bCs w:val="false"/>
                <w:sz w:val="16"/>
                <w:szCs w:val="16"/>
              </w:rPr>
              <w:t xml:space="preserve">711; 9</w:t>
            </w:r>
          </w:p>
        </w:tc>
      </w:tr>
      <w:tr>
        <w:tc>
          <w:tcPr>
            <w:tcW w:type="dxa" w:w="3000"/>
          </w:tcPr>
          <w:p>
            <w:pPr>
              <w:spacing w:after="0"/>
            </w:pPr>
            <w:r>
              <w:rPr>
                <w:rFonts w:ascii="Times New Roman" w:cs="Times New Roman" w:eastAsia="Times New Roman" w:hAnsi="Times New Roman"/>
                <w:b w:val="false"/>
                <w:bCs w:val="false"/>
                <w:sz w:val="16"/>
                <w:szCs w:val="16"/>
              </w:rPr>
              <w:t xml:space="preserve">Forearm shaft, traffic</w:t>
            </w:r>
          </w:p>
        </w:tc>
        <w:tc>
          <w:tcPr>
            <w:tcW w:type="dxa" w:w="1500"/>
          </w:tcPr>
          <w:p>
            <w:pPr>
              <w:spacing w:after="0"/>
            </w:pPr>
            <w:r>
              <w:rPr>
                <w:rFonts w:ascii="Times New Roman" w:cs="Times New Roman" w:eastAsia="Times New Roman" w:hAnsi="Times New Roman"/>
                <w:b w:val="false"/>
                <w:bCs w:val="false"/>
                <w:sz w:val="16"/>
                <w:szCs w:val="16"/>
              </w:rPr>
              <w:t xml:space="preserve">11,990; 4</w:t>
            </w:r>
          </w:p>
        </w:tc>
        <w:tc>
          <w:tcPr>
            <w:tcW w:type="dxa" w:w="1500"/>
          </w:tcPr>
          <w:p>
            <w:pPr>
              <w:spacing w:after="0"/>
            </w:pPr>
            <w:r>
              <w:rPr>
                <w:rFonts w:ascii="Times New Roman" w:cs="Times New Roman" w:eastAsia="Times New Roman" w:hAnsi="Times New Roman"/>
                <w:b w:val="false"/>
                <w:bCs w:val="false"/>
                <w:sz w:val="16"/>
                <w:szCs w:val="16"/>
              </w:rPr>
              <w:t xml:space="preserve">5,091; 5</w:t>
            </w:r>
          </w:p>
        </w:tc>
        <w:tc>
          <w:tcPr>
            <w:tcW w:type="dxa" w:w="1700"/>
          </w:tcPr>
          <w:p>
            <w:pPr>
              <w:spacing w:after="0"/>
            </w:pPr>
            <w:r>
              <w:rPr>
                <w:rFonts w:ascii="Times New Roman" w:cs="Times New Roman" w:eastAsia="Times New Roman" w:hAnsi="Times New Roman"/>
                <w:b w:val="false"/>
                <w:bCs w:val="false"/>
                <w:sz w:val="16"/>
                <w:szCs w:val="16"/>
              </w:rPr>
              <w:t xml:space="preserve">496; 1</w:t>
            </w:r>
          </w:p>
        </w:tc>
        <w:tc>
          <w:tcPr>
            <w:tcW w:type="dxa" w:w="1660"/>
          </w:tcPr>
          <w:p>
            <w:pPr>
              <w:spacing w:after="0"/>
            </w:pPr>
            <w:r>
              <w:rPr>
                <w:rFonts w:ascii="Times New Roman" w:cs="Times New Roman" w:eastAsia="Times New Roman" w:hAnsi="Times New Roman"/>
                <w:b w:val="false"/>
                <w:bCs w:val="false"/>
                <w:sz w:val="16"/>
                <w:szCs w:val="16"/>
              </w:rPr>
              <w:t xml:space="preserve">51; 0</w:t>
            </w:r>
          </w:p>
        </w:tc>
      </w:tr>
      <w:tr>
        <w:tc>
          <w:tcPr>
            <w:tcW w:type="dxa" w:w="3000"/>
          </w:tcPr>
          <w:p>
            <w:pPr>
              <w:spacing w:after="0"/>
            </w:pPr>
            <w:r>
              <w:rPr>
                <w:rFonts w:ascii="Times New Roman" w:cs="Times New Roman" w:eastAsia="Times New Roman" w:hAnsi="Times New Roman"/>
                <w:b w:val="false"/>
                <w:bCs w:val="false"/>
                <w:sz w:val="16"/>
                <w:szCs w:val="16"/>
              </w:rPr>
              <w:t xml:space="preserve">Proximal humerus, fall (secondary)</w:t>
            </w:r>
          </w:p>
        </w:tc>
        <w:tc>
          <w:tcPr>
            <w:tcW w:type="dxa" w:w="1500"/>
          </w:tcPr>
          <w:p>
            <w:pPr>
              <w:spacing w:after="0"/>
            </w:pPr>
            <w:r>
              <w:rPr>
                <w:rFonts w:ascii="Times New Roman" w:cs="Times New Roman" w:eastAsia="Times New Roman" w:hAnsi="Times New Roman"/>
                <w:b w:val="false"/>
                <w:bCs w:val="false"/>
                <w:sz w:val="16"/>
                <w:szCs w:val="16"/>
              </w:rPr>
              <w:t xml:space="preserve">4,489; 4</w:t>
            </w:r>
          </w:p>
        </w:tc>
        <w:tc>
          <w:tcPr>
            <w:tcW w:type="dxa" w:w="1500"/>
          </w:tcPr>
          <w:p>
            <w:pPr>
              <w:spacing w:after="0"/>
            </w:pPr>
            <w:r>
              <w:rPr>
                <w:rFonts w:ascii="Times New Roman" w:cs="Times New Roman" w:eastAsia="Times New Roman" w:hAnsi="Times New Roman"/>
                <w:b w:val="false"/>
                <w:bCs w:val="false"/>
                <w:sz w:val="16"/>
                <w:szCs w:val="16"/>
              </w:rPr>
              <w:t xml:space="preserve">15,489; 28</w:t>
            </w:r>
          </w:p>
        </w:tc>
        <w:tc>
          <w:tcPr>
            <w:tcW w:type="dxa" w:w="1700"/>
          </w:tcPr>
          <w:p>
            <w:pPr>
              <w:spacing w:after="0"/>
            </w:pPr>
            <w:r>
              <w:rPr>
                <w:rFonts w:ascii="Times New Roman" w:cs="Times New Roman" w:eastAsia="Times New Roman" w:hAnsi="Times New Roman"/>
                <w:b w:val="false"/>
                <w:bCs w:val="false"/>
                <w:sz w:val="16"/>
                <w:szCs w:val="16"/>
              </w:rPr>
              <w:t xml:space="preserve">12,594; 62</w:t>
            </w:r>
          </w:p>
        </w:tc>
        <w:tc>
          <w:tcPr>
            <w:tcW w:type="dxa" w:w="1660"/>
          </w:tcPr>
          <w:p>
            <w:pPr>
              <w:spacing w:after="0"/>
            </w:pPr>
            <w:r>
              <w:rPr>
                <w:rFonts w:ascii="Times New Roman" w:cs="Times New Roman" w:eastAsia="Times New Roman" w:hAnsi="Times New Roman"/>
                <w:b w:val="false"/>
                <w:bCs w:val="false"/>
                <w:sz w:val="16"/>
                <w:szCs w:val="16"/>
              </w:rPr>
              <w:t xml:space="preserve">3,167; 63</w:t>
            </w:r>
          </w:p>
        </w:tc>
      </w:tr>
      <w:tr>
        <w:tc>
          <w:tcPr>
            <w:tcW w:type="dxa" w:w="3000"/>
          </w:tcPr>
          <w:p>
            <w:pPr>
              <w:spacing w:after="0"/>
            </w:pPr>
            <w:r>
              <w:rPr>
                <w:rFonts w:ascii="Times New Roman" w:cs="Times New Roman" w:eastAsia="Times New Roman" w:hAnsi="Times New Roman"/>
                <w:b w:val="false"/>
                <w:bCs w:val="false"/>
                <w:sz w:val="16"/>
                <w:szCs w:val="16"/>
              </w:rPr>
              <w:t xml:space="preserve">Proximal humerus, traffic (secondary)</w:t>
            </w:r>
          </w:p>
        </w:tc>
        <w:tc>
          <w:tcPr>
            <w:tcW w:type="dxa" w:w="1500"/>
          </w:tcPr>
          <w:p>
            <w:pPr>
              <w:spacing w:after="0"/>
            </w:pPr>
            <w:r>
              <w:rPr>
                <w:rFonts w:ascii="Times New Roman" w:cs="Times New Roman" w:eastAsia="Times New Roman" w:hAnsi="Times New Roman"/>
                <w:b w:val="false"/>
                <w:bCs w:val="false"/>
                <w:sz w:val="16"/>
                <w:szCs w:val="16"/>
              </w:rPr>
              <w:t xml:space="preserve">4,348; 5</w:t>
            </w:r>
          </w:p>
        </w:tc>
        <w:tc>
          <w:tcPr>
            <w:tcW w:type="dxa" w:w="1500"/>
          </w:tcPr>
          <w:p>
            <w:pPr>
              <w:spacing w:after="0"/>
            </w:pPr>
            <w:r>
              <w:rPr>
                <w:rFonts w:ascii="Times New Roman" w:cs="Times New Roman" w:eastAsia="Times New Roman" w:hAnsi="Times New Roman"/>
                <w:b w:val="false"/>
                <w:bCs w:val="false"/>
                <w:sz w:val="16"/>
                <w:szCs w:val="16"/>
              </w:rPr>
              <w:t xml:space="preserve">5,541; 10</w:t>
            </w:r>
          </w:p>
        </w:tc>
        <w:tc>
          <w:tcPr>
            <w:tcW w:type="dxa" w:w="1700"/>
          </w:tcPr>
          <w:p>
            <w:pPr>
              <w:spacing w:after="0"/>
            </w:pPr>
            <w:r>
              <w:rPr>
                <w:rFonts w:ascii="Times New Roman" w:cs="Times New Roman" w:eastAsia="Times New Roman" w:hAnsi="Times New Roman"/>
                <w:b w:val="false"/>
                <w:bCs w:val="false"/>
                <w:sz w:val="16"/>
                <w:szCs w:val="16"/>
              </w:rPr>
              <w:t xml:space="preserve">1,103; 5</w:t>
            </w:r>
          </w:p>
        </w:tc>
        <w:tc>
          <w:tcPr>
            <w:tcW w:type="dxa" w:w="1660"/>
          </w:tcPr>
          <w:p>
            <w:pPr>
              <w:spacing w:after="0"/>
            </w:pPr>
            <w:r>
              <w:rPr>
                <w:rFonts w:ascii="Times New Roman" w:cs="Times New Roman" w:eastAsia="Times New Roman" w:hAnsi="Times New Roman"/>
                <w:b w:val="false"/>
                <w:bCs w:val="false"/>
                <w:sz w:val="16"/>
                <w:szCs w:val="16"/>
              </w:rPr>
              <w:t xml:space="preserve">137; 4</w:t>
            </w:r>
          </w:p>
        </w:tc>
      </w:tr>
    </w:tbl>
    <w:p>
      <w:pPr>
        <w:spacing w:after="180" w:before="60"/>
      </w:pPr>
      <w:r>
        <w:rPr>
          <w:rFonts w:ascii="Times New Roman" w:cs="Times New Roman" w:eastAsia="Times New Roman" w:hAnsi="Times New Roman"/>
          <w:sz w:val="17"/>
          <w:szCs w:val="17"/>
        </w:rPr>
        <w:t xml:space="preserve">Fall related, W00 to W19; traffic related, V01 to V89.</w:t>
      </w:r>
    </w:p>
    <w:p>
      <w:pPr>
        <w:pStyle w:val="Heading1"/>
        <w:spacing w:after="100" w:before="220"/>
      </w:pPr>
      <w:r>
        <w:rPr>
          <w:rFonts w:ascii="Times New Roman" w:cs="Times New Roman" w:eastAsia="Times New Roman" w:hAnsi="Times New Roman"/>
          <w:b/>
          <w:bCs/>
          <w:sz w:val="24"/>
          <w:szCs w:val="24"/>
        </w:rPr>
        <w:t xml:space="preserve">S4. Crude in-hospital mortality by age group, Mexico and MIMIC-IV (%)</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200"/>
        <w:gridCol w:w="900"/>
        <w:gridCol w:w="900"/>
        <w:gridCol w:w="900"/>
        <w:gridCol w:w="900"/>
        <w:gridCol w:w="900"/>
        <w:gridCol w:w="900"/>
        <w:gridCol w:w="900"/>
        <w:gridCol w:w="900"/>
      </w:tblGrid>
      <w:tr>
        <w:tc>
          <w:tcPr>
            <w:tcW w:type="dxa" w:w="2200"/>
            <w:shd w:fill="E7E6E6" w:color="auto" w:val="clear"/>
          </w:tcPr>
          <w:p>
            <w:pPr>
              <w:spacing w:after="0"/>
            </w:pPr>
            <w:r>
              <w:rPr>
                <w:rFonts w:ascii="Times New Roman" w:cs="Times New Roman" w:eastAsia="Times New Roman" w:hAnsi="Times New Roman"/>
                <w:b/>
                <w:bCs/>
                <w:sz w:val="16"/>
                <w:szCs w:val="16"/>
              </w:rPr>
              <w:t xml:space="preserve">Fracture, mechanism</w:t>
            </w:r>
          </w:p>
        </w:tc>
        <w:tc>
          <w:tcPr>
            <w:tcW w:type="dxa" w:w="900"/>
            <w:shd w:fill="E7E6E6" w:color="auto" w:val="clear"/>
          </w:tcPr>
          <w:p>
            <w:pPr>
              <w:spacing w:after="0"/>
            </w:pPr>
            <w:r>
              <w:rPr>
                <w:rFonts w:ascii="Times New Roman" w:cs="Times New Roman" w:eastAsia="Times New Roman" w:hAnsi="Times New Roman"/>
                <w:b/>
                <w:bCs/>
                <w:sz w:val="16"/>
                <w:szCs w:val="16"/>
              </w:rPr>
              <w:t xml:space="preserve">Mexico 18-39</w:t>
            </w:r>
          </w:p>
        </w:tc>
        <w:tc>
          <w:tcPr>
            <w:tcW w:type="dxa" w:w="900"/>
            <w:shd w:fill="E7E6E6" w:color="auto" w:val="clear"/>
          </w:tcPr>
          <w:p>
            <w:pPr>
              <w:spacing w:after="0"/>
            </w:pPr>
            <w:r>
              <w:rPr>
                <w:rFonts w:ascii="Times New Roman" w:cs="Times New Roman" w:eastAsia="Times New Roman" w:hAnsi="Times New Roman"/>
                <w:b/>
                <w:bCs/>
                <w:sz w:val="16"/>
                <w:szCs w:val="16"/>
              </w:rPr>
              <w:t xml:space="preserve">Mexico 40-64</w:t>
            </w:r>
          </w:p>
        </w:tc>
        <w:tc>
          <w:tcPr>
            <w:tcW w:type="dxa" w:w="900"/>
            <w:shd w:fill="E7E6E6" w:color="auto" w:val="clear"/>
          </w:tcPr>
          <w:p>
            <w:pPr>
              <w:spacing w:after="0"/>
            </w:pPr>
            <w:r>
              <w:rPr>
                <w:rFonts w:ascii="Times New Roman" w:cs="Times New Roman" w:eastAsia="Times New Roman" w:hAnsi="Times New Roman"/>
                <w:b/>
                <w:bCs/>
                <w:sz w:val="16"/>
                <w:szCs w:val="16"/>
              </w:rPr>
              <w:t xml:space="preserve">Mexico 65-79</w:t>
            </w:r>
          </w:p>
        </w:tc>
        <w:tc>
          <w:tcPr>
            <w:tcW w:type="dxa" w:w="900"/>
            <w:shd w:fill="E7E6E6" w:color="auto" w:val="clear"/>
          </w:tcPr>
          <w:p>
            <w:pPr>
              <w:spacing w:after="0"/>
            </w:pPr>
            <w:r>
              <w:rPr>
                <w:rFonts w:ascii="Times New Roman" w:cs="Times New Roman" w:eastAsia="Times New Roman" w:hAnsi="Times New Roman"/>
                <w:b/>
                <w:bCs/>
                <w:sz w:val="16"/>
                <w:szCs w:val="16"/>
              </w:rPr>
              <w:t xml:space="preserve">Mexico 80+</w:t>
            </w:r>
          </w:p>
        </w:tc>
        <w:tc>
          <w:tcPr>
            <w:tcW w:type="dxa" w:w="900"/>
            <w:shd w:fill="E7E6E6" w:color="auto" w:val="clear"/>
          </w:tcPr>
          <w:p>
            <w:pPr>
              <w:spacing w:after="0"/>
            </w:pPr>
            <w:r>
              <w:rPr>
                <w:rFonts w:ascii="Times New Roman" w:cs="Times New Roman" w:eastAsia="Times New Roman" w:hAnsi="Times New Roman"/>
                <w:b/>
                <w:bCs/>
                <w:sz w:val="16"/>
                <w:szCs w:val="16"/>
              </w:rPr>
              <w:t xml:space="preserve">MIMIC 18-39</w:t>
            </w:r>
          </w:p>
        </w:tc>
        <w:tc>
          <w:tcPr>
            <w:tcW w:type="dxa" w:w="900"/>
            <w:shd w:fill="E7E6E6" w:color="auto" w:val="clear"/>
          </w:tcPr>
          <w:p>
            <w:pPr>
              <w:spacing w:after="0"/>
            </w:pPr>
            <w:r>
              <w:rPr>
                <w:rFonts w:ascii="Times New Roman" w:cs="Times New Roman" w:eastAsia="Times New Roman" w:hAnsi="Times New Roman"/>
                <w:b/>
                <w:bCs/>
                <w:sz w:val="16"/>
                <w:szCs w:val="16"/>
              </w:rPr>
              <w:t xml:space="preserve">MIMIC 40-64</w:t>
            </w:r>
          </w:p>
        </w:tc>
        <w:tc>
          <w:tcPr>
            <w:tcW w:type="dxa" w:w="900"/>
            <w:shd w:fill="E7E6E6" w:color="auto" w:val="clear"/>
          </w:tcPr>
          <w:p>
            <w:pPr>
              <w:spacing w:after="0"/>
            </w:pPr>
            <w:r>
              <w:rPr>
                <w:rFonts w:ascii="Times New Roman" w:cs="Times New Roman" w:eastAsia="Times New Roman" w:hAnsi="Times New Roman"/>
                <w:b/>
                <w:bCs/>
                <w:sz w:val="16"/>
                <w:szCs w:val="16"/>
              </w:rPr>
              <w:t xml:space="preserve">MIMIC 65-79</w:t>
            </w:r>
          </w:p>
        </w:tc>
        <w:tc>
          <w:tcPr>
            <w:tcW w:type="dxa" w:w="900"/>
            <w:shd w:fill="E7E6E6" w:color="auto" w:val="clear"/>
          </w:tcPr>
          <w:p>
            <w:pPr>
              <w:spacing w:after="0"/>
            </w:pPr>
            <w:r>
              <w:rPr>
                <w:rFonts w:ascii="Times New Roman" w:cs="Times New Roman" w:eastAsia="Times New Roman" w:hAnsi="Times New Roman"/>
                <w:b/>
                <w:bCs/>
                <w:sz w:val="16"/>
                <w:szCs w:val="16"/>
              </w:rPr>
              <w:t xml:space="preserve">MIMIC 80+</w:t>
            </w:r>
          </w:p>
        </w:tc>
      </w:tr>
      <w:tr>
        <w:tc>
          <w:tcPr>
            <w:tcW w:type="dxa" w:w="2200"/>
          </w:tcPr>
          <w:p>
            <w:pPr>
              <w:spacing w:after="0"/>
            </w:pPr>
            <w:r>
              <w:rPr>
                <w:rFonts w:ascii="Times New Roman" w:cs="Times New Roman" w:eastAsia="Times New Roman" w:hAnsi="Times New Roman"/>
                <w:b w:val="false"/>
                <w:bCs w:val="false"/>
                <w:sz w:val="16"/>
                <w:szCs w:val="16"/>
              </w:rPr>
              <w:t xml:space="preserve">Hip, fall</w:t>
            </w:r>
          </w:p>
        </w:tc>
        <w:tc>
          <w:tcPr>
            <w:tcW w:type="dxa" w:w="900"/>
          </w:tcPr>
          <w:p>
            <w:pPr>
              <w:spacing w:after="0"/>
            </w:pPr>
            <w:r>
              <w:rPr>
                <w:rFonts w:ascii="Times New Roman" w:cs="Times New Roman" w:eastAsia="Times New Roman" w:hAnsi="Times New Roman"/>
                <w:b w:val="false"/>
                <w:bCs w:val="false"/>
                <w:sz w:val="16"/>
                <w:szCs w:val="16"/>
              </w:rPr>
              <w:t xml:space="preserve">0.41</w:t>
            </w:r>
          </w:p>
        </w:tc>
        <w:tc>
          <w:tcPr>
            <w:tcW w:type="dxa" w:w="900"/>
          </w:tcPr>
          <w:p>
            <w:pPr>
              <w:spacing w:after="0"/>
            </w:pPr>
            <w:r>
              <w:rPr>
                <w:rFonts w:ascii="Times New Roman" w:cs="Times New Roman" w:eastAsia="Times New Roman" w:hAnsi="Times New Roman"/>
                <w:b w:val="false"/>
                <w:bCs w:val="false"/>
                <w:sz w:val="16"/>
                <w:szCs w:val="16"/>
              </w:rPr>
              <w:t xml:space="preserve">0.94</w:t>
            </w:r>
          </w:p>
        </w:tc>
        <w:tc>
          <w:tcPr>
            <w:tcW w:type="dxa" w:w="900"/>
          </w:tcPr>
          <w:p>
            <w:pPr>
              <w:spacing w:after="0"/>
            </w:pPr>
            <w:r>
              <w:rPr>
                <w:rFonts w:ascii="Times New Roman" w:cs="Times New Roman" w:eastAsia="Times New Roman" w:hAnsi="Times New Roman"/>
                <w:b w:val="false"/>
                <w:bCs w:val="false"/>
                <w:sz w:val="16"/>
                <w:szCs w:val="16"/>
              </w:rPr>
              <w:t xml:space="preserve">1.79</w:t>
            </w:r>
          </w:p>
        </w:tc>
        <w:tc>
          <w:tcPr>
            <w:tcW w:type="dxa" w:w="900"/>
          </w:tcPr>
          <w:p>
            <w:pPr>
              <w:spacing w:after="0"/>
            </w:pPr>
            <w:r>
              <w:rPr>
                <w:rFonts w:ascii="Times New Roman" w:cs="Times New Roman" w:eastAsia="Times New Roman" w:hAnsi="Times New Roman"/>
                <w:b w:val="false"/>
                <w:bCs w:val="false"/>
                <w:sz w:val="16"/>
                <w:szCs w:val="16"/>
              </w:rPr>
              <w:t xml:space="preserve">3.63</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0.96</w:t>
            </w:r>
          </w:p>
        </w:tc>
        <w:tc>
          <w:tcPr>
            <w:tcW w:type="dxa" w:w="900"/>
          </w:tcPr>
          <w:p>
            <w:pPr>
              <w:spacing w:after="0"/>
            </w:pPr>
            <w:r>
              <w:rPr>
                <w:rFonts w:ascii="Times New Roman" w:cs="Times New Roman" w:eastAsia="Times New Roman" w:hAnsi="Times New Roman"/>
                <w:b w:val="false"/>
                <w:bCs w:val="false"/>
                <w:sz w:val="16"/>
                <w:szCs w:val="16"/>
              </w:rPr>
              <w:t xml:space="preserve">2.68</w:t>
            </w:r>
          </w:p>
        </w:tc>
        <w:tc>
          <w:tcPr>
            <w:tcW w:type="dxa" w:w="900"/>
          </w:tcPr>
          <w:p>
            <w:pPr>
              <w:spacing w:after="0"/>
            </w:pPr>
            <w:r>
              <w:rPr>
                <w:rFonts w:ascii="Times New Roman" w:cs="Times New Roman" w:eastAsia="Times New Roman" w:hAnsi="Times New Roman"/>
                <w:b w:val="false"/>
                <w:bCs w:val="false"/>
                <w:sz w:val="16"/>
                <w:szCs w:val="16"/>
              </w:rPr>
              <w:t xml:space="preserve">3.92</w:t>
            </w:r>
          </w:p>
        </w:tc>
      </w:tr>
      <w:tr>
        <w:tc>
          <w:tcPr>
            <w:tcW w:type="dxa" w:w="2200"/>
          </w:tcPr>
          <w:p>
            <w:pPr>
              <w:spacing w:after="0"/>
            </w:pPr>
            <w:r>
              <w:rPr>
                <w:rFonts w:ascii="Times New Roman" w:cs="Times New Roman" w:eastAsia="Times New Roman" w:hAnsi="Times New Roman"/>
                <w:b w:val="false"/>
                <w:bCs w:val="false"/>
                <w:sz w:val="16"/>
                <w:szCs w:val="16"/>
              </w:rPr>
              <w:t xml:space="preserve">Hip, traffic</w:t>
            </w:r>
          </w:p>
        </w:tc>
        <w:tc>
          <w:tcPr>
            <w:tcW w:type="dxa" w:w="900"/>
          </w:tcPr>
          <w:p>
            <w:pPr>
              <w:spacing w:after="0"/>
            </w:pPr>
            <w:r>
              <w:rPr>
                <w:rFonts w:ascii="Times New Roman" w:cs="Times New Roman" w:eastAsia="Times New Roman" w:hAnsi="Times New Roman"/>
                <w:b w:val="false"/>
                <w:bCs w:val="false"/>
                <w:sz w:val="16"/>
                <w:szCs w:val="16"/>
              </w:rPr>
              <w:t xml:space="preserve">0.74</w:t>
            </w:r>
          </w:p>
        </w:tc>
        <w:tc>
          <w:tcPr>
            <w:tcW w:type="dxa" w:w="900"/>
          </w:tcPr>
          <w:p>
            <w:pPr>
              <w:spacing w:after="0"/>
            </w:pPr>
            <w:r>
              <w:rPr>
                <w:rFonts w:ascii="Times New Roman" w:cs="Times New Roman" w:eastAsia="Times New Roman" w:hAnsi="Times New Roman"/>
                <w:b w:val="false"/>
                <w:bCs w:val="false"/>
                <w:sz w:val="16"/>
                <w:szCs w:val="16"/>
              </w:rPr>
              <w:t xml:space="preserve">0.33</w:t>
            </w:r>
          </w:p>
        </w:tc>
        <w:tc>
          <w:tcPr>
            <w:tcW w:type="dxa" w:w="900"/>
          </w:tcPr>
          <w:p>
            <w:pPr>
              <w:spacing w:after="0"/>
            </w:pPr>
            <w:r>
              <w:rPr>
                <w:rFonts w:ascii="Times New Roman" w:cs="Times New Roman" w:eastAsia="Times New Roman" w:hAnsi="Times New Roman"/>
                <w:b w:val="false"/>
                <w:bCs w:val="false"/>
                <w:sz w:val="16"/>
                <w:szCs w:val="16"/>
              </w:rPr>
              <w:t xml:space="preserve">1.79</w:t>
            </w:r>
          </w:p>
        </w:tc>
        <w:tc>
          <w:tcPr>
            <w:tcW w:type="dxa" w:w="900"/>
          </w:tcPr>
          <w:p>
            <w:pPr>
              <w:spacing w:after="0"/>
            </w:pPr>
            <w:r>
              <w:rPr>
                <w:rFonts w:ascii="Times New Roman" w:cs="Times New Roman" w:eastAsia="Times New Roman" w:hAnsi="Times New Roman"/>
                <w:b w:val="false"/>
                <w:bCs w:val="false"/>
                <w:sz w:val="16"/>
                <w:szCs w:val="16"/>
              </w:rPr>
              <w:t xml:space="preserve">3.70</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2.38</w:t>
            </w:r>
          </w:p>
        </w:tc>
        <w:tc>
          <w:tcPr>
            <w:tcW w:type="dxa" w:w="900"/>
          </w:tcPr>
          <w:p>
            <w:pPr>
              <w:spacing w:after="0"/>
            </w:pPr>
            <w:r>
              <w:rPr>
                <w:rFonts w:ascii="Times New Roman" w:cs="Times New Roman" w:eastAsia="Times New Roman" w:hAnsi="Times New Roman"/>
                <w:b w:val="false"/>
                <w:bCs w:val="false"/>
                <w:sz w:val="16"/>
                <w:szCs w:val="16"/>
              </w:rPr>
              <w:t xml:space="preserve">3.45</w:t>
            </w:r>
          </w:p>
        </w:tc>
      </w:tr>
      <w:tr>
        <w:tc>
          <w:tcPr>
            <w:tcW w:type="dxa" w:w="2200"/>
          </w:tcPr>
          <w:p>
            <w:pPr>
              <w:spacing w:after="0"/>
            </w:pPr>
            <w:r>
              <w:rPr>
                <w:rFonts w:ascii="Times New Roman" w:cs="Times New Roman" w:eastAsia="Times New Roman" w:hAnsi="Times New Roman"/>
                <w:b w:val="false"/>
                <w:bCs w:val="false"/>
                <w:sz w:val="16"/>
                <w:szCs w:val="16"/>
              </w:rPr>
              <w:t xml:space="preserve">Femoral shaft, fall</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1.99</w:t>
            </w:r>
          </w:p>
        </w:tc>
        <w:tc>
          <w:tcPr>
            <w:tcW w:type="dxa" w:w="900"/>
          </w:tcPr>
          <w:p>
            <w:pPr>
              <w:spacing w:after="0"/>
            </w:pPr>
            <w:r>
              <w:rPr>
                <w:rFonts w:ascii="Times New Roman" w:cs="Times New Roman" w:eastAsia="Times New Roman" w:hAnsi="Times New Roman"/>
                <w:b w:val="false"/>
                <w:bCs w:val="false"/>
                <w:sz w:val="16"/>
                <w:szCs w:val="16"/>
              </w:rPr>
              <w:t xml:space="preserve">2.07</w:t>
            </w:r>
          </w:p>
        </w:tc>
        <w:tc>
          <w:tcPr>
            <w:tcW w:type="dxa" w:w="900"/>
          </w:tcPr>
          <w:p>
            <w:pPr>
              <w:spacing w:after="0"/>
            </w:pPr>
            <w:r>
              <w:rPr>
                <w:rFonts w:ascii="Times New Roman" w:cs="Times New Roman" w:eastAsia="Times New Roman" w:hAnsi="Times New Roman"/>
                <w:b w:val="false"/>
                <w:bCs w:val="false"/>
                <w:sz w:val="16"/>
                <w:szCs w:val="16"/>
              </w:rPr>
              <w:t xml:space="preserve">4.19</w:t>
            </w:r>
          </w:p>
        </w:tc>
        <w:tc>
          <w:tcPr>
            <w:tcW w:type="dxa" w:w="900"/>
          </w:tcPr>
          <w:p>
            <w:pPr>
              <w:spacing w:after="0"/>
            </w:pPr>
            <w:r>
              <w:rPr>
                <w:rFonts w:ascii="Times New Roman" w:cs="Times New Roman" w:eastAsia="Times New Roman" w:hAnsi="Times New Roman"/>
                <w:b w:val="false"/>
                <w:bCs w:val="false"/>
                <w:sz w:val="16"/>
                <w:szCs w:val="16"/>
              </w:rPr>
              <w:t xml:space="preserve">5.88</w:t>
            </w:r>
          </w:p>
        </w:tc>
        <w:tc>
          <w:tcPr>
            <w:tcW w:type="dxa" w:w="900"/>
          </w:tcPr>
          <w:p>
            <w:pPr>
              <w:spacing w:after="0"/>
            </w:pPr>
            <w:r>
              <w:rPr>
                <w:rFonts w:ascii="Times New Roman" w:cs="Times New Roman" w:eastAsia="Times New Roman" w:hAnsi="Times New Roman"/>
                <w:b w:val="false"/>
                <w:bCs w:val="false"/>
                <w:sz w:val="16"/>
                <w:szCs w:val="16"/>
              </w:rPr>
              <w:t xml:space="preserve">1.59</w:t>
            </w:r>
          </w:p>
        </w:tc>
        <w:tc>
          <w:tcPr>
            <w:tcW w:type="dxa" w:w="900"/>
          </w:tcPr>
          <w:p>
            <w:pPr>
              <w:spacing w:after="0"/>
            </w:pPr>
            <w:r>
              <w:rPr>
                <w:rFonts w:ascii="Times New Roman" w:cs="Times New Roman" w:eastAsia="Times New Roman" w:hAnsi="Times New Roman"/>
                <w:b w:val="false"/>
                <w:bCs w:val="false"/>
                <w:sz w:val="16"/>
                <w:szCs w:val="16"/>
              </w:rPr>
              <w:t xml:space="preserve">1.23</w:t>
            </w:r>
          </w:p>
        </w:tc>
        <w:tc>
          <w:tcPr>
            <w:tcW w:type="dxa" w:w="900"/>
          </w:tcPr>
          <w:p>
            <w:pPr>
              <w:spacing w:after="0"/>
            </w:pPr>
            <w:r>
              <w:rPr>
                <w:rFonts w:ascii="Times New Roman" w:cs="Times New Roman" w:eastAsia="Times New Roman" w:hAnsi="Times New Roman"/>
                <w:b w:val="false"/>
                <w:bCs w:val="false"/>
                <w:sz w:val="16"/>
                <w:szCs w:val="16"/>
              </w:rPr>
              <w:t xml:space="preserve">3.70</w:t>
            </w:r>
          </w:p>
        </w:tc>
      </w:tr>
      <w:tr>
        <w:tc>
          <w:tcPr>
            <w:tcW w:type="dxa" w:w="2200"/>
          </w:tcPr>
          <w:p>
            <w:pPr>
              <w:spacing w:after="0"/>
            </w:pPr>
            <w:r>
              <w:rPr>
                <w:rFonts w:ascii="Times New Roman" w:cs="Times New Roman" w:eastAsia="Times New Roman" w:hAnsi="Times New Roman"/>
                <w:b w:val="false"/>
                <w:bCs w:val="false"/>
                <w:sz w:val="16"/>
                <w:szCs w:val="16"/>
              </w:rPr>
              <w:t xml:space="preserve">Femoral shaft, traffic</w:t>
            </w:r>
          </w:p>
        </w:tc>
        <w:tc>
          <w:tcPr>
            <w:tcW w:type="dxa" w:w="900"/>
          </w:tcPr>
          <w:p>
            <w:pPr>
              <w:spacing w:after="0"/>
            </w:pPr>
            <w:r>
              <w:rPr>
                <w:rFonts w:ascii="Times New Roman" w:cs="Times New Roman" w:eastAsia="Times New Roman" w:hAnsi="Times New Roman"/>
                <w:b w:val="false"/>
                <w:bCs w:val="false"/>
                <w:sz w:val="16"/>
                <w:szCs w:val="16"/>
              </w:rPr>
              <w:t xml:space="preserve">0.51</w:t>
            </w:r>
          </w:p>
        </w:tc>
        <w:tc>
          <w:tcPr>
            <w:tcW w:type="dxa" w:w="900"/>
          </w:tcPr>
          <w:p>
            <w:pPr>
              <w:spacing w:after="0"/>
            </w:pPr>
            <w:r>
              <w:rPr>
                <w:rFonts w:ascii="Times New Roman" w:cs="Times New Roman" w:eastAsia="Times New Roman" w:hAnsi="Times New Roman"/>
                <w:b w:val="false"/>
                <w:bCs w:val="false"/>
                <w:sz w:val="16"/>
                <w:szCs w:val="16"/>
              </w:rPr>
              <w:t xml:space="preserve">0.56</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0.84</w:t>
            </w:r>
          </w:p>
        </w:tc>
        <w:tc>
          <w:tcPr>
            <w:tcW w:type="dxa" w:w="900"/>
          </w:tcPr>
          <w:p>
            <w:pPr>
              <w:spacing w:after="0"/>
            </w:pPr>
            <w:r>
              <w:rPr>
                <w:rFonts w:ascii="Times New Roman" w:cs="Times New Roman" w:eastAsia="Times New Roman" w:hAnsi="Times New Roman"/>
                <w:b w:val="false"/>
                <w:bCs w:val="false"/>
                <w:sz w:val="16"/>
                <w:szCs w:val="16"/>
              </w:rPr>
              <w:t xml:space="preserve">2.63</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0.00</w:t>
            </w:r>
          </w:p>
        </w:tc>
      </w:tr>
      <w:tr>
        <w:tc>
          <w:tcPr>
            <w:tcW w:type="dxa" w:w="2200"/>
          </w:tcPr>
          <w:p>
            <w:pPr>
              <w:spacing w:after="0"/>
            </w:pPr>
            <w:r>
              <w:rPr>
                <w:rFonts w:ascii="Times New Roman" w:cs="Times New Roman" w:eastAsia="Times New Roman" w:hAnsi="Times New Roman"/>
                <w:b w:val="false"/>
                <w:bCs w:val="false"/>
                <w:sz w:val="16"/>
                <w:szCs w:val="16"/>
              </w:rPr>
              <w:t xml:space="preserve">Tibia, fall</w:t>
            </w:r>
          </w:p>
        </w:tc>
        <w:tc>
          <w:tcPr>
            <w:tcW w:type="dxa" w:w="900"/>
          </w:tcPr>
          <w:p>
            <w:pPr>
              <w:spacing w:after="0"/>
            </w:pPr>
            <w:r>
              <w:rPr>
                <w:rFonts w:ascii="Times New Roman" w:cs="Times New Roman" w:eastAsia="Times New Roman" w:hAnsi="Times New Roman"/>
                <w:b w:val="false"/>
                <w:bCs w:val="false"/>
                <w:sz w:val="16"/>
                <w:szCs w:val="16"/>
              </w:rPr>
              <w:t xml:space="preserve">0.09</w:t>
            </w:r>
          </w:p>
        </w:tc>
        <w:tc>
          <w:tcPr>
            <w:tcW w:type="dxa" w:w="900"/>
          </w:tcPr>
          <w:p>
            <w:pPr>
              <w:spacing w:after="0"/>
            </w:pPr>
            <w:r>
              <w:rPr>
                <w:rFonts w:ascii="Times New Roman" w:cs="Times New Roman" w:eastAsia="Times New Roman" w:hAnsi="Times New Roman"/>
                <w:b w:val="false"/>
                <w:bCs w:val="false"/>
                <w:sz w:val="16"/>
                <w:szCs w:val="16"/>
              </w:rPr>
              <w:t xml:space="preserve">0.10</w:t>
            </w:r>
          </w:p>
        </w:tc>
        <w:tc>
          <w:tcPr>
            <w:tcW w:type="dxa" w:w="900"/>
          </w:tcPr>
          <w:p>
            <w:pPr>
              <w:spacing w:after="0"/>
            </w:pPr>
            <w:r>
              <w:rPr>
                <w:rFonts w:ascii="Times New Roman" w:cs="Times New Roman" w:eastAsia="Times New Roman" w:hAnsi="Times New Roman"/>
                <w:b w:val="false"/>
                <w:bCs w:val="false"/>
                <w:sz w:val="16"/>
                <w:szCs w:val="16"/>
              </w:rPr>
              <w:t xml:space="preserve">0.68</w:t>
            </w:r>
          </w:p>
        </w:tc>
        <w:tc>
          <w:tcPr>
            <w:tcW w:type="dxa" w:w="900"/>
          </w:tcPr>
          <w:p>
            <w:pPr>
              <w:spacing w:after="0"/>
            </w:pPr>
            <w:r>
              <w:rPr>
                <w:rFonts w:ascii="Times New Roman" w:cs="Times New Roman" w:eastAsia="Times New Roman" w:hAnsi="Times New Roman"/>
                <w:b w:val="false"/>
                <w:bCs w:val="false"/>
                <w:sz w:val="16"/>
                <w:szCs w:val="16"/>
              </w:rPr>
              <w:t xml:space="preserve">1.02</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0.26</w:t>
            </w:r>
          </w:p>
        </w:tc>
        <w:tc>
          <w:tcPr>
            <w:tcW w:type="dxa" w:w="900"/>
          </w:tcPr>
          <w:p>
            <w:pPr>
              <w:spacing w:after="0"/>
            </w:pPr>
            <w:r>
              <w:rPr>
                <w:rFonts w:ascii="Times New Roman" w:cs="Times New Roman" w:eastAsia="Times New Roman" w:hAnsi="Times New Roman"/>
                <w:b w:val="false"/>
                <w:bCs w:val="false"/>
                <w:sz w:val="16"/>
                <w:szCs w:val="16"/>
              </w:rPr>
              <w:t xml:space="preserve">0.47</w:t>
            </w:r>
          </w:p>
        </w:tc>
        <w:tc>
          <w:tcPr>
            <w:tcW w:type="dxa" w:w="900"/>
          </w:tcPr>
          <w:p>
            <w:pPr>
              <w:spacing w:after="0"/>
            </w:pPr>
            <w:r>
              <w:rPr>
                <w:rFonts w:ascii="Times New Roman" w:cs="Times New Roman" w:eastAsia="Times New Roman" w:hAnsi="Times New Roman"/>
                <w:b w:val="false"/>
                <w:bCs w:val="false"/>
                <w:sz w:val="16"/>
                <w:szCs w:val="16"/>
              </w:rPr>
              <w:t xml:space="preserve">0.91</w:t>
            </w:r>
          </w:p>
        </w:tc>
      </w:tr>
      <w:tr>
        <w:tc>
          <w:tcPr>
            <w:tcW w:type="dxa" w:w="2200"/>
          </w:tcPr>
          <w:p>
            <w:pPr>
              <w:spacing w:after="0"/>
            </w:pPr>
            <w:r>
              <w:rPr>
                <w:rFonts w:ascii="Times New Roman" w:cs="Times New Roman" w:eastAsia="Times New Roman" w:hAnsi="Times New Roman"/>
                <w:b w:val="false"/>
                <w:bCs w:val="false"/>
                <w:sz w:val="16"/>
                <w:szCs w:val="16"/>
              </w:rPr>
              <w:t xml:space="preserve">Tibia, traffic</w:t>
            </w:r>
          </w:p>
        </w:tc>
        <w:tc>
          <w:tcPr>
            <w:tcW w:type="dxa" w:w="900"/>
          </w:tcPr>
          <w:p>
            <w:pPr>
              <w:spacing w:after="0"/>
            </w:pPr>
            <w:r>
              <w:rPr>
                <w:rFonts w:ascii="Times New Roman" w:cs="Times New Roman" w:eastAsia="Times New Roman" w:hAnsi="Times New Roman"/>
                <w:b w:val="false"/>
                <w:bCs w:val="false"/>
                <w:sz w:val="16"/>
                <w:szCs w:val="16"/>
              </w:rPr>
              <w:t xml:space="preserve">0.15</w:t>
            </w:r>
          </w:p>
        </w:tc>
        <w:tc>
          <w:tcPr>
            <w:tcW w:type="dxa" w:w="900"/>
          </w:tcPr>
          <w:p>
            <w:pPr>
              <w:spacing w:after="0"/>
            </w:pPr>
            <w:r>
              <w:rPr>
                <w:rFonts w:ascii="Times New Roman" w:cs="Times New Roman" w:eastAsia="Times New Roman" w:hAnsi="Times New Roman"/>
                <w:b w:val="false"/>
                <w:bCs w:val="false"/>
                <w:sz w:val="16"/>
                <w:szCs w:val="16"/>
              </w:rPr>
              <w:t xml:space="preserve">0.23</w:t>
            </w:r>
          </w:p>
        </w:tc>
        <w:tc>
          <w:tcPr>
            <w:tcW w:type="dxa" w:w="900"/>
          </w:tcPr>
          <w:p>
            <w:pPr>
              <w:spacing w:after="0"/>
            </w:pPr>
            <w:r>
              <w:rPr>
                <w:rFonts w:ascii="Times New Roman" w:cs="Times New Roman" w:eastAsia="Times New Roman" w:hAnsi="Times New Roman"/>
                <w:b w:val="false"/>
                <w:bCs w:val="false"/>
                <w:sz w:val="16"/>
                <w:szCs w:val="16"/>
              </w:rPr>
              <w:t xml:space="preserve">1.78</w:t>
            </w:r>
          </w:p>
        </w:tc>
        <w:tc>
          <w:tcPr>
            <w:tcW w:type="dxa" w:w="900"/>
          </w:tcPr>
          <w:p>
            <w:pPr>
              <w:spacing w:after="0"/>
            </w:pPr>
            <w:r>
              <w:rPr>
                <w:rFonts w:ascii="Times New Roman" w:cs="Times New Roman" w:eastAsia="Times New Roman" w:hAnsi="Times New Roman"/>
                <w:b w:val="false"/>
                <w:bCs w:val="false"/>
                <w:sz w:val="16"/>
                <w:szCs w:val="16"/>
              </w:rPr>
              <w:t xml:space="preserve">4.35</w:t>
            </w:r>
          </w:p>
        </w:tc>
        <w:tc>
          <w:tcPr>
            <w:tcW w:type="dxa" w:w="900"/>
          </w:tcPr>
          <w:p>
            <w:pPr>
              <w:spacing w:after="0"/>
            </w:pPr>
            <w:r>
              <w:rPr>
                <w:rFonts w:ascii="Times New Roman" w:cs="Times New Roman" w:eastAsia="Times New Roman" w:hAnsi="Times New Roman"/>
                <w:b w:val="false"/>
                <w:bCs w:val="false"/>
                <w:sz w:val="16"/>
                <w:szCs w:val="16"/>
              </w:rPr>
              <w:t xml:space="preserve">1.28</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5.17</w:t>
            </w:r>
          </w:p>
        </w:tc>
        <w:tc>
          <w:tcPr>
            <w:tcW w:type="dxa" w:w="900"/>
          </w:tcPr>
          <w:p>
            <w:pPr>
              <w:spacing w:after="0"/>
            </w:pPr>
            <w:r>
              <w:rPr>
                <w:rFonts w:ascii="Times New Roman" w:cs="Times New Roman" w:eastAsia="Times New Roman" w:hAnsi="Times New Roman"/>
                <w:b w:val="false"/>
                <w:bCs w:val="false"/>
                <w:sz w:val="16"/>
                <w:szCs w:val="16"/>
              </w:rPr>
              <w:t xml:space="preserve">0.00</w:t>
            </w:r>
          </w:p>
        </w:tc>
      </w:tr>
      <w:tr>
        <w:tc>
          <w:tcPr>
            <w:tcW w:type="dxa" w:w="2200"/>
          </w:tcPr>
          <w:p>
            <w:pPr>
              <w:spacing w:after="0"/>
            </w:pPr>
            <w:r>
              <w:rPr>
                <w:rFonts w:ascii="Times New Roman" w:cs="Times New Roman" w:eastAsia="Times New Roman" w:hAnsi="Times New Roman"/>
                <w:b w:val="false"/>
                <w:bCs w:val="false"/>
                <w:sz w:val="16"/>
                <w:szCs w:val="16"/>
              </w:rPr>
              <w:t xml:space="preserve">Forearm shaft, fall</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0.06</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0.98</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0.00</w:t>
            </w:r>
          </w:p>
        </w:tc>
      </w:tr>
      <w:tr>
        <w:tc>
          <w:tcPr>
            <w:tcW w:type="dxa" w:w="2200"/>
          </w:tcPr>
          <w:p>
            <w:pPr>
              <w:spacing w:after="0"/>
            </w:pPr>
            <w:r>
              <w:rPr>
                <w:rFonts w:ascii="Times New Roman" w:cs="Times New Roman" w:eastAsia="Times New Roman" w:hAnsi="Times New Roman"/>
                <w:b w:val="false"/>
                <w:bCs w:val="false"/>
                <w:sz w:val="16"/>
                <w:szCs w:val="16"/>
              </w:rPr>
              <w:t xml:space="preserve">Forearm shaft, traffic</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0.23</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11.11</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12.50</w:t>
            </w:r>
          </w:p>
        </w:tc>
        <w:tc>
          <w:tcPr>
            <w:tcW w:type="dxa" w:w="900"/>
          </w:tcPr>
          <w:p>
            <w:pPr>
              <w:spacing w:after="0"/>
            </w:pPr>
            <w:r>
              <w:rPr>
                <w:rFonts w:ascii="Times New Roman" w:cs="Times New Roman" w:eastAsia="Times New Roman" w:hAnsi="Times New Roman"/>
                <w:b w:val="false"/>
                <w:bCs w:val="false"/>
                <w:sz w:val="16"/>
                <w:szCs w:val="16"/>
              </w:rPr>
              <w:t xml:space="preserve">0.00</w:t>
            </w:r>
          </w:p>
        </w:tc>
      </w:tr>
      <w:tr>
        <w:tc>
          <w:tcPr>
            <w:tcW w:type="dxa" w:w="2200"/>
          </w:tcPr>
          <w:p>
            <w:pPr>
              <w:spacing w:after="0"/>
            </w:pPr>
            <w:r>
              <w:rPr>
                <w:rFonts w:ascii="Times New Roman" w:cs="Times New Roman" w:eastAsia="Times New Roman" w:hAnsi="Times New Roman"/>
                <w:b w:val="false"/>
                <w:bCs w:val="false"/>
                <w:sz w:val="16"/>
                <w:szCs w:val="16"/>
              </w:rPr>
              <w:t xml:space="preserve">Vertebra, fall (secondary)</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2.42</w:t>
            </w:r>
          </w:p>
        </w:tc>
        <w:tc>
          <w:tcPr>
            <w:tcW w:type="dxa" w:w="900"/>
          </w:tcPr>
          <w:p>
            <w:pPr>
              <w:spacing w:after="0"/>
            </w:pPr>
            <w:r>
              <w:rPr>
                <w:rFonts w:ascii="Times New Roman" w:cs="Times New Roman" w:eastAsia="Times New Roman" w:hAnsi="Times New Roman"/>
                <w:b w:val="false"/>
                <w:bCs w:val="false"/>
                <w:sz w:val="16"/>
                <w:szCs w:val="16"/>
              </w:rPr>
              <w:t xml:space="preserve">3.51</w:t>
            </w:r>
          </w:p>
        </w:tc>
        <w:tc>
          <w:tcPr>
            <w:tcW w:type="dxa" w:w="900"/>
          </w:tcPr>
          <w:p>
            <w:pPr>
              <w:spacing w:after="0"/>
            </w:pPr>
            <w:r>
              <w:rPr>
                <w:rFonts w:ascii="Times New Roman" w:cs="Times New Roman" w:eastAsia="Times New Roman" w:hAnsi="Times New Roman"/>
                <w:b w:val="false"/>
                <w:bCs w:val="false"/>
                <w:sz w:val="16"/>
                <w:szCs w:val="16"/>
              </w:rPr>
              <w:t xml:space="preserve">10.00</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1.94</w:t>
            </w:r>
          </w:p>
        </w:tc>
        <w:tc>
          <w:tcPr>
            <w:tcW w:type="dxa" w:w="900"/>
          </w:tcPr>
          <w:p>
            <w:pPr>
              <w:spacing w:after="0"/>
            </w:pPr>
            <w:r>
              <w:rPr>
                <w:rFonts w:ascii="Times New Roman" w:cs="Times New Roman" w:eastAsia="Times New Roman" w:hAnsi="Times New Roman"/>
                <w:b w:val="false"/>
                <w:bCs w:val="false"/>
                <w:sz w:val="16"/>
                <w:szCs w:val="16"/>
              </w:rPr>
              <w:t xml:space="preserve">2.43</w:t>
            </w:r>
          </w:p>
        </w:tc>
        <w:tc>
          <w:tcPr>
            <w:tcW w:type="dxa" w:w="900"/>
          </w:tcPr>
          <w:p>
            <w:pPr>
              <w:spacing w:after="0"/>
            </w:pPr>
            <w:r>
              <w:rPr>
                <w:rFonts w:ascii="Times New Roman" w:cs="Times New Roman" w:eastAsia="Times New Roman" w:hAnsi="Times New Roman"/>
                <w:b w:val="false"/>
                <w:bCs w:val="false"/>
                <w:sz w:val="16"/>
                <w:szCs w:val="16"/>
              </w:rPr>
              <w:t xml:space="preserve">3.92</w:t>
            </w:r>
          </w:p>
        </w:tc>
      </w:tr>
      <w:tr>
        <w:tc>
          <w:tcPr>
            <w:tcW w:type="dxa" w:w="2200"/>
          </w:tcPr>
          <w:p>
            <w:pPr>
              <w:spacing w:after="0"/>
            </w:pPr>
            <w:r>
              <w:rPr>
                <w:rFonts w:ascii="Times New Roman" w:cs="Times New Roman" w:eastAsia="Times New Roman" w:hAnsi="Times New Roman"/>
                <w:b w:val="false"/>
                <w:bCs w:val="false"/>
                <w:sz w:val="16"/>
                <w:szCs w:val="16"/>
              </w:rPr>
              <w:t xml:space="preserve">Vertebra, traffic (secondary)</w:t>
            </w:r>
          </w:p>
        </w:tc>
        <w:tc>
          <w:tcPr>
            <w:tcW w:type="dxa" w:w="900"/>
          </w:tcPr>
          <w:p>
            <w:pPr>
              <w:spacing w:after="0"/>
            </w:pPr>
            <w:r>
              <w:rPr>
                <w:rFonts w:ascii="Times New Roman" w:cs="Times New Roman" w:eastAsia="Times New Roman" w:hAnsi="Times New Roman"/>
                <w:b w:val="false"/>
                <w:bCs w:val="false"/>
                <w:sz w:val="16"/>
                <w:szCs w:val="16"/>
              </w:rPr>
              <w:t xml:space="preserve">1.32</w:t>
            </w:r>
          </w:p>
        </w:tc>
        <w:tc>
          <w:tcPr>
            <w:tcW w:type="dxa" w:w="900"/>
          </w:tcPr>
          <w:p>
            <w:pPr>
              <w:spacing w:after="0"/>
            </w:pPr>
            <w:r>
              <w:rPr>
                <w:rFonts w:ascii="Times New Roman" w:cs="Times New Roman" w:eastAsia="Times New Roman" w:hAnsi="Times New Roman"/>
                <w:b w:val="false"/>
                <w:bCs w:val="false"/>
                <w:sz w:val="16"/>
                <w:szCs w:val="16"/>
              </w:rPr>
              <w:t xml:space="preserve">0.99</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0.57</w:t>
            </w:r>
          </w:p>
        </w:tc>
        <w:tc>
          <w:tcPr>
            <w:tcW w:type="dxa" w:w="900"/>
          </w:tcPr>
          <w:p>
            <w:pPr>
              <w:spacing w:after="0"/>
            </w:pPr>
            <w:r>
              <w:rPr>
                <w:rFonts w:ascii="Times New Roman" w:cs="Times New Roman" w:eastAsia="Times New Roman" w:hAnsi="Times New Roman"/>
                <w:b w:val="false"/>
                <w:bCs w:val="false"/>
                <w:sz w:val="16"/>
                <w:szCs w:val="16"/>
              </w:rPr>
              <w:t xml:space="preserve">0.47</w:t>
            </w:r>
          </w:p>
        </w:tc>
        <w:tc>
          <w:tcPr>
            <w:tcW w:type="dxa" w:w="900"/>
          </w:tcPr>
          <w:p>
            <w:pPr>
              <w:spacing w:after="0"/>
            </w:pPr>
            <w:r>
              <w:rPr>
                <w:rFonts w:ascii="Times New Roman" w:cs="Times New Roman" w:eastAsia="Times New Roman" w:hAnsi="Times New Roman"/>
                <w:b w:val="false"/>
                <w:bCs w:val="false"/>
                <w:sz w:val="16"/>
                <w:szCs w:val="16"/>
              </w:rPr>
              <w:t xml:space="preserve">0.98</w:t>
            </w:r>
          </w:p>
        </w:tc>
        <w:tc>
          <w:tcPr>
            <w:tcW w:type="dxa" w:w="900"/>
          </w:tcPr>
          <w:p>
            <w:pPr>
              <w:spacing w:after="0"/>
            </w:pPr>
            <w:r>
              <w:rPr>
                <w:rFonts w:ascii="Times New Roman" w:cs="Times New Roman" w:eastAsia="Times New Roman" w:hAnsi="Times New Roman"/>
                <w:b w:val="false"/>
                <w:bCs w:val="false"/>
                <w:sz w:val="16"/>
                <w:szCs w:val="16"/>
              </w:rPr>
              <w:t xml:space="preserve">4.00</w:t>
            </w:r>
          </w:p>
        </w:tc>
      </w:tr>
      <w:tr>
        <w:tc>
          <w:tcPr>
            <w:tcW w:type="dxa" w:w="2200"/>
          </w:tcPr>
          <w:p>
            <w:pPr>
              <w:spacing w:after="0"/>
            </w:pPr>
            <w:r>
              <w:rPr>
                <w:rFonts w:ascii="Times New Roman" w:cs="Times New Roman" w:eastAsia="Times New Roman" w:hAnsi="Times New Roman"/>
                <w:b w:val="false"/>
                <w:bCs w:val="false"/>
                <w:sz w:val="16"/>
                <w:szCs w:val="16"/>
              </w:rPr>
              <w:t xml:space="preserve">Pelvis, fall (secondary)</w:t>
            </w:r>
          </w:p>
        </w:tc>
        <w:tc>
          <w:tcPr>
            <w:tcW w:type="dxa" w:w="900"/>
          </w:tcPr>
          <w:p>
            <w:pPr>
              <w:spacing w:after="0"/>
            </w:pPr>
            <w:r>
              <w:rPr>
                <w:rFonts w:ascii="Times New Roman" w:cs="Times New Roman" w:eastAsia="Times New Roman" w:hAnsi="Times New Roman"/>
                <w:b w:val="false"/>
                <w:bCs w:val="false"/>
                <w:sz w:val="16"/>
                <w:szCs w:val="16"/>
              </w:rPr>
              <w:t xml:space="preserve">0.35</w:t>
            </w:r>
          </w:p>
        </w:tc>
        <w:tc>
          <w:tcPr>
            <w:tcW w:type="dxa" w:w="900"/>
          </w:tcPr>
          <w:p>
            <w:pPr>
              <w:spacing w:after="0"/>
            </w:pPr>
            <w:r>
              <w:rPr>
                <w:rFonts w:ascii="Times New Roman" w:cs="Times New Roman" w:eastAsia="Times New Roman" w:hAnsi="Times New Roman"/>
                <w:b w:val="false"/>
                <w:bCs w:val="false"/>
                <w:sz w:val="16"/>
                <w:szCs w:val="16"/>
              </w:rPr>
              <w:t xml:space="preserve">1.81</w:t>
            </w:r>
          </w:p>
        </w:tc>
        <w:tc>
          <w:tcPr>
            <w:tcW w:type="dxa" w:w="900"/>
          </w:tcPr>
          <w:p>
            <w:pPr>
              <w:spacing w:after="0"/>
            </w:pPr>
            <w:r>
              <w:rPr>
                <w:rFonts w:ascii="Times New Roman" w:cs="Times New Roman" w:eastAsia="Times New Roman" w:hAnsi="Times New Roman"/>
                <w:b w:val="false"/>
                <w:bCs w:val="false"/>
                <w:sz w:val="16"/>
                <w:szCs w:val="16"/>
              </w:rPr>
              <w:t xml:space="preserve">2.10</w:t>
            </w:r>
          </w:p>
        </w:tc>
        <w:tc>
          <w:tcPr>
            <w:tcW w:type="dxa" w:w="900"/>
          </w:tcPr>
          <w:p>
            <w:pPr>
              <w:spacing w:after="0"/>
            </w:pPr>
            <w:r>
              <w:rPr>
                <w:rFonts w:ascii="Times New Roman" w:cs="Times New Roman" w:eastAsia="Times New Roman" w:hAnsi="Times New Roman"/>
                <w:b w:val="false"/>
                <w:bCs w:val="false"/>
                <w:sz w:val="16"/>
                <w:szCs w:val="16"/>
              </w:rPr>
              <w:t xml:space="preserve">4.46</w:t>
            </w:r>
          </w:p>
        </w:tc>
        <w:tc>
          <w:tcPr>
            <w:tcW w:type="dxa" w:w="900"/>
          </w:tcPr>
          <w:p>
            <w:pPr>
              <w:spacing w:after="0"/>
            </w:pPr>
            <w:r>
              <w:rPr>
                <w:rFonts w:ascii="Times New Roman" w:cs="Times New Roman" w:eastAsia="Times New Roman" w:hAnsi="Times New Roman"/>
                <w:b w:val="false"/>
                <w:bCs w:val="false"/>
                <w:sz w:val="16"/>
                <w:szCs w:val="16"/>
              </w:rPr>
              <w:t xml:space="preserve">0.00</w:t>
            </w:r>
          </w:p>
        </w:tc>
        <w:tc>
          <w:tcPr>
            <w:tcW w:type="dxa" w:w="900"/>
          </w:tcPr>
          <w:p>
            <w:pPr>
              <w:spacing w:after="0"/>
            </w:pPr>
            <w:r>
              <w:rPr>
                <w:rFonts w:ascii="Times New Roman" w:cs="Times New Roman" w:eastAsia="Times New Roman" w:hAnsi="Times New Roman"/>
                <w:b w:val="false"/>
                <w:bCs w:val="false"/>
                <w:sz w:val="16"/>
                <w:szCs w:val="16"/>
              </w:rPr>
              <w:t xml:space="preserve">0.60</w:t>
            </w:r>
          </w:p>
        </w:tc>
        <w:tc>
          <w:tcPr>
            <w:tcW w:type="dxa" w:w="900"/>
          </w:tcPr>
          <w:p>
            <w:pPr>
              <w:spacing w:after="0"/>
            </w:pPr>
            <w:r>
              <w:rPr>
                <w:rFonts w:ascii="Times New Roman" w:cs="Times New Roman" w:eastAsia="Times New Roman" w:hAnsi="Times New Roman"/>
                <w:b w:val="false"/>
                <w:bCs w:val="false"/>
                <w:sz w:val="16"/>
                <w:szCs w:val="16"/>
              </w:rPr>
              <w:t xml:space="preserve">1.36</w:t>
            </w:r>
          </w:p>
        </w:tc>
        <w:tc>
          <w:tcPr>
            <w:tcW w:type="dxa" w:w="900"/>
          </w:tcPr>
          <w:p>
            <w:pPr>
              <w:spacing w:after="0"/>
            </w:pPr>
            <w:r>
              <w:rPr>
                <w:rFonts w:ascii="Times New Roman" w:cs="Times New Roman" w:eastAsia="Times New Roman" w:hAnsi="Times New Roman"/>
                <w:b w:val="false"/>
                <w:bCs w:val="false"/>
                <w:sz w:val="16"/>
                <w:szCs w:val="16"/>
              </w:rPr>
              <w:t xml:space="preserve">3.96</w:t>
            </w:r>
          </w:p>
        </w:tc>
      </w:tr>
      <w:tr>
        <w:tc>
          <w:tcPr>
            <w:tcW w:type="dxa" w:w="2200"/>
          </w:tcPr>
          <w:p>
            <w:pPr>
              <w:spacing w:after="0"/>
            </w:pPr>
            <w:r>
              <w:rPr>
                <w:rFonts w:ascii="Times New Roman" w:cs="Times New Roman" w:eastAsia="Times New Roman" w:hAnsi="Times New Roman"/>
                <w:b w:val="false"/>
                <w:bCs w:val="false"/>
                <w:sz w:val="16"/>
                <w:szCs w:val="16"/>
              </w:rPr>
              <w:t xml:space="preserve">Pelvis, traffic (secondary)</w:t>
            </w:r>
          </w:p>
        </w:tc>
        <w:tc>
          <w:tcPr>
            <w:tcW w:type="dxa" w:w="900"/>
          </w:tcPr>
          <w:p>
            <w:pPr>
              <w:spacing w:after="0"/>
            </w:pPr>
            <w:r>
              <w:rPr>
                <w:rFonts w:ascii="Times New Roman" w:cs="Times New Roman" w:eastAsia="Times New Roman" w:hAnsi="Times New Roman"/>
                <w:b w:val="false"/>
                <w:bCs w:val="false"/>
                <w:sz w:val="16"/>
                <w:szCs w:val="16"/>
              </w:rPr>
              <w:t xml:space="preserve">0.61</w:t>
            </w:r>
          </w:p>
        </w:tc>
        <w:tc>
          <w:tcPr>
            <w:tcW w:type="dxa" w:w="900"/>
          </w:tcPr>
          <w:p>
            <w:pPr>
              <w:spacing w:after="0"/>
            </w:pPr>
            <w:r>
              <w:rPr>
                <w:rFonts w:ascii="Times New Roman" w:cs="Times New Roman" w:eastAsia="Times New Roman" w:hAnsi="Times New Roman"/>
                <w:b w:val="false"/>
                <w:bCs w:val="false"/>
                <w:sz w:val="16"/>
                <w:szCs w:val="16"/>
              </w:rPr>
              <w:t xml:space="preserve">2.21</w:t>
            </w:r>
          </w:p>
        </w:tc>
        <w:tc>
          <w:tcPr>
            <w:tcW w:type="dxa" w:w="900"/>
          </w:tcPr>
          <w:p>
            <w:pPr>
              <w:spacing w:after="0"/>
            </w:pPr>
            <w:r>
              <w:rPr>
                <w:rFonts w:ascii="Times New Roman" w:cs="Times New Roman" w:eastAsia="Times New Roman" w:hAnsi="Times New Roman"/>
                <w:b w:val="false"/>
                <w:bCs w:val="false"/>
                <w:sz w:val="16"/>
                <w:szCs w:val="16"/>
              </w:rPr>
              <w:t xml:space="preserve">9.09</w:t>
            </w:r>
          </w:p>
        </w:tc>
        <w:tc>
          <w:tcPr>
            <w:tcW w:type="dxa" w:w="900"/>
          </w:tcPr>
          <w:p>
            <w:pPr>
              <w:spacing w:after="0"/>
            </w:pPr>
            <w:r>
              <w:rPr>
                <w:rFonts w:ascii="Times New Roman" w:cs="Times New Roman" w:eastAsia="Times New Roman" w:hAnsi="Times New Roman"/>
                <w:b w:val="false"/>
                <w:bCs w:val="false"/>
                <w:sz w:val="16"/>
                <w:szCs w:val="16"/>
              </w:rPr>
              <w:t xml:space="preserve">14.29</w:t>
            </w:r>
          </w:p>
        </w:tc>
        <w:tc>
          <w:tcPr>
            <w:tcW w:type="dxa" w:w="900"/>
          </w:tcPr>
          <w:p>
            <w:pPr>
              <w:spacing w:after="0"/>
            </w:pPr>
            <w:r>
              <w:rPr>
                <w:rFonts w:ascii="Times New Roman" w:cs="Times New Roman" w:eastAsia="Times New Roman" w:hAnsi="Times New Roman"/>
                <w:b w:val="false"/>
                <w:bCs w:val="false"/>
                <w:sz w:val="16"/>
                <w:szCs w:val="16"/>
              </w:rPr>
              <w:t xml:space="preserve">1.72</w:t>
            </w:r>
          </w:p>
        </w:tc>
        <w:tc>
          <w:tcPr>
            <w:tcW w:type="dxa" w:w="900"/>
          </w:tcPr>
          <w:p>
            <w:pPr>
              <w:spacing w:after="0"/>
            </w:pPr>
            <w:r>
              <w:rPr>
                <w:rFonts w:ascii="Times New Roman" w:cs="Times New Roman" w:eastAsia="Times New Roman" w:hAnsi="Times New Roman"/>
                <w:b w:val="false"/>
                <w:bCs w:val="false"/>
                <w:sz w:val="16"/>
                <w:szCs w:val="16"/>
              </w:rPr>
              <w:t xml:space="preserve">2.01</w:t>
            </w:r>
          </w:p>
        </w:tc>
        <w:tc>
          <w:tcPr>
            <w:tcW w:type="dxa" w:w="900"/>
          </w:tcPr>
          <w:p>
            <w:pPr>
              <w:spacing w:after="0"/>
            </w:pPr>
            <w:r>
              <w:rPr>
                <w:rFonts w:ascii="Times New Roman" w:cs="Times New Roman" w:eastAsia="Times New Roman" w:hAnsi="Times New Roman"/>
                <w:b w:val="false"/>
                <w:bCs w:val="false"/>
                <w:sz w:val="16"/>
                <w:szCs w:val="16"/>
              </w:rPr>
              <w:t xml:space="preserve">2.44</w:t>
            </w:r>
          </w:p>
        </w:tc>
        <w:tc>
          <w:tcPr>
            <w:tcW w:type="dxa" w:w="900"/>
          </w:tcPr>
          <w:p>
            <w:pPr>
              <w:spacing w:after="0"/>
            </w:pPr>
            <w:r>
              <w:rPr>
                <w:rFonts w:ascii="Times New Roman" w:cs="Times New Roman" w:eastAsia="Times New Roman" w:hAnsi="Times New Roman"/>
                <w:b w:val="false"/>
                <w:bCs w:val="false"/>
                <w:sz w:val="16"/>
                <w:szCs w:val="16"/>
              </w:rPr>
              <w:t xml:space="preserve">15.15</w:t>
            </w:r>
          </w:p>
        </w:tc>
      </w:tr>
    </w:tbl>
    <w:p>
      <w:pPr>
        <w:spacing w:after="180" w:before="60"/>
      </w:pPr>
      <w:r>
        <w:rPr>
          <w:rFonts w:ascii="Times New Roman" w:cs="Times New Roman" w:eastAsia="Times New Roman" w:hAnsi="Times New Roman"/>
          <w:sz w:val="17"/>
          <w:szCs w:val="17"/>
        </w:rPr>
        <w:t xml:space="preserve">Cells with fewer than 10 admissions are unstable. Secondary strata were not modelled (Mexico pelvis 31 deaths, MIMIC-IV vertebra 60 and pelvis 38 deaths, standardized models unstable).</w:t>
      </w:r>
    </w:p>
    <w:p>
      <w:pPr>
        <w:pStyle w:val="Heading1"/>
        <w:spacing w:after="100" w:before="220"/>
      </w:pPr>
      <w:r>
        <w:rPr>
          <w:rFonts w:ascii="Times New Roman" w:cs="Times New Roman" w:eastAsia="Times New Roman" w:hAnsi="Times New Roman"/>
          <w:b/>
          <w:bCs/>
          <w:sz w:val="24"/>
          <w:szCs w:val="24"/>
        </w:rPr>
        <w:t xml:space="preserve">S5. Mechanism-equivalent age, secondary results</w:t>
      </w:r>
    </w:p>
    <w:p>
      <w:pPr>
        <w:spacing w:after="120" w:line="300"/>
      </w:pPr>
      <w:r>
        <w:rPr>
          <w:rFonts w:ascii="Times New Roman" w:cs="Times New Roman" w:eastAsia="Times New Roman" w:hAnsi="Times New Roman"/>
          <w:sz w:val="21"/>
          <w:szCs w:val="21"/>
        </w:rPr>
        <w:t xml:space="preserve">Forearm shaft fracture, Brazil (45,581 admissions, 32 deaths). MEA minus 2.4 years at 30 (95% CI minus 12.0 to 44.6; 13% of bootstrap samples censored), minus 11.1 at 40 (minus 21.9 to 30.7), 14.2 at 50 (minus 26.9 to 31.9), 10.1 at 65 (minus 47.0 to 34.0) and minus 14.8 at 80 (minus 62.0 to 19.0; 32% censored). The estimate is uninformative and is reported for completeness.</w:t>
      </w:r>
    </w:p>
    <w:p>
      <w:pPr>
        <w:spacing w:after="120" w:line="300"/>
      </w:pPr>
      <w:r>
        <w:rPr>
          <w:rFonts w:ascii="Times New Roman" w:cs="Times New Roman" w:eastAsia="Times New Roman" w:hAnsi="Times New Roman"/>
          <w:sz w:val="21"/>
          <w:szCs w:val="21"/>
        </w:rPr>
        <w:t xml:space="preserve">Mexico, 1,000 hospital clustered bootstrap samples. Hip fracture (12,806 admissions, 292 deaths), MEA 25.2 years at 30 (95% CI minus 12.0 to 45.3; 22% of samples censored), 14.9 at 40 (minus 22.0 to 42.5; 23%), 2.5 at 50 (minus 32.0 to 20.1; 27%), minus 9.1 at 65 (minus 47.0 to 3.2; 19%), 1.8 at 80 (minus 49.0 to 20.0; 16%). Tibial fracture (17,322 admissions, 37 deaths), 28.2 at 30 (minus 4.8 to 70.0; 31%), minus 10.7 at 40 (minus 15.9 to 60.0; 30%), 9.9 at 50 (minus 24.1 to 50.0; 31%), 14.6 at 65 (7.7 to 35.0; 47%), over 20 at 80 (69% censored). Femoral shaft (24 deaths) gave values between minus 46 and plus 6 years with intervals of 40 to 70 years. These estimates are uninformative. With fewer than 300 deaths per fracture the fall related curve is too uncertain to be inverted, and Mexico contributes to the paper only through the direction of its standardized mortality differences (Table 4).</w:t>
      </w:r>
    </w:p>
    <w:p>
      <w:pPr>
        <w:pStyle w:val="Heading1"/>
        <w:spacing w:after="100" w:before="220"/>
      </w:pPr>
      <w:r>
        <w:rPr>
          <w:rFonts w:ascii="Times New Roman" w:cs="Times New Roman" w:eastAsia="Times New Roman" w:hAnsi="Times New Roman"/>
          <w:b/>
          <w:bCs/>
          <w:sz w:val="24"/>
          <w:szCs w:val="24"/>
        </w:rPr>
        <w:t xml:space="preserve">S5a. Mexican femoral shaft fracture (not used as evidence)</w:t>
      </w:r>
    </w:p>
    <w:p>
      <w:pPr>
        <w:spacing w:after="120" w:line="300"/>
      </w:pPr>
      <w:r>
        <w:rPr>
          <w:rFonts w:ascii="Times New Roman" w:cs="Times New Roman" w:eastAsia="Times New Roman" w:hAnsi="Times New Roman"/>
          <w:sz w:val="21"/>
          <w:szCs w:val="21"/>
        </w:rPr>
        <w:t xml:space="preserve">Standardized in-hospital mortality (%) from the model, 2,040 admissions and 24 deaths, five of them after traffic injury and all in patients under 65. Fall related 2.77 (0.00 to 5.00) at 40, 1.72 (0.00 to 2.85) at 65 and 2.80 (0.00 to 5.60) at 80; traffic related 0.01, 0.00 and 0.00. The traffic curve collapses to zero in the oldest ages because no traffic related deaths occurred there, the hospital clustered Wald test was singular (unclustered interaction P 0.52), and the estimate of the fall at 80 minus traffic at 40 difference (+2.79, 0.00 to +5.60) is an artefact of sparse events. It is not used as confirmatory evidence.</w:t>
      </w:r>
    </w:p>
    <w:p>
      <w:pPr>
        <w:pStyle w:val="Heading1"/>
        <w:spacing w:after="100" w:before="220"/>
      </w:pPr>
      <w:r>
        <w:rPr>
          <w:rFonts w:ascii="Times New Roman" w:cs="Times New Roman" w:eastAsia="Times New Roman" w:hAnsi="Times New Roman"/>
          <w:b/>
          <w:bCs/>
          <w:sz w:val="24"/>
          <w:szCs w:val="24"/>
        </w:rPr>
        <w:t xml:space="preserve">S6. Sensitivity analyses, Brazil, 1,000 hospital clustered bootstrap samples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900"/>
        <w:gridCol w:w="2200"/>
        <w:gridCol w:w="2200"/>
        <w:gridCol w:w="1560"/>
      </w:tblGrid>
      <w:tr>
        <w:tc>
          <w:tcPr>
            <w:tcW w:type="dxa" w:w="1500"/>
            <w:shd w:fill="E7E6E6" w:color="auto" w:val="clear"/>
          </w:tcPr>
          <w:p>
            <w:pPr>
              <w:spacing w:after="0"/>
            </w:pPr>
            <w:r>
              <w:rPr>
                <w:rFonts w:ascii="Times New Roman" w:cs="Times New Roman" w:eastAsia="Times New Roman" w:hAnsi="Times New Roman"/>
                <w:b/>
                <w:bCs/>
                <w:sz w:val="16"/>
                <w:szCs w:val="16"/>
              </w:rPr>
              <w:t xml:space="preserve">Fracture</w:t>
            </w:r>
          </w:p>
        </w:tc>
        <w:tc>
          <w:tcPr>
            <w:tcW w:type="dxa" w:w="1900"/>
            <w:shd w:fill="E7E6E6" w:color="auto" w:val="clear"/>
          </w:tcPr>
          <w:p>
            <w:pPr>
              <w:spacing w:after="0"/>
            </w:pPr>
            <w:r>
              <w:rPr>
                <w:rFonts w:ascii="Times New Roman" w:cs="Times New Roman" w:eastAsia="Times New Roman" w:hAnsi="Times New Roman"/>
                <w:b/>
                <w:bCs/>
                <w:sz w:val="16"/>
                <w:szCs w:val="16"/>
              </w:rPr>
              <w:t xml:space="preserve">Falls from height excluded (W10 to W17), n</w:t>
            </w:r>
          </w:p>
        </w:tc>
        <w:tc>
          <w:tcPr>
            <w:tcW w:type="dxa" w:w="2200"/>
            <w:shd w:fill="E7E6E6" w:color="auto" w:val="clear"/>
          </w:tcPr>
          <w:p>
            <w:pPr>
              <w:spacing w:after="0"/>
            </w:pPr>
            <w:r>
              <w:rPr>
                <w:rFonts w:ascii="Times New Roman" w:cs="Times New Roman" w:eastAsia="Times New Roman" w:hAnsi="Times New Roman"/>
                <w:b/>
                <w:bCs/>
                <w:sz w:val="16"/>
                <w:szCs w:val="16"/>
              </w:rPr>
              <w:t xml:space="preserve">Fall 80 minus traffic 40, points</w:t>
            </w:r>
          </w:p>
        </w:tc>
        <w:tc>
          <w:tcPr>
            <w:tcW w:type="dxa" w:w="2200"/>
            <w:shd w:fill="E7E6E6" w:color="auto" w:val="clear"/>
          </w:tcPr>
          <w:p>
            <w:pPr>
              <w:spacing w:after="0"/>
            </w:pPr>
            <w:r>
              <w:rPr>
                <w:rFonts w:ascii="Times New Roman" w:cs="Times New Roman" w:eastAsia="Times New Roman" w:hAnsi="Times New Roman"/>
                <w:b/>
                <w:bCs/>
                <w:sz w:val="16"/>
                <w:szCs w:val="16"/>
              </w:rPr>
              <w:t xml:space="preserve">Traffic minus fall at 80, points</w:t>
            </w:r>
          </w:p>
        </w:tc>
        <w:tc>
          <w:tcPr>
            <w:tcW w:type="dxa" w:w="1560"/>
            <w:shd w:fill="E7E6E6" w:color="auto" w:val="clear"/>
          </w:tcPr>
          <w:p>
            <w:pPr>
              <w:spacing w:after="0"/>
            </w:pPr>
            <w:r>
              <w:rPr>
                <w:rFonts w:ascii="Times New Roman" w:cs="Times New Roman" w:eastAsia="Times New Roman" w:hAnsi="Times New Roman"/>
                <w:b/>
                <w:bCs/>
                <w:sz w:val="16"/>
                <w:szCs w:val="16"/>
              </w:rPr>
              <w:t xml:space="preserve">Conditioned on concomitant injuries, fall 80 minus traffic 40</w:t>
            </w:r>
          </w:p>
        </w:tc>
      </w:tr>
      <w:tr>
        <w:tc>
          <w:tcPr>
            <w:tcW w:type="dxa" w:w="1500"/>
          </w:tcPr>
          <w:p>
            <w:pPr>
              <w:spacing w:after="0"/>
            </w:pPr>
            <w:r>
              <w:rPr>
                <w:rFonts w:ascii="Times New Roman" w:cs="Times New Roman" w:eastAsia="Times New Roman" w:hAnsi="Times New Roman"/>
                <w:b w:val="false"/>
                <w:bCs w:val="false"/>
                <w:sz w:val="16"/>
                <w:szCs w:val="16"/>
              </w:rPr>
              <w:t xml:space="preserve">Hip</w:t>
            </w:r>
          </w:p>
        </w:tc>
        <w:tc>
          <w:tcPr>
            <w:tcW w:type="dxa" w:w="1900"/>
          </w:tcPr>
          <w:p>
            <w:pPr>
              <w:spacing w:after="0"/>
            </w:pPr>
            <w:r>
              <w:rPr>
                <w:rFonts w:ascii="Times New Roman" w:cs="Times New Roman" w:eastAsia="Times New Roman" w:hAnsi="Times New Roman"/>
                <w:b w:val="false"/>
                <w:bCs w:val="false"/>
                <w:sz w:val="16"/>
                <w:szCs w:val="16"/>
              </w:rPr>
              <w:t xml:space="preserve">191,454</w:t>
            </w:r>
          </w:p>
        </w:tc>
        <w:tc>
          <w:tcPr>
            <w:tcW w:type="dxa" w:w="2200"/>
          </w:tcPr>
          <w:p>
            <w:pPr>
              <w:spacing w:after="0"/>
            </w:pPr>
            <w:r>
              <w:rPr>
                <w:rFonts w:ascii="Times New Roman" w:cs="Times New Roman" w:eastAsia="Times New Roman" w:hAnsi="Times New Roman"/>
                <w:b w:val="false"/>
                <w:bCs w:val="false"/>
                <w:sz w:val="16"/>
                <w:szCs w:val="16"/>
              </w:rPr>
              <w:t xml:space="preserve">+3.50 (+3.12 to +3.87)</w:t>
            </w:r>
          </w:p>
        </w:tc>
        <w:tc>
          <w:tcPr>
            <w:tcW w:type="dxa" w:w="2200"/>
          </w:tcPr>
          <w:p>
            <w:pPr>
              <w:spacing w:after="0"/>
            </w:pPr>
            <w:r>
              <w:rPr>
                <w:rFonts w:ascii="Times New Roman" w:cs="Times New Roman" w:eastAsia="Times New Roman" w:hAnsi="Times New Roman"/>
                <w:b w:val="false"/>
                <w:bCs w:val="false"/>
                <w:sz w:val="16"/>
                <w:szCs w:val="16"/>
              </w:rPr>
              <w:t xml:space="preserve">-0.23 (-1.03 to +0.47)</w:t>
            </w:r>
          </w:p>
        </w:tc>
        <w:tc>
          <w:tcPr>
            <w:tcW w:type="dxa" w:w="1560"/>
          </w:tcPr>
          <w:p>
            <w:pPr>
              <w:spacing w:after="0"/>
            </w:pPr>
            <w:r>
              <w:rPr>
                <w:rFonts w:ascii="Times New Roman" w:cs="Times New Roman" w:eastAsia="Times New Roman" w:hAnsi="Times New Roman"/>
                <w:b w:val="false"/>
                <w:bCs w:val="false"/>
                <w:sz w:val="16"/>
                <w:szCs w:val="16"/>
              </w:rPr>
              <w:t xml:space="preserve">+3.54</w:t>
            </w:r>
          </w:p>
        </w:tc>
      </w:tr>
      <w:tr>
        <w:tc>
          <w:tcPr>
            <w:tcW w:type="dxa" w:w="1500"/>
          </w:tcPr>
          <w:p>
            <w:pPr>
              <w:spacing w:after="0"/>
            </w:pPr>
            <w:r>
              <w:rPr>
                <w:rFonts w:ascii="Times New Roman" w:cs="Times New Roman" w:eastAsia="Times New Roman" w:hAnsi="Times New Roman"/>
                <w:b w:val="false"/>
                <w:bCs w:val="false"/>
                <w:sz w:val="16"/>
                <w:szCs w:val="16"/>
              </w:rPr>
              <w:t xml:space="preserve">Femoral shaft</w:t>
            </w:r>
          </w:p>
        </w:tc>
        <w:tc>
          <w:tcPr>
            <w:tcW w:type="dxa" w:w="1900"/>
          </w:tcPr>
          <w:p>
            <w:pPr>
              <w:spacing w:after="0"/>
            </w:pPr>
            <w:r>
              <w:rPr>
                <w:rFonts w:ascii="Times New Roman" w:cs="Times New Roman" w:eastAsia="Times New Roman" w:hAnsi="Times New Roman"/>
                <w:b w:val="false"/>
                <w:bCs w:val="false"/>
                <w:sz w:val="16"/>
                <w:szCs w:val="16"/>
              </w:rPr>
              <w:t xml:space="preserve">52,749</w:t>
            </w:r>
          </w:p>
        </w:tc>
        <w:tc>
          <w:tcPr>
            <w:tcW w:type="dxa" w:w="2200"/>
          </w:tcPr>
          <w:p>
            <w:pPr>
              <w:spacing w:after="0"/>
            </w:pPr>
            <w:r>
              <w:rPr>
                <w:rFonts w:ascii="Times New Roman" w:cs="Times New Roman" w:eastAsia="Times New Roman" w:hAnsi="Times New Roman"/>
                <w:b w:val="false"/>
                <w:bCs w:val="false"/>
                <w:sz w:val="16"/>
                <w:szCs w:val="16"/>
              </w:rPr>
              <w:t xml:space="preserve">+3.92 (+3.14 to +4.74)</w:t>
            </w:r>
          </w:p>
        </w:tc>
        <w:tc>
          <w:tcPr>
            <w:tcW w:type="dxa" w:w="2200"/>
          </w:tcPr>
          <w:p>
            <w:pPr>
              <w:spacing w:after="0"/>
            </w:pPr>
            <w:r>
              <w:rPr>
                <w:rFonts w:ascii="Times New Roman" w:cs="Times New Roman" w:eastAsia="Times New Roman" w:hAnsi="Times New Roman"/>
                <w:b w:val="false"/>
                <w:bCs w:val="false"/>
                <w:sz w:val="16"/>
                <w:szCs w:val="16"/>
              </w:rPr>
              <w:t xml:space="preserve">+1.38 (-0.74 to +3.37)</w:t>
            </w:r>
          </w:p>
        </w:tc>
        <w:tc>
          <w:tcPr>
            <w:tcW w:type="dxa" w:w="1560"/>
          </w:tcPr>
          <w:p>
            <w:pPr>
              <w:spacing w:after="0"/>
            </w:pPr>
            <w:r>
              <w:rPr>
                <w:rFonts w:ascii="Times New Roman" w:cs="Times New Roman" w:eastAsia="Times New Roman" w:hAnsi="Times New Roman"/>
                <w:b w:val="false"/>
                <w:bCs w:val="false"/>
                <w:sz w:val="16"/>
                <w:szCs w:val="16"/>
              </w:rPr>
              <w:t xml:space="preserve">+4.14</w:t>
            </w:r>
          </w:p>
        </w:tc>
      </w:tr>
      <w:tr>
        <w:tc>
          <w:tcPr>
            <w:tcW w:type="dxa" w:w="1500"/>
          </w:tcPr>
          <w:p>
            <w:pPr>
              <w:spacing w:after="0"/>
            </w:pPr>
            <w:r>
              <w:rPr>
                <w:rFonts w:ascii="Times New Roman" w:cs="Times New Roman" w:eastAsia="Times New Roman" w:hAnsi="Times New Roman"/>
                <w:b w:val="false"/>
                <w:bCs w:val="false"/>
                <w:sz w:val="16"/>
                <w:szCs w:val="16"/>
              </w:rPr>
              <w:t xml:space="preserve">Tibia</w:t>
            </w:r>
          </w:p>
        </w:tc>
        <w:tc>
          <w:tcPr>
            <w:tcW w:type="dxa" w:w="1900"/>
          </w:tcPr>
          <w:p>
            <w:pPr>
              <w:spacing w:after="0"/>
            </w:pPr>
            <w:r>
              <w:rPr>
                <w:rFonts w:ascii="Times New Roman" w:cs="Times New Roman" w:eastAsia="Times New Roman" w:hAnsi="Times New Roman"/>
                <w:b w:val="false"/>
                <w:bCs w:val="false"/>
                <w:sz w:val="16"/>
                <w:szCs w:val="16"/>
              </w:rPr>
              <w:t xml:space="preserve">181,496</w:t>
            </w:r>
          </w:p>
        </w:tc>
        <w:tc>
          <w:tcPr>
            <w:tcW w:type="dxa" w:w="2200"/>
          </w:tcPr>
          <w:p>
            <w:pPr>
              <w:spacing w:after="0"/>
            </w:pPr>
            <w:r>
              <w:rPr>
                <w:rFonts w:ascii="Times New Roman" w:cs="Times New Roman" w:eastAsia="Times New Roman" w:hAnsi="Times New Roman"/>
                <w:b w:val="false"/>
                <w:bCs w:val="false"/>
                <w:sz w:val="16"/>
                <w:szCs w:val="16"/>
              </w:rPr>
              <w:t xml:space="preserve">+1.46 (+1.01 to +1.96)</w:t>
            </w:r>
          </w:p>
        </w:tc>
        <w:tc>
          <w:tcPr>
            <w:tcW w:type="dxa" w:w="2200"/>
          </w:tcPr>
          <w:p>
            <w:pPr>
              <w:spacing w:after="0"/>
            </w:pPr>
            <w:r>
              <w:rPr>
                <w:rFonts w:ascii="Times New Roman" w:cs="Times New Roman" w:eastAsia="Times New Roman" w:hAnsi="Times New Roman"/>
                <w:b w:val="false"/>
                <w:bCs w:val="false"/>
                <w:sz w:val="16"/>
                <w:szCs w:val="16"/>
              </w:rPr>
              <w:t xml:space="preserve">+2.38 (+1.29 to +3.59)</w:t>
            </w:r>
          </w:p>
        </w:tc>
        <w:tc>
          <w:tcPr>
            <w:tcW w:type="dxa" w:w="1560"/>
          </w:tcPr>
          <w:p>
            <w:pPr>
              <w:spacing w:after="0"/>
            </w:pPr>
            <w:r>
              <w:rPr>
                <w:rFonts w:ascii="Times New Roman" w:cs="Times New Roman" w:eastAsia="Times New Roman" w:hAnsi="Times New Roman"/>
                <w:b w:val="false"/>
                <w:bCs w:val="false"/>
                <w:sz w:val="16"/>
                <w:szCs w:val="16"/>
              </w:rPr>
              <w:t xml:space="preserve">+1.42</w:t>
            </w:r>
          </w:p>
        </w:tc>
      </w:tr>
      <w:tr>
        <w:tc>
          <w:tcPr>
            <w:tcW w:type="dxa" w:w="1500"/>
          </w:tcPr>
          <w:p>
            <w:pPr>
              <w:spacing w:after="0"/>
            </w:pPr>
            <w:r>
              <w:rPr>
                <w:rFonts w:ascii="Times New Roman" w:cs="Times New Roman" w:eastAsia="Times New Roman" w:hAnsi="Times New Roman"/>
                <w:b w:val="false"/>
                <w:bCs w:val="false"/>
                <w:sz w:val="16"/>
                <w:szCs w:val="16"/>
              </w:rPr>
              <w:t xml:space="preserve">Forearm shaft</w:t>
            </w:r>
          </w:p>
        </w:tc>
        <w:tc>
          <w:tcPr>
            <w:tcW w:type="dxa" w:w="1900"/>
          </w:tcPr>
          <w:p>
            <w:pPr>
              <w:spacing w:after="0"/>
            </w:pPr>
            <w:r>
              <w:rPr>
                <w:rFonts w:ascii="Times New Roman" w:cs="Times New Roman" w:eastAsia="Times New Roman" w:hAnsi="Times New Roman"/>
                <w:b w:val="false"/>
                <w:bCs w:val="false"/>
                <w:sz w:val="16"/>
                <w:szCs w:val="16"/>
              </w:rPr>
              <w:t xml:space="preserve">42,259</w:t>
            </w:r>
          </w:p>
        </w:tc>
        <w:tc>
          <w:tcPr>
            <w:tcW w:type="dxa" w:w="2200"/>
          </w:tcPr>
          <w:p>
            <w:pPr>
              <w:spacing w:after="0"/>
            </w:pPr>
            <w:r>
              <w:rPr>
                <w:rFonts w:ascii="Times New Roman" w:cs="Times New Roman" w:eastAsia="Times New Roman" w:hAnsi="Times New Roman"/>
                <w:b w:val="false"/>
                <w:bCs w:val="false"/>
                <w:sz w:val="16"/>
                <w:szCs w:val="16"/>
              </w:rPr>
              <w:t xml:space="preserve">+0.44 (+0.12 to +1.09)</w:t>
            </w:r>
          </w:p>
        </w:tc>
        <w:tc>
          <w:tcPr>
            <w:tcW w:type="dxa" w:w="2200"/>
          </w:tcPr>
          <w:p>
            <w:pPr>
              <w:spacing w:after="0"/>
            </w:pPr>
            <w:r>
              <w:rPr>
                <w:rFonts w:ascii="Times New Roman" w:cs="Times New Roman" w:eastAsia="Times New Roman" w:hAnsi="Times New Roman"/>
                <w:b w:val="false"/>
                <w:bCs w:val="false"/>
                <w:sz w:val="16"/>
                <w:szCs w:val="16"/>
              </w:rPr>
              <w:t xml:space="preserve">-0.40 (-1.07 to +0.41)</w:t>
            </w:r>
          </w:p>
        </w:tc>
        <w:tc>
          <w:tcPr>
            <w:tcW w:type="dxa" w:w="1560"/>
          </w:tcPr>
          <w:p>
            <w:pPr>
              <w:spacing w:after="0"/>
            </w:pPr>
            <w:r>
              <w:rPr>
                <w:rFonts w:ascii="Times New Roman" w:cs="Times New Roman" w:eastAsia="Times New Roman" w:hAnsi="Times New Roman"/>
                <w:b w:val="false"/>
                <w:bCs w:val="false"/>
                <w:sz w:val="16"/>
                <w:szCs w:val="16"/>
              </w:rPr>
              <w:t xml:space="preserve">+0.59</w:t>
            </w:r>
          </w:p>
        </w:tc>
      </w:tr>
    </w:tbl>
    <w:p>
      <w:pPr>
        <w:spacing w:after="180" w:before="60"/>
      </w:pPr>
      <w:r>
        <w:rPr>
          <w:rFonts w:ascii="Times New Roman" w:cs="Times New Roman" w:eastAsia="Times New Roman" w:hAnsi="Times New Roman"/>
          <w:sz w:val="17"/>
          <w:szCs w:val="17"/>
        </w:rPr>
        <w:t xml:space="preserve">The last column adds indicators of recorded concomitant intracranial, thoracic, abdominal and pelvic injury (point estimates). It estimates an association conditioned on injury burden, which is partly a consequence of mechanism, and is not read as a direct effect. Three way interaction of mechanism, age and fracture, P 0.09.</w:t>
      </w:r>
    </w:p>
    <w:p>
      <w:pPr>
        <w:pStyle w:val="Heading1"/>
        <w:spacing w:after="100" w:before="220"/>
      </w:pPr>
      <w:r>
        <w:rPr>
          <w:rFonts w:ascii="Times New Roman" w:cs="Times New Roman" w:eastAsia="Times New Roman" w:hAnsi="Times New Roman"/>
          <w:b/>
          <w:bCs/>
          <w:sz w:val="24"/>
          <w:szCs w:val="24"/>
        </w:rPr>
        <w:t xml:space="preserve">S7. Comorbidity adjustment, MIMIC-IV (descriptive)</w:t>
      </w:r>
    </w:p>
    <w:p>
      <w:pPr>
        <w:spacing w:after="120" w:line="300"/>
      </w:pPr>
      <w:r>
        <w:rPr>
          <w:rFonts w:ascii="Times New Roman" w:cs="Times New Roman" w:eastAsia="Times New Roman" w:hAnsi="Times New Roman"/>
          <w:sz w:val="21"/>
          <w:szCs w:val="21"/>
        </w:rPr>
        <w:t xml:space="preserve">A Charlson index (Quan mapping) added to the age and mechanism model changed standardized mortality at 80 for fall related hip fracture from 2.29% to 2.04% and for vertebral fracture from 2.85% to 2.59%. Because traffic related groups had no deaths in several age groups, these standardized values are descriptive only (hip, traffic related 0.00 at all ages in both models) and were not used for inference.</w:t>
      </w:r>
    </w:p>
    <w:p>
      <w:pPr>
        <w:pStyle w:val="Heading1"/>
        <w:spacing w:after="100" w:before="220"/>
      </w:pPr>
      <w:r>
        <w:rPr>
          <w:rFonts w:ascii="Times New Roman" w:cs="Times New Roman" w:eastAsia="Times New Roman" w:hAnsi="Times New Roman"/>
          <w:b/>
          <w:bCs/>
          <w:sz w:val="24"/>
          <w:szCs w:val="24"/>
        </w:rPr>
        <w:t xml:space="preserve">S8. Length of stay by fracture and mechanism, Brazil (median days, interquartile range)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360"/>
      </w:tblGrid>
      <w:tr>
        <w:tc>
          <w:tcPr>
            <w:tcW w:type="dxa" w:w="3000"/>
            <w:shd w:fill="E7E6E6" w:color="auto" w:val="clear"/>
          </w:tcPr>
          <w:p>
            <w:pPr>
              <w:spacing w:after="0"/>
            </w:pPr>
            <w:r>
              <w:rPr>
                <w:rFonts w:ascii="Times New Roman" w:cs="Times New Roman" w:eastAsia="Times New Roman" w:hAnsi="Times New Roman"/>
                <w:b/>
                <w:bCs/>
                <w:sz w:val="16"/>
                <w:szCs w:val="16"/>
              </w:rPr>
              <w:t xml:space="preserve">Fracture</w:t>
            </w:r>
          </w:p>
        </w:tc>
        <w:tc>
          <w:tcPr>
            <w:tcW w:type="dxa" w:w="3000"/>
            <w:shd w:fill="E7E6E6" w:color="auto" w:val="clear"/>
          </w:tcPr>
          <w:p>
            <w:pPr>
              <w:spacing w:after="0"/>
            </w:pPr>
            <w:r>
              <w:rPr>
                <w:rFonts w:ascii="Times New Roman" w:cs="Times New Roman" w:eastAsia="Times New Roman" w:hAnsi="Times New Roman"/>
                <w:b/>
                <w:bCs/>
                <w:sz w:val="16"/>
                <w:szCs w:val="16"/>
              </w:rPr>
              <w:t xml:space="preserve">Fall related</w:t>
            </w:r>
          </w:p>
        </w:tc>
        <w:tc>
          <w:tcPr>
            <w:tcW w:type="dxa" w:w="3360"/>
            <w:shd w:fill="E7E6E6" w:color="auto" w:val="clear"/>
          </w:tcPr>
          <w:p>
            <w:pPr>
              <w:spacing w:after="0"/>
            </w:pPr>
            <w:r>
              <w:rPr>
                <w:rFonts w:ascii="Times New Roman" w:cs="Times New Roman" w:eastAsia="Times New Roman" w:hAnsi="Times New Roman"/>
                <w:b/>
                <w:bCs/>
                <w:sz w:val="16"/>
                <w:szCs w:val="16"/>
              </w:rPr>
              <w:t xml:space="preserve">Traffic related</w:t>
            </w:r>
          </w:p>
        </w:tc>
      </w:tr>
      <w:tr>
        <w:tc>
          <w:tcPr>
            <w:tcW w:type="dxa" w:w="3000"/>
          </w:tcPr>
          <w:p>
            <w:pPr>
              <w:spacing w:after="0"/>
            </w:pPr>
            <w:r>
              <w:rPr>
                <w:rFonts w:ascii="Times New Roman" w:cs="Times New Roman" w:eastAsia="Times New Roman" w:hAnsi="Times New Roman"/>
                <w:b w:val="false"/>
                <w:bCs w:val="false"/>
                <w:sz w:val="16"/>
                <w:szCs w:val="16"/>
              </w:rPr>
              <w:t xml:space="preserve">Hip</w:t>
            </w:r>
          </w:p>
        </w:tc>
        <w:tc>
          <w:tcPr>
            <w:tcW w:type="dxa" w:w="3000"/>
          </w:tcPr>
          <w:p>
            <w:pPr>
              <w:spacing w:after="0"/>
            </w:pPr>
            <w:r>
              <w:rPr>
                <w:rFonts w:ascii="Times New Roman" w:cs="Times New Roman" w:eastAsia="Times New Roman" w:hAnsi="Times New Roman"/>
                <w:b w:val="false"/>
                <w:bCs w:val="false"/>
                <w:sz w:val="16"/>
                <w:szCs w:val="16"/>
              </w:rPr>
              <w:t xml:space="preserve">6 (3 to 10)</w:t>
            </w:r>
          </w:p>
        </w:tc>
        <w:tc>
          <w:tcPr>
            <w:tcW w:type="dxa" w:w="3360"/>
          </w:tcPr>
          <w:p>
            <w:pPr>
              <w:spacing w:after="0"/>
            </w:pPr>
            <w:r>
              <w:rPr>
                <w:rFonts w:ascii="Times New Roman" w:cs="Times New Roman" w:eastAsia="Times New Roman" w:hAnsi="Times New Roman"/>
                <w:b w:val="false"/>
                <w:bCs w:val="false"/>
                <w:sz w:val="16"/>
                <w:szCs w:val="16"/>
              </w:rPr>
              <w:t xml:space="preserve">5 (3 to 9)</w:t>
            </w:r>
          </w:p>
        </w:tc>
      </w:tr>
      <w:tr>
        <w:tc>
          <w:tcPr>
            <w:tcW w:type="dxa" w:w="3000"/>
          </w:tcPr>
          <w:p>
            <w:pPr>
              <w:spacing w:after="0"/>
            </w:pPr>
            <w:r>
              <w:rPr>
                <w:rFonts w:ascii="Times New Roman" w:cs="Times New Roman" w:eastAsia="Times New Roman" w:hAnsi="Times New Roman"/>
                <w:b w:val="false"/>
                <w:bCs w:val="false"/>
                <w:sz w:val="16"/>
                <w:szCs w:val="16"/>
              </w:rPr>
              <w:t xml:space="preserve">Femoral shaft</w:t>
            </w:r>
          </w:p>
        </w:tc>
        <w:tc>
          <w:tcPr>
            <w:tcW w:type="dxa" w:w="3000"/>
          </w:tcPr>
          <w:p>
            <w:pPr>
              <w:spacing w:after="0"/>
            </w:pPr>
            <w:r>
              <w:rPr>
                <w:rFonts w:ascii="Times New Roman" w:cs="Times New Roman" w:eastAsia="Times New Roman" w:hAnsi="Times New Roman"/>
                <w:b w:val="false"/>
                <w:bCs w:val="false"/>
                <w:sz w:val="16"/>
                <w:szCs w:val="16"/>
              </w:rPr>
              <w:t xml:space="preserve">5 (2 to 9)</w:t>
            </w:r>
          </w:p>
        </w:tc>
        <w:tc>
          <w:tcPr>
            <w:tcW w:type="dxa" w:w="3360"/>
          </w:tcPr>
          <w:p>
            <w:pPr>
              <w:spacing w:after="0"/>
            </w:pPr>
            <w:r>
              <w:rPr>
                <w:rFonts w:ascii="Times New Roman" w:cs="Times New Roman" w:eastAsia="Times New Roman" w:hAnsi="Times New Roman"/>
                <w:b w:val="false"/>
                <w:bCs w:val="false"/>
                <w:sz w:val="16"/>
                <w:szCs w:val="16"/>
              </w:rPr>
              <w:t xml:space="preserve">5 (2 to 9)</w:t>
            </w:r>
          </w:p>
        </w:tc>
      </w:tr>
      <w:tr>
        <w:tc>
          <w:tcPr>
            <w:tcW w:type="dxa" w:w="3000"/>
          </w:tcPr>
          <w:p>
            <w:pPr>
              <w:spacing w:after="0"/>
            </w:pPr>
            <w:r>
              <w:rPr>
                <w:rFonts w:ascii="Times New Roman" w:cs="Times New Roman" w:eastAsia="Times New Roman" w:hAnsi="Times New Roman"/>
                <w:b w:val="false"/>
                <w:bCs w:val="false"/>
                <w:sz w:val="16"/>
                <w:szCs w:val="16"/>
              </w:rPr>
              <w:t xml:space="preserve">Tibia</w:t>
            </w:r>
          </w:p>
        </w:tc>
        <w:tc>
          <w:tcPr>
            <w:tcW w:type="dxa" w:w="3000"/>
          </w:tcPr>
          <w:p>
            <w:pPr>
              <w:spacing w:after="0"/>
            </w:pPr>
            <w:r>
              <w:rPr>
                <w:rFonts w:ascii="Times New Roman" w:cs="Times New Roman" w:eastAsia="Times New Roman" w:hAnsi="Times New Roman"/>
                <w:b w:val="false"/>
                <w:bCs w:val="false"/>
                <w:sz w:val="16"/>
                <w:szCs w:val="16"/>
              </w:rPr>
              <w:t xml:space="preserve">3 (2 to 7)</w:t>
            </w:r>
          </w:p>
        </w:tc>
        <w:tc>
          <w:tcPr>
            <w:tcW w:type="dxa" w:w="3360"/>
          </w:tcPr>
          <w:p>
            <w:pPr>
              <w:spacing w:after="0"/>
            </w:pPr>
            <w:r>
              <w:rPr>
                <w:rFonts w:ascii="Times New Roman" w:cs="Times New Roman" w:eastAsia="Times New Roman" w:hAnsi="Times New Roman"/>
                <w:b w:val="false"/>
                <w:bCs w:val="false"/>
                <w:sz w:val="16"/>
                <w:szCs w:val="16"/>
              </w:rPr>
              <w:t xml:space="preserve">4 (2 to 8)</w:t>
            </w:r>
          </w:p>
        </w:tc>
      </w:tr>
      <w:tr>
        <w:tc>
          <w:tcPr>
            <w:tcW w:type="dxa" w:w="3000"/>
          </w:tcPr>
          <w:p>
            <w:pPr>
              <w:spacing w:after="0"/>
            </w:pPr>
            <w:r>
              <w:rPr>
                <w:rFonts w:ascii="Times New Roman" w:cs="Times New Roman" w:eastAsia="Times New Roman" w:hAnsi="Times New Roman"/>
                <w:b w:val="false"/>
                <w:bCs w:val="false"/>
                <w:sz w:val="16"/>
                <w:szCs w:val="16"/>
              </w:rPr>
              <w:t xml:space="preserve">Forearm shaft</w:t>
            </w:r>
          </w:p>
        </w:tc>
        <w:tc>
          <w:tcPr>
            <w:tcW w:type="dxa" w:w="3000"/>
          </w:tcPr>
          <w:p>
            <w:pPr>
              <w:spacing w:after="0"/>
            </w:pPr>
            <w:r>
              <w:rPr>
                <w:rFonts w:ascii="Times New Roman" w:cs="Times New Roman" w:eastAsia="Times New Roman" w:hAnsi="Times New Roman"/>
                <w:b w:val="false"/>
                <w:bCs w:val="false"/>
                <w:sz w:val="16"/>
                <w:szCs w:val="16"/>
              </w:rPr>
              <w:t xml:space="preserve">2 (1 to 4)</w:t>
            </w:r>
          </w:p>
        </w:tc>
        <w:tc>
          <w:tcPr>
            <w:tcW w:type="dxa" w:w="3360"/>
          </w:tcPr>
          <w:p>
            <w:pPr>
              <w:spacing w:after="0"/>
            </w:pPr>
            <w:r>
              <w:rPr>
                <w:rFonts w:ascii="Times New Roman" w:cs="Times New Roman" w:eastAsia="Times New Roman" w:hAnsi="Times New Roman"/>
                <w:b w:val="false"/>
                <w:bCs w:val="false"/>
                <w:sz w:val="16"/>
                <w:szCs w:val="16"/>
              </w:rPr>
              <w:t xml:space="preserve">3 (1 to 5)</w:t>
            </w:r>
          </w:p>
        </w:tc>
      </w:tr>
    </w:tbl>
    <w:p>
      <w:pPr>
        <w:spacing w:after="180" w:before="60"/>
      </w:pPr>
      <w:r>
        <w:rPr>
          <w:rFonts w:ascii="Times New Roman" w:cs="Times New Roman" w:eastAsia="Times New Roman" w:hAnsi="Times New Roman"/>
          <w:sz w:val="17"/>
          <w:szCs w:val="17"/>
        </w:rPr>
        <w:t xml:space="preserve">Transfers and readmissions cannot be linked in SIH/SUS or SAEH.</w:t>
      </w:r>
    </w:p>
    <w:p>
      <w:pPr>
        <w:pStyle w:val="Heading1"/>
        <w:spacing w:after="100" w:before="220"/>
      </w:pPr>
      <w:r>
        <w:rPr>
          <w:rFonts w:ascii="Times New Roman" w:cs="Times New Roman" w:eastAsia="Times New Roman" w:hAnsi="Times New Roman"/>
          <w:b/>
          <w:bCs/>
          <w:sz w:val="24"/>
          <w:szCs w:val="24"/>
        </w:rPr>
        <w:t xml:space="preserve">S9. Code lists</w:t>
      </w:r>
    </w:p>
    <w:p>
      <w:pPr>
        <w:spacing w:after="120" w:line="300"/>
      </w:pPr>
      <w:r>
        <w:rPr>
          <w:rFonts w:ascii="Times New Roman" w:cs="Times New Roman" w:eastAsia="Times New Roman" w:hAnsi="Times New Roman"/>
          <w:sz w:val="21"/>
          <w:szCs w:val="21"/>
        </w:rPr>
        <w:t xml:space="preserve">Index fractures (ICD-10; ICD-9-CM in MIMIC-IV) are hip S72.0 to S72.2 (820), femoral shaft S72.3 (821.0 to 821.1), tibia S82.1 to S82.3 (823), forearm shaft S52.2 to S52.4 (813.2 to 813.3). Secondary strata are proximal humerus S42.2 (812.0 to 812.1), vertebra S22.0 and S32.0 (805.0, 805.2, 806.0, 806.2) and pelvis S32.1 to S32.8 (808). External cause is fall W00 to W19 (E880 to E888), fall from height W10 to W17 (E880 to E884) and road traffic V01 to V89 (E810 to E829). Concomitant injury is intracranial S06.1 to S06.9 (851 to 854), thoracic S25 to S27 and S22.5 (860 to 862, 807.4), abdominal S35 to S36 (863 to 868, 902) and pelvic organ S32.8 and S38 (808.4 to 808.9).</w:t>
      </w:r>
    </w:p>
    <w:p>
      <w:pPr>
        <w:pStyle w:val="Heading1"/>
        <w:spacing w:after="100" w:before="220"/>
      </w:pPr>
      <w:r>
        <w:rPr>
          <w:rFonts w:ascii="Times New Roman" w:cs="Times New Roman" w:eastAsia="Times New Roman" w:hAnsi="Times New Roman"/>
          <w:b/>
          <w:bCs/>
          <w:sz w:val="24"/>
          <w:szCs w:val="24"/>
        </w:rPr>
        <w:t xml:space="preserve">S10. STROBE, RECORD and TRIPOD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0"/>
        <w:gridCol w:w="4160"/>
      </w:tblGrid>
      <w:tr>
        <w:tc>
          <w:tcPr>
            <w:tcW w:type="dxa" w:w="5200"/>
            <w:shd w:fill="E7E6E6" w:color="auto" w:val="clear"/>
          </w:tcPr>
          <w:p>
            <w:pPr>
              <w:spacing w:after="0"/>
            </w:pPr>
            <w:r>
              <w:rPr>
                <w:rFonts w:ascii="Times New Roman" w:cs="Times New Roman" w:eastAsia="Times New Roman" w:hAnsi="Times New Roman"/>
                <w:b/>
                <w:bCs/>
                <w:sz w:val="16"/>
                <w:szCs w:val="16"/>
              </w:rPr>
              <w:t xml:space="preserve">Item</w:t>
            </w:r>
          </w:p>
        </w:tc>
        <w:tc>
          <w:tcPr>
            <w:tcW w:type="dxa" w:w="4160"/>
            <w:shd w:fill="E7E6E6" w:color="auto" w:val="clear"/>
          </w:tcPr>
          <w:p>
            <w:pPr>
              <w:spacing w:after="0"/>
            </w:pPr>
            <w:r>
              <w:rPr>
                <w:rFonts w:ascii="Times New Roman" w:cs="Times New Roman" w:eastAsia="Times New Roman" w:hAnsi="Times New Roman"/>
                <w:b/>
                <w:bCs/>
                <w:sz w:val="16"/>
                <w:szCs w:val="16"/>
              </w:rPr>
              <w:t xml:space="preserve">Location</w:t>
            </w:r>
          </w:p>
        </w:tc>
      </w:tr>
      <w:tr>
        <w:tc>
          <w:tcPr>
            <w:tcW w:type="dxa" w:w="5200"/>
          </w:tcPr>
          <w:p>
            <w:pPr>
              <w:spacing w:after="0"/>
            </w:pPr>
            <w:r>
              <w:rPr>
                <w:rFonts w:ascii="Times New Roman" w:cs="Times New Roman" w:eastAsia="Times New Roman" w:hAnsi="Times New Roman"/>
                <w:b w:val="false"/>
                <w:bCs w:val="false"/>
                <w:sz w:val="16"/>
                <w:szCs w:val="16"/>
              </w:rPr>
              <w:t xml:space="preserve">STROBE 1 to 3, title, abstract, background, objectives</w:t>
            </w:r>
          </w:p>
        </w:tc>
        <w:tc>
          <w:tcPr>
            <w:tcW w:type="dxa" w:w="4160"/>
          </w:tcPr>
          <w:p>
            <w:pPr>
              <w:spacing w:after="0"/>
            </w:pPr>
            <w:r>
              <w:rPr>
                <w:rFonts w:ascii="Times New Roman" w:cs="Times New Roman" w:eastAsia="Times New Roman" w:hAnsi="Times New Roman"/>
                <w:b w:val="false"/>
                <w:bCs w:val="false"/>
                <w:sz w:val="16"/>
                <w:szCs w:val="16"/>
              </w:rPr>
              <w:t xml:space="preserve">Title; Abstract; Introduction</w:t>
            </w:r>
          </w:p>
        </w:tc>
      </w:tr>
      <w:tr>
        <w:tc>
          <w:tcPr>
            <w:tcW w:type="dxa" w:w="5200"/>
          </w:tcPr>
          <w:p>
            <w:pPr>
              <w:spacing w:after="0"/>
            </w:pPr>
            <w:r>
              <w:rPr>
                <w:rFonts w:ascii="Times New Roman" w:cs="Times New Roman" w:eastAsia="Times New Roman" w:hAnsi="Times New Roman"/>
                <w:b w:val="false"/>
                <w:bCs w:val="false"/>
                <w:sz w:val="16"/>
                <w:szCs w:val="16"/>
              </w:rPr>
              <w:t xml:space="preserve">STROBE 4 to 8, design, setting, participants, variables, data sources</w:t>
            </w:r>
          </w:p>
        </w:tc>
        <w:tc>
          <w:tcPr>
            <w:tcW w:type="dxa" w:w="4160"/>
          </w:tcPr>
          <w:p>
            <w:pPr>
              <w:spacing w:after="0"/>
            </w:pPr>
            <w:r>
              <w:rPr>
                <w:rFonts w:ascii="Times New Roman" w:cs="Times New Roman" w:eastAsia="Times New Roman" w:hAnsi="Times New Roman"/>
                <w:b w:val="false"/>
                <w:bCs w:val="false"/>
                <w:sz w:val="16"/>
                <w:szCs w:val="16"/>
              </w:rPr>
              <w:t xml:space="preserve">Methods; S2; S9</w:t>
            </w:r>
          </w:p>
        </w:tc>
      </w:tr>
      <w:tr>
        <w:tc>
          <w:tcPr>
            <w:tcW w:type="dxa" w:w="5200"/>
          </w:tcPr>
          <w:p>
            <w:pPr>
              <w:spacing w:after="0"/>
            </w:pPr>
            <w:r>
              <w:rPr>
                <w:rFonts w:ascii="Times New Roman" w:cs="Times New Roman" w:eastAsia="Times New Roman" w:hAnsi="Times New Roman"/>
                <w:b w:val="false"/>
                <w:bCs w:val="false"/>
                <w:sz w:val="16"/>
                <w:szCs w:val="16"/>
              </w:rPr>
              <w:t xml:space="preserve">STROBE 9 to 12, bias, study size, statistical methods</w:t>
            </w:r>
          </w:p>
        </w:tc>
        <w:tc>
          <w:tcPr>
            <w:tcW w:type="dxa" w:w="4160"/>
          </w:tcPr>
          <w:p>
            <w:pPr>
              <w:spacing w:after="0"/>
            </w:pPr>
            <w:r>
              <w:rPr>
                <w:rFonts w:ascii="Times New Roman" w:cs="Times New Roman" w:eastAsia="Times New Roman" w:hAnsi="Times New Roman"/>
                <w:b w:val="false"/>
                <w:bCs w:val="false"/>
                <w:sz w:val="16"/>
                <w:szCs w:val="16"/>
              </w:rPr>
              <w:t xml:space="preserve">Methods, Statistical analysis; Limitations; S1</w:t>
            </w:r>
          </w:p>
        </w:tc>
      </w:tr>
      <w:tr>
        <w:tc>
          <w:tcPr>
            <w:tcW w:type="dxa" w:w="5200"/>
          </w:tcPr>
          <w:p>
            <w:pPr>
              <w:spacing w:after="0"/>
            </w:pPr>
            <w:r>
              <w:rPr>
                <w:rFonts w:ascii="Times New Roman" w:cs="Times New Roman" w:eastAsia="Times New Roman" w:hAnsi="Times New Roman"/>
                <w:b w:val="false"/>
                <w:bCs w:val="false"/>
                <w:sz w:val="16"/>
                <w:szCs w:val="16"/>
              </w:rPr>
              <w:t xml:space="preserve">STROBE 13 to 17, participants, descriptive data, outcome data, main results</w:t>
            </w:r>
          </w:p>
        </w:tc>
        <w:tc>
          <w:tcPr>
            <w:tcW w:type="dxa" w:w="4160"/>
          </w:tcPr>
          <w:p>
            <w:pPr>
              <w:spacing w:after="0"/>
            </w:pPr>
            <w:r>
              <w:rPr>
                <w:rFonts w:ascii="Times New Roman" w:cs="Times New Roman" w:eastAsia="Times New Roman" w:hAnsi="Times New Roman"/>
                <w:b w:val="false"/>
                <w:bCs w:val="false"/>
                <w:sz w:val="16"/>
                <w:szCs w:val="16"/>
              </w:rPr>
              <w:t xml:space="preserve">Results; Tables 1 to 3; S2 to S8</w:t>
            </w:r>
          </w:p>
        </w:tc>
      </w:tr>
      <w:tr>
        <w:tc>
          <w:tcPr>
            <w:tcW w:type="dxa" w:w="5200"/>
          </w:tcPr>
          <w:p>
            <w:pPr>
              <w:spacing w:after="0"/>
            </w:pPr>
            <w:r>
              <w:rPr>
                <w:rFonts w:ascii="Times New Roman" w:cs="Times New Roman" w:eastAsia="Times New Roman" w:hAnsi="Times New Roman"/>
                <w:b w:val="false"/>
                <w:bCs w:val="false"/>
                <w:sz w:val="16"/>
                <w:szCs w:val="16"/>
              </w:rPr>
              <w:t xml:space="preserve">STROBE 18 to 22, key results, limitations, interpretation, generalisability, funding</w:t>
            </w:r>
          </w:p>
        </w:tc>
        <w:tc>
          <w:tcPr>
            <w:tcW w:type="dxa" w:w="4160"/>
          </w:tcPr>
          <w:p>
            <w:pPr>
              <w:spacing w:after="0"/>
            </w:pPr>
            <w:r>
              <w:rPr>
                <w:rFonts w:ascii="Times New Roman" w:cs="Times New Roman" w:eastAsia="Times New Roman" w:hAnsi="Times New Roman"/>
                <w:b w:val="false"/>
                <w:bCs w:val="false"/>
                <w:sz w:val="16"/>
                <w:szCs w:val="16"/>
              </w:rPr>
              <w:t xml:space="preserve">Discussion; Declarations</w:t>
            </w:r>
          </w:p>
        </w:tc>
      </w:tr>
      <w:tr>
        <w:tc>
          <w:tcPr>
            <w:tcW w:type="dxa" w:w="5200"/>
          </w:tcPr>
          <w:p>
            <w:pPr>
              <w:spacing w:after="0"/>
            </w:pPr>
            <w:r>
              <w:rPr>
                <w:rFonts w:ascii="Times New Roman" w:cs="Times New Roman" w:eastAsia="Times New Roman" w:hAnsi="Times New Roman"/>
                <w:b w:val="false"/>
                <w:bCs w:val="false"/>
                <w:sz w:val="16"/>
                <w:szCs w:val="16"/>
              </w:rPr>
              <w:t xml:space="preserve">RECORD, codes, cleaning, selection, data limitations, code access</w:t>
            </w:r>
          </w:p>
        </w:tc>
        <w:tc>
          <w:tcPr>
            <w:tcW w:type="dxa" w:w="4160"/>
          </w:tcPr>
          <w:p>
            <w:pPr>
              <w:spacing w:after="0"/>
            </w:pPr>
            <w:r>
              <w:rPr>
                <w:rFonts w:ascii="Times New Roman" w:cs="Times New Roman" w:eastAsia="Times New Roman" w:hAnsi="Times New Roman"/>
                <w:b w:val="false"/>
                <w:bCs w:val="false"/>
                <w:sz w:val="16"/>
                <w:szCs w:val="16"/>
              </w:rPr>
              <w:t xml:space="preserve">Methods; S1; S2; S9; code archive</w:t>
            </w:r>
          </w:p>
        </w:tc>
      </w:tr>
      <w:tr>
        <w:tc>
          <w:tcPr>
            <w:tcW w:type="dxa" w:w="5200"/>
          </w:tcPr>
          <w:p>
            <w:pPr>
              <w:spacing w:after="0"/>
            </w:pPr>
            <w:r>
              <w:rPr>
                <w:rFonts w:ascii="Times New Roman" w:cs="Times New Roman" w:eastAsia="Times New Roman" w:hAnsi="Times New Roman"/>
                <w:b w:val="false"/>
                <w:bCs w:val="false"/>
                <w:sz w:val="16"/>
                <w:szCs w:val="16"/>
              </w:rPr>
              <w:t xml:space="preserve">TRIPOD, source of data, outcome, predictors, sample size, model, validation, performance, interpretation</w:t>
            </w:r>
          </w:p>
        </w:tc>
        <w:tc>
          <w:tcPr>
            <w:tcW w:type="dxa" w:w="4160"/>
          </w:tcPr>
          <w:p>
            <w:pPr>
              <w:spacing w:after="0"/>
            </w:pPr>
            <w:r>
              <w:rPr>
                <w:rFonts w:ascii="Times New Roman" w:cs="Times New Roman" w:eastAsia="Times New Roman" w:hAnsi="Times New Roman"/>
                <w:b w:val="false"/>
                <w:bCs w:val="false"/>
                <w:sz w:val="16"/>
                <w:szCs w:val="16"/>
              </w:rPr>
              <w:t xml:space="preserve">Methods, Statistical analysis; Results; Table 2; Figure 2; Limitations</w:t>
            </w:r>
          </w:p>
        </w:tc>
      </w:tr>
    </w:tbl>
    <w:p>
      <w:pPr>
        <w:pStyle w:val="Heading1"/>
        <w:spacing w:after="100" w:before="220"/>
      </w:pPr>
      <w:r>
        <w:rPr>
          <w:rFonts w:ascii="Times New Roman" w:cs="Times New Roman" w:eastAsia="Times New Roman" w:hAnsi="Times New Roman"/>
          <w:b/>
          <w:bCs/>
          <w:sz w:val="24"/>
          <w:szCs w:val="24"/>
        </w:rPr>
        <w:t xml:space="preserve">S11. Analysis code</w:t>
      </w:r>
    </w:p>
    <w:p>
      <w:pPr>
        <w:spacing w:after="120" w:line="300"/>
      </w:pPr>
      <w:r>
        <w:rPr>
          <w:rFonts w:ascii="Times New Roman" w:cs="Times New Roman" w:eastAsia="Times New Roman" w:hAnsi="Times New Roman"/>
          <w:sz w:val="21"/>
          <w:szCs w:val="21"/>
        </w:rPr>
        <w:t xml:space="preserve">Python 3.12 scripts in the code archive are lep_1_brezilya.py, lep_1b_saeh.py and lep_1m_mimic.py (cohort extraction), lep_2_analiz.py (individual level models), lep_5_hizli.py (grouped count models with 1,000 clustered bootstrap samples and the incremental value analysis), lep_6_mea.py (mechanism-equivalent age, crossover age), lep_sens.py and lep_3_mimic_modelC.py. The grouped count models reproduce the individual level point estimates exactly. To be deposited publicly on acceptance.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2026-10-11T05:59:09.649Z</dcterms:created>
  <dcterms:modified xsi:type="dcterms:W3CDTF">2026-10-11T05:59:09.649Z</dcterms:modified>
</cp:coreProperties>
</file>

<file path=docProps/custom.xml><?xml version="1.0" encoding="utf-8"?>
<Properties xmlns="http://schemas.openxmlformats.org/officeDocument/2006/custom-properties" xmlns:vt="http://schemas.openxmlformats.org/officeDocument/2006/docPropsVTypes"/>
</file>