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D8627D0" w14:textId="54DC68D1" w:rsidR="00600388" w:rsidRDefault="00B26D5A">
      <w:pPr>
        <w:spacing w:before="240" w:after="240"/>
        <w:jc w:val="both"/>
        <w:rPr>
          <w:rFonts w:ascii="Times New Roman" w:eastAsia="Times New Roman" w:hAnsi="Times New Roman" w:cs="Times New Roman"/>
          <w:b/>
          <w:bCs/>
          <w:sz w:val="28"/>
          <w:szCs w:val="28"/>
        </w:rPr>
      </w:pPr>
      <w:r w:rsidRPr="00C77574">
        <w:rPr>
          <w:rFonts w:ascii="Times New Roman" w:eastAsia="Times New Roman" w:hAnsi="Times New Roman" w:cs="Times New Roman"/>
          <w:b/>
          <w:bCs/>
          <w:i/>
          <w:iCs/>
          <w:color w:val="000000"/>
          <w:sz w:val="28"/>
          <w:szCs w:val="28"/>
        </w:rPr>
        <w:t>The apoplastic effector MrB3 from Moniliophthora roreri modulates plant defense and interacts with an LRR protein in cacao</w:t>
      </w:r>
      <w:r w:rsidR="00000000">
        <w:rPr>
          <w:rFonts w:ascii="Times New Roman" w:eastAsia="Times New Roman" w:hAnsi="Times New Roman" w:cs="Times New Roman"/>
          <w:b/>
          <w:bCs/>
          <w:sz w:val="28"/>
          <w:szCs w:val="28"/>
        </w:rPr>
        <w:t>.</w:t>
      </w:r>
    </w:p>
    <w:p w14:paraId="7EB246CD" w14:textId="77777777" w:rsidR="00600388" w:rsidRDefault="00600388">
      <w:pPr>
        <w:spacing w:before="240" w:after="240"/>
        <w:jc w:val="both"/>
        <w:rPr>
          <w:rFonts w:ascii="Times New Roman" w:eastAsia="Times New Roman" w:hAnsi="Times New Roman" w:cs="Times New Roman"/>
          <w:b/>
          <w:bCs/>
          <w:sz w:val="28"/>
          <w:szCs w:val="28"/>
        </w:rPr>
      </w:pPr>
    </w:p>
    <w:p w14:paraId="18532A6D" w14:textId="77777777" w:rsidR="00600388" w:rsidRDefault="00000000">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Larissa Karen Silva Oliveira; Taís Araújo Santos; Maria Eduarda Antunes Lima; Hermanna Vanesca Viana de Oliveira; Carlos Henrique de Carvalho Neto; Keilane Silva Farias; Janclei Pereira Coutinho; Raner José Santana Silva; Éric Roberto Guimarães Rocha Aguiar; Carlos Priminho Pirovani </w:t>
      </w:r>
    </w:p>
    <w:p w14:paraId="498F4621" w14:textId="77777777" w:rsidR="00600388" w:rsidRDefault="00600388">
      <w:pPr>
        <w:spacing w:after="200"/>
        <w:rPr>
          <w:rFonts w:ascii="Times New Roman" w:eastAsia="Times New Roman" w:hAnsi="Times New Roman" w:cs="Times New Roman"/>
          <w:sz w:val="24"/>
          <w:szCs w:val="24"/>
        </w:rPr>
      </w:pPr>
    </w:p>
    <w:p w14:paraId="1882321D" w14:textId="77777777" w:rsidR="00600388" w:rsidRDefault="00000000">
      <w:pPr>
        <w:spacing w:after="20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Supporting Information</w:t>
      </w:r>
    </w:p>
    <w:p w14:paraId="55C93902" w14:textId="77777777" w:rsidR="00600388" w:rsidRDefault="00000000">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S1. </w:t>
      </w:r>
      <w:r>
        <w:rPr>
          <w:rFonts w:ascii="Times New Roman" w:eastAsia="Times New Roman" w:hAnsi="Times New Roman" w:cs="Times New Roman"/>
          <w:sz w:val="24"/>
          <w:szCs w:val="24"/>
        </w:rPr>
        <w:t xml:space="preserve">Identification workflow for candidate effector proteins from </w:t>
      </w:r>
      <w:r>
        <w:rPr>
          <w:rFonts w:ascii="Times New Roman" w:eastAsia="Times New Roman" w:hAnsi="Times New Roman" w:cs="Times New Roman"/>
          <w:i/>
          <w:iCs/>
          <w:sz w:val="24"/>
          <w:szCs w:val="24"/>
        </w:rPr>
        <w:t>Moniliophthora roreri</w:t>
      </w:r>
      <w:r>
        <w:rPr>
          <w:rFonts w:ascii="Times New Roman" w:eastAsia="Times New Roman" w:hAnsi="Times New Roman" w:cs="Times New Roman"/>
          <w:sz w:val="24"/>
          <w:szCs w:val="24"/>
        </w:rPr>
        <w:t xml:space="preserve">. Differentially expressed transcripts obtained by RNA-Seq after 16 h of spore incubation in cacao extract (NASCIMENTO et al., 2025) were translated using BLASTx against the NCBI non-redundant (nr) database. Uncharacterized proteins shorter than 300 amino acids were subjected to </w:t>
      </w:r>
      <w:r>
        <w:rPr>
          <w:rFonts w:ascii="Times New Roman" w:eastAsia="Times New Roman" w:hAnsi="Times New Roman" w:cs="Times New Roman"/>
          <w:i/>
          <w:iCs/>
          <w:sz w:val="24"/>
          <w:szCs w:val="24"/>
        </w:rPr>
        <w:t>in silico</w:t>
      </w:r>
      <w:r>
        <w:rPr>
          <w:rFonts w:ascii="Times New Roman" w:eastAsia="Times New Roman" w:hAnsi="Times New Roman" w:cs="Times New Roman"/>
          <w:sz w:val="24"/>
          <w:szCs w:val="24"/>
        </w:rPr>
        <w:t xml:space="preserve"> characterization to assess the presence of a signal peptide, cysteine residues, conserved domains, and transmembrane regions, as well as subcellular localization and effector prediction using EffectorP-fungi 3.0. This workflow resulted in the identification of eight candidate effector proteins, among which ESK97039.1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B3) displayed all the predicted features of an apoplastic effector.</w:t>
      </w:r>
    </w:p>
    <w:p w14:paraId="239CDD97" w14:textId="77777777" w:rsidR="00600388" w:rsidRDefault="00000000">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S2. </w:t>
      </w:r>
      <w:r>
        <w:rPr>
          <w:rFonts w:ascii="Times New Roman" w:eastAsia="Times New Roman" w:hAnsi="Times New Roman" w:cs="Times New Roman"/>
          <w:sz w:val="24"/>
          <w:szCs w:val="24"/>
        </w:rPr>
        <w:t xml:space="preserve">Signal peptide prediction of the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 xml:space="preserve">B3 effector protein using SignalP 6.0. Signal peptide prediction of the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B3 effector protein using SignalP 6.0, showing a predicted Sec/SPI signal peptide with a cleavage site between residues 19 and 20 (ASA│QL; cleavage site probability = 83%).</w:t>
      </w:r>
    </w:p>
    <w:p w14:paraId="53EDB7DB"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color w:val="000000"/>
          <w:sz w:val="24"/>
          <w:szCs w:val="24"/>
        </w:rPr>
      </w:pPr>
      <w:bookmarkStart w:id="0" w:name="_k3autg97qp4i" w:colFirst="0" w:colLast="0"/>
      <w:bookmarkEnd w:id="0"/>
      <w:r>
        <w:rPr>
          <w:rFonts w:ascii="Times New Roman" w:eastAsia="Times New Roman" w:hAnsi="Times New Roman" w:cs="Times New Roman"/>
          <w:b/>
          <w:bCs/>
          <w:color w:val="000000"/>
          <w:sz w:val="24"/>
          <w:szCs w:val="24"/>
        </w:rPr>
        <w:t xml:space="preserve">Figure S3. </w:t>
      </w:r>
      <w:r>
        <w:rPr>
          <w:rFonts w:ascii="Times New Roman" w:eastAsia="Times New Roman" w:hAnsi="Times New Roman" w:cs="Times New Roman"/>
          <w:color w:val="000000"/>
          <w:sz w:val="24"/>
          <w:szCs w:val="24"/>
        </w:rPr>
        <w:t xml:space="preserve">Transmembrane domain prediction of the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effector protein using TMHMM 2.0. Transmembrane domain prediction of the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effector protein using TMHMM 2.0. No transmembrane helices were predicted along the 256-amino acid sequence, indicating that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B3 is unlikely to be a membrane-associated protein. The posterior probability plot shows the predicted probabilities for transmembrane, inside, and outside regions across the protein sequence.</w:t>
      </w:r>
    </w:p>
    <w:p w14:paraId="61B329C5"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color w:val="000000"/>
          <w:sz w:val="24"/>
          <w:szCs w:val="24"/>
        </w:rPr>
      </w:pPr>
      <w:bookmarkStart w:id="1" w:name="_44bns8estvtv" w:colFirst="0" w:colLast="0"/>
      <w:bookmarkEnd w:id="1"/>
      <w:r>
        <w:rPr>
          <w:rFonts w:ascii="Times New Roman" w:eastAsia="Times New Roman" w:hAnsi="Times New Roman" w:cs="Times New Roman"/>
          <w:b/>
          <w:bCs/>
          <w:color w:val="000000"/>
          <w:sz w:val="24"/>
          <w:szCs w:val="24"/>
        </w:rPr>
        <w:t>Figure S4.</w:t>
      </w:r>
      <w:r>
        <w:rPr>
          <w:rFonts w:ascii="Times New Roman" w:eastAsia="Times New Roman" w:hAnsi="Times New Roman" w:cs="Times New Roman"/>
          <w:color w:val="000000"/>
          <w:sz w:val="24"/>
          <w:szCs w:val="24"/>
        </w:rPr>
        <w:t xml:space="preserve"> Prediction of intrinsic disorder in mature proteins using IUPred3.</w:t>
      </w:r>
    </w:p>
    <w:p w14:paraId="315642E8"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b/>
          <w:bCs/>
          <w:color w:val="000000"/>
          <w:sz w:val="24"/>
          <w:szCs w:val="24"/>
        </w:rPr>
      </w:pPr>
      <w:bookmarkStart w:id="2" w:name="_8cjys8lm51t1" w:colFirst="0" w:colLast="0"/>
      <w:bookmarkEnd w:id="2"/>
      <w:r>
        <w:rPr>
          <w:rFonts w:ascii="Times New Roman" w:eastAsia="Times New Roman" w:hAnsi="Times New Roman" w:cs="Times New Roman"/>
          <w:b/>
          <w:bCs/>
          <w:color w:val="000000"/>
          <w:sz w:val="24"/>
          <w:szCs w:val="24"/>
        </w:rPr>
        <w:lastRenderedPageBreak/>
        <w:t xml:space="preserve">Figure S5 A-C. </w:t>
      </w:r>
      <w:r>
        <w:rPr>
          <w:rFonts w:ascii="Times New Roman" w:eastAsia="Times New Roman" w:hAnsi="Times New Roman" w:cs="Times New Roman"/>
          <w:color w:val="000000"/>
          <w:sz w:val="24"/>
          <w:szCs w:val="24"/>
        </w:rPr>
        <w:t>Confirmation of the identity of the recombinant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protein by tandem mass spectrometry (LC–MS/MS). The recombinant protein consisted of the mature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sequence without the signal peptide, fused to thioredoxin and a histidine tag, comprising 406 amino acid residues and having an apparent molecular mass of approximately 42.61 kDa. </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z w:val="24"/>
          <w:szCs w:val="24"/>
        </w:rPr>
        <w:t xml:space="preserve"> Mapping of the seven unique peptides identified along the sequence of recombinant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Colored bars represent the relative position and length of each peptide within the protein sequence. </w:t>
      </w:r>
      <w:r>
        <w:rPr>
          <w:rFonts w:ascii="Times New Roman" w:eastAsia="Times New Roman" w:hAnsi="Times New Roman" w:cs="Times New Roman"/>
          <w:b/>
          <w:bCs/>
          <w:color w:val="000000"/>
          <w:sz w:val="24"/>
          <w:szCs w:val="24"/>
        </w:rPr>
        <w:t>(B)</w:t>
      </w:r>
      <w:r>
        <w:rPr>
          <w:rFonts w:ascii="Times New Roman" w:eastAsia="Times New Roman" w:hAnsi="Times New Roman" w:cs="Times New Roman"/>
          <w:color w:val="000000"/>
          <w:sz w:val="24"/>
          <w:szCs w:val="24"/>
        </w:rPr>
        <w:t xml:space="preserve"> Sequence coverage and relative intensity of the peptides identified by LC–MS/MS. </w:t>
      </w:r>
      <w:r>
        <w:rPr>
          <w:rFonts w:ascii="Times New Roman" w:eastAsia="Times New Roman" w:hAnsi="Times New Roman" w:cs="Times New Roman"/>
          <w:b/>
          <w:bCs/>
          <w:color w:val="000000"/>
          <w:sz w:val="24"/>
          <w:szCs w:val="24"/>
        </w:rPr>
        <w:t>(C)</w:t>
      </w:r>
      <w:r>
        <w:rPr>
          <w:rFonts w:ascii="Times New Roman" w:eastAsia="Times New Roman" w:hAnsi="Times New Roman" w:cs="Times New Roman"/>
          <w:color w:val="000000"/>
          <w:sz w:val="24"/>
          <w:szCs w:val="24"/>
        </w:rPr>
        <w:t xml:space="preserve"> Summary of the proteomic identification of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corresponding to </w:t>
      </w:r>
      <w:r>
        <w:rPr>
          <w:rFonts w:ascii="Times New Roman" w:eastAsia="Times New Roman" w:hAnsi="Times New Roman" w:cs="Times New Roman"/>
          <w:i/>
          <w:iCs/>
          <w:color w:val="000000"/>
          <w:sz w:val="24"/>
          <w:szCs w:val="24"/>
        </w:rPr>
        <w:t>Moniliophthora roreri Mr</w:t>
      </w:r>
      <w:r>
        <w:rPr>
          <w:rFonts w:ascii="Times New Roman" w:eastAsia="Times New Roman" w:hAnsi="Times New Roman" w:cs="Times New Roman"/>
          <w:color w:val="000000"/>
          <w:sz w:val="24"/>
          <w:szCs w:val="24"/>
        </w:rPr>
        <w:t xml:space="preserve">BASIDIN3 (ESK97039.1), including the recombinant protein length (406 aa), total sequence coverage (30.78%), number of unique peptides identified (n = 7), and protein identification confidence (&gt;95%). The identified peptides were mapped to the recombinant construct containing the mature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B3 sequence fused to thioredoxin and a histidine tag.</w:t>
      </w:r>
    </w:p>
    <w:p w14:paraId="55519E0A"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b/>
          <w:bCs/>
          <w:color w:val="000000"/>
          <w:sz w:val="24"/>
          <w:szCs w:val="24"/>
        </w:rPr>
      </w:pPr>
      <w:bookmarkStart w:id="3" w:name="_fy45gcjas28" w:colFirst="0" w:colLast="0"/>
      <w:bookmarkEnd w:id="3"/>
      <w:r>
        <w:rPr>
          <w:rFonts w:ascii="Times New Roman" w:eastAsia="Times New Roman" w:hAnsi="Times New Roman" w:cs="Times New Roman"/>
          <w:b/>
          <w:bCs/>
          <w:color w:val="000000"/>
          <w:sz w:val="24"/>
          <w:szCs w:val="24"/>
        </w:rPr>
        <w:t xml:space="preserve">Figure S6. </w:t>
      </w:r>
      <w:r>
        <w:rPr>
          <w:rFonts w:ascii="Times New Roman" w:eastAsia="Times New Roman" w:hAnsi="Times New Roman" w:cs="Times New Roman"/>
          <w:color w:val="000000"/>
          <w:sz w:val="24"/>
          <w:szCs w:val="24"/>
        </w:rPr>
        <w:t xml:space="preserve">Visual assessment of </w:t>
      </w:r>
      <w:r>
        <w:rPr>
          <w:rFonts w:ascii="Times New Roman" w:eastAsia="Times New Roman" w:hAnsi="Times New Roman" w:cs="Times New Roman"/>
          <w:i/>
          <w:iCs/>
          <w:color w:val="000000"/>
          <w:sz w:val="24"/>
          <w:szCs w:val="24"/>
        </w:rPr>
        <w:t>Theobroma cacao</w:t>
      </w:r>
      <w:r>
        <w:rPr>
          <w:rFonts w:ascii="Times New Roman" w:eastAsia="Times New Roman" w:hAnsi="Times New Roman" w:cs="Times New Roman"/>
          <w:color w:val="000000"/>
          <w:sz w:val="24"/>
          <w:szCs w:val="24"/>
        </w:rPr>
        <w:t xml:space="preserve"> leaves (CCN 51) treated with recombinant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Visual assessment of </w:t>
      </w:r>
      <w:r>
        <w:rPr>
          <w:rFonts w:ascii="Times New Roman" w:eastAsia="Times New Roman" w:hAnsi="Times New Roman" w:cs="Times New Roman"/>
          <w:i/>
          <w:iCs/>
          <w:color w:val="000000"/>
          <w:sz w:val="24"/>
          <w:szCs w:val="24"/>
        </w:rPr>
        <w:t>Theobroma cacao</w:t>
      </w:r>
      <w:r>
        <w:rPr>
          <w:rFonts w:ascii="Times New Roman" w:eastAsia="Times New Roman" w:hAnsi="Times New Roman" w:cs="Times New Roman"/>
          <w:color w:val="000000"/>
          <w:sz w:val="24"/>
          <w:szCs w:val="24"/>
        </w:rPr>
        <w:t xml:space="preserve"> leaves (CCN 51) treated with buffer control or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B3 at 8.80 and 26.99 μmol L⁻¹ and monitored at 0, 2, 5, 10, 15, and 20 days after treatment. Treatment with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B3 resulted in a moderately resistant phenotype, with no pronounced macroscopic symptoms observed during the evaluation period. Scale bar = 1 cm.</w:t>
      </w:r>
    </w:p>
    <w:p w14:paraId="3728C4B8"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color w:val="000000"/>
          <w:sz w:val="24"/>
          <w:szCs w:val="24"/>
        </w:rPr>
      </w:pPr>
      <w:bookmarkStart w:id="4" w:name="_232p7omcgris" w:colFirst="0" w:colLast="0"/>
      <w:bookmarkEnd w:id="4"/>
      <w:r>
        <w:rPr>
          <w:rFonts w:ascii="Times New Roman" w:eastAsia="Times New Roman" w:hAnsi="Times New Roman" w:cs="Times New Roman"/>
          <w:b/>
          <w:bCs/>
          <w:color w:val="000000"/>
          <w:sz w:val="24"/>
          <w:szCs w:val="24"/>
        </w:rPr>
        <w:t>Figure S7 A-D.</w:t>
      </w:r>
      <w:r>
        <w:rPr>
          <w:rFonts w:ascii="Times New Roman" w:eastAsia="Times New Roman" w:hAnsi="Times New Roman" w:cs="Times New Roman"/>
          <w:color w:val="000000"/>
          <w:sz w:val="24"/>
          <w:szCs w:val="24"/>
        </w:rPr>
        <w:t xml:space="preserve"> Stereochemical validation of the refined structural models used for molecular docking.</w:t>
      </w:r>
      <w:r>
        <w:rPr>
          <w:rFonts w:ascii="Times New Roman" w:eastAsia="Times New Roman" w:hAnsi="Times New Roman" w:cs="Times New Roman"/>
          <w:b/>
          <w:bCs/>
          <w:color w:val="000000"/>
          <w:sz w:val="24"/>
          <w:szCs w:val="24"/>
        </w:rPr>
        <w:t xml:space="preserve"> (A)</w:t>
      </w:r>
      <w:r>
        <w:rPr>
          <w:rFonts w:ascii="Times New Roman" w:eastAsia="Times New Roman" w:hAnsi="Times New Roman" w:cs="Times New Roman"/>
          <w:color w:val="000000"/>
          <w:sz w:val="24"/>
          <w:szCs w:val="24"/>
        </w:rPr>
        <w:t xml:space="preserve"> Three-dimensional structure of the refined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model predicted by AlphaFold and used for molecular docking analyses. </w:t>
      </w:r>
      <w:r>
        <w:rPr>
          <w:rFonts w:ascii="Times New Roman" w:eastAsia="Times New Roman" w:hAnsi="Times New Roman" w:cs="Times New Roman"/>
          <w:b/>
          <w:bCs/>
          <w:color w:val="000000"/>
          <w:sz w:val="24"/>
          <w:szCs w:val="24"/>
        </w:rPr>
        <w:t>(B)</w:t>
      </w:r>
      <w:r>
        <w:rPr>
          <w:rFonts w:ascii="Times New Roman" w:eastAsia="Times New Roman" w:hAnsi="Times New Roman" w:cs="Times New Roman"/>
          <w:color w:val="000000"/>
          <w:sz w:val="24"/>
          <w:szCs w:val="24"/>
        </w:rPr>
        <w:t xml:space="preserve"> Ramachandran plot of the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model generated with MolProbity, showing the distribution of backbone φ (phi) and ψ (psi) dihedral angles according to residue class. The model exhibited 92.8% of residues in favored regions, 99.6% in allowed regions, and 0.4% (1 residue) in disallowed regions. </w:t>
      </w:r>
      <w:r>
        <w:rPr>
          <w:rFonts w:ascii="Times New Roman" w:eastAsia="Times New Roman" w:hAnsi="Times New Roman" w:cs="Times New Roman"/>
          <w:b/>
          <w:bCs/>
          <w:color w:val="000000"/>
          <w:sz w:val="24"/>
          <w:szCs w:val="24"/>
        </w:rPr>
        <w:t>(C)</w:t>
      </w:r>
      <w:r>
        <w:rPr>
          <w:rFonts w:ascii="Times New Roman" w:eastAsia="Times New Roman" w:hAnsi="Times New Roman" w:cs="Times New Roman"/>
          <w:color w:val="000000"/>
          <w:sz w:val="24"/>
          <w:szCs w:val="24"/>
        </w:rPr>
        <w:t xml:space="preserve"> Three-dimensional structure of the refined </w:t>
      </w:r>
      <w:r>
        <w:rPr>
          <w:rFonts w:ascii="Times New Roman" w:eastAsia="Times New Roman" w:hAnsi="Times New Roman" w:cs="Times New Roman"/>
          <w:i/>
          <w:iCs/>
          <w:color w:val="000000"/>
          <w:sz w:val="24"/>
          <w:szCs w:val="24"/>
        </w:rPr>
        <w:t>Theobroma cacao</w:t>
      </w:r>
      <w:r>
        <w:rPr>
          <w:rFonts w:ascii="Times New Roman" w:eastAsia="Times New Roman" w:hAnsi="Times New Roman" w:cs="Times New Roman"/>
          <w:color w:val="000000"/>
          <w:sz w:val="24"/>
          <w:szCs w:val="24"/>
        </w:rPr>
        <w:t xml:space="preserve"> leucine-rich repeat protein (</w:t>
      </w:r>
      <w:r>
        <w:rPr>
          <w:rFonts w:ascii="Times New Roman" w:eastAsia="Times New Roman" w:hAnsi="Times New Roman" w:cs="Times New Roman"/>
          <w:i/>
          <w:iCs/>
          <w:color w:val="000000"/>
          <w:sz w:val="24"/>
          <w:szCs w:val="24"/>
        </w:rPr>
        <w:t>Tc</w:t>
      </w:r>
      <w:r>
        <w:rPr>
          <w:rFonts w:ascii="Times New Roman" w:eastAsia="Times New Roman" w:hAnsi="Times New Roman" w:cs="Times New Roman"/>
          <w:color w:val="000000"/>
          <w:sz w:val="24"/>
          <w:szCs w:val="24"/>
        </w:rPr>
        <w:t xml:space="preserve">LRR) used for molecular docking. </w:t>
      </w:r>
      <w:r>
        <w:rPr>
          <w:rFonts w:ascii="Times New Roman" w:eastAsia="Times New Roman" w:hAnsi="Times New Roman" w:cs="Times New Roman"/>
          <w:b/>
          <w:bCs/>
          <w:color w:val="000000"/>
          <w:sz w:val="24"/>
          <w:szCs w:val="24"/>
        </w:rPr>
        <w:t>(D)</w:t>
      </w:r>
      <w:r>
        <w:rPr>
          <w:rFonts w:ascii="Times New Roman" w:eastAsia="Times New Roman" w:hAnsi="Times New Roman" w:cs="Times New Roman"/>
          <w:color w:val="000000"/>
          <w:sz w:val="24"/>
          <w:szCs w:val="24"/>
        </w:rPr>
        <w:t xml:space="preserve"> Ramachandran plot of the </w:t>
      </w:r>
      <w:r>
        <w:rPr>
          <w:rFonts w:ascii="Times New Roman" w:eastAsia="Times New Roman" w:hAnsi="Times New Roman" w:cs="Times New Roman"/>
          <w:i/>
          <w:iCs/>
          <w:color w:val="000000"/>
          <w:sz w:val="24"/>
          <w:szCs w:val="24"/>
        </w:rPr>
        <w:t>Tc</w:t>
      </w:r>
      <w:r>
        <w:rPr>
          <w:rFonts w:ascii="Times New Roman" w:eastAsia="Times New Roman" w:hAnsi="Times New Roman" w:cs="Times New Roman"/>
          <w:color w:val="000000"/>
          <w:sz w:val="24"/>
          <w:szCs w:val="24"/>
        </w:rPr>
        <w:t>LRR model generated with MolProbity. The model exhibited 84.6% of residues in favored regions, 98.4% in allowed regions, and 1.6% (7 residues) in disallowed regions. Together, these stereochemical validation analyses support the structural quality and suitability of both refined models for subsequent protein–protein docking analyses.</w:t>
      </w:r>
    </w:p>
    <w:p w14:paraId="320F8D94"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color w:val="000000"/>
          <w:sz w:val="24"/>
          <w:szCs w:val="24"/>
        </w:rPr>
      </w:pPr>
      <w:bookmarkStart w:id="5" w:name="_5mxqa7j2ug2p" w:colFirst="0" w:colLast="0"/>
      <w:bookmarkEnd w:id="5"/>
      <w:r>
        <w:rPr>
          <w:rFonts w:ascii="Times New Roman" w:eastAsia="Times New Roman" w:hAnsi="Times New Roman" w:cs="Times New Roman"/>
          <w:b/>
          <w:bCs/>
          <w:color w:val="000000"/>
          <w:sz w:val="24"/>
          <w:szCs w:val="24"/>
        </w:rPr>
        <w:t>Figure S8.</w:t>
      </w:r>
      <w:r>
        <w:rPr>
          <w:rFonts w:ascii="Times New Roman" w:eastAsia="Times New Roman" w:hAnsi="Times New Roman" w:cs="Times New Roman"/>
          <w:color w:val="000000"/>
          <w:sz w:val="24"/>
          <w:szCs w:val="24"/>
        </w:rPr>
        <w:t xml:space="preserve"> Global alignment of the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protein sequence and its respective homologous sequences, indicating the region containing the amino acid residues N186, P190, and D194, identified as participating in the interaction with </w:t>
      </w:r>
      <w:r>
        <w:rPr>
          <w:rFonts w:ascii="Times New Roman" w:eastAsia="Times New Roman" w:hAnsi="Times New Roman" w:cs="Times New Roman"/>
          <w:i/>
          <w:iCs/>
          <w:color w:val="000000"/>
          <w:sz w:val="24"/>
          <w:szCs w:val="24"/>
        </w:rPr>
        <w:t>Tc</w:t>
      </w:r>
      <w:r>
        <w:rPr>
          <w:rFonts w:ascii="Times New Roman" w:eastAsia="Times New Roman" w:hAnsi="Times New Roman" w:cs="Times New Roman"/>
          <w:color w:val="000000"/>
          <w:sz w:val="24"/>
          <w:szCs w:val="24"/>
        </w:rPr>
        <w:t xml:space="preserve">LRR. The figure shows that this region exhibits high conservation with the homologous protein from </w:t>
      </w:r>
      <w:r>
        <w:rPr>
          <w:rFonts w:ascii="Times New Roman" w:eastAsia="Times New Roman" w:hAnsi="Times New Roman" w:cs="Times New Roman"/>
          <w:i/>
          <w:iCs/>
          <w:color w:val="000000"/>
          <w:sz w:val="24"/>
          <w:szCs w:val="24"/>
        </w:rPr>
        <w:t>M. perniciosa</w:t>
      </w:r>
      <w:r>
        <w:rPr>
          <w:rFonts w:ascii="Times New Roman" w:eastAsia="Times New Roman" w:hAnsi="Times New Roman" w:cs="Times New Roman"/>
          <w:color w:val="000000"/>
          <w:sz w:val="24"/>
          <w:szCs w:val="24"/>
        </w:rPr>
        <w:t xml:space="preserve">, where a deletion </w:t>
      </w:r>
      <w:r>
        <w:rPr>
          <w:rFonts w:ascii="Times New Roman" w:eastAsia="Times New Roman" w:hAnsi="Times New Roman" w:cs="Times New Roman"/>
          <w:color w:val="000000"/>
          <w:sz w:val="24"/>
          <w:szCs w:val="24"/>
        </w:rPr>
        <w:lastRenderedPageBreak/>
        <w:t xml:space="preserve">immediately after the proline residue can be identified, occurring only in sequences from the genus </w:t>
      </w:r>
      <w:r>
        <w:rPr>
          <w:rFonts w:ascii="Times New Roman" w:eastAsia="Times New Roman" w:hAnsi="Times New Roman" w:cs="Times New Roman"/>
          <w:i/>
          <w:iCs/>
          <w:color w:val="000000"/>
          <w:sz w:val="24"/>
          <w:szCs w:val="24"/>
        </w:rPr>
        <w:t>Moniliophthora</w:t>
      </w:r>
      <w:r>
        <w:rPr>
          <w:rFonts w:ascii="Times New Roman" w:eastAsia="Times New Roman" w:hAnsi="Times New Roman" w:cs="Times New Roman"/>
          <w:color w:val="000000"/>
          <w:sz w:val="24"/>
          <w:szCs w:val="24"/>
        </w:rPr>
        <w:t>. It can also be observed that this region exhibits a low level of conservation among the sequences.</w:t>
      </w:r>
    </w:p>
    <w:p w14:paraId="19B72C3A" w14:textId="77777777" w:rsidR="00600388" w:rsidRDefault="00000000">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S9. </w:t>
      </w:r>
      <w:r>
        <w:rPr>
          <w:rFonts w:ascii="Times New Roman" w:eastAsia="Times New Roman" w:hAnsi="Times New Roman" w:cs="Times New Roman"/>
          <w:sz w:val="24"/>
          <w:szCs w:val="24"/>
        </w:rPr>
        <w:t xml:space="preserve">Global alignment of homologous </w:t>
      </w:r>
      <w:r>
        <w:rPr>
          <w:rFonts w:ascii="Times New Roman" w:eastAsia="Times New Roman" w:hAnsi="Times New Roman" w:cs="Times New Roman"/>
          <w:i/>
          <w:iCs/>
          <w:sz w:val="24"/>
          <w:szCs w:val="24"/>
        </w:rPr>
        <w:t>Tc</w:t>
      </w:r>
      <w:r>
        <w:rPr>
          <w:rFonts w:ascii="Times New Roman" w:eastAsia="Times New Roman" w:hAnsi="Times New Roman" w:cs="Times New Roman"/>
          <w:sz w:val="24"/>
          <w:szCs w:val="24"/>
        </w:rPr>
        <w:t xml:space="preserve">LRR sequences from species of the genus </w:t>
      </w:r>
      <w:r>
        <w:rPr>
          <w:rFonts w:ascii="Times New Roman" w:eastAsia="Times New Roman" w:hAnsi="Times New Roman" w:cs="Times New Roman"/>
          <w:i/>
          <w:iCs/>
          <w:sz w:val="24"/>
          <w:szCs w:val="24"/>
        </w:rPr>
        <w:t>Theobroma</w:t>
      </w:r>
      <w:r>
        <w:rPr>
          <w:rFonts w:ascii="Times New Roman" w:eastAsia="Times New Roman" w:hAnsi="Times New Roman" w:cs="Times New Roman"/>
          <w:sz w:val="24"/>
          <w:szCs w:val="24"/>
        </w:rPr>
        <w:t xml:space="preserve">, different genotypes of </w:t>
      </w:r>
      <w:r>
        <w:rPr>
          <w:rFonts w:ascii="Times New Roman" w:eastAsia="Times New Roman" w:hAnsi="Times New Roman" w:cs="Times New Roman"/>
          <w:i/>
          <w:iCs/>
          <w:sz w:val="24"/>
          <w:szCs w:val="24"/>
        </w:rPr>
        <w:t>T. cacao</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 lycopersicum</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 tuberosum</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N. tabacum</w:t>
      </w:r>
      <w:r>
        <w:rPr>
          <w:rFonts w:ascii="Times New Roman" w:eastAsia="Times New Roman" w:hAnsi="Times New Roman" w:cs="Times New Roman"/>
          <w:sz w:val="24"/>
          <w:szCs w:val="24"/>
        </w:rPr>
        <w:t>, and sugarcane (</w:t>
      </w:r>
      <w:r>
        <w:rPr>
          <w:rFonts w:ascii="Times New Roman" w:eastAsia="Times New Roman" w:hAnsi="Times New Roman" w:cs="Times New Roman"/>
          <w:i/>
          <w:iCs/>
          <w:sz w:val="24"/>
          <w:szCs w:val="24"/>
        </w:rPr>
        <w:t>Scaharum Hybrid</w:t>
      </w:r>
      <w:r>
        <w:rPr>
          <w:rFonts w:ascii="Times New Roman" w:eastAsia="Times New Roman" w:hAnsi="Times New Roman" w:cs="Times New Roman"/>
          <w:sz w:val="24"/>
          <w:szCs w:val="24"/>
        </w:rPr>
        <w:t xml:space="preserve">). The alignment highlights the LASLPSLR region identified by mass spectrometry. The amino acid residues Ser395, Pro361, and Ser362 that interacted with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 xml:space="preserve">B3 in the docking analysis are also highlighted. The LASLPSLR region was found to be conserved across all sequences of the genus </w:t>
      </w:r>
      <w:r>
        <w:rPr>
          <w:rFonts w:ascii="Times New Roman" w:eastAsia="Times New Roman" w:hAnsi="Times New Roman" w:cs="Times New Roman"/>
          <w:i/>
          <w:iCs/>
          <w:sz w:val="24"/>
          <w:szCs w:val="24"/>
        </w:rPr>
        <w:t>Theobroma</w:t>
      </w:r>
      <w:r>
        <w:rPr>
          <w:rFonts w:ascii="Times New Roman" w:eastAsia="Times New Roman" w:hAnsi="Times New Roman" w:cs="Times New Roman"/>
          <w:sz w:val="24"/>
          <w:szCs w:val="24"/>
        </w:rPr>
        <w:t xml:space="preserve">. It can also be observed that this region does not exhibit high conservation among the different species, with the exception of the Pro361 residue, which was conserved among species of the genera </w:t>
      </w:r>
      <w:r>
        <w:rPr>
          <w:rFonts w:ascii="Times New Roman" w:eastAsia="Times New Roman" w:hAnsi="Times New Roman" w:cs="Times New Roman"/>
          <w:i/>
          <w:iCs/>
          <w:sz w:val="24"/>
          <w:szCs w:val="24"/>
        </w:rPr>
        <w:t>Theobroma</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Solanum</w:t>
      </w:r>
      <w:r>
        <w:rPr>
          <w:rFonts w:ascii="Times New Roman" w:eastAsia="Times New Roman" w:hAnsi="Times New Roman" w:cs="Times New Roman"/>
          <w:sz w:val="24"/>
          <w:szCs w:val="24"/>
        </w:rPr>
        <w:t xml:space="preserve"> and in sugarcane.</w:t>
      </w:r>
    </w:p>
    <w:p w14:paraId="23286F29" w14:textId="77777777" w:rsidR="00600388"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S10. </w:t>
      </w:r>
      <w:r>
        <w:rPr>
          <w:rFonts w:ascii="Times New Roman" w:eastAsia="Times New Roman" w:hAnsi="Times New Roman" w:cs="Times New Roman"/>
          <w:sz w:val="24"/>
          <w:szCs w:val="24"/>
        </w:rPr>
        <w:t xml:space="preserve">Hypothetical model of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 xml:space="preserve">B3 perception and activation of plant defense responses in </w:t>
      </w:r>
      <w:r>
        <w:rPr>
          <w:rFonts w:ascii="Times New Roman" w:eastAsia="Times New Roman" w:hAnsi="Times New Roman" w:cs="Times New Roman"/>
          <w:i/>
          <w:iCs/>
          <w:sz w:val="24"/>
          <w:szCs w:val="24"/>
        </w:rPr>
        <w:t>Theobroma cacao</w:t>
      </w:r>
      <w:r>
        <w:rPr>
          <w:rFonts w:ascii="Times New Roman" w:eastAsia="Times New Roman" w:hAnsi="Times New Roman" w:cs="Times New Roman"/>
          <w:sz w:val="24"/>
          <w:szCs w:val="24"/>
        </w:rPr>
        <w:t xml:space="preserve">. The model illustrates the proposed association of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 xml:space="preserve">B3 with </w:t>
      </w:r>
      <w:r>
        <w:rPr>
          <w:rFonts w:ascii="Times New Roman" w:eastAsia="Times New Roman" w:hAnsi="Times New Roman" w:cs="Times New Roman"/>
          <w:i/>
          <w:iCs/>
          <w:sz w:val="24"/>
          <w:szCs w:val="24"/>
        </w:rPr>
        <w:t>Tc</w:t>
      </w:r>
      <w:r>
        <w:rPr>
          <w:rFonts w:ascii="Times New Roman" w:eastAsia="Times New Roman" w:hAnsi="Times New Roman" w:cs="Times New Roman"/>
          <w:sz w:val="24"/>
          <w:szCs w:val="24"/>
        </w:rPr>
        <w:t>LRR, a putative receptor-like protein (RLP), and a putative receptor-like kinase (RLK), leading to PTI signaling, ROS production, H₂O₂ accumulation, oxidative stress, and plant defense responses.</w:t>
      </w:r>
    </w:p>
    <w:p w14:paraId="613D3350"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color w:val="000000"/>
          <w:sz w:val="24"/>
          <w:szCs w:val="24"/>
        </w:rPr>
      </w:pPr>
      <w:bookmarkStart w:id="6" w:name="_e30h8uwzve7h" w:colFirst="0" w:colLast="0"/>
      <w:bookmarkEnd w:id="6"/>
      <w:r>
        <w:rPr>
          <w:rFonts w:ascii="Times New Roman" w:eastAsia="Times New Roman" w:hAnsi="Times New Roman" w:cs="Times New Roman"/>
          <w:b/>
          <w:bCs/>
          <w:color w:val="000000"/>
          <w:sz w:val="24"/>
          <w:szCs w:val="24"/>
        </w:rPr>
        <w:t xml:space="preserve">Table S1. </w:t>
      </w:r>
      <w:r>
        <w:rPr>
          <w:rFonts w:ascii="Times New Roman" w:eastAsia="Times New Roman" w:hAnsi="Times New Roman" w:cs="Times New Roman"/>
          <w:color w:val="000000"/>
          <w:sz w:val="24"/>
          <w:szCs w:val="24"/>
        </w:rPr>
        <w:t xml:space="preserve">Taxonomic classification of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B3 homologous proteins included in the phylogenetic analysis.</w:t>
      </w:r>
    </w:p>
    <w:tbl>
      <w:tblPr>
        <w:tblStyle w:val="a"/>
        <w:tblW w:w="11625" w:type="dxa"/>
        <w:tblInd w:w="-1440" w:type="dxa"/>
        <w:tblBorders>
          <w:top w:val="nil"/>
          <w:left w:val="nil"/>
          <w:bottom w:val="nil"/>
          <w:right w:val="nil"/>
          <w:insideH w:val="nil"/>
          <w:insideV w:val="nil"/>
        </w:tblBorders>
        <w:tblLayout w:type="fixed"/>
        <w:tblLook w:val="0600" w:firstRow="0" w:lastRow="0" w:firstColumn="0" w:lastColumn="0" w:noHBand="1" w:noVBand="1"/>
      </w:tblPr>
      <w:tblGrid>
        <w:gridCol w:w="2685"/>
        <w:gridCol w:w="1560"/>
        <w:gridCol w:w="1785"/>
        <w:gridCol w:w="1455"/>
        <w:gridCol w:w="2235"/>
        <w:gridCol w:w="1905"/>
      </w:tblGrid>
      <w:tr w:rsidR="00600388" w14:paraId="2F54A70D" w14:textId="77777777">
        <w:trPr>
          <w:trHeight w:val="500"/>
        </w:trPr>
        <w:tc>
          <w:tcPr>
            <w:tcW w:w="2685" w:type="dxa"/>
            <w:tcBorders>
              <w:top w:val="nil"/>
              <w:left w:val="nil"/>
              <w:bottom w:val="single" w:sz="8" w:space="0" w:color="000000"/>
              <w:right w:val="nil"/>
            </w:tcBorders>
            <w:tcMar>
              <w:top w:w="100" w:type="dxa"/>
              <w:left w:w="100" w:type="dxa"/>
              <w:bottom w:w="100" w:type="dxa"/>
              <w:right w:w="100" w:type="dxa"/>
            </w:tcMar>
          </w:tcPr>
          <w:p w14:paraId="03E65F7B"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Organismo</w:t>
            </w:r>
          </w:p>
        </w:tc>
        <w:tc>
          <w:tcPr>
            <w:tcW w:w="1560" w:type="dxa"/>
            <w:tcBorders>
              <w:top w:val="nil"/>
              <w:left w:val="nil"/>
              <w:bottom w:val="single" w:sz="8" w:space="0" w:color="000000"/>
              <w:right w:val="nil"/>
            </w:tcBorders>
            <w:tcMar>
              <w:top w:w="100" w:type="dxa"/>
              <w:left w:w="100" w:type="dxa"/>
              <w:bottom w:w="100" w:type="dxa"/>
              <w:right w:w="100" w:type="dxa"/>
            </w:tcMar>
          </w:tcPr>
          <w:p w14:paraId="37E995E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Filo</w:t>
            </w:r>
          </w:p>
        </w:tc>
        <w:tc>
          <w:tcPr>
            <w:tcW w:w="1785" w:type="dxa"/>
            <w:tcBorders>
              <w:top w:val="nil"/>
              <w:left w:val="nil"/>
              <w:bottom w:val="single" w:sz="8" w:space="0" w:color="000000"/>
              <w:right w:val="nil"/>
            </w:tcBorders>
            <w:tcMar>
              <w:top w:w="100" w:type="dxa"/>
              <w:left w:w="100" w:type="dxa"/>
              <w:bottom w:w="100" w:type="dxa"/>
              <w:right w:w="100" w:type="dxa"/>
            </w:tcMar>
          </w:tcPr>
          <w:p w14:paraId="172781F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Classe</w:t>
            </w:r>
          </w:p>
        </w:tc>
        <w:tc>
          <w:tcPr>
            <w:tcW w:w="1455" w:type="dxa"/>
            <w:tcBorders>
              <w:top w:val="nil"/>
              <w:left w:val="nil"/>
              <w:bottom w:val="single" w:sz="8" w:space="0" w:color="000000"/>
              <w:right w:val="nil"/>
            </w:tcBorders>
            <w:tcMar>
              <w:top w:w="100" w:type="dxa"/>
              <w:left w:w="100" w:type="dxa"/>
              <w:bottom w:w="100" w:type="dxa"/>
              <w:right w:w="100" w:type="dxa"/>
            </w:tcMar>
          </w:tcPr>
          <w:p w14:paraId="61B11D5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Ordem</w:t>
            </w:r>
          </w:p>
        </w:tc>
        <w:tc>
          <w:tcPr>
            <w:tcW w:w="2235" w:type="dxa"/>
            <w:tcBorders>
              <w:top w:val="nil"/>
              <w:left w:val="nil"/>
              <w:bottom w:val="single" w:sz="8" w:space="0" w:color="000000"/>
              <w:right w:val="nil"/>
            </w:tcBorders>
            <w:tcMar>
              <w:top w:w="100" w:type="dxa"/>
              <w:left w:w="100" w:type="dxa"/>
              <w:bottom w:w="100" w:type="dxa"/>
              <w:right w:w="100" w:type="dxa"/>
            </w:tcMar>
          </w:tcPr>
          <w:p w14:paraId="62C0940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Família</w:t>
            </w:r>
          </w:p>
        </w:tc>
        <w:tc>
          <w:tcPr>
            <w:tcW w:w="1905" w:type="dxa"/>
            <w:tcBorders>
              <w:top w:val="nil"/>
              <w:left w:val="nil"/>
              <w:bottom w:val="single" w:sz="8" w:space="0" w:color="000000"/>
              <w:right w:val="nil"/>
            </w:tcBorders>
            <w:tcMar>
              <w:top w:w="100" w:type="dxa"/>
              <w:left w:w="100" w:type="dxa"/>
              <w:bottom w:w="100" w:type="dxa"/>
              <w:right w:w="100" w:type="dxa"/>
            </w:tcMar>
          </w:tcPr>
          <w:p w14:paraId="10FC04E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Gênero</w:t>
            </w:r>
          </w:p>
        </w:tc>
      </w:tr>
      <w:tr w:rsidR="00600388" w14:paraId="0481F7D7" w14:textId="77777777">
        <w:trPr>
          <w:trHeight w:val="480"/>
        </w:trPr>
        <w:tc>
          <w:tcPr>
            <w:tcW w:w="2685" w:type="dxa"/>
            <w:tcBorders>
              <w:top w:val="single" w:sz="8" w:space="0" w:color="000000"/>
              <w:left w:val="nil"/>
              <w:bottom w:val="nil"/>
              <w:right w:val="nil"/>
            </w:tcBorders>
            <w:tcMar>
              <w:top w:w="100" w:type="dxa"/>
              <w:left w:w="100" w:type="dxa"/>
              <w:bottom w:w="100" w:type="dxa"/>
              <w:right w:w="100" w:type="dxa"/>
            </w:tcMar>
          </w:tcPr>
          <w:p w14:paraId="5D9959BD"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Moniliophthora roreri</w:t>
            </w:r>
          </w:p>
        </w:tc>
        <w:tc>
          <w:tcPr>
            <w:tcW w:w="1560" w:type="dxa"/>
            <w:tcBorders>
              <w:top w:val="single" w:sz="8" w:space="0" w:color="000000"/>
              <w:left w:val="nil"/>
              <w:bottom w:val="nil"/>
              <w:right w:val="nil"/>
            </w:tcBorders>
            <w:tcMar>
              <w:top w:w="100" w:type="dxa"/>
              <w:left w:w="100" w:type="dxa"/>
              <w:bottom w:w="100" w:type="dxa"/>
              <w:right w:w="100" w:type="dxa"/>
            </w:tcMar>
          </w:tcPr>
          <w:p w14:paraId="5F14947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single" w:sz="8" w:space="0" w:color="000000"/>
              <w:left w:val="nil"/>
              <w:bottom w:val="nil"/>
              <w:right w:val="nil"/>
            </w:tcBorders>
            <w:tcMar>
              <w:top w:w="100" w:type="dxa"/>
              <w:left w:w="100" w:type="dxa"/>
              <w:bottom w:w="100" w:type="dxa"/>
              <w:right w:w="100" w:type="dxa"/>
            </w:tcMar>
          </w:tcPr>
          <w:p w14:paraId="33901C7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single" w:sz="8" w:space="0" w:color="000000"/>
              <w:left w:val="nil"/>
              <w:bottom w:val="nil"/>
              <w:right w:val="nil"/>
            </w:tcBorders>
            <w:tcMar>
              <w:top w:w="100" w:type="dxa"/>
              <w:left w:w="100" w:type="dxa"/>
              <w:bottom w:w="100" w:type="dxa"/>
              <w:right w:w="100" w:type="dxa"/>
            </w:tcMar>
          </w:tcPr>
          <w:p w14:paraId="3AA060B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single" w:sz="8" w:space="0" w:color="000000"/>
              <w:left w:val="nil"/>
              <w:bottom w:val="nil"/>
              <w:right w:val="nil"/>
            </w:tcBorders>
            <w:tcMar>
              <w:top w:w="100" w:type="dxa"/>
              <w:left w:w="100" w:type="dxa"/>
              <w:bottom w:w="100" w:type="dxa"/>
              <w:right w:w="100" w:type="dxa"/>
            </w:tcMar>
          </w:tcPr>
          <w:p w14:paraId="35AB066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Marasmiaceae</w:t>
            </w:r>
          </w:p>
        </w:tc>
        <w:tc>
          <w:tcPr>
            <w:tcW w:w="1905" w:type="dxa"/>
            <w:tcBorders>
              <w:top w:val="single" w:sz="8" w:space="0" w:color="000000"/>
              <w:left w:val="nil"/>
              <w:bottom w:val="nil"/>
              <w:right w:val="nil"/>
            </w:tcBorders>
            <w:tcMar>
              <w:top w:w="100" w:type="dxa"/>
              <w:left w:w="100" w:type="dxa"/>
              <w:bottom w:w="100" w:type="dxa"/>
              <w:right w:w="100" w:type="dxa"/>
            </w:tcMar>
          </w:tcPr>
          <w:p w14:paraId="7D21608D"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Moniliophthora</w:t>
            </w:r>
          </w:p>
        </w:tc>
      </w:tr>
      <w:tr w:rsidR="00600388" w14:paraId="75CC184A" w14:textId="77777777">
        <w:trPr>
          <w:trHeight w:val="465"/>
        </w:trPr>
        <w:tc>
          <w:tcPr>
            <w:tcW w:w="2685" w:type="dxa"/>
            <w:tcBorders>
              <w:top w:val="nil"/>
              <w:left w:val="nil"/>
              <w:bottom w:val="nil"/>
              <w:right w:val="nil"/>
            </w:tcBorders>
            <w:tcMar>
              <w:top w:w="100" w:type="dxa"/>
              <w:left w:w="100" w:type="dxa"/>
              <w:bottom w:w="100" w:type="dxa"/>
              <w:right w:w="100" w:type="dxa"/>
            </w:tcMar>
          </w:tcPr>
          <w:p w14:paraId="090D94E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Moniliophthora perniciosa</w:t>
            </w:r>
          </w:p>
        </w:tc>
        <w:tc>
          <w:tcPr>
            <w:tcW w:w="1560" w:type="dxa"/>
            <w:tcBorders>
              <w:top w:val="nil"/>
              <w:left w:val="nil"/>
              <w:bottom w:val="nil"/>
              <w:right w:val="nil"/>
            </w:tcBorders>
            <w:tcMar>
              <w:top w:w="100" w:type="dxa"/>
              <w:left w:w="100" w:type="dxa"/>
              <w:bottom w:w="100" w:type="dxa"/>
              <w:right w:w="100" w:type="dxa"/>
            </w:tcMar>
          </w:tcPr>
          <w:p w14:paraId="6916125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0EC9BAAB"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6C0AF4A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7B58B64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Marasmiaceae</w:t>
            </w:r>
          </w:p>
        </w:tc>
        <w:tc>
          <w:tcPr>
            <w:tcW w:w="1905" w:type="dxa"/>
            <w:tcBorders>
              <w:top w:val="nil"/>
              <w:left w:val="nil"/>
              <w:bottom w:val="nil"/>
              <w:right w:val="nil"/>
            </w:tcBorders>
            <w:tcMar>
              <w:top w:w="100" w:type="dxa"/>
              <w:left w:w="100" w:type="dxa"/>
              <w:bottom w:w="100" w:type="dxa"/>
              <w:right w:w="100" w:type="dxa"/>
            </w:tcMar>
          </w:tcPr>
          <w:p w14:paraId="1554EB1B"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Moniliophthora</w:t>
            </w:r>
          </w:p>
        </w:tc>
      </w:tr>
      <w:tr w:rsidR="00600388" w14:paraId="4FE79070" w14:textId="77777777">
        <w:trPr>
          <w:trHeight w:val="480"/>
        </w:trPr>
        <w:tc>
          <w:tcPr>
            <w:tcW w:w="2685" w:type="dxa"/>
            <w:tcBorders>
              <w:top w:val="nil"/>
              <w:left w:val="nil"/>
              <w:bottom w:val="nil"/>
              <w:right w:val="nil"/>
            </w:tcBorders>
            <w:tcMar>
              <w:top w:w="100" w:type="dxa"/>
              <w:left w:w="100" w:type="dxa"/>
              <w:bottom w:w="100" w:type="dxa"/>
              <w:right w:w="100" w:type="dxa"/>
            </w:tcMar>
          </w:tcPr>
          <w:p w14:paraId="31CCB28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Paramarasmius palmivorus</w:t>
            </w:r>
          </w:p>
        </w:tc>
        <w:tc>
          <w:tcPr>
            <w:tcW w:w="1560" w:type="dxa"/>
            <w:tcBorders>
              <w:top w:val="nil"/>
              <w:left w:val="nil"/>
              <w:bottom w:val="nil"/>
              <w:right w:val="nil"/>
            </w:tcBorders>
            <w:tcMar>
              <w:top w:w="100" w:type="dxa"/>
              <w:left w:w="100" w:type="dxa"/>
              <w:bottom w:w="100" w:type="dxa"/>
              <w:right w:w="100" w:type="dxa"/>
            </w:tcMar>
          </w:tcPr>
          <w:p w14:paraId="14EA21F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7524CACD"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1F8519C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503AB22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Marasmiaceae</w:t>
            </w:r>
          </w:p>
        </w:tc>
        <w:tc>
          <w:tcPr>
            <w:tcW w:w="1905" w:type="dxa"/>
            <w:tcBorders>
              <w:top w:val="nil"/>
              <w:left w:val="nil"/>
              <w:bottom w:val="nil"/>
              <w:right w:val="nil"/>
            </w:tcBorders>
            <w:tcMar>
              <w:top w:w="100" w:type="dxa"/>
              <w:left w:w="100" w:type="dxa"/>
              <w:bottom w:w="100" w:type="dxa"/>
              <w:right w:w="100" w:type="dxa"/>
            </w:tcMar>
          </w:tcPr>
          <w:p w14:paraId="76D120E3"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Paramarasmius</w:t>
            </w:r>
          </w:p>
        </w:tc>
      </w:tr>
      <w:tr w:rsidR="00600388" w14:paraId="6569C272" w14:textId="77777777">
        <w:trPr>
          <w:trHeight w:val="435"/>
        </w:trPr>
        <w:tc>
          <w:tcPr>
            <w:tcW w:w="2685" w:type="dxa"/>
            <w:tcBorders>
              <w:top w:val="nil"/>
              <w:left w:val="nil"/>
              <w:bottom w:val="nil"/>
              <w:right w:val="nil"/>
            </w:tcBorders>
            <w:tcMar>
              <w:top w:w="100" w:type="dxa"/>
              <w:left w:w="100" w:type="dxa"/>
              <w:bottom w:w="100" w:type="dxa"/>
              <w:right w:w="100" w:type="dxa"/>
            </w:tcMar>
          </w:tcPr>
          <w:p w14:paraId="019CE8C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Marasmius crinis-equi</w:t>
            </w:r>
          </w:p>
        </w:tc>
        <w:tc>
          <w:tcPr>
            <w:tcW w:w="1560" w:type="dxa"/>
            <w:tcBorders>
              <w:top w:val="nil"/>
              <w:left w:val="nil"/>
              <w:bottom w:val="nil"/>
              <w:right w:val="nil"/>
            </w:tcBorders>
            <w:tcMar>
              <w:top w:w="100" w:type="dxa"/>
              <w:left w:w="100" w:type="dxa"/>
              <w:bottom w:w="100" w:type="dxa"/>
              <w:right w:w="100" w:type="dxa"/>
            </w:tcMar>
          </w:tcPr>
          <w:p w14:paraId="7B9B478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0F13DE1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083BC15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77750E2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Marasmiaceae</w:t>
            </w:r>
          </w:p>
        </w:tc>
        <w:tc>
          <w:tcPr>
            <w:tcW w:w="1905" w:type="dxa"/>
            <w:tcBorders>
              <w:top w:val="nil"/>
              <w:left w:val="nil"/>
              <w:bottom w:val="nil"/>
              <w:right w:val="nil"/>
            </w:tcBorders>
            <w:tcMar>
              <w:top w:w="100" w:type="dxa"/>
              <w:left w:w="100" w:type="dxa"/>
              <w:bottom w:w="100" w:type="dxa"/>
              <w:right w:w="100" w:type="dxa"/>
            </w:tcMar>
          </w:tcPr>
          <w:p w14:paraId="60ACEF6B"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Marasmius</w:t>
            </w:r>
          </w:p>
        </w:tc>
      </w:tr>
      <w:tr w:rsidR="00600388" w14:paraId="24181444" w14:textId="77777777">
        <w:trPr>
          <w:trHeight w:val="435"/>
        </w:trPr>
        <w:tc>
          <w:tcPr>
            <w:tcW w:w="2685" w:type="dxa"/>
            <w:tcBorders>
              <w:top w:val="nil"/>
              <w:left w:val="nil"/>
              <w:bottom w:val="nil"/>
              <w:right w:val="nil"/>
            </w:tcBorders>
            <w:tcMar>
              <w:top w:w="100" w:type="dxa"/>
              <w:left w:w="100" w:type="dxa"/>
              <w:bottom w:w="100" w:type="dxa"/>
              <w:right w:w="100" w:type="dxa"/>
            </w:tcMar>
          </w:tcPr>
          <w:p w14:paraId="255582C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Marasmius oreades</w:t>
            </w:r>
          </w:p>
        </w:tc>
        <w:tc>
          <w:tcPr>
            <w:tcW w:w="1560" w:type="dxa"/>
            <w:tcBorders>
              <w:top w:val="nil"/>
              <w:left w:val="nil"/>
              <w:bottom w:val="nil"/>
              <w:right w:val="nil"/>
            </w:tcBorders>
            <w:tcMar>
              <w:top w:w="100" w:type="dxa"/>
              <w:left w:w="100" w:type="dxa"/>
              <w:bottom w:w="100" w:type="dxa"/>
              <w:right w:w="100" w:type="dxa"/>
            </w:tcMar>
          </w:tcPr>
          <w:p w14:paraId="5C87E82F"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64E33AA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7C4CE70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2D47449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Marasmiaceae</w:t>
            </w:r>
          </w:p>
        </w:tc>
        <w:tc>
          <w:tcPr>
            <w:tcW w:w="1905" w:type="dxa"/>
            <w:tcBorders>
              <w:top w:val="nil"/>
              <w:left w:val="nil"/>
              <w:bottom w:val="nil"/>
              <w:right w:val="nil"/>
            </w:tcBorders>
            <w:tcMar>
              <w:top w:w="100" w:type="dxa"/>
              <w:left w:w="100" w:type="dxa"/>
              <w:bottom w:w="100" w:type="dxa"/>
              <w:right w:w="100" w:type="dxa"/>
            </w:tcMar>
          </w:tcPr>
          <w:p w14:paraId="221F414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Marasmius</w:t>
            </w:r>
          </w:p>
        </w:tc>
      </w:tr>
      <w:tr w:rsidR="00600388" w14:paraId="16F0D01B" w14:textId="77777777">
        <w:trPr>
          <w:trHeight w:val="435"/>
        </w:trPr>
        <w:tc>
          <w:tcPr>
            <w:tcW w:w="2685" w:type="dxa"/>
            <w:tcBorders>
              <w:top w:val="nil"/>
              <w:left w:val="nil"/>
              <w:bottom w:val="nil"/>
              <w:right w:val="nil"/>
            </w:tcBorders>
            <w:tcMar>
              <w:top w:w="100" w:type="dxa"/>
              <w:left w:w="100" w:type="dxa"/>
              <w:bottom w:w="100" w:type="dxa"/>
              <w:right w:w="100" w:type="dxa"/>
            </w:tcMar>
          </w:tcPr>
          <w:p w14:paraId="4ACE358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Dendrothele bispora</w:t>
            </w:r>
          </w:p>
        </w:tc>
        <w:tc>
          <w:tcPr>
            <w:tcW w:w="1560" w:type="dxa"/>
            <w:tcBorders>
              <w:top w:val="nil"/>
              <w:left w:val="nil"/>
              <w:bottom w:val="nil"/>
              <w:right w:val="nil"/>
            </w:tcBorders>
            <w:tcMar>
              <w:top w:w="100" w:type="dxa"/>
              <w:left w:w="100" w:type="dxa"/>
              <w:bottom w:w="100" w:type="dxa"/>
              <w:right w:w="100" w:type="dxa"/>
            </w:tcMar>
          </w:tcPr>
          <w:p w14:paraId="63E7E75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52A3AF8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6C91B89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2D635DEF"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05" w:type="dxa"/>
            <w:tcBorders>
              <w:top w:val="nil"/>
              <w:left w:val="nil"/>
              <w:bottom w:val="nil"/>
              <w:right w:val="nil"/>
            </w:tcBorders>
            <w:tcMar>
              <w:top w:w="100" w:type="dxa"/>
              <w:left w:w="100" w:type="dxa"/>
              <w:bottom w:w="100" w:type="dxa"/>
              <w:right w:w="100" w:type="dxa"/>
            </w:tcMar>
          </w:tcPr>
          <w:p w14:paraId="58177503"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Dendrothele</w:t>
            </w:r>
          </w:p>
        </w:tc>
      </w:tr>
      <w:tr w:rsidR="00600388" w14:paraId="210431B2" w14:textId="77777777">
        <w:trPr>
          <w:trHeight w:val="420"/>
        </w:trPr>
        <w:tc>
          <w:tcPr>
            <w:tcW w:w="2685" w:type="dxa"/>
            <w:tcBorders>
              <w:top w:val="nil"/>
              <w:left w:val="nil"/>
              <w:bottom w:val="nil"/>
              <w:right w:val="nil"/>
            </w:tcBorders>
            <w:tcMar>
              <w:top w:w="100" w:type="dxa"/>
              <w:left w:w="100" w:type="dxa"/>
              <w:bottom w:w="100" w:type="dxa"/>
              <w:right w:w="100" w:type="dxa"/>
            </w:tcMar>
          </w:tcPr>
          <w:p w14:paraId="2F6C516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Stygiomarasmius scandens</w:t>
            </w:r>
          </w:p>
        </w:tc>
        <w:tc>
          <w:tcPr>
            <w:tcW w:w="1560" w:type="dxa"/>
            <w:tcBorders>
              <w:top w:val="nil"/>
              <w:left w:val="nil"/>
              <w:bottom w:val="nil"/>
              <w:right w:val="nil"/>
            </w:tcBorders>
            <w:tcMar>
              <w:top w:w="100" w:type="dxa"/>
              <w:left w:w="100" w:type="dxa"/>
              <w:bottom w:w="100" w:type="dxa"/>
              <w:right w:w="100" w:type="dxa"/>
            </w:tcMar>
          </w:tcPr>
          <w:p w14:paraId="697AF19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2C92472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02BF95B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0ADEF6A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Campanellaceae</w:t>
            </w:r>
          </w:p>
        </w:tc>
        <w:tc>
          <w:tcPr>
            <w:tcW w:w="1905" w:type="dxa"/>
            <w:tcBorders>
              <w:top w:val="nil"/>
              <w:left w:val="nil"/>
              <w:bottom w:val="nil"/>
              <w:right w:val="nil"/>
            </w:tcBorders>
            <w:tcMar>
              <w:top w:w="100" w:type="dxa"/>
              <w:left w:w="100" w:type="dxa"/>
              <w:bottom w:w="100" w:type="dxa"/>
              <w:right w:w="100" w:type="dxa"/>
            </w:tcMar>
          </w:tcPr>
          <w:p w14:paraId="26A848F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Stygiomarasmius</w:t>
            </w:r>
          </w:p>
        </w:tc>
      </w:tr>
      <w:tr w:rsidR="00600388" w14:paraId="045E9A2F" w14:textId="77777777">
        <w:trPr>
          <w:trHeight w:val="465"/>
        </w:trPr>
        <w:tc>
          <w:tcPr>
            <w:tcW w:w="2685" w:type="dxa"/>
            <w:tcBorders>
              <w:top w:val="nil"/>
              <w:left w:val="nil"/>
              <w:bottom w:val="nil"/>
              <w:right w:val="nil"/>
            </w:tcBorders>
            <w:tcMar>
              <w:top w:w="100" w:type="dxa"/>
              <w:left w:w="100" w:type="dxa"/>
              <w:bottom w:w="100" w:type="dxa"/>
              <w:right w:w="100" w:type="dxa"/>
            </w:tcMar>
          </w:tcPr>
          <w:p w14:paraId="38F33B9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Tricholomella constricta</w:t>
            </w:r>
          </w:p>
        </w:tc>
        <w:tc>
          <w:tcPr>
            <w:tcW w:w="1560" w:type="dxa"/>
            <w:tcBorders>
              <w:top w:val="nil"/>
              <w:left w:val="nil"/>
              <w:bottom w:val="nil"/>
              <w:right w:val="nil"/>
            </w:tcBorders>
            <w:tcMar>
              <w:top w:w="100" w:type="dxa"/>
              <w:left w:w="100" w:type="dxa"/>
              <w:bottom w:w="100" w:type="dxa"/>
              <w:right w:w="100" w:type="dxa"/>
            </w:tcMar>
          </w:tcPr>
          <w:p w14:paraId="6640E6D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62E5322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0DC0FC4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3F9ACC9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05" w:type="dxa"/>
            <w:tcBorders>
              <w:top w:val="nil"/>
              <w:left w:val="nil"/>
              <w:bottom w:val="nil"/>
              <w:right w:val="nil"/>
            </w:tcBorders>
            <w:tcMar>
              <w:top w:w="100" w:type="dxa"/>
              <w:left w:w="100" w:type="dxa"/>
              <w:bottom w:w="100" w:type="dxa"/>
              <w:right w:w="100" w:type="dxa"/>
            </w:tcMar>
          </w:tcPr>
          <w:p w14:paraId="30A6A6ED"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Tricholomella</w:t>
            </w:r>
          </w:p>
        </w:tc>
      </w:tr>
      <w:tr w:rsidR="00600388" w14:paraId="57404151" w14:textId="77777777">
        <w:trPr>
          <w:trHeight w:val="450"/>
        </w:trPr>
        <w:tc>
          <w:tcPr>
            <w:tcW w:w="2685" w:type="dxa"/>
            <w:tcBorders>
              <w:top w:val="nil"/>
              <w:left w:val="nil"/>
              <w:bottom w:val="nil"/>
              <w:right w:val="nil"/>
            </w:tcBorders>
            <w:tcMar>
              <w:top w:w="100" w:type="dxa"/>
              <w:left w:w="100" w:type="dxa"/>
              <w:bottom w:w="100" w:type="dxa"/>
              <w:right w:w="100" w:type="dxa"/>
            </w:tcMar>
          </w:tcPr>
          <w:p w14:paraId="3C4DA683"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Hypsizygus marmoreus</w:t>
            </w:r>
          </w:p>
        </w:tc>
        <w:tc>
          <w:tcPr>
            <w:tcW w:w="1560" w:type="dxa"/>
            <w:tcBorders>
              <w:top w:val="nil"/>
              <w:left w:val="nil"/>
              <w:bottom w:val="nil"/>
              <w:right w:val="nil"/>
            </w:tcBorders>
            <w:tcMar>
              <w:top w:w="100" w:type="dxa"/>
              <w:left w:w="100" w:type="dxa"/>
              <w:bottom w:w="100" w:type="dxa"/>
              <w:right w:w="100" w:type="dxa"/>
            </w:tcMar>
          </w:tcPr>
          <w:p w14:paraId="09F9B43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4B83D73B"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1BE4DB3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35B9715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Lyophyllaceae</w:t>
            </w:r>
          </w:p>
        </w:tc>
        <w:tc>
          <w:tcPr>
            <w:tcW w:w="1905" w:type="dxa"/>
            <w:tcBorders>
              <w:top w:val="nil"/>
              <w:left w:val="nil"/>
              <w:bottom w:val="nil"/>
              <w:right w:val="nil"/>
            </w:tcBorders>
            <w:tcMar>
              <w:top w:w="100" w:type="dxa"/>
              <w:left w:w="100" w:type="dxa"/>
              <w:bottom w:w="100" w:type="dxa"/>
              <w:right w:w="100" w:type="dxa"/>
            </w:tcMar>
          </w:tcPr>
          <w:p w14:paraId="263EEE1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Hypsizygus</w:t>
            </w:r>
          </w:p>
        </w:tc>
      </w:tr>
      <w:tr w:rsidR="00600388" w14:paraId="47DBB5D8" w14:textId="77777777">
        <w:trPr>
          <w:trHeight w:val="500"/>
        </w:trPr>
        <w:tc>
          <w:tcPr>
            <w:tcW w:w="2685" w:type="dxa"/>
            <w:tcBorders>
              <w:top w:val="nil"/>
              <w:left w:val="nil"/>
              <w:bottom w:val="nil"/>
              <w:right w:val="nil"/>
            </w:tcBorders>
            <w:tcMar>
              <w:top w:w="100" w:type="dxa"/>
              <w:left w:w="100" w:type="dxa"/>
              <w:bottom w:w="100" w:type="dxa"/>
              <w:right w:w="100" w:type="dxa"/>
            </w:tcMar>
          </w:tcPr>
          <w:p w14:paraId="5716A84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Mycena vulgaris</w:t>
            </w:r>
          </w:p>
        </w:tc>
        <w:tc>
          <w:tcPr>
            <w:tcW w:w="1560" w:type="dxa"/>
            <w:tcBorders>
              <w:top w:val="nil"/>
              <w:left w:val="nil"/>
              <w:bottom w:val="nil"/>
              <w:right w:val="nil"/>
            </w:tcBorders>
            <w:tcMar>
              <w:top w:w="100" w:type="dxa"/>
              <w:left w:w="100" w:type="dxa"/>
              <w:bottom w:w="100" w:type="dxa"/>
              <w:right w:w="100" w:type="dxa"/>
            </w:tcMar>
          </w:tcPr>
          <w:p w14:paraId="1B427C3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60A339D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70EDF4D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73D6EE3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Mycenaceae</w:t>
            </w:r>
          </w:p>
        </w:tc>
        <w:tc>
          <w:tcPr>
            <w:tcW w:w="1905" w:type="dxa"/>
            <w:tcBorders>
              <w:top w:val="nil"/>
              <w:left w:val="nil"/>
              <w:bottom w:val="nil"/>
              <w:right w:val="nil"/>
            </w:tcBorders>
            <w:tcMar>
              <w:top w:w="100" w:type="dxa"/>
              <w:left w:w="100" w:type="dxa"/>
              <w:bottom w:w="100" w:type="dxa"/>
              <w:right w:w="100" w:type="dxa"/>
            </w:tcMar>
          </w:tcPr>
          <w:p w14:paraId="177D957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Mycena</w:t>
            </w:r>
          </w:p>
        </w:tc>
      </w:tr>
      <w:tr w:rsidR="00600388" w14:paraId="5FBF61CB" w14:textId="77777777">
        <w:trPr>
          <w:trHeight w:val="465"/>
        </w:trPr>
        <w:tc>
          <w:tcPr>
            <w:tcW w:w="2685" w:type="dxa"/>
            <w:tcBorders>
              <w:top w:val="nil"/>
              <w:left w:val="nil"/>
              <w:bottom w:val="nil"/>
              <w:right w:val="nil"/>
            </w:tcBorders>
            <w:tcMar>
              <w:top w:w="100" w:type="dxa"/>
              <w:left w:w="100" w:type="dxa"/>
              <w:bottom w:w="100" w:type="dxa"/>
              <w:right w:w="100" w:type="dxa"/>
            </w:tcMar>
          </w:tcPr>
          <w:p w14:paraId="52DC017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Mycena floridula</w:t>
            </w:r>
          </w:p>
        </w:tc>
        <w:tc>
          <w:tcPr>
            <w:tcW w:w="1560" w:type="dxa"/>
            <w:tcBorders>
              <w:top w:val="nil"/>
              <w:left w:val="nil"/>
              <w:bottom w:val="nil"/>
              <w:right w:val="nil"/>
            </w:tcBorders>
            <w:tcMar>
              <w:top w:w="100" w:type="dxa"/>
              <w:left w:w="100" w:type="dxa"/>
              <w:bottom w:w="100" w:type="dxa"/>
              <w:right w:w="100" w:type="dxa"/>
            </w:tcMar>
          </w:tcPr>
          <w:p w14:paraId="5D316F4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4C86B4F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66D9F83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5315546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Mycenaceae</w:t>
            </w:r>
          </w:p>
        </w:tc>
        <w:tc>
          <w:tcPr>
            <w:tcW w:w="1905" w:type="dxa"/>
            <w:tcBorders>
              <w:top w:val="nil"/>
              <w:left w:val="nil"/>
              <w:bottom w:val="nil"/>
              <w:right w:val="nil"/>
            </w:tcBorders>
            <w:tcMar>
              <w:top w:w="100" w:type="dxa"/>
              <w:left w:w="100" w:type="dxa"/>
              <w:bottom w:w="100" w:type="dxa"/>
              <w:right w:w="100" w:type="dxa"/>
            </w:tcMar>
          </w:tcPr>
          <w:p w14:paraId="745443F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Mycena</w:t>
            </w:r>
          </w:p>
        </w:tc>
      </w:tr>
      <w:tr w:rsidR="00600388" w14:paraId="64AE6AB1" w14:textId="77777777">
        <w:trPr>
          <w:trHeight w:val="480"/>
        </w:trPr>
        <w:tc>
          <w:tcPr>
            <w:tcW w:w="2685" w:type="dxa"/>
            <w:tcBorders>
              <w:top w:val="nil"/>
              <w:left w:val="nil"/>
              <w:bottom w:val="nil"/>
              <w:right w:val="nil"/>
            </w:tcBorders>
            <w:tcMar>
              <w:top w:w="100" w:type="dxa"/>
              <w:left w:w="100" w:type="dxa"/>
              <w:bottom w:w="100" w:type="dxa"/>
              <w:right w:w="100" w:type="dxa"/>
            </w:tcMar>
          </w:tcPr>
          <w:p w14:paraId="4C17A28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Schizophyllum commune</w:t>
            </w:r>
          </w:p>
        </w:tc>
        <w:tc>
          <w:tcPr>
            <w:tcW w:w="1560" w:type="dxa"/>
            <w:tcBorders>
              <w:top w:val="nil"/>
              <w:left w:val="nil"/>
              <w:bottom w:val="nil"/>
              <w:right w:val="nil"/>
            </w:tcBorders>
            <w:tcMar>
              <w:top w:w="100" w:type="dxa"/>
              <w:left w:w="100" w:type="dxa"/>
              <w:bottom w:w="100" w:type="dxa"/>
              <w:right w:w="100" w:type="dxa"/>
            </w:tcMar>
          </w:tcPr>
          <w:p w14:paraId="41C20F1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4CC9081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57476EE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6A76A85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Schizophyllaceae</w:t>
            </w:r>
          </w:p>
        </w:tc>
        <w:tc>
          <w:tcPr>
            <w:tcW w:w="1905" w:type="dxa"/>
            <w:tcBorders>
              <w:top w:val="nil"/>
              <w:left w:val="nil"/>
              <w:bottom w:val="nil"/>
              <w:right w:val="nil"/>
            </w:tcBorders>
            <w:tcMar>
              <w:top w:w="100" w:type="dxa"/>
              <w:left w:w="100" w:type="dxa"/>
              <w:bottom w:w="100" w:type="dxa"/>
              <w:right w:w="100" w:type="dxa"/>
            </w:tcMar>
          </w:tcPr>
          <w:p w14:paraId="65255803"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Schizophyllum</w:t>
            </w:r>
          </w:p>
        </w:tc>
      </w:tr>
      <w:tr w:rsidR="00600388" w14:paraId="3F5DB82C" w14:textId="77777777">
        <w:trPr>
          <w:trHeight w:val="405"/>
        </w:trPr>
        <w:tc>
          <w:tcPr>
            <w:tcW w:w="2685" w:type="dxa"/>
            <w:tcBorders>
              <w:top w:val="nil"/>
              <w:left w:val="nil"/>
              <w:bottom w:val="nil"/>
              <w:right w:val="nil"/>
            </w:tcBorders>
            <w:tcMar>
              <w:top w:w="100" w:type="dxa"/>
              <w:left w:w="100" w:type="dxa"/>
              <w:bottom w:w="100" w:type="dxa"/>
              <w:right w:w="100" w:type="dxa"/>
            </w:tcMar>
          </w:tcPr>
          <w:p w14:paraId="123FEEF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Pholiota conissans</w:t>
            </w:r>
          </w:p>
        </w:tc>
        <w:tc>
          <w:tcPr>
            <w:tcW w:w="1560" w:type="dxa"/>
            <w:tcBorders>
              <w:top w:val="nil"/>
              <w:left w:val="nil"/>
              <w:bottom w:val="nil"/>
              <w:right w:val="nil"/>
            </w:tcBorders>
            <w:tcMar>
              <w:top w:w="100" w:type="dxa"/>
              <w:left w:w="100" w:type="dxa"/>
              <w:bottom w:w="100" w:type="dxa"/>
              <w:right w:w="100" w:type="dxa"/>
            </w:tcMar>
          </w:tcPr>
          <w:p w14:paraId="39BEDAA3"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69D66A7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61BE58F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5E68462F"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Strophariaceae</w:t>
            </w:r>
          </w:p>
        </w:tc>
        <w:tc>
          <w:tcPr>
            <w:tcW w:w="1905" w:type="dxa"/>
            <w:tcBorders>
              <w:top w:val="nil"/>
              <w:left w:val="nil"/>
              <w:bottom w:val="nil"/>
              <w:right w:val="nil"/>
            </w:tcBorders>
            <w:tcMar>
              <w:top w:w="100" w:type="dxa"/>
              <w:left w:w="100" w:type="dxa"/>
              <w:bottom w:w="100" w:type="dxa"/>
              <w:right w:w="100" w:type="dxa"/>
            </w:tcMar>
          </w:tcPr>
          <w:p w14:paraId="6159715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Pholiota</w:t>
            </w:r>
          </w:p>
        </w:tc>
      </w:tr>
      <w:tr w:rsidR="00600388" w14:paraId="51DBCB82" w14:textId="77777777">
        <w:trPr>
          <w:trHeight w:val="480"/>
        </w:trPr>
        <w:tc>
          <w:tcPr>
            <w:tcW w:w="2685" w:type="dxa"/>
            <w:tcBorders>
              <w:top w:val="nil"/>
              <w:left w:val="nil"/>
              <w:bottom w:val="nil"/>
              <w:right w:val="nil"/>
            </w:tcBorders>
            <w:tcMar>
              <w:top w:w="100" w:type="dxa"/>
              <w:left w:w="100" w:type="dxa"/>
              <w:bottom w:w="100" w:type="dxa"/>
              <w:right w:w="100" w:type="dxa"/>
            </w:tcMar>
          </w:tcPr>
          <w:p w14:paraId="096F583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Sphagnurus paluster</w:t>
            </w:r>
          </w:p>
        </w:tc>
        <w:tc>
          <w:tcPr>
            <w:tcW w:w="1560" w:type="dxa"/>
            <w:tcBorders>
              <w:top w:val="nil"/>
              <w:left w:val="nil"/>
              <w:bottom w:val="nil"/>
              <w:right w:val="nil"/>
            </w:tcBorders>
            <w:tcMar>
              <w:top w:w="100" w:type="dxa"/>
              <w:left w:w="100" w:type="dxa"/>
              <w:bottom w:w="100" w:type="dxa"/>
              <w:right w:w="100" w:type="dxa"/>
            </w:tcMar>
          </w:tcPr>
          <w:p w14:paraId="0F97DC7F"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4FF2B58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2D2BABA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7F64FFC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Lyophyllaceae</w:t>
            </w:r>
          </w:p>
        </w:tc>
        <w:tc>
          <w:tcPr>
            <w:tcW w:w="1905" w:type="dxa"/>
            <w:tcBorders>
              <w:top w:val="nil"/>
              <w:left w:val="nil"/>
              <w:bottom w:val="nil"/>
              <w:right w:val="nil"/>
            </w:tcBorders>
            <w:tcMar>
              <w:top w:w="100" w:type="dxa"/>
              <w:left w:w="100" w:type="dxa"/>
              <w:bottom w:w="100" w:type="dxa"/>
              <w:right w:w="100" w:type="dxa"/>
            </w:tcMar>
          </w:tcPr>
          <w:p w14:paraId="60B66F6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Sphagnurus</w:t>
            </w:r>
          </w:p>
        </w:tc>
      </w:tr>
      <w:tr w:rsidR="00600388" w14:paraId="7E4D304A" w14:textId="77777777">
        <w:trPr>
          <w:trHeight w:val="435"/>
        </w:trPr>
        <w:tc>
          <w:tcPr>
            <w:tcW w:w="2685" w:type="dxa"/>
            <w:tcBorders>
              <w:top w:val="nil"/>
              <w:left w:val="nil"/>
              <w:bottom w:val="nil"/>
              <w:right w:val="nil"/>
            </w:tcBorders>
            <w:tcMar>
              <w:top w:w="100" w:type="dxa"/>
              <w:left w:w="100" w:type="dxa"/>
              <w:bottom w:w="100" w:type="dxa"/>
              <w:right w:w="100" w:type="dxa"/>
            </w:tcMar>
          </w:tcPr>
          <w:p w14:paraId="781B09F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Cyclocybe aegerita</w:t>
            </w:r>
          </w:p>
        </w:tc>
        <w:tc>
          <w:tcPr>
            <w:tcW w:w="1560" w:type="dxa"/>
            <w:tcBorders>
              <w:top w:val="nil"/>
              <w:left w:val="nil"/>
              <w:bottom w:val="nil"/>
              <w:right w:val="nil"/>
            </w:tcBorders>
            <w:tcMar>
              <w:top w:w="100" w:type="dxa"/>
              <w:left w:w="100" w:type="dxa"/>
              <w:bottom w:w="100" w:type="dxa"/>
              <w:right w:w="100" w:type="dxa"/>
            </w:tcMar>
          </w:tcPr>
          <w:p w14:paraId="4059934F"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4775040F"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6F297C6D"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25975EA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Hemipholiotaceae</w:t>
            </w:r>
          </w:p>
        </w:tc>
        <w:tc>
          <w:tcPr>
            <w:tcW w:w="1905" w:type="dxa"/>
            <w:tcBorders>
              <w:top w:val="nil"/>
              <w:left w:val="nil"/>
              <w:bottom w:val="nil"/>
              <w:right w:val="nil"/>
            </w:tcBorders>
            <w:tcMar>
              <w:top w:w="100" w:type="dxa"/>
              <w:left w:w="100" w:type="dxa"/>
              <w:bottom w:w="100" w:type="dxa"/>
              <w:right w:w="100" w:type="dxa"/>
            </w:tcMar>
          </w:tcPr>
          <w:p w14:paraId="3B170CA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Cyclocybe</w:t>
            </w:r>
          </w:p>
        </w:tc>
      </w:tr>
      <w:tr w:rsidR="00600388" w14:paraId="29BCAE5E" w14:textId="77777777">
        <w:trPr>
          <w:trHeight w:val="420"/>
        </w:trPr>
        <w:tc>
          <w:tcPr>
            <w:tcW w:w="2685" w:type="dxa"/>
            <w:tcBorders>
              <w:top w:val="nil"/>
              <w:left w:val="nil"/>
              <w:bottom w:val="nil"/>
              <w:right w:val="nil"/>
            </w:tcBorders>
            <w:tcMar>
              <w:top w:w="100" w:type="dxa"/>
              <w:left w:w="100" w:type="dxa"/>
              <w:bottom w:w="100" w:type="dxa"/>
              <w:right w:w="100" w:type="dxa"/>
            </w:tcMar>
          </w:tcPr>
          <w:p w14:paraId="72428DF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Crassisporium funariophilum</w:t>
            </w:r>
          </w:p>
        </w:tc>
        <w:tc>
          <w:tcPr>
            <w:tcW w:w="1560" w:type="dxa"/>
            <w:tcBorders>
              <w:top w:val="nil"/>
              <w:left w:val="nil"/>
              <w:bottom w:val="nil"/>
              <w:right w:val="nil"/>
            </w:tcBorders>
            <w:tcMar>
              <w:top w:w="100" w:type="dxa"/>
              <w:left w:w="100" w:type="dxa"/>
              <w:bottom w:w="100" w:type="dxa"/>
              <w:right w:w="100" w:type="dxa"/>
            </w:tcMar>
          </w:tcPr>
          <w:p w14:paraId="7E4D9CD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0286C90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07DB2B8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7E21719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Crassisporiaceae</w:t>
            </w:r>
          </w:p>
        </w:tc>
        <w:tc>
          <w:tcPr>
            <w:tcW w:w="1905" w:type="dxa"/>
            <w:tcBorders>
              <w:top w:val="nil"/>
              <w:left w:val="nil"/>
              <w:bottom w:val="nil"/>
              <w:right w:val="nil"/>
            </w:tcBorders>
            <w:tcMar>
              <w:top w:w="100" w:type="dxa"/>
              <w:left w:w="100" w:type="dxa"/>
              <w:bottom w:w="100" w:type="dxa"/>
              <w:right w:w="100" w:type="dxa"/>
            </w:tcMar>
          </w:tcPr>
          <w:p w14:paraId="640EE03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Crassisporium</w:t>
            </w:r>
          </w:p>
        </w:tc>
      </w:tr>
      <w:tr w:rsidR="00600388" w14:paraId="6EF38FA6" w14:textId="77777777">
        <w:trPr>
          <w:trHeight w:val="435"/>
        </w:trPr>
        <w:tc>
          <w:tcPr>
            <w:tcW w:w="2685" w:type="dxa"/>
            <w:tcBorders>
              <w:top w:val="nil"/>
              <w:left w:val="nil"/>
              <w:bottom w:val="nil"/>
              <w:right w:val="nil"/>
            </w:tcBorders>
            <w:tcMar>
              <w:top w:w="100" w:type="dxa"/>
              <w:left w:w="100" w:type="dxa"/>
              <w:bottom w:w="100" w:type="dxa"/>
              <w:right w:w="100" w:type="dxa"/>
            </w:tcMar>
          </w:tcPr>
          <w:p w14:paraId="467A26D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Panaeolus cyanescens</w:t>
            </w:r>
          </w:p>
        </w:tc>
        <w:tc>
          <w:tcPr>
            <w:tcW w:w="1560" w:type="dxa"/>
            <w:tcBorders>
              <w:top w:val="nil"/>
              <w:left w:val="nil"/>
              <w:bottom w:val="nil"/>
              <w:right w:val="nil"/>
            </w:tcBorders>
            <w:tcMar>
              <w:top w:w="100" w:type="dxa"/>
              <w:left w:w="100" w:type="dxa"/>
              <w:bottom w:w="100" w:type="dxa"/>
              <w:right w:w="100" w:type="dxa"/>
            </w:tcMar>
          </w:tcPr>
          <w:p w14:paraId="572FCB2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5F91B65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740C13C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0E5F5E5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incertae sedis</w:t>
            </w:r>
          </w:p>
        </w:tc>
        <w:tc>
          <w:tcPr>
            <w:tcW w:w="1905" w:type="dxa"/>
            <w:tcBorders>
              <w:top w:val="nil"/>
              <w:left w:val="nil"/>
              <w:bottom w:val="nil"/>
              <w:right w:val="nil"/>
            </w:tcBorders>
            <w:tcMar>
              <w:top w:w="100" w:type="dxa"/>
              <w:left w:w="100" w:type="dxa"/>
              <w:bottom w:w="100" w:type="dxa"/>
              <w:right w:w="100" w:type="dxa"/>
            </w:tcMar>
          </w:tcPr>
          <w:p w14:paraId="7BB1CC32"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Panaeolus</w:t>
            </w:r>
          </w:p>
        </w:tc>
      </w:tr>
      <w:tr w:rsidR="00600388" w14:paraId="38338405" w14:textId="77777777">
        <w:trPr>
          <w:trHeight w:val="420"/>
        </w:trPr>
        <w:tc>
          <w:tcPr>
            <w:tcW w:w="2685" w:type="dxa"/>
            <w:tcBorders>
              <w:top w:val="nil"/>
              <w:left w:val="nil"/>
              <w:bottom w:val="nil"/>
              <w:right w:val="nil"/>
            </w:tcBorders>
            <w:tcMar>
              <w:top w:w="100" w:type="dxa"/>
              <w:left w:w="100" w:type="dxa"/>
              <w:bottom w:w="100" w:type="dxa"/>
              <w:right w:w="100" w:type="dxa"/>
            </w:tcMar>
          </w:tcPr>
          <w:p w14:paraId="10DACC5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Gymnopilus junonius</w:t>
            </w:r>
          </w:p>
        </w:tc>
        <w:tc>
          <w:tcPr>
            <w:tcW w:w="1560" w:type="dxa"/>
            <w:tcBorders>
              <w:top w:val="nil"/>
              <w:left w:val="nil"/>
              <w:bottom w:val="nil"/>
              <w:right w:val="nil"/>
            </w:tcBorders>
            <w:tcMar>
              <w:top w:w="100" w:type="dxa"/>
              <w:left w:w="100" w:type="dxa"/>
              <w:bottom w:w="100" w:type="dxa"/>
              <w:right w:w="100" w:type="dxa"/>
            </w:tcMar>
          </w:tcPr>
          <w:p w14:paraId="34DD006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1D64C25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3D7F439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564FD69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Galer-inaceae</w:t>
            </w:r>
          </w:p>
        </w:tc>
        <w:tc>
          <w:tcPr>
            <w:tcW w:w="1905" w:type="dxa"/>
            <w:tcBorders>
              <w:top w:val="nil"/>
              <w:left w:val="nil"/>
              <w:bottom w:val="nil"/>
              <w:right w:val="nil"/>
            </w:tcBorders>
            <w:tcMar>
              <w:top w:w="100" w:type="dxa"/>
              <w:left w:w="100" w:type="dxa"/>
              <w:bottom w:w="100" w:type="dxa"/>
              <w:right w:w="100" w:type="dxa"/>
            </w:tcMar>
          </w:tcPr>
          <w:p w14:paraId="4FE8FCB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Gymnopilus</w:t>
            </w:r>
          </w:p>
        </w:tc>
      </w:tr>
      <w:tr w:rsidR="00600388" w14:paraId="581DBB5C" w14:textId="77777777">
        <w:trPr>
          <w:trHeight w:val="495"/>
        </w:trPr>
        <w:tc>
          <w:tcPr>
            <w:tcW w:w="2685" w:type="dxa"/>
            <w:tcBorders>
              <w:top w:val="nil"/>
              <w:left w:val="nil"/>
              <w:bottom w:val="nil"/>
              <w:right w:val="nil"/>
            </w:tcBorders>
            <w:tcMar>
              <w:top w:w="100" w:type="dxa"/>
              <w:left w:w="100" w:type="dxa"/>
              <w:bottom w:w="100" w:type="dxa"/>
              <w:right w:w="100" w:type="dxa"/>
            </w:tcMar>
          </w:tcPr>
          <w:p w14:paraId="2B5C8C9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Lentinula aciculospora</w:t>
            </w:r>
          </w:p>
        </w:tc>
        <w:tc>
          <w:tcPr>
            <w:tcW w:w="1560" w:type="dxa"/>
            <w:tcBorders>
              <w:top w:val="nil"/>
              <w:left w:val="nil"/>
              <w:bottom w:val="nil"/>
              <w:right w:val="nil"/>
            </w:tcBorders>
            <w:tcMar>
              <w:top w:w="100" w:type="dxa"/>
              <w:left w:w="100" w:type="dxa"/>
              <w:bottom w:w="100" w:type="dxa"/>
              <w:right w:w="100" w:type="dxa"/>
            </w:tcMar>
          </w:tcPr>
          <w:p w14:paraId="188AF98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2693035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Agaricomycetes</w:t>
            </w:r>
          </w:p>
        </w:tc>
        <w:tc>
          <w:tcPr>
            <w:tcW w:w="1455" w:type="dxa"/>
            <w:tcBorders>
              <w:top w:val="nil"/>
              <w:left w:val="nil"/>
              <w:bottom w:val="nil"/>
              <w:right w:val="nil"/>
            </w:tcBorders>
            <w:tcMar>
              <w:top w:w="100" w:type="dxa"/>
              <w:left w:w="100" w:type="dxa"/>
              <w:bottom w:w="100" w:type="dxa"/>
              <w:right w:w="100" w:type="dxa"/>
            </w:tcMar>
          </w:tcPr>
          <w:p w14:paraId="70F2DD0A"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Agaricales</w:t>
            </w:r>
          </w:p>
        </w:tc>
        <w:tc>
          <w:tcPr>
            <w:tcW w:w="2235" w:type="dxa"/>
            <w:tcBorders>
              <w:top w:val="nil"/>
              <w:left w:val="nil"/>
              <w:bottom w:val="nil"/>
              <w:right w:val="nil"/>
            </w:tcBorders>
            <w:tcMar>
              <w:top w:w="100" w:type="dxa"/>
              <w:left w:w="100" w:type="dxa"/>
              <w:bottom w:w="100" w:type="dxa"/>
              <w:right w:w="100" w:type="dxa"/>
            </w:tcMar>
          </w:tcPr>
          <w:p w14:paraId="3016C5B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Omphalotaceae</w:t>
            </w:r>
          </w:p>
        </w:tc>
        <w:tc>
          <w:tcPr>
            <w:tcW w:w="1905" w:type="dxa"/>
            <w:tcBorders>
              <w:top w:val="nil"/>
              <w:left w:val="nil"/>
              <w:bottom w:val="nil"/>
              <w:right w:val="nil"/>
            </w:tcBorders>
            <w:tcMar>
              <w:top w:w="100" w:type="dxa"/>
              <w:left w:w="100" w:type="dxa"/>
              <w:bottom w:w="100" w:type="dxa"/>
              <w:right w:w="100" w:type="dxa"/>
            </w:tcMar>
          </w:tcPr>
          <w:p w14:paraId="74AAD0EB"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Lentinula</w:t>
            </w:r>
          </w:p>
        </w:tc>
      </w:tr>
      <w:tr w:rsidR="00600388" w14:paraId="4E7CCEFF" w14:textId="77777777">
        <w:trPr>
          <w:trHeight w:val="480"/>
        </w:trPr>
        <w:tc>
          <w:tcPr>
            <w:tcW w:w="2685" w:type="dxa"/>
            <w:tcBorders>
              <w:top w:val="nil"/>
              <w:left w:val="nil"/>
              <w:bottom w:val="nil"/>
              <w:right w:val="nil"/>
            </w:tcBorders>
            <w:tcMar>
              <w:top w:w="100" w:type="dxa"/>
              <w:left w:w="100" w:type="dxa"/>
              <w:bottom w:w="100" w:type="dxa"/>
              <w:right w:w="100" w:type="dxa"/>
            </w:tcMar>
          </w:tcPr>
          <w:p w14:paraId="07A9992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Naganishia adeliensis</w:t>
            </w:r>
          </w:p>
        </w:tc>
        <w:tc>
          <w:tcPr>
            <w:tcW w:w="1560" w:type="dxa"/>
            <w:tcBorders>
              <w:top w:val="nil"/>
              <w:left w:val="nil"/>
              <w:bottom w:val="nil"/>
              <w:right w:val="nil"/>
            </w:tcBorders>
            <w:tcMar>
              <w:top w:w="100" w:type="dxa"/>
              <w:left w:w="100" w:type="dxa"/>
              <w:bottom w:w="100" w:type="dxa"/>
              <w:right w:w="100" w:type="dxa"/>
            </w:tcMar>
          </w:tcPr>
          <w:p w14:paraId="10655A1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1B3EE86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Tremellomycetes</w:t>
            </w:r>
          </w:p>
        </w:tc>
        <w:tc>
          <w:tcPr>
            <w:tcW w:w="1455" w:type="dxa"/>
            <w:tcBorders>
              <w:top w:val="nil"/>
              <w:left w:val="nil"/>
              <w:bottom w:val="nil"/>
              <w:right w:val="nil"/>
            </w:tcBorders>
            <w:tcMar>
              <w:top w:w="100" w:type="dxa"/>
              <w:left w:w="100" w:type="dxa"/>
              <w:bottom w:w="100" w:type="dxa"/>
              <w:right w:w="100" w:type="dxa"/>
            </w:tcMar>
          </w:tcPr>
          <w:p w14:paraId="57674190"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Filobasidiales</w:t>
            </w:r>
          </w:p>
        </w:tc>
        <w:tc>
          <w:tcPr>
            <w:tcW w:w="2235" w:type="dxa"/>
            <w:tcBorders>
              <w:top w:val="nil"/>
              <w:left w:val="nil"/>
              <w:bottom w:val="nil"/>
              <w:right w:val="nil"/>
            </w:tcBorders>
            <w:tcMar>
              <w:top w:w="100" w:type="dxa"/>
              <w:left w:w="100" w:type="dxa"/>
              <w:bottom w:w="100" w:type="dxa"/>
              <w:right w:w="100" w:type="dxa"/>
            </w:tcMar>
          </w:tcPr>
          <w:p w14:paraId="2F4B1259"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Filobasidiaceae</w:t>
            </w:r>
          </w:p>
        </w:tc>
        <w:tc>
          <w:tcPr>
            <w:tcW w:w="1905" w:type="dxa"/>
            <w:tcBorders>
              <w:top w:val="nil"/>
              <w:left w:val="nil"/>
              <w:bottom w:val="nil"/>
              <w:right w:val="nil"/>
            </w:tcBorders>
            <w:tcMar>
              <w:top w:w="100" w:type="dxa"/>
              <w:left w:w="100" w:type="dxa"/>
              <w:bottom w:w="100" w:type="dxa"/>
              <w:right w:w="100" w:type="dxa"/>
            </w:tcMar>
          </w:tcPr>
          <w:p w14:paraId="6E0B9C6C"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Naganishia</w:t>
            </w:r>
          </w:p>
        </w:tc>
      </w:tr>
      <w:tr w:rsidR="00600388" w14:paraId="48D05C83" w14:textId="77777777">
        <w:trPr>
          <w:trHeight w:val="480"/>
        </w:trPr>
        <w:tc>
          <w:tcPr>
            <w:tcW w:w="2685" w:type="dxa"/>
            <w:tcBorders>
              <w:top w:val="nil"/>
              <w:left w:val="nil"/>
              <w:bottom w:val="nil"/>
              <w:right w:val="nil"/>
            </w:tcBorders>
            <w:tcMar>
              <w:top w:w="100" w:type="dxa"/>
              <w:left w:w="100" w:type="dxa"/>
              <w:bottom w:w="100" w:type="dxa"/>
              <w:right w:w="100" w:type="dxa"/>
            </w:tcMar>
          </w:tcPr>
          <w:p w14:paraId="251DFEE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Saitozyma podzolica</w:t>
            </w:r>
          </w:p>
        </w:tc>
        <w:tc>
          <w:tcPr>
            <w:tcW w:w="1560" w:type="dxa"/>
            <w:tcBorders>
              <w:top w:val="nil"/>
              <w:left w:val="nil"/>
              <w:bottom w:val="nil"/>
              <w:right w:val="nil"/>
            </w:tcBorders>
            <w:tcMar>
              <w:top w:w="100" w:type="dxa"/>
              <w:left w:w="100" w:type="dxa"/>
              <w:bottom w:w="100" w:type="dxa"/>
              <w:right w:w="100" w:type="dxa"/>
            </w:tcMar>
          </w:tcPr>
          <w:p w14:paraId="0AC8BDD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52276D05"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Tremellomycetes</w:t>
            </w:r>
          </w:p>
        </w:tc>
        <w:tc>
          <w:tcPr>
            <w:tcW w:w="1455" w:type="dxa"/>
            <w:tcBorders>
              <w:top w:val="nil"/>
              <w:left w:val="nil"/>
              <w:bottom w:val="nil"/>
              <w:right w:val="nil"/>
            </w:tcBorders>
            <w:tcMar>
              <w:top w:w="100" w:type="dxa"/>
              <w:left w:w="100" w:type="dxa"/>
              <w:bottom w:w="100" w:type="dxa"/>
              <w:right w:w="100" w:type="dxa"/>
            </w:tcMar>
          </w:tcPr>
          <w:p w14:paraId="4D8E2E16"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Tremellales</w:t>
            </w:r>
          </w:p>
        </w:tc>
        <w:tc>
          <w:tcPr>
            <w:tcW w:w="2235" w:type="dxa"/>
            <w:tcBorders>
              <w:top w:val="nil"/>
              <w:left w:val="nil"/>
              <w:bottom w:val="nil"/>
              <w:right w:val="nil"/>
            </w:tcBorders>
            <w:tcMar>
              <w:top w:w="100" w:type="dxa"/>
              <w:left w:w="100" w:type="dxa"/>
              <w:bottom w:w="100" w:type="dxa"/>
              <w:right w:w="100" w:type="dxa"/>
            </w:tcMar>
          </w:tcPr>
          <w:p w14:paraId="628AD09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Trimorphomycetaceae</w:t>
            </w:r>
          </w:p>
        </w:tc>
        <w:tc>
          <w:tcPr>
            <w:tcW w:w="1905" w:type="dxa"/>
            <w:tcBorders>
              <w:top w:val="nil"/>
              <w:left w:val="nil"/>
              <w:bottom w:val="nil"/>
              <w:right w:val="nil"/>
            </w:tcBorders>
            <w:tcMar>
              <w:top w:w="100" w:type="dxa"/>
              <w:left w:w="100" w:type="dxa"/>
              <w:bottom w:w="100" w:type="dxa"/>
              <w:right w:w="100" w:type="dxa"/>
            </w:tcMar>
          </w:tcPr>
          <w:p w14:paraId="02711F74"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Saitozyma</w:t>
            </w:r>
          </w:p>
        </w:tc>
      </w:tr>
      <w:tr w:rsidR="00600388" w14:paraId="507DE0D9" w14:textId="77777777">
        <w:tc>
          <w:tcPr>
            <w:tcW w:w="2685" w:type="dxa"/>
            <w:tcBorders>
              <w:top w:val="nil"/>
              <w:left w:val="nil"/>
              <w:bottom w:val="nil"/>
              <w:right w:val="nil"/>
            </w:tcBorders>
            <w:tcMar>
              <w:top w:w="100" w:type="dxa"/>
              <w:left w:w="100" w:type="dxa"/>
              <w:bottom w:w="100" w:type="dxa"/>
              <w:right w:w="100" w:type="dxa"/>
            </w:tcMar>
          </w:tcPr>
          <w:p w14:paraId="7C79F05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Naganishia albida</w:t>
            </w:r>
          </w:p>
        </w:tc>
        <w:tc>
          <w:tcPr>
            <w:tcW w:w="1560" w:type="dxa"/>
            <w:tcBorders>
              <w:top w:val="nil"/>
              <w:left w:val="nil"/>
              <w:bottom w:val="nil"/>
              <w:right w:val="nil"/>
            </w:tcBorders>
            <w:tcMar>
              <w:top w:w="100" w:type="dxa"/>
              <w:left w:w="100" w:type="dxa"/>
              <w:bottom w:w="100" w:type="dxa"/>
              <w:right w:w="100" w:type="dxa"/>
            </w:tcMar>
          </w:tcPr>
          <w:p w14:paraId="6D06603E"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Basidiomycota</w:t>
            </w:r>
          </w:p>
        </w:tc>
        <w:tc>
          <w:tcPr>
            <w:tcW w:w="1785" w:type="dxa"/>
            <w:tcBorders>
              <w:top w:val="nil"/>
              <w:left w:val="nil"/>
              <w:bottom w:val="nil"/>
              <w:right w:val="nil"/>
            </w:tcBorders>
            <w:tcMar>
              <w:top w:w="100" w:type="dxa"/>
              <w:left w:w="100" w:type="dxa"/>
              <w:bottom w:w="100" w:type="dxa"/>
              <w:right w:w="100" w:type="dxa"/>
            </w:tcMar>
          </w:tcPr>
          <w:p w14:paraId="28A72987"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Tremellomycetes</w:t>
            </w:r>
          </w:p>
        </w:tc>
        <w:tc>
          <w:tcPr>
            <w:tcW w:w="1455" w:type="dxa"/>
            <w:tcBorders>
              <w:top w:val="nil"/>
              <w:left w:val="nil"/>
              <w:bottom w:val="nil"/>
              <w:right w:val="nil"/>
            </w:tcBorders>
            <w:tcMar>
              <w:top w:w="100" w:type="dxa"/>
              <w:left w:w="100" w:type="dxa"/>
              <w:bottom w:w="100" w:type="dxa"/>
              <w:right w:w="100" w:type="dxa"/>
            </w:tcMar>
          </w:tcPr>
          <w:p w14:paraId="2FF0F563"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Filobasidiales</w:t>
            </w:r>
          </w:p>
        </w:tc>
        <w:tc>
          <w:tcPr>
            <w:tcW w:w="2235" w:type="dxa"/>
            <w:tcBorders>
              <w:top w:val="nil"/>
              <w:left w:val="nil"/>
              <w:bottom w:val="nil"/>
              <w:right w:val="nil"/>
            </w:tcBorders>
            <w:tcMar>
              <w:top w:w="100" w:type="dxa"/>
              <w:left w:w="100" w:type="dxa"/>
              <w:bottom w:w="100" w:type="dxa"/>
              <w:right w:w="100" w:type="dxa"/>
            </w:tcMar>
          </w:tcPr>
          <w:p w14:paraId="4A02AC88"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Filobasidiaceae</w:t>
            </w:r>
          </w:p>
        </w:tc>
        <w:tc>
          <w:tcPr>
            <w:tcW w:w="1905" w:type="dxa"/>
            <w:tcBorders>
              <w:top w:val="nil"/>
              <w:left w:val="nil"/>
              <w:bottom w:val="nil"/>
              <w:right w:val="nil"/>
            </w:tcBorders>
            <w:tcMar>
              <w:top w:w="100" w:type="dxa"/>
              <w:left w:w="100" w:type="dxa"/>
              <w:bottom w:w="100" w:type="dxa"/>
              <w:right w:w="100" w:type="dxa"/>
            </w:tcMar>
          </w:tcPr>
          <w:p w14:paraId="63A1C7E1" w14:textId="77777777" w:rsidR="0060038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Naganishia</w:t>
            </w:r>
          </w:p>
        </w:tc>
      </w:tr>
    </w:tbl>
    <w:p w14:paraId="0827C412" w14:textId="77777777" w:rsidR="00600388" w:rsidRDefault="00600388">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b/>
          <w:bCs/>
          <w:color w:val="000000"/>
          <w:sz w:val="24"/>
          <w:szCs w:val="24"/>
        </w:rPr>
      </w:pPr>
      <w:bookmarkStart w:id="7" w:name="_r4xuo3adz46d" w:colFirst="0" w:colLast="0"/>
      <w:bookmarkEnd w:id="7"/>
    </w:p>
    <w:p w14:paraId="789994D7"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color w:val="000000"/>
          <w:sz w:val="24"/>
          <w:szCs w:val="24"/>
        </w:rPr>
      </w:pPr>
      <w:bookmarkStart w:id="8" w:name="_lyamqmq3vomg" w:colFirst="0" w:colLast="0"/>
      <w:bookmarkEnd w:id="8"/>
      <w:r>
        <w:rPr>
          <w:rFonts w:ascii="Times New Roman" w:eastAsia="Times New Roman" w:hAnsi="Times New Roman" w:cs="Times New Roman"/>
          <w:b/>
          <w:bCs/>
          <w:color w:val="000000"/>
          <w:sz w:val="24"/>
          <w:szCs w:val="24"/>
        </w:rPr>
        <w:t xml:space="preserve">Table S2. </w:t>
      </w:r>
      <w:r>
        <w:rPr>
          <w:rFonts w:ascii="Times New Roman" w:eastAsia="Times New Roman" w:hAnsi="Times New Roman" w:cs="Times New Roman"/>
          <w:color w:val="000000"/>
          <w:sz w:val="24"/>
          <w:szCs w:val="24"/>
        </w:rPr>
        <w:t xml:space="preserve">Peptides identified by MS/MS analysis and matched to the </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 xml:space="preserve">B3 protein from </w:t>
      </w:r>
      <w:r>
        <w:rPr>
          <w:rFonts w:ascii="Times New Roman" w:eastAsia="Times New Roman" w:hAnsi="Times New Roman" w:cs="Times New Roman"/>
          <w:i/>
          <w:iCs/>
          <w:color w:val="000000"/>
          <w:sz w:val="24"/>
          <w:szCs w:val="24"/>
        </w:rPr>
        <w:t>Moniliophthora roreri</w:t>
      </w:r>
      <w:r>
        <w:rPr>
          <w:rFonts w:ascii="Times New Roman" w:eastAsia="Times New Roman" w:hAnsi="Times New Roman" w:cs="Times New Roman"/>
          <w:color w:val="000000"/>
          <w:sz w:val="24"/>
          <w:szCs w:val="24"/>
        </w:rPr>
        <w:t xml:space="preserve">, based on a search against the NCBI protein database. Each row corresponds to a unique peptide-spectrum match (PSM). </w:t>
      </w:r>
    </w:p>
    <w:tbl>
      <w:tblPr>
        <w:tblStyle w:val="a0"/>
        <w:tblW w:w="11565" w:type="dxa"/>
        <w:tblInd w:w="-1440" w:type="dxa"/>
        <w:tblBorders>
          <w:top w:val="nil"/>
          <w:left w:val="nil"/>
          <w:bottom w:val="nil"/>
          <w:right w:val="nil"/>
          <w:insideH w:val="nil"/>
          <w:insideV w:val="nil"/>
        </w:tblBorders>
        <w:tblLayout w:type="fixed"/>
        <w:tblLook w:val="0600" w:firstRow="0" w:lastRow="0" w:firstColumn="0" w:lastColumn="0" w:noHBand="1" w:noVBand="1"/>
      </w:tblPr>
      <w:tblGrid>
        <w:gridCol w:w="1800"/>
        <w:gridCol w:w="1005"/>
        <w:gridCol w:w="1170"/>
        <w:gridCol w:w="1050"/>
        <w:gridCol w:w="810"/>
        <w:gridCol w:w="1410"/>
        <w:gridCol w:w="1185"/>
        <w:gridCol w:w="1230"/>
        <w:gridCol w:w="1905"/>
      </w:tblGrid>
      <w:tr w:rsidR="00600388" w14:paraId="7500B1FD" w14:textId="77777777">
        <w:trPr>
          <w:trHeight w:val="432"/>
        </w:trPr>
        <w:tc>
          <w:tcPr>
            <w:tcW w:w="1800" w:type="dxa"/>
            <w:tcBorders>
              <w:bottom w:val="single" w:sz="8" w:space="0" w:color="000000"/>
            </w:tcBorders>
            <w:tcMar>
              <w:top w:w="40" w:type="dxa"/>
              <w:left w:w="40" w:type="dxa"/>
              <w:bottom w:w="40" w:type="dxa"/>
              <w:right w:w="40" w:type="dxa"/>
            </w:tcMar>
            <w:vAlign w:val="bottom"/>
          </w:tcPr>
          <w:p w14:paraId="36F0060D"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Peptide sequence</w:t>
            </w:r>
            <w:r>
              <w:rPr>
                <w:rFonts w:ascii="Times New Roman" w:eastAsia="Times New Roman" w:hAnsi="Times New Roman" w:cs="Times New Roman"/>
                <w:b/>
                <w:bCs/>
                <w:sz w:val="20"/>
                <w:szCs w:val="20"/>
                <w:vertAlign w:val="superscript"/>
              </w:rPr>
              <w:t>1</w:t>
            </w:r>
          </w:p>
        </w:tc>
        <w:tc>
          <w:tcPr>
            <w:tcW w:w="1005" w:type="dxa"/>
            <w:tcBorders>
              <w:bottom w:val="single" w:sz="8" w:space="0" w:color="000000"/>
            </w:tcBorders>
            <w:tcMar>
              <w:top w:w="40" w:type="dxa"/>
              <w:left w:w="40" w:type="dxa"/>
              <w:bottom w:w="40" w:type="dxa"/>
              <w:right w:w="40" w:type="dxa"/>
            </w:tcMar>
            <w:vAlign w:val="bottom"/>
          </w:tcPr>
          <w:p w14:paraId="3124E3A3"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charge (z)</w:t>
            </w:r>
            <w:r>
              <w:rPr>
                <w:rFonts w:ascii="Times New Roman" w:eastAsia="Times New Roman" w:hAnsi="Times New Roman" w:cs="Times New Roman"/>
                <w:b/>
                <w:bCs/>
                <w:sz w:val="20"/>
                <w:szCs w:val="20"/>
                <w:vertAlign w:val="superscript"/>
              </w:rPr>
              <w:t>2</w:t>
            </w:r>
          </w:p>
        </w:tc>
        <w:tc>
          <w:tcPr>
            <w:tcW w:w="1170" w:type="dxa"/>
            <w:tcBorders>
              <w:bottom w:val="single" w:sz="8" w:space="0" w:color="000000"/>
            </w:tcBorders>
            <w:tcMar>
              <w:top w:w="40" w:type="dxa"/>
              <w:left w:w="40" w:type="dxa"/>
              <w:bottom w:w="40" w:type="dxa"/>
              <w:right w:w="40" w:type="dxa"/>
            </w:tcMar>
            <w:vAlign w:val="bottom"/>
          </w:tcPr>
          <w:p w14:paraId="6F3D9F8E"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m/z (Da/z)</w:t>
            </w:r>
            <w:r>
              <w:rPr>
                <w:rFonts w:ascii="Times New Roman" w:eastAsia="Times New Roman" w:hAnsi="Times New Roman" w:cs="Times New Roman"/>
                <w:b/>
                <w:bCs/>
                <w:sz w:val="20"/>
                <w:szCs w:val="20"/>
                <w:vertAlign w:val="superscript"/>
              </w:rPr>
              <w:t>5</w:t>
            </w:r>
          </w:p>
        </w:tc>
        <w:tc>
          <w:tcPr>
            <w:tcW w:w="1050" w:type="dxa"/>
            <w:tcBorders>
              <w:bottom w:val="single" w:sz="8" w:space="0" w:color="000000"/>
            </w:tcBorders>
            <w:tcMar>
              <w:top w:w="40" w:type="dxa"/>
              <w:left w:w="40" w:type="dxa"/>
              <w:bottom w:w="40" w:type="dxa"/>
              <w:right w:w="40" w:type="dxa"/>
            </w:tcMar>
            <w:vAlign w:val="bottom"/>
          </w:tcPr>
          <w:p w14:paraId="2A1F0565"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score</w:t>
            </w:r>
            <w:r>
              <w:rPr>
                <w:rFonts w:ascii="Times New Roman" w:eastAsia="Times New Roman" w:hAnsi="Times New Roman" w:cs="Times New Roman"/>
                <w:b/>
                <w:bCs/>
                <w:sz w:val="20"/>
                <w:szCs w:val="20"/>
                <w:vertAlign w:val="superscript"/>
              </w:rPr>
              <w:t>6</w:t>
            </w:r>
          </w:p>
        </w:tc>
        <w:tc>
          <w:tcPr>
            <w:tcW w:w="810" w:type="dxa"/>
            <w:tcBorders>
              <w:bottom w:val="single" w:sz="8" w:space="0" w:color="000000"/>
            </w:tcBorders>
            <w:tcMar>
              <w:top w:w="40" w:type="dxa"/>
              <w:left w:w="40" w:type="dxa"/>
              <w:bottom w:w="40" w:type="dxa"/>
              <w:right w:w="40" w:type="dxa"/>
            </w:tcMar>
            <w:vAlign w:val="bottom"/>
          </w:tcPr>
          <w:p w14:paraId="031EC272"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RT (min)</w:t>
            </w:r>
            <w:r>
              <w:rPr>
                <w:rFonts w:ascii="Times New Roman" w:eastAsia="Times New Roman" w:hAnsi="Times New Roman" w:cs="Times New Roman"/>
                <w:b/>
                <w:bCs/>
                <w:sz w:val="20"/>
                <w:szCs w:val="20"/>
                <w:vertAlign w:val="superscript"/>
              </w:rPr>
              <w:t>7</w:t>
            </w:r>
          </w:p>
        </w:tc>
        <w:tc>
          <w:tcPr>
            <w:tcW w:w="1410" w:type="dxa"/>
            <w:tcBorders>
              <w:bottom w:val="single" w:sz="8" w:space="0" w:color="000000"/>
            </w:tcBorders>
            <w:tcMar>
              <w:top w:w="40" w:type="dxa"/>
              <w:left w:w="40" w:type="dxa"/>
              <w:bottom w:w="40" w:type="dxa"/>
              <w:right w:w="40" w:type="dxa"/>
            </w:tcMar>
            <w:vAlign w:val="bottom"/>
          </w:tcPr>
          <w:p w14:paraId="4E163F38"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percent scored peak intensity</w:t>
            </w:r>
            <w:r>
              <w:rPr>
                <w:rFonts w:ascii="Times New Roman" w:eastAsia="Times New Roman" w:hAnsi="Times New Roman" w:cs="Times New Roman"/>
                <w:b/>
                <w:bCs/>
                <w:sz w:val="20"/>
                <w:szCs w:val="20"/>
                <w:vertAlign w:val="superscript"/>
              </w:rPr>
              <w:t>8</w:t>
            </w:r>
            <w:r>
              <w:rPr>
                <w:rFonts w:ascii="Times New Roman" w:eastAsia="Times New Roman" w:hAnsi="Times New Roman" w:cs="Times New Roman"/>
                <w:b/>
                <w:bCs/>
                <w:sz w:val="20"/>
                <w:szCs w:val="20"/>
              </w:rPr>
              <w:t xml:space="preserve"> (%)</w:t>
            </w:r>
          </w:p>
        </w:tc>
        <w:tc>
          <w:tcPr>
            <w:tcW w:w="1185" w:type="dxa"/>
            <w:tcBorders>
              <w:bottom w:val="single" w:sz="8" w:space="0" w:color="000000"/>
              <w:right w:val="nil"/>
            </w:tcBorders>
            <w:tcMar>
              <w:top w:w="40" w:type="dxa"/>
              <w:left w:w="40" w:type="dxa"/>
              <w:bottom w:w="40" w:type="dxa"/>
              <w:right w:w="40" w:type="dxa"/>
            </w:tcMar>
            <w:vAlign w:val="bottom"/>
          </w:tcPr>
          <w:p w14:paraId="46841CD7"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coverage</w:t>
            </w:r>
            <w:r>
              <w:rPr>
                <w:rFonts w:ascii="Times New Roman" w:eastAsia="Times New Roman" w:hAnsi="Times New Roman" w:cs="Times New Roman"/>
                <w:b/>
                <w:bCs/>
                <w:sz w:val="20"/>
                <w:szCs w:val="20"/>
                <w:vertAlign w:val="superscript"/>
              </w:rPr>
              <w:t>9</w:t>
            </w:r>
            <w:r>
              <w:rPr>
                <w:rFonts w:ascii="Times New Roman" w:eastAsia="Times New Roman" w:hAnsi="Times New Roman" w:cs="Times New Roman"/>
                <w:b/>
                <w:bCs/>
                <w:sz w:val="20"/>
                <w:szCs w:val="20"/>
              </w:rPr>
              <w:t xml:space="preserve"> (%)</w:t>
            </w:r>
          </w:p>
        </w:tc>
        <w:tc>
          <w:tcPr>
            <w:tcW w:w="1230" w:type="dxa"/>
            <w:tcBorders>
              <w:left w:val="nil"/>
              <w:bottom w:val="single" w:sz="8" w:space="0" w:color="000000"/>
            </w:tcBorders>
            <w:tcMar>
              <w:top w:w="40" w:type="dxa"/>
              <w:left w:w="40" w:type="dxa"/>
              <w:bottom w:w="40" w:type="dxa"/>
              <w:right w:w="40" w:type="dxa"/>
            </w:tcMar>
            <w:vAlign w:val="bottom"/>
          </w:tcPr>
          <w:p w14:paraId="55533840"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accession protein ID</w:t>
            </w:r>
          </w:p>
          <w:p w14:paraId="74A1C869"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NCBI</w:t>
            </w:r>
          </w:p>
        </w:tc>
        <w:tc>
          <w:tcPr>
            <w:tcW w:w="1905" w:type="dxa"/>
            <w:tcBorders>
              <w:bottom w:val="single" w:sz="8" w:space="0" w:color="000000"/>
            </w:tcBorders>
            <w:tcMar>
              <w:top w:w="40" w:type="dxa"/>
              <w:left w:w="40" w:type="dxa"/>
              <w:bottom w:w="40" w:type="dxa"/>
              <w:right w:w="40" w:type="dxa"/>
            </w:tcMar>
            <w:vAlign w:val="bottom"/>
          </w:tcPr>
          <w:p w14:paraId="7D926A30" w14:textId="77777777" w:rsidR="00600388" w:rsidRDefault="00000000">
            <w:pPr>
              <w:widowControl w:val="0"/>
              <w:spacing w:before="200" w:after="20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species</w:t>
            </w:r>
          </w:p>
        </w:tc>
      </w:tr>
      <w:tr w:rsidR="00600388" w14:paraId="47A0B13D" w14:textId="77777777">
        <w:trPr>
          <w:trHeight w:val="675"/>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36B92F2C"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IIHLTDDSFDTDVLK   </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795372FD"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116F431B"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5779.671</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746E2B90"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16.26</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418A1B7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10.45</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6A4C6A23"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86.6</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1090AC9D"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3,69</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193ACC18"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7FB46C03"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r w:rsidR="00600388" w14:paraId="148A383C" w14:textId="77777777">
        <w:trPr>
          <w:trHeight w:val="874"/>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7ABC5EA1"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MIAPILDEIADEYQGK</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27872ECA"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081ACF3B"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9034.564</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078CC7BB"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25.11</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3ED6F460"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12.67</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5769DD7E"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97.4</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136303B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3,94</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58924E42"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7FD11E74"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r w:rsidR="00600388" w14:paraId="02CA75DB" w14:textId="77777777">
        <w:trPr>
          <w:trHeight w:val="594"/>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159C2573"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LNIDQNPGTAPK</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2255637A"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40D609B9"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6343.387</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6E3FE634"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246F5D9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7.65</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5F6637B4"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6F73EA0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2,95</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4CE5EF20"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2C137DB6"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r w:rsidR="00600388" w14:paraId="2DD79D06" w14:textId="77777777">
        <w:trPr>
          <w:trHeight w:val="669"/>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2C17F1A8"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GIPTLLLFK</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2D9E7C1F"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340C83AF"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5013.261</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5F24A2EB"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20.41</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1B8B031D"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12.72</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3F033F09"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98.3</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7A960B64"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2,22</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693FF456"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558D6E91"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r w:rsidR="00600388" w14:paraId="2F71477F" w14:textId="77777777">
        <w:trPr>
          <w:trHeight w:val="600"/>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43AFBBAE"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GIPTLLLFKnGEVAATK</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47BFED82"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29077243"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5916.815</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1DB74C9C"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23.11</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1C02AF1A"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11.53</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2E04354A"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96.7</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727D1E3D"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4,19</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44FDF981"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5E59A08E"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r w:rsidR="00600388" w14:paraId="3C99BD7A" w14:textId="77777777">
        <w:trPr>
          <w:trHeight w:val="615"/>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27D099CC"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ELSLFGYDSSQNAAIIATVQQVYPTAR</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08A8E59A"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527D0B2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9815.044</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2221B894"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18.99</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02B2BE5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12.75</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1E3CC867"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95.1</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1CE0E520"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6,65</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7AC2AE99"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19B129B5"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r w:rsidR="00600388" w14:paraId="3B52B6C2" w14:textId="77777777">
        <w:trPr>
          <w:trHeight w:val="904"/>
        </w:trPr>
        <w:tc>
          <w:tcPr>
            <w:tcW w:w="1800" w:type="dxa"/>
            <w:tcBorders>
              <w:top w:val="single" w:sz="8" w:space="0" w:color="000000"/>
              <w:bottom w:val="single" w:sz="8" w:space="0" w:color="000000"/>
            </w:tcBorders>
            <w:tcMar>
              <w:top w:w="40" w:type="dxa"/>
              <w:left w:w="40" w:type="dxa"/>
              <w:bottom w:w="40" w:type="dxa"/>
              <w:right w:w="40" w:type="dxa"/>
            </w:tcMar>
            <w:vAlign w:val="bottom"/>
          </w:tcPr>
          <w:p w14:paraId="7106B80D"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ALSDAGLYAFFAVSGVFALAALEHHHHHH</w:t>
            </w:r>
          </w:p>
        </w:tc>
        <w:tc>
          <w:tcPr>
            <w:tcW w:w="1005" w:type="dxa"/>
            <w:tcBorders>
              <w:top w:val="single" w:sz="8" w:space="0" w:color="000000"/>
              <w:bottom w:val="single" w:sz="8" w:space="0" w:color="000000"/>
            </w:tcBorders>
            <w:tcMar>
              <w:top w:w="40" w:type="dxa"/>
              <w:left w:w="40" w:type="dxa"/>
              <w:bottom w:w="40" w:type="dxa"/>
              <w:right w:w="40" w:type="dxa"/>
            </w:tcMar>
            <w:vAlign w:val="bottom"/>
          </w:tcPr>
          <w:p w14:paraId="29CFB68C"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170" w:type="dxa"/>
            <w:tcBorders>
              <w:top w:val="single" w:sz="8" w:space="0" w:color="000000"/>
              <w:bottom w:val="single" w:sz="8" w:space="0" w:color="000000"/>
            </w:tcBorders>
            <w:tcMar>
              <w:top w:w="40" w:type="dxa"/>
              <w:left w:w="40" w:type="dxa"/>
              <w:bottom w:w="40" w:type="dxa"/>
              <w:right w:w="40" w:type="dxa"/>
            </w:tcMar>
            <w:vAlign w:val="bottom"/>
          </w:tcPr>
          <w:p w14:paraId="209ADB06"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6259.169</w:t>
            </w:r>
          </w:p>
        </w:tc>
        <w:tc>
          <w:tcPr>
            <w:tcW w:w="1050" w:type="dxa"/>
            <w:tcBorders>
              <w:top w:val="single" w:sz="8" w:space="0" w:color="000000"/>
              <w:bottom w:val="single" w:sz="8" w:space="0" w:color="000000"/>
            </w:tcBorders>
            <w:tcMar>
              <w:top w:w="40" w:type="dxa"/>
              <w:left w:w="40" w:type="dxa"/>
              <w:bottom w:w="40" w:type="dxa"/>
              <w:right w:w="40" w:type="dxa"/>
            </w:tcMar>
            <w:vAlign w:val="bottom"/>
          </w:tcPr>
          <w:p w14:paraId="6FD13790"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12.20</w:t>
            </w:r>
          </w:p>
        </w:tc>
        <w:tc>
          <w:tcPr>
            <w:tcW w:w="810" w:type="dxa"/>
            <w:tcBorders>
              <w:top w:val="single" w:sz="8" w:space="0" w:color="000000"/>
              <w:bottom w:val="single" w:sz="8" w:space="0" w:color="000000"/>
            </w:tcBorders>
            <w:tcMar>
              <w:top w:w="40" w:type="dxa"/>
              <w:left w:w="40" w:type="dxa"/>
              <w:bottom w:w="40" w:type="dxa"/>
              <w:right w:w="40" w:type="dxa"/>
            </w:tcMar>
            <w:vAlign w:val="bottom"/>
          </w:tcPr>
          <w:p w14:paraId="484D8CF8"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14.33</w:t>
            </w:r>
          </w:p>
        </w:tc>
        <w:tc>
          <w:tcPr>
            <w:tcW w:w="1410" w:type="dxa"/>
            <w:tcBorders>
              <w:top w:val="single" w:sz="8" w:space="0" w:color="000000"/>
              <w:bottom w:val="single" w:sz="8" w:space="0" w:color="000000"/>
            </w:tcBorders>
            <w:tcMar>
              <w:top w:w="40" w:type="dxa"/>
              <w:left w:w="40" w:type="dxa"/>
              <w:bottom w:w="40" w:type="dxa"/>
              <w:right w:w="40" w:type="dxa"/>
            </w:tcMar>
            <w:vAlign w:val="bottom"/>
          </w:tcPr>
          <w:p w14:paraId="6225D118"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63.7</w:t>
            </w:r>
          </w:p>
        </w:tc>
        <w:tc>
          <w:tcPr>
            <w:tcW w:w="1185" w:type="dxa"/>
            <w:tcBorders>
              <w:top w:val="single" w:sz="8" w:space="0" w:color="000000"/>
              <w:bottom w:val="single" w:sz="8" w:space="0" w:color="000000"/>
            </w:tcBorders>
            <w:tcMar>
              <w:top w:w="40" w:type="dxa"/>
              <w:left w:w="40" w:type="dxa"/>
              <w:bottom w:w="40" w:type="dxa"/>
              <w:right w:w="40" w:type="dxa"/>
            </w:tcMar>
            <w:vAlign w:val="bottom"/>
          </w:tcPr>
          <w:p w14:paraId="5FD37F1A"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7,14</w:t>
            </w:r>
          </w:p>
        </w:tc>
        <w:tc>
          <w:tcPr>
            <w:tcW w:w="1230" w:type="dxa"/>
            <w:tcBorders>
              <w:top w:val="single" w:sz="8" w:space="0" w:color="000000"/>
              <w:bottom w:val="single" w:sz="8" w:space="0" w:color="000000"/>
            </w:tcBorders>
            <w:tcMar>
              <w:top w:w="40" w:type="dxa"/>
              <w:left w:w="40" w:type="dxa"/>
              <w:bottom w:w="40" w:type="dxa"/>
              <w:right w:w="40" w:type="dxa"/>
            </w:tcMar>
            <w:vAlign w:val="bottom"/>
          </w:tcPr>
          <w:p w14:paraId="4FBFEC2D"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ESK97039.1</w:t>
            </w:r>
          </w:p>
        </w:tc>
        <w:tc>
          <w:tcPr>
            <w:tcW w:w="1905" w:type="dxa"/>
            <w:tcBorders>
              <w:top w:val="single" w:sz="8" w:space="0" w:color="000000"/>
              <w:bottom w:val="single" w:sz="8" w:space="0" w:color="000000"/>
            </w:tcBorders>
            <w:tcMar>
              <w:top w:w="40" w:type="dxa"/>
              <w:left w:w="40" w:type="dxa"/>
              <w:bottom w:w="40" w:type="dxa"/>
              <w:right w:w="40" w:type="dxa"/>
            </w:tcMar>
            <w:vAlign w:val="bottom"/>
          </w:tcPr>
          <w:p w14:paraId="10D44B20" w14:textId="77777777" w:rsidR="00600388" w:rsidRDefault="00000000">
            <w:pPr>
              <w:widowControl w:val="0"/>
              <w:spacing w:after="2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Moniliophthora roreri </w:t>
            </w:r>
            <w:r>
              <w:rPr>
                <w:rFonts w:ascii="Times New Roman" w:eastAsia="Times New Roman" w:hAnsi="Times New Roman" w:cs="Times New Roman"/>
                <w:sz w:val="20"/>
                <w:szCs w:val="20"/>
              </w:rPr>
              <w:t>MCA 2997</w:t>
            </w:r>
          </w:p>
        </w:tc>
      </w:tr>
    </w:tbl>
    <w:p w14:paraId="6F3A09CA" w14:textId="77777777" w:rsidR="00600388" w:rsidRDefault="00000000">
      <w:pPr>
        <w:widowControl w:val="0"/>
        <w:spacing w:after="240" w:line="240" w:lineRule="auto"/>
        <w:ind w:left="-1417" w:right="-987"/>
        <w:jc w:val="both"/>
        <w:rPr>
          <w:rFonts w:ascii="Times New Roman" w:eastAsia="Times New Roman" w:hAnsi="Times New Roman" w:cs="Times New Roman"/>
          <w:sz w:val="24"/>
          <w:szCs w:val="24"/>
        </w:rPr>
      </w:pPr>
      <w:r>
        <w:rPr>
          <w:rFonts w:ascii="Times New Roman" w:eastAsia="Times New Roman" w:hAnsi="Times New Roman" w:cs="Times New Roman"/>
          <w:b/>
          <w:bCs/>
          <w:sz w:val="18"/>
          <w:szCs w:val="18"/>
        </w:rPr>
        <w:t>Peptide sequence</w:t>
      </w:r>
      <w:r>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sz w:val="18"/>
          <w:szCs w:val="18"/>
        </w:rPr>
        <w:t xml:space="preserve"> – amino acid sequence of the identified peptide. </w:t>
      </w:r>
      <w:r>
        <w:rPr>
          <w:rFonts w:ascii="Times New Roman" w:eastAsia="Times New Roman" w:hAnsi="Times New Roman" w:cs="Times New Roman"/>
          <w:b/>
          <w:bCs/>
          <w:sz w:val="18"/>
          <w:szCs w:val="18"/>
        </w:rPr>
        <w:t>Charge (z)</w:t>
      </w:r>
      <w:r>
        <w:rPr>
          <w:rFonts w:ascii="Times New Roman" w:eastAsia="Times New Roman" w:hAnsi="Times New Roman" w:cs="Times New Roman"/>
          <w:b/>
          <w:bCs/>
          <w:sz w:val="20"/>
          <w:szCs w:val="20"/>
          <w:vertAlign w:val="superscript"/>
        </w:rPr>
        <w:t>2</w:t>
      </w:r>
      <w:r>
        <w:rPr>
          <w:rFonts w:ascii="Times New Roman" w:eastAsia="Times New Roman" w:hAnsi="Times New Roman" w:cs="Times New Roman"/>
          <w:sz w:val="18"/>
          <w:szCs w:val="18"/>
        </w:rPr>
        <w:t xml:space="preserve"> – charge state of the precursor ion. </w:t>
      </w:r>
      <w:r>
        <w:rPr>
          <w:rFonts w:ascii="Times New Roman" w:eastAsia="Times New Roman" w:hAnsi="Times New Roman" w:cs="Times New Roman"/>
          <w:b/>
          <w:bCs/>
          <w:sz w:val="18"/>
          <w:szCs w:val="18"/>
        </w:rPr>
        <w:t>m/z (Da/z)</w:t>
      </w:r>
      <w:r>
        <w:rPr>
          <w:rFonts w:ascii="Times New Roman" w:eastAsia="Times New Roman" w:hAnsi="Times New Roman" w:cs="Times New Roman"/>
          <w:b/>
          <w:bCs/>
          <w:sz w:val="20"/>
          <w:szCs w:val="20"/>
          <w:vertAlign w:val="superscript"/>
        </w:rPr>
        <w:t>5</w:t>
      </w:r>
      <w:r>
        <w:rPr>
          <w:rFonts w:ascii="Times New Roman" w:eastAsia="Times New Roman" w:hAnsi="Times New Roman" w:cs="Times New Roman"/>
          <w:sz w:val="18"/>
          <w:szCs w:val="18"/>
        </w:rPr>
        <w:t xml:space="preserve"> – mass-to-charge ratio of the precursor ion. </w:t>
      </w:r>
      <w:r>
        <w:rPr>
          <w:rFonts w:ascii="Times New Roman" w:eastAsia="Times New Roman" w:hAnsi="Times New Roman" w:cs="Times New Roman"/>
          <w:b/>
          <w:bCs/>
          <w:sz w:val="18"/>
          <w:szCs w:val="18"/>
        </w:rPr>
        <w:t>Score</w:t>
      </w:r>
      <w:r>
        <w:rPr>
          <w:rFonts w:ascii="Times New Roman" w:eastAsia="Times New Roman" w:hAnsi="Times New Roman" w:cs="Times New Roman"/>
          <w:b/>
          <w:bCs/>
          <w:sz w:val="20"/>
          <w:szCs w:val="20"/>
          <w:vertAlign w:val="superscript"/>
        </w:rPr>
        <w:t>6</w:t>
      </w:r>
      <w:r>
        <w:rPr>
          <w:rFonts w:ascii="Times New Roman" w:eastAsia="Times New Roman" w:hAnsi="Times New Roman" w:cs="Times New Roman"/>
          <w:sz w:val="18"/>
          <w:szCs w:val="18"/>
        </w:rPr>
        <w:t xml:space="preserve"> – identification confidence score (based on spectral matching). </w:t>
      </w:r>
      <w:r>
        <w:rPr>
          <w:rFonts w:ascii="Times New Roman" w:eastAsia="Times New Roman" w:hAnsi="Times New Roman" w:cs="Times New Roman"/>
          <w:b/>
          <w:bCs/>
          <w:sz w:val="18"/>
          <w:szCs w:val="18"/>
        </w:rPr>
        <w:t>RT (min)</w:t>
      </w:r>
      <w:r>
        <w:rPr>
          <w:rFonts w:ascii="Times New Roman" w:eastAsia="Times New Roman" w:hAnsi="Times New Roman" w:cs="Times New Roman"/>
          <w:b/>
          <w:bCs/>
          <w:sz w:val="20"/>
          <w:szCs w:val="20"/>
          <w:vertAlign w:val="superscript"/>
        </w:rPr>
        <w:t>7</w:t>
      </w:r>
      <w:r>
        <w:rPr>
          <w:rFonts w:ascii="Times New Roman" w:eastAsia="Times New Roman" w:hAnsi="Times New Roman" w:cs="Times New Roman"/>
          <w:sz w:val="18"/>
          <w:szCs w:val="18"/>
        </w:rPr>
        <w:t xml:space="preserve"> – retention time of the peptide in minutes during LC separation. </w:t>
      </w:r>
      <w:r>
        <w:rPr>
          <w:rFonts w:ascii="Times New Roman" w:eastAsia="Times New Roman" w:hAnsi="Times New Roman" w:cs="Times New Roman"/>
          <w:b/>
          <w:bCs/>
          <w:sz w:val="18"/>
          <w:szCs w:val="18"/>
        </w:rPr>
        <w:t>Percent scored peak intensity</w:t>
      </w:r>
      <w:r>
        <w:rPr>
          <w:rFonts w:ascii="Times New Roman" w:eastAsia="Times New Roman" w:hAnsi="Times New Roman" w:cs="Times New Roman"/>
          <w:b/>
          <w:bCs/>
          <w:sz w:val="20"/>
          <w:szCs w:val="20"/>
          <w:vertAlign w:val="superscript"/>
        </w:rPr>
        <w:t>8</w:t>
      </w:r>
      <w:r>
        <w:rPr>
          <w:rFonts w:ascii="Times New Roman" w:eastAsia="Times New Roman" w:hAnsi="Times New Roman" w:cs="Times New Roman"/>
          <w:b/>
          <w:bCs/>
          <w:sz w:val="18"/>
          <w:szCs w:val="18"/>
        </w:rPr>
        <w:t xml:space="preserve"> (%)</w:t>
      </w:r>
      <w:r>
        <w:rPr>
          <w:rFonts w:ascii="Times New Roman" w:eastAsia="Times New Roman" w:hAnsi="Times New Roman" w:cs="Times New Roman"/>
          <w:sz w:val="18"/>
          <w:szCs w:val="18"/>
        </w:rPr>
        <w:t xml:space="preserve"> – percentage of total peak intensity assigned to matched fragment ions. </w:t>
      </w:r>
      <w:r>
        <w:rPr>
          <w:rFonts w:ascii="Times New Roman" w:eastAsia="Times New Roman" w:hAnsi="Times New Roman" w:cs="Times New Roman"/>
          <w:b/>
          <w:bCs/>
          <w:sz w:val="18"/>
          <w:szCs w:val="18"/>
        </w:rPr>
        <w:t>Coverage</w:t>
      </w:r>
      <w:r>
        <w:rPr>
          <w:rFonts w:ascii="Times New Roman" w:eastAsia="Times New Roman" w:hAnsi="Times New Roman" w:cs="Times New Roman"/>
          <w:b/>
          <w:bCs/>
          <w:sz w:val="20"/>
          <w:szCs w:val="20"/>
          <w:vertAlign w:val="superscript"/>
        </w:rPr>
        <w:t>9</w:t>
      </w:r>
      <w:r>
        <w:rPr>
          <w:rFonts w:ascii="Times New Roman" w:eastAsia="Times New Roman" w:hAnsi="Times New Roman" w:cs="Times New Roman"/>
          <w:b/>
          <w:bCs/>
          <w:sz w:val="18"/>
          <w:szCs w:val="18"/>
        </w:rPr>
        <w:t xml:space="preserve"> (%)</w:t>
      </w:r>
      <w:r>
        <w:rPr>
          <w:rFonts w:ascii="Times New Roman" w:eastAsia="Times New Roman" w:hAnsi="Times New Roman" w:cs="Times New Roman"/>
          <w:sz w:val="18"/>
          <w:szCs w:val="18"/>
        </w:rPr>
        <w:t xml:space="preserve"> – percentage of the full-length protein sequence covered by the identified peptide.</w:t>
      </w:r>
    </w:p>
    <w:p w14:paraId="20967801" w14:textId="77777777" w:rsidR="00600388" w:rsidRDefault="00000000">
      <w:pPr>
        <w:pStyle w:val="Ttulo3"/>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line="360" w:lineRule="auto"/>
        <w:jc w:val="both"/>
        <w:rPr>
          <w:rFonts w:ascii="Times New Roman" w:eastAsia="Times New Roman" w:hAnsi="Times New Roman" w:cs="Times New Roman"/>
          <w:b/>
          <w:bCs/>
          <w:color w:val="000000"/>
        </w:rPr>
      </w:pPr>
      <w:bookmarkStart w:id="9" w:name="_y8kpfobhyi2s" w:colFirst="0" w:colLast="0"/>
      <w:bookmarkEnd w:id="9"/>
      <w:r>
        <w:rPr>
          <w:rFonts w:ascii="Times New Roman" w:eastAsia="Times New Roman" w:hAnsi="Times New Roman" w:cs="Times New Roman"/>
          <w:b/>
          <w:bCs/>
          <w:color w:val="000000"/>
          <w:sz w:val="24"/>
          <w:szCs w:val="24"/>
        </w:rPr>
        <w:t xml:space="preserve">Table S3. </w:t>
      </w:r>
      <w:r>
        <w:rPr>
          <w:rFonts w:ascii="Times New Roman" w:eastAsia="Times New Roman" w:hAnsi="Times New Roman" w:cs="Times New Roman"/>
          <w:color w:val="000000"/>
          <w:sz w:val="24"/>
          <w:szCs w:val="24"/>
        </w:rPr>
        <w:t xml:space="preserve">LC–MS/MS identification of a </w:t>
      </w:r>
      <w:r>
        <w:rPr>
          <w:rFonts w:ascii="Times New Roman" w:eastAsia="Times New Roman" w:hAnsi="Times New Roman" w:cs="Times New Roman"/>
          <w:i/>
          <w:iCs/>
          <w:color w:val="000000"/>
          <w:sz w:val="24"/>
          <w:szCs w:val="24"/>
        </w:rPr>
        <w:t>Theobroma cacao</w:t>
      </w:r>
      <w:r>
        <w:rPr>
          <w:rFonts w:ascii="Times New Roman" w:eastAsia="Times New Roman" w:hAnsi="Times New Roman" w:cs="Times New Roman"/>
          <w:color w:val="000000"/>
          <w:sz w:val="24"/>
          <w:szCs w:val="24"/>
        </w:rPr>
        <w:t xml:space="preserve"> leucine-rich repeat protein interacting with recombinant r</w:t>
      </w:r>
      <w:r>
        <w:rPr>
          <w:rFonts w:ascii="Times New Roman" w:eastAsia="Times New Roman" w:hAnsi="Times New Roman" w:cs="Times New Roman"/>
          <w:i/>
          <w:iCs/>
          <w:color w:val="000000"/>
          <w:sz w:val="24"/>
          <w:szCs w:val="24"/>
        </w:rPr>
        <w:t>Mr</w:t>
      </w:r>
      <w:r>
        <w:rPr>
          <w:rFonts w:ascii="Times New Roman" w:eastAsia="Times New Roman" w:hAnsi="Times New Roman" w:cs="Times New Roman"/>
          <w:color w:val="000000"/>
          <w:sz w:val="24"/>
          <w:szCs w:val="24"/>
        </w:rPr>
        <w:t>B3</w:t>
      </w:r>
    </w:p>
    <w:tbl>
      <w:tblPr>
        <w:tblStyle w:val="a1"/>
        <w:tblW w:w="1158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1425"/>
        <w:gridCol w:w="1305"/>
        <w:gridCol w:w="945"/>
        <w:gridCol w:w="825"/>
        <w:gridCol w:w="585"/>
        <w:gridCol w:w="975"/>
        <w:gridCol w:w="1320"/>
        <w:gridCol w:w="915"/>
        <w:gridCol w:w="735"/>
        <w:gridCol w:w="645"/>
        <w:gridCol w:w="1005"/>
      </w:tblGrid>
      <w:tr w:rsidR="00600388" w14:paraId="12CD862B" w14:textId="77777777">
        <w:tc>
          <w:tcPr>
            <w:tcW w:w="900" w:type="dxa"/>
            <w:tcBorders>
              <w:top w:val="nil"/>
              <w:left w:val="nil"/>
              <w:right w:val="nil"/>
            </w:tcBorders>
            <w:tcMar>
              <w:top w:w="100" w:type="dxa"/>
              <w:left w:w="100" w:type="dxa"/>
              <w:bottom w:w="100" w:type="dxa"/>
              <w:right w:w="100" w:type="dxa"/>
            </w:tcMar>
          </w:tcPr>
          <w:p w14:paraId="47868E50"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Sample</w:t>
            </w:r>
          </w:p>
        </w:tc>
        <w:tc>
          <w:tcPr>
            <w:tcW w:w="1425" w:type="dxa"/>
            <w:tcBorders>
              <w:top w:val="nil"/>
              <w:left w:val="nil"/>
              <w:right w:val="nil"/>
            </w:tcBorders>
            <w:tcMar>
              <w:top w:w="100" w:type="dxa"/>
              <w:left w:w="100" w:type="dxa"/>
              <w:bottom w:w="100" w:type="dxa"/>
              <w:right w:w="100" w:type="dxa"/>
            </w:tcMar>
          </w:tcPr>
          <w:p w14:paraId="100E65A3"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Accession</w:t>
            </w:r>
          </w:p>
        </w:tc>
        <w:tc>
          <w:tcPr>
            <w:tcW w:w="1305" w:type="dxa"/>
            <w:tcBorders>
              <w:top w:val="nil"/>
              <w:left w:val="nil"/>
              <w:right w:val="nil"/>
            </w:tcBorders>
            <w:tcMar>
              <w:top w:w="100" w:type="dxa"/>
              <w:left w:w="100" w:type="dxa"/>
              <w:bottom w:w="100" w:type="dxa"/>
              <w:right w:w="100" w:type="dxa"/>
            </w:tcMar>
          </w:tcPr>
          <w:p w14:paraId="135DD823"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Protein</w:t>
            </w:r>
          </w:p>
        </w:tc>
        <w:tc>
          <w:tcPr>
            <w:tcW w:w="945" w:type="dxa"/>
            <w:tcBorders>
              <w:top w:val="nil"/>
              <w:left w:val="nil"/>
              <w:right w:val="nil"/>
            </w:tcBorders>
            <w:tcMar>
              <w:top w:w="100" w:type="dxa"/>
              <w:left w:w="100" w:type="dxa"/>
              <w:bottom w:w="100" w:type="dxa"/>
              <w:right w:w="100" w:type="dxa"/>
            </w:tcMar>
          </w:tcPr>
          <w:p w14:paraId="123979DB"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Species</w:t>
            </w:r>
          </w:p>
        </w:tc>
        <w:tc>
          <w:tcPr>
            <w:tcW w:w="825" w:type="dxa"/>
            <w:tcBorders>
              <w:top w:val="nil"/>
              <w:left w:val="nil"/>
              <w:right w:val="nil"/>
            </w:tcBorders>
            <w:tcMar>
              <w:top w:w="100" w:type="dxa"/>
              <w:left w:w="100" w:type="dxa"/>
              <w:bottom w:w="100" w:type="dxa"/>
              <w:right w:w="100" w:type="dxa"/>
            </w:tcMar>
          </w:tcPr>
          <w:p w14:paraId="42047072"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Mass (kDa)</w:t>
            </w:r>
          </w:p>
        </w:tc>
        <w:tc>
          <w:tcPr>
            <w:tcW w:w="585" w:type="dxa"/>
            <w:tcBorders>
              <w:top w:val="nil"/>
              <w:left w:val="nil"/>
              <w:right w:val="nil"/>
            </w:tcBorders>
            <w:tcMar>
              <w:top w:w="100" w:type="dxa"/>
              <w:left w:w="100" w:type="dxa"/>
              <w:bottom w:w="100" w:type="dxa"/>
              <w:right w:w="100" w:type="dxa"/>
            </w:tcMar>
          </w:tcPr>
          <w:p w14:paraId="3F5A8D7F"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w:t>
            </w:r>
          </w:p>
        </w:tc>
        <w:tc>
          <w:tcPr>
            <w:tcW w:w="975" w:type="dxa"/>
            <w:tcBorders>
              <w:top w:val="nil"/>
              <w:left w:val="nil"/>
              <w:right w:val="nil"/>
            </w:tcBorders>
            <w:tcMar>
              <w:top w:w="100" w:type="dxa"/>
              <w:left w:w="100" w:type="dxa"/>
              <w:bottom w:w="100" w:type="dxa"/>
              <w:right w:w="100" w:type="dxa"/>
            </w:tcMar>
          </w:tcPr>
          <w:p w14:paraId="0FF310F0"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Peptides</w:t>
            </w:r>
          </w:p>
        </w:tc>
        <w:tc>
          <w:tcPr>
            <w:tcW w:w="1320" w:type="dxa"/>
            <w:tcBorders>
              <w:top w:val="nil"/>
              <w:left w:val="nil"/>
              <w:right w:val="nil"/>
            </w:tcBorders>
            <w:tcMar>
              <w:top w:w="100" w:type="dxa"/>
              <w:left w:w="100" w:type="dxa"/>
              <w:bottom w:w="100" w:type="dxa"/>
              <w:right w:w="100" w:type="dxa"/>
            </w:tcMar>
          </w:tcPr>
          <w:p w14:paraId="7ADD8BD2"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Peptide</w:t>
            </w:r>
          </w:p>
        </w:tc>
        <w:tc>
          <w:tcPr>
            <w:tcW w:w="915" w:type="dxa"/>
            <w:tcBorders>
              <w:top w:val="nil"/>
              <w:left w:val="nil"/>
              <w:right w:val="nil"/>
            </w:tcBorders>
            <w:tcMar>
              <w:top w:w="100" w:type="dxa"/>
              <w:left w:w="100" w:type="dxa"/>
              <w:bottom w:w="100" w:type="dxa"/>
              <w:right w:w="100" w:type="dxa"/>
            </w:tcMar>
          </w:tcPr>
          <w:p w14:paraId="2049DFD1"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Charge</w:t>
            </w:r>
          </w:p>
        </w:tc>
        <w:tc>
          <w:tcPr>
            <w:tcW w:w="735" w:type="dxa"/>
            <w:tcBorders>
              <w:top w:val="nil"/>
              <w:left w:val="nil"/>
              <w:right w:val="nil"/>
            </w:tcBorders>
            <w:tcMar>
              <w:top w:w="100" w:type="dxa"/>
              <w:left w:w="100" w:type="dxa"/>
              <w:bottom w:w="100" w:type="dxa"/>
              <w:right w:w="100" w:type="dxa"/>
            </w:tcMar>
          </w:tcPr>
          <w:p w14:paraId="4D1C1763"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Score</w:t>
            </w:r>
          </w:p>
        </w:tc>
        <w:tc>
          <w:tcPr>
            <w:tcW w:w="645" w:type="dxa"/>
            <w:tcBorders>
              <w:top w:val="nil"/>
              <w:left w:val="nil"/>
              <w:right w:val="nil"/>
            </w:tcBorders>
            <w:tcMar>
              <w:top w:w="100" w:type="dxa"/>
              <w:left w:w="100" w:type="dxa"/>
              <w:bottom w:w="100" w:type="dxa"/>
              <w:right w:w="100" w:type="dxa"/>
            </w:tcMar>
          </w:tcPr>
          <w:p w14:paraId="49BA0F39"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Peak (%)</w:t>
            </w:r>
          </w:p>
        </w:tc>
        <w:tc>
          <w:tcPr>
            <w:tcW w:w="1005" w:type="dxa"/>
            <w:tcBorders>
              <w:top w:val="nil"/>
              <w:left w:val="nil"/>
              <w:right w:val="nil"/>
            </w:tcBorders>
            <w:tcMar>
              <w:top w:w="100" w:type="dxa"/>
              <w:left w:w="100" w:type="dxa"/>
              <w:bottom w:w="100" w:type="dxa"/>
              <w:right w:w="100" w:type="dxa"/>
            </w:tcMar>
          </w:tcPr>
          <w:p w14:paraId="01E6EAE2" w14:textId="77777777" w:rsidR="00600388"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Intensity</w:t>
            </w:r>
          </w:p>
        </w:tc>
      </w:tr>
      <w:tr w:rsidR="00600388" w14:paraId="6D832F42" w14:textId="77777777">
        <w:tc>
          <w:tcPr>
            <w:tcW w:w="900" w:type="dxa"/>
            <w:tcBorders>
              <w:left w:val="nil"/>
              <w:right w:val="nil"/>
            </w:tcBorders>
            <w:tcMar>
              <w:top w:w="100" w:type="dxa"/>
              <w:left w:w="100" w:type="dxa"/>
              <w:bottom w:w="100" w:type="dxa"/>
              <w:right w:w="100" w:type="dxa"/>
            </w:tcMar>
          </w:tcPr>
          <w:p w14:paraId="71A0DD96"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w:t>
            </w:r>
          </w:p>
        </w:tc>
        <w:tc>
          <w:tcPr>
            <w:tcW w:w="1425" w:type="dxa"/>
            <w:tcBorders>
              <w:left w:val="nil"/>
              <w:right w:val="nil"/>
            </w:tcBorders>
            <w:tcMar>
              <w:top w:w="100" w:type="dxa"/>
              <w:left w:w="100" w:type="dxa"/>
              <w:bottom w:w="100" w:type="dxa"/>
              <w:right w:w="100" w:type="dxa"/>
            </w:tcMar>
          </w:tcPr>
          <w:p w14:paraId="4361BCA7"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A0A061ECS2</w:t>
            </w:r>
          </w:p>
        </w:tc>
        <w:tc>
          <w:tcPr>
            <w:tcW w:w="1305" w:type="dxa"/>
            <w:tcBorders>
              <w:left w:val="nil"/>
              <w:right w:val="nil"/>
            </w:tcBorders>
            <w:tcMar>
              <w:top w:w="100" w:type="dxa"/>
              <w:left w:w="100" w:type="dxa"/>
              <w:bottom w:w="100" w:type="dxa"/>
              <w:right w:w="100" w:type="dxa"/>
            </w:tcMar>
          </w:tcPr>
          <w:p w14:paraId="178F2192"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LRR protein</w:t>
            </w:r>
          </w:p>
        </w:tc>
        <w:tc>
          <w:tcPr>
            <w:tcW w:w="945" w:type="dxa"/>
            <w:tcBorders>
              <w:left w:val="nil"/>
              <w:right w:val="nil"/>
            </w:tcBorders>
            <w:tcMar>
              <w:top w:w="100" w:type="dxa"/>
              <w:left w:w="100" w:type="dxa"/>
              <w:bottom w:w="100" w:type="dxa"/>
              <w:right w:w="100" w:type="dxa"/>
            </w:tcMar>
          </w:tcPr>
          <w:p w14:paraId="69079BC7" w14:textId="77777777" w:rsidR="00600388" w:rsidRDefault="00000000">
            <w:pPr>
              <w:widowControl w:val="0"/>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T. cacao</w:t>
            </w:r>
          </w:p>
        </w:tc>
        <w:tc>
          <w:tcPr>
            <w:tcW w:w="825" w:type="dxa"/>
            <w:tcBorders>
              <w:left w:val="nil"/>
              <w:right w:val="nil"/>
            </w:tcBorders>
            <w:tcMar>
              <w:top w:w="100" w:type="dxa"/>
              <w:left w:w="100" w:type="dxa"/>
              <w:bottom w:w="100" w:type="dxa"/>
              <w:right w:w="100" w:type="dxa"/>
            </w:tcMar>
          </w:tcPr>
          <w:p w14:paraId="63F014E8"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52.42</w:t>
            </w:r>
          </w:p>
        </w:tc>
        <w:tc>
          <w:tcPr>
            <w:tcW w:w="585" w:type="dxa"/>
            <w:tcBorders>
              <w:left w:val="nil"/>
              <w:right w:val="nil"/>
            </w:tcBorders>
            <w:tcMar>
              <w:top w:w="100" w:type="dxa"/>
              <w:left w:w="100" w:type="dxa"/>
              <w:bottom w:w="100" w:type="dxa"/>
              <w:right w:w="100" w:type="dxa"/>
            </w:tcMar>
          </w:tcPr>
          <w:p w14:paraId="0C5EEC8A"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5.78</w:t>
            </w:r>
          </w:p>
        </w:tc>
        <w:tc>
          <w:tcPr>
            <w:tcW w:w="975" w:type="dxa"/>
            <w:tcBorders>
              <w:left w:val="nil"/>
              <w:right w:val="nil"/>
            </w:tcBorders>
            <w:tcMar>
              <w:top w:w="100" w:type="dxa"/>
              <w:left w:w="100" w:type="dxa"/>
              <w:bottom w:w="100" w:type="dxa"/>
              <w:right w:w="100" w:type="dxa"/>
            </w:tcMar>
          </w:tcPr>
          <w:p w14:paraId="30A51EF5"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20" w:type="dxa"/>
            <w:tcBorders>
              <w:left w:val="nil"/>
              <w:right w:val="nil"/>
            </w:tcBorders>
            <w:tcMar>
              <w:top w:w="100" w:type="dxa"/>
              <w:left w:w="100" w:type="dxa"/>
              <w:bottom w:w="100" w:type="dxa"/>
              <w:right w:w="100" w:type="dxa"/>
            </w:tcMar>
          </w:tcPr>
          <w:p w14:paraId="49A17904"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LASLPSLR</w:t>
            </w:r>
          </w:p>
        </w:tc>
        <w:tc>
          <w:tcPr>
            <w:tcW w:w="915" w:type="dxa"/>
            <w:tcBorders>
              <w:left w:val="nil"/>
              <w:right w:val="nil"/>
            </w:tcBorders>
            <w:tcMar>
              <w:top w:w="100" w:type="dxa"/>
              <w:left w:w="100" w:type="dxa"/>
              <w:bottom w:w="100" w:type="dxa"/>
              <w:right w:w="100" w:type="dxa"/>
            </w:tcMar>
          </w:tcPr>
          <w:p w14:paraId="52AC6A64"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5" w:type="dxa"/>
            <w:tcBorders>
              <w:left w:val="nil"/>
              <w:right w:val="nil"/>
            </w:tcBorders>
            <w:tcMar>
              <w:top w:w="100" w:type="dxa"/>
              <w:left w:w="100" w:type="dxa"/>
              <w:bottom w:w="100" w:type="dxa"/>
              <w:right w:w="100" w:type="dxa"/>
            </w:tcMar>
          </w:tcPr>
          <w:p w14:paraId="3B7A534C"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6.69</w:t>
            </w:r>
          </w:p>
        </w:tc>
        <w:tc>
          <w:tcPr>
            <w:tcW w:w="645" w:type="dxa"/>
            <w:tcBorders>
              <w:left w:val="nil"/>
              <w:right w:val="nil"/>
            </w:tcBorders>
            <w:tcMar>
              <w:top w:w="100" w:type="dxa"/>
              <w:left w:w="100" w:type="dxa"/>
              <w:bottom w:w="100" w:type="dxa"/>
              <w:right w:w="100" w:type="dxa"/>
            </w:tcMar>
          </w:tcPr>
          <w:p w14:paraId="5EDA63B3"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75.0</w:t>
            </w:r>
          </w:p>
        </w:tc>
        <w:tc>
          <w:tcPr>
            <w:tcW w:w="1005" w:type="dxa"/>
            <w:tcBorders>
              <w:left w:val="nil"/>
              <w:right w:val="nil"/>
            </w:tcBorders>
            <w:tcMar>
              <w:top w:w="100" w:type="dxa"/>
              <w:left w:w="100" w:type="dxa"/>
              <w:bottom w:w="100" w:type="dxa"/>
              <w:right w:w="100" w:type="dxa"/>
            </w:tcMar>
          </w:tcPr>
          <w:p w14:paraId="7B2FA2BD"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145.000</w:t>
            </w:r>
          </w:p>
        </w:tc>
      </w:tr>
      <w:tr w:rsidR="00600388" w14:paraId="5E73E75B" w14:textId="77777777">
        <w:tc>
          <w:tcPr>
            <w:tcW w:w="900" w:type="dxa"/>
            <w:tcBorders>
              <w:left w:val="nil"/>
              <w:right w:val="nil"/>
            </w:tcBorders>
            <w:tcMar>
              <w:top w:w="100" w:type="dxa"/>
              <w:left w:w="100" w:type="dxa"/>
              <w:bottom w:w="100" w:type="dxa"/>
              <w:right w:w="100" w:type="dxa"/>
            </w:tcMar>
          </w:tcPr>
          <w:p w14:paraId="5CB8E7E4"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LIII</w:t>
            </w:r>
          </w:p>
        </w:tc>
        <w:tc>
          <w:tcPr>
            <w:tcW w:w="1425" w:type="dxa"/>
            <w:tcBorders>
              <w:left w:val="nil"/>
              <w:right w:val="nil"/>
            </w:tcBorders>
            <w:tcMar>
              <w:top w:w="100" w:type="dxa"/>
              <w:left w:w="100" w:type="dxa"/>
              <w:bottom w:w="100" w:type="dxa"/>
              <w:right w:w="100" w:type="dxa"/>
            </w:tcMar>
          </w:tcPr>
          <w:p w14:paraId="3CA50BD7"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A0A061ECS2</w:t>
            </w:r>
          </w:p>
        </w:tc>
        <w:tc>
          <w:tcPr>
            <w:tcW w:w="1305" w:type="dxa"/>
            <w:tcBorders>
              <w:left w:val="nil"/>
              <w:right w:val="nil"/>
            </w:tcBorders>
            <w:tcMar>
              <w:top w:w="100" w:type="dxa"/>
              <w:left w:w="100" w:type="dxa"/>
              <w:bottom w:w="100" w:type="dxa"/>
              <w:right w:w="100" w:type="dxa"/>
            </w:tcMar>
          </w:tcPr>
          <w:p w14:paraId="22C4142B"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LRR protein</w:t>
            </w:r>
          </w:p>
        </w:tc>
        <w:tc>
          <w:tcPr>
            <w:tcW w:w="945" w:type="dxa"/>
            <w:tcBorders>
              <w:left w:val="nil"/>
              <w:right w:val="nil"/>
            </w:tcBorders>
            <w:tcMar>
              <w:top w:w="100" w:type="dxa"/>
              <w:left w:w="100" w:type="dxa"/>
              <w:bottom w:w="100" w:type="dxa"/>
              <w:right w:w="100" w:type="dxa"/>
            </w:tcMar>
          </w:tcPr>
          <w:p w14:paraId="57468006" w14:textId="77777777" w:rsidR="00600388" w:rsidRDefault="00000000">
            <w:pPr>
              <w:widowControl w:val="0"/>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T. cacao</w:t>
            </w:r>
          </w:p>
        </w:tc>
        <w:tc>
          <w:tcPr>
            <w:tcW w:w="825" w:type="dxa"/>
            <w:tcBorders>
              <w:left w:val="nil"/>
              <w:right w:val="nil"/>
            </w:tcBorders>
            <w:tcMar>
              <w:top w:w="100" w:type="dxa"/>
              <w:left w:w="100" w:type="dxa"/>
              <w:bottom w:w="100" w:type="dxa"/>
              <w:right w:w="100" w:type="dxa"/>
            </w:tcMar>
          </w:tcPr>
          <w:p w14:paraId="46AA4E2E"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52.42</w:t>
            </w:r>
          </w:p>
        </w:tc>
        <w:tc>
          <w:tcPr>
            <w:tcW w:w="585" w:type="dxa"/>
            <w:tcBorders>
              <w:left w:val="nil"/>
              <w:right w:val="nil"/>
            </w:tcBorders>
            <w:tcMar>
              <w:top w:w="100" w:type="dxa"/>
              <w:left w:w="100" w:type="dxa"/>
              <w:bottom w:w="100" w:type="dxa"/>
              <w:right w:w="100" w:type="dxa"/>
            </w:tcMar>
          </w:tcPr>
          <w:p w14:paraId="0E86190D"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5.78</w:t>
            </w:r>
          </w:p>
        </w:tc>
        <w:tc>
          <w:tcPr>
            <w:tcW w:w="975" w:type="dxa"/>
            <w:tcBorders>
              <w:left w:val="nil"/>
              <w:right w:val="nil"/>
            </w:tcBorders>
            <w:tcMar>
              <w:top w:w="100" w:type="dxa"/>
              <w:left w:w="100" w:type="dxa"/>
              <w:bottom w:w="100" w:type="dxa"/>
              <w:right w:w="100" w:type="dxa"/>
            </w:tcMar>
          </w:tcPr>
          <w:p w14:paraId="497BAF22"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20" w:type="dxa"/>
            <w:tcBorders>
              <w:left w:val="nil"/>
              <w:right w:val="nil"/>
            </w:tcBorders>
            <w:tcMar>
              <w:top w:w="100" w:type="dxa"/>
              <w:left w:w="100" w:type="dxa"/>
              <w:bottom w:w="100" w:type="dxa"/>
              <w:right w:w="100" w:type="dxa"/>
            </w:tcMar>
          </w:tcPr>
          <w:p w14:paraId="28FA9A06"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LASLPSLR</w:t>
            </w:r>
          </w:p>
        </w:tc>
        <w:tc>
          <w:tcPr>
            <w:tcW w:w="915" w:type="dxa"/>
            <w:tcBorders>
              <w:left w:val="nil"/>
              <w:right w:val="nil"/>
            </w:tcBorders>
            <w:tcMar>
              <w:top w:w="100" w:type="dxa"/>
              <w:left w:w="100" w:type="dxa"/>
              <w:bottom w:w="100" w:type="dxa"/>
              <w:right w:w="100" w:type="dxa"/>
            </w:tcMar>
          </w:tcPr>
          <w:p w14:paraId="30F39685"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5" w:type="dxa"/>
            <w:tcBorders>
              <w:left w:val="nil"/>
              <w:right w:val="nil"/>
            </w:tcBorders>
            <w:tcMar>
              <w:top w:w="100" w:type="dxa"/>
              <w:left w:w="100" w:type="dxa"/>
              <w:bottom w:w="100" w:type="dxa"/>
              <w:right w:w="100" w:type="dxa"/>
            </w:tcMar>
          </w:tcPr>
          <w:p w14:paraId="0BE24AF4"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5.34</w:t>
            </w:r>
          </w:p>
        </w:tc>
        <w:tc>
          <w:tcPr>
            <w:tcW w:w="645" w:type="dxa"/>
            <w:tcBorders>
              <w:left w:val="nil"/>
              <w:right w:val="nil"/>
            </w:tcBorders>
            <w:tcMar>
              <w:top w:w="100" w:type="dxa"/>
              <w:left w:w="100" w:type="dxa"/>
              <w:bottom w:w="100" w:type="dxa"/>
              <w:right w:w="100" w:type="dxa"/>
            </w:tcMar>
          </w:tcPr>
          <w:p w14:paraId="036235EE"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64.7</w:t>
            </w:r>
          </w:p>
        </w:tc>
        <w:tc>
          <w:tcPr>
            <w:tcW w:w="1005" w:type="dxa"/>
            <w:tcBorders>
              <w:left w:val="nil"/>
              <w:right w:val="nil"/>
            </w:tcBorders>
            <w:tcMar>
              <w:top w:w="100" w:type="dxa"/>
              <w:left w:w="100" w:type="dxa"/>
              <w:bottom w:w="100" w:type="dxa"/>
              <w:right w:w="100" w:type="dxa"/>
            </w:tcMar>
          </w:tcPr>
          <w:p w14:paraId="69BBA348" w14:textId="77777777" w:rsidR="00600388"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16.600</w:t>
            </w:r>
          </w:p>
        </w:tc>
      </w:tr>
    </w:tbl>
    <w:p w14:paraId="1F7F84F9" w14:textId="77777777" w:rsidR="00600388" w:rsidRDefault="00600388">
      <w:pPr>
        <w:pStyle w:val="Ttulo2"/>
        <w:keepNext w:val="0"/>
        <w:shd w:val="clear" w:color="auto" w:fill="FFFFFF"/>
        <w:tabs>
          <w:tab w:val="left" w:pos="2130"/>
        </w:tabs>
        <w:spacing w:before="0" w:after="0" w:line="240" w:lineRule="auto"/>
        <w:jc w:val="both"/>
        <w:rPr>
          <w:rFonts w:ascii="Times New Roman" w:eastAsia="Times New Roman" w:hAnsi="Times New Roman" w:cs="Times New Roman"/>
          <w:b/>
          <w:bCs/>
          <w:sz w:val="24"/>
          <w:szCs w:val="24"/>
        </w:rPr>
      </w:pPr>
      <w:bookmarkStart w:id="10" w:name="_qzlmpmkzp5vg" w:colFirst="0" w:colLast="0"/>
      <w:bookmarkEnd w:id="10"/>
    </w:p>
    <w:p w14:paraId="7A1D020B" w14:textId="77777777" w:rsidR="00600388" w:rsidRDefault="00000000">
      <w:pPr>
        <w:tabs>
          <w:tab w:val="left" w:pos="213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Table S4. </w:t>
      </w:r>
      <w:r>
        <w:rPr>
          <w:rFonts w:ascii="Times New Roman" w:eastAsia="Times New Roman" w:hAnsi="Times New Roman" w:cs="Times New Roman"/>
          <w:sz w:val="24"/>
          <w:szCs w:val="24"/>
        </w:rPr>
        <w:t xml:space="preserve">Major Structural and Energetic Interactions of the </w:t>
      </w:r>
      <w:r>
        <w:rPr>
          <w:rFonts w:ascii="Times New Roman" w:eastAsia="Times New Roman" w:hAnsi="Times New Roman" w:cs="Times New Roman"/>
          <w:i/>
          <w:iCs/>
          <w:sz w:val="24"/>
          <w:szCs w:val="24"/>
        </w:rPr>
        <w:t>Mr</w:t>
      </w:r>
      <w:r>
        <w:rPr>
          <w:rFonts w:ascii="Times New Roman" w:eastAsia="Times New Roman" w:hAnsi="Times New Roman" w:cs="Times New Roman"/>
          <w:sz w:val="24"/>
          <w:szCs w:val="24"/>
        </w:rPr>
        <w:t>B3–</w:t>
      </w:r>
      <w:r>
        <w:rPr>
          <w:rFonts w:ascii="Times New Roman" w:eastAsia="Times New Roman" w:hAnsi="Times New Roman" w:cs="Times New Roman"/>
          <w:i/>
          <w:iCs/>
          <w:sz w:val="24"/>
          <w:szCs w:val="24"/>
        </w:rPr>
        <w:t>Tc</w:t>
      </w:r>
      <w:r>
        <w:rPr>
          <w:rFonts w:ascii="Times New Roman" w:eastAsia="Times New Roman" w:hAnsi="Times New Roman" w:cs="Times New Roman"/>
          <w:sz w:val="24"/>
          <w:szCs w:val="24"/>
        </w:rPr>
        <w:t>LRR Complex.</w:t>
      </w:r>
    </w:p>
    <w:tbl>
      <w:tblPr>
        <w:tblStyle w:val="a2"/>
        <w:tblW w:w="5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30"/>
        <w:gridCol w:w="2810"/>
        <w:gridCol w:w="1745"/>
      </w:tblGrid>
      <w:tr w:rsidR="00600388" w14:paraId="4433DE86" w14:textId="77777777">
        <w:trPr>
          <w:trHeight w:val="500"/>
        </w:trPr>
        <w:tc>
          <w:tcPr>
            <w:tcW w:w="1430" w:type="dxa"/>
            <w:tcBorders>
              <w:top w:val="nil"/>
              <w:left w:val="nil"/>
              <w:bottom w:val="single" w:sz="6" w:space="0" w:color="000000"/>
              <w:right w:val="nil"/>
            </w:tcBorders>
            <w:tcMar>
              <w:top w:w="100" w:type="dxa"/>
              <w:left w:w="100" w:type="dxa"/>
              <w:bottom w:w="100" w:type="dxa"/>
              <w:right w:w="100" w:type="dxa"/>
            </w:tcMar>
          </w:tcPr>
          <w:p w14:paraId="45E46C09"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Categoria</w:t>
            </w:r>
          </w:p>
        </w:tc>
        <w:tc>
          <w:tcPr>
            <w:tcW w:w="2810" w:type="dxa"/>
            <w:tcBorders>
              <w:top w:val="nil"/>
              <w:left w:val="nil"/>
              <w:bottom w:val="single" w:sz="6" w:space="0" w:color="000000"/>
              <w:right w:val="nil"/>
            </w:tcBorders>
            <w:tcMar>
              <w:top w:w="100" w:type="dxa"/>
              <w:left w:w="100" w:type="dxa"/>
              <w:bottom w:w="100" w:type="dxa"/>
              <w:right w:w="100" w:type="dxa"/>
            </w:tcMar>
          </w:tcPr>
          <w:p w14:paraId="671181D7"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Parâmetro</w:t>
            </w:r>
          </w:p>
        </w:tc>
        <w:tc>
          <w:tcPr>
            <w:tcW w:w="1745" w:type="dxa"/>
            <w:tcBorders>
              <w:top w:val="nil"/>
              <w:left w:val="nil"/>
              <w:bottom w:val="single" w:sz="6" w:space="0" w:color="000000"/>
              <w:right w:val="nil"/>
            </w:tcBorders>
            <w:tcMar>
              <w:top w:w="100" w:type="dxa"/>
              <w:left w:w="100" w:type="dxa"/>
              <w:bottom w:w="100" w:type="dxa"/>
              <w:right w:w="100" w:type="dxa"/>
            </w:tcMar>
          </w:tcPr>
          <w:p w14:paraId="25AEF684"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Valor</w:t>
            </w:r>
          </w:p>
        </w:tc>
      </w:tr>
      <w:tr w:rsidR="00600388" w14:paraId="229D4899"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14EC99D7" w14:textId="77777777" w:rsidR="00600388" w:rsidRDefault="00000000">
            <w:pPr>
              <w:keepNext/>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HADDOCK</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53D69ACE" w14:textId="77777777" w:rsidR="00600388" w:rsidRDefault="00000000">
            <w:pPr>
              <w:keepNext/>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HADDOCK score</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6AFDB889" w14:textId="77777777" w:rsidR="00600388" w:rsidRDefault="00000000">
            <w:pPr>
              <w:keepNext/>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Gungsuh" w:eastAsia="Gungsuh" w:hAnsi="Gungsuh" w:cs="Gungsuh"/>
                <w:sz w:val="24"/>
                <w:szCs w:val="24"/>
              </w:rPr>
              <w:t>−68.7 ± 2.4</w:t>
            </w:r>
          </w:p>
        </w:tc>
      </w:tr>
      <w:tr w:rsidR="00600388" w14:paraId="7752AD0E"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06F6CD8F" w14:textId="77777777" w:rsidR="00600388" w:rsidRDefault="00000000">
            <w:pPr>
              <w:keepNext/>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HADDOCK</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45388E5D" w14:textId="77777777" w:rsidR="00600388" w:rsidRDefault="00000000">
            <w:pPr>
              <w:keepNext/>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Z-score</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25BA4E18" w14:textId="77777777" w:rsidR="00600388" w:rsidRDefault="00000000">
            <w:pPr>
              <w:keepNext/>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Gungsuh" w:eastAsia="Gungsuh" w:hAnsi="Gungsuh" w:cs="Gungsuh"/>
                <w:sz w:val="24"/>
                <w:szCs w:val="24"/>
              </w:rPr>
              <w:t>−2.6</w:t>
            </w:r>
          </w:p>
        </w:tc>
      </w:tr>
      <w:tr w:rsidR="00600388" w14:paraId="08AD3DEB"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39C5F716"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HADDOCK</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7AA4CA59"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Cluster size</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1EF3C3DA"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600388" w14:paraId="6AF4BE94"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792D0AED"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HADDOCK</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50092CE5"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Cluster convergence</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0B0C1E58"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600388" w14:paraId="33A61028"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4A401ED6"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HADDOCK</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18EBE750"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RMSD</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2D15AD4C"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 ± 0.4 Å</w:t>
            </w:r>
          </w:p>
        </w:tc>
      </w:tr>
      <w:tr w:rsidR="00600388" w14:paraId="410E3C97"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04C69651"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HADDOCK</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5181555A"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Buried Surface Area</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69B432D0"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1511.8 ± 6.3 Å²</w:t>
            </w:r>
          </w:p>
        </w:tc>
      </w:tr>
      <w:tr w:rsidR="00600388" w14:paraId="48EF83BB"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5A373D54"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PRODIGY</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14389C81"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Binding affinity (ΔG)</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5AD8C44C"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Gungsuh" w:eastAsia="Gungsuh" w:hAnsi="Gungsuh" w:cs="Gungsuh"/>
                <w:sz w:val="24"/>
                <w:szCs w:val="24"/>
              </w:rPr>
              <w:t>−12.5 kcal/mol</w:t>
            </w:r>
          </w:p>
        </w:tc>
      </w:tr>
      <w:tr w:rsidR="00600388" w14:paraId="03A278A0" w14:textId="77777777">
        <w:trPr>
          <w:trHeight w:val="515"/>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279D7AE5"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PRODIGY</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5F80747D"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Dissociation constant (Kd)</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5E01BC52"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 × 10⁻¹⁰ M</w:t>
            </w:r>
          </w:p>
        </w:tc>
      </w:tr>
      <w:tr w:rsidR="00600388" w14:paraId="6AE02C6B"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0AFA35A5"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PRODIGY</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3BE8B22A"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Intermolecular contacts</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6907CA13"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r>
      <w:tr w:rsidR="00600388" w14:paraId="7EE7886A"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3514E5D4"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PDBePISA</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7DC1D180"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Interface area</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0F8F1363"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731.4 Å²</w:t>
            </w:r>
          </w:p>
        </w:tc>
      </w:tr>
      <w:tr w:rsidR="00600388" w14:paraId="0131C809"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13694757"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PDBePISA</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48E29F9C"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buried area</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3911F6B1"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1462.8 Å²</w:t>
            </w:r>
          </w:p>
        </w:tc>
      </w:tr>
      <w:tr w:rsidR="00600388" w14:paraId="4097DF16"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6DD3ABAD"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PDBePISA</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6C6E04B5"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ΔiG</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53B77888"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Gungsuh" w:eastAsia="Gungsuh" w:hAnsi="Gungsuh" w:cs="Gungsuh"/>
                <w:sz w:val="24"/>
                <w:szCs w:val="24"/>
              </w:rPr>
              <w:t>−7.5 kcal/mol</w:t>
            </w:r>
          </w:p>
        </w:tc>
      </w:tr>
      <w:tr w:rsidR="00600388" w14:paraId="78EB0A6E"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1D561521"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PDBePISA</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0A754711"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Hydrogen bonds</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503413DE"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00388" w14:paraId="43037AF9" w14:textId="77777777">
        <w:trPr>
          <w:trHeight w:val="500"/>
        </w:trPr>
        <w:tc>
          <w:tcPr>
            <w:tcW w:w="1430" w:type="dxa"/>
            <w:tcBorders>
              <w:top w:val="single" w:sz="6" w:space="0" w:color="000000"/>
              <w:left w:val="nil"/>
              <w:bottom w:val="single" w:sz="6" w:space="0" w:color="000000"/>
              <w:right w:val="nil"/>
            </w:tcBorders>
            <w:tcMar>
              <w:top w:w="100" w:type="dxa"/>
              <w:left w:w="100" w:type="dxa"/>
              <w:bottom w:w="100" w:type="dxa"/>
              <w:right w:w="100" w:type="dxa"/>
            </w:tcMar>
          </w:tcPr>
          <w:p w14:paraId="6BFC158B"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PDBePISA</w:t>
            </w:r>
          </w:p>
        </w:tc>
        <w:tc>
          <w:tcPr>
            <w:tcW w:w="2810" w:type="dxa"/>
            <w:tcBorders>
              <w:top w:val="single" w:sz="6" w:space="0" w:color="000000"/>
              <w:left w:val="nil"/>
              <w:bottom w:val="single" w:sz="6" w:space="0" w:color="000000"/>
              <w:right w:val="nil"/>
            </w:tcBorders>
            <w:tcMar>
              <w:top w:w="100" w:type="dxa"/>
              <w:left w:w="100" w:type="dxa"/>
              <w:bottom w:w="100" w:type="dxa"/>
              <w:right w:w="100" w:type="dxa"/>
            </w:tcMar>
          </w:tcPr>
          <w:p w14:paraId="40D371CD"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Salt bridges</w:t>
            </w:r>
          </w:p>
        </w:tc>
        <w:tc>
          <w:tcPr>
            <w:tcW w:w="1745" w:type="dxa"/>
            <w:tcBorders>
              <w:top w:val="single" w:sz="6" w:space="0" w:color="000000"/>
              <w:left w:val="nil"/>
              <w:bottom w:val="single" w:sz="6" w:space="0" w:color="000000"/>
              <w:right w:val="nil"/>
            </w:tcBorders>
            <w:tcMar>
              <w:top w:w="100" w:type="dxa"/>
              <w:left w:w="100" w:type="dxa"/>
              <w:bottom w:w="100" w:type="dxa"/>
              <w:right w:w="100" w:type="dxa"/>
            </w:tcMar>
          </w:tcPr>
          <w:p w14:paraId="0AC1AC81" w14:textId="77777777" w:rsidR="00600388" w:rsidRDefault="00000000">
            <w:pPr>
              <w:keepLines/>
              <w:shd w:val="clear" w:color="auto" w:fill="FFFFFF"/>
              <w:tabs>
                <w:tab w:val="left" w:pos="213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77917F71" w14:textId="77777777" w:rsidR="00600388" w:rsidRDefault="00600388"/>
    <w:sectPr w:rsidR="00600388">
      <w:headerReference w:type="even" r:id="rId6"/>
      <w:headerReference w:type="default" r:id="rId7"/>
      <w:footerReference w:type="even" r:id="rId8"/>
      <w:footerReference w:type="default" r:id="rId9"/>
      <w:headerReference w:type="first" r:id="rId10"/>
      <w:footerReference w:type="first" r:id="rId11"/>
      <w:pgSz w:w="11906" w:h="16838"/>
      <w:pgMar w:top="1700" w:right="1133" w:bottom="1133"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85EEC1" w14:textId="77777777" w:rsidR="003B3867" w:rsidRDefault="003B3867">
      <w:pPr>
        <w:spacing w:line="240" w:lineRule="auto"/>
      </w:pPr>
      <w:r>
        <w:separator/>
      </w:r>
    </w:p>
  </w:endnote>
  <w:endnote w:type="continuationSeparator" w:id="0">
    <w:p w14:paraId="45B939FA" w14:textId="77777777" w:rsidR="003B3867" w:rsidRDefault="003B3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034E0E73-4EA3-5840-A49B-196BECB0F668}"/>
    <w:embedItalic r:id="rId2" w:fontKey="{379392AA-A3CA-1641-B285-A554F096D59E}"/>
  </w:font>
  <w:font w:name="Times New Roman">
    <w:panose1 w:val="02020603050405020304"/>
    <w:charset w:val="00"/>
    <w:family w:val="roman"/>
    <w:pitch w:val="variable"/>
    <w:sig w:usb0="E0002EFF" w:usb1="C000785B" w:usb2="00000009" w:usb3="00000000" w:csb0="000001FF" w:csb1="00000000"/>
    <w:embedRegular r:id="rId3" w:fontKey="{EB5FFA28-4A5B-D24D-AC48-9D0A4DCBABA4}"/>
    <w:embedBold r:id="rId4" w:fontKey="{5606D84A-7E1C-C04D-9CF4-1E90EFD2FB64}"/>
    <w:embedItalic r:id="rId5" w:fontKey="{F5B657FA-3163-214D-B448-3841A1D02EA5}"/>
    <w:embedBoldItalic r:id="rId6" w:fontKey="{CD724B68-0A60-0045-A93E-A0FFBE773036}"/>
  </w:font>
  <w:font w:name="Gungsuh">
    <w:panose1 w:val="02030600000101010101"/>
    <w:charset w:val="81"/>
    <w:family w:val="roman"/>
    <w:pitch w:val="variable"/>
    <w:sig w:usb0="B00002AF" w:usb1="69D77CFB" w:usb2="00000030" w:usb3="00000000" w:csb0="0008009F" w:csb1="00000000"/>
    <w:embedRegular r:id="rId7" w:subsetted="1" w:fontKey="{EE2C02C3-E7ED-DA45-B609-D246AFBC9399}"/>
  </w:font>
  <w:font w:name="Calibri">
    <w:panose1 w:val="020F0502020204030204"/>
    <w:charset w:val="00"/>
    <w:family w:val="swiss"/>
    <w:pitch w:val="variable"/>
    <w:sig w:usb0="E4002EFF" w:usb1="C000247B" w:usb2="00000009" w:usb3="00000000" w:csb0="000001FF" w:csb1="00000000"/>
    <w:embedRegular r:id="rId8" w:fontKey="{A861DB6D-B725-0348-B1C9-FC650AA4228D}"/>
  </w:font>
  <w:font w:name="Cambria">
    <w:panose1 w:val="02040503050406030204"/>
    <w:charset w:val="00"/>
    <w:family w:val="roman"/>
    <w:pitch w:val="variable"/>
    <w:sig w:usb0="E00006FF" w:usb1="420024FF" w:usb2="02000000" w:usb3="00000000" w:csb0="0000019F" w:csb1="00000000"/>
    <w:embedRegular r:id="rId9" w:fontKey="{ACD21E69-7D65-B549-B55A-6A5A1034C2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B9EF73" w14:textId="77777777" w:rsidR="00B26D5A" w:rsidRDefault="00B26D5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05400" w14:textId="77777777" w:rsidR="00600388" w:rsidRDefault="00000000">
    <w:pPr>
      <w:jc w:val="right"/>
    </w:pPr>
    <w:r>
      <w:fldChar w:fldCharType="begin"/>
    </w:r>
    <w:r>
      <w:instrText>PAGE</w:instrText>
    </w:r>
    <w:r>
      <w:fldChar w:fldCharType="separate"/>
    </w:r>
    <w:r w:rsidR="00B26D5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034B5" w14:textId="77777777" w:rsidR="00B26D5A" w:rsidRDefault="00B26D5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89D463" w14:textId="77777777" w:rsidR="003B3867" w:rsidRDefault="003B3867">
      <w:pPr>
        <w:spacing w:line="240" w:lineRule="auto"/>
      </w:pPr>
      <w:r>
        <w:separator/>
      </w:r>
    </w:p>
  </w:footnote>
  <w:footnote w:type="continuationSeparator" w:id="0">
    <w:p w14:paraId="4C254FFD" w14:textId="77777777" w:rsidR="003B3867" w:rsidRDefault="003B3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80445" w14:textId="77777777" w:rsidR="00B26D5A" w:rsidRDefault="00B26D5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C7FE2" w14:textId="77777777" w:rsidR="00600388" w:rsidRDefault="0060038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6E268" w14:textId="77777777" w:rsidR="00B26D5A" w:rsidRDefault="00B26D5A">
    <w:pPr>
      <w:pStyle w:val="Cabealh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388"/>
    <w:rsid w:val="003B3867"/>
    <w:rsid w:val="0046581C"/>
    <w:rsid w:val="00600388"/>
    <w:rsid w:val="00B26D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847B"/>
  <w15:docId w15:val="{56A0FC67-3215-3343-8823-95CBB035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B26D5A"/>
    <w:pPr>
      <w:tabs>
        <w:tab w:val="center" w:pos="4252"/>
        <w:tab w:val="right" w:pos="8504"/>
      </w:tabs>
      <w:spacing w:line="240" w:lineRule="auto"/>
    </w:pPr>
  </w:style>
  <w:style w:type="character" w:customStyle="1" w:styleId="CabealhoChar">
    <w:name w:val="Cabeçalho Char"/>
    <w:basedOn w:val="Fontepargpadro"/>
    <w:link w:val="Cabealho"/>
    <w:uiPriority w:val="99"/>
    <w:rsid w:val="00B26D5A"/>
  </w:style>
  <w:style w:type="paragraph" w:styleId="Rodap">
    <w:name w:val="footer"/>
    <w:basedOn w:val="Normal"/>
    <w:link w:val="RodapChar"/>
    <w:uiPriority w:val="99"/>
    <w:unhideWhenUsed/>
    <w:rsid w:val="00B26D5A"/>
    <w:pPr>
      <w:tabs>
        <w:tab w:val="center" w:pos="4252"/>
        <w:tab w:val="right" w:pos="8504"/>
      </w:tabs>
      <w:spacing w:line="240" w:lineRule="auto"/>
    </w:pPr>
  </w:style>
  <w:style w:type="character" w:customStyle="1" w:styleId="RodapChar">
    <w:name w:val="Rodapé Char"/>
    <w:basedOn w:val="Fontepargpadro"/>
    <w:link w:val="Rodap"/>
    <w:uiPriority w:val="99"/>
    <w:rsid w:val="00B26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1690</Words>
  <Characters>9129</Characters>
  <Application>Microsoft Office Word</Application>
  <DocSecurity>0</DocSecurity>
  <Lines>76</Lines>
  <Paragraphs>21</Paragraphs>
  <ScaleCrop>false</ScaleCrop>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PirovaniCP</cp:lastModifiedBy>
  <cp:revision>2</cp:revision>
  <dcterms:created xsi:type="dcterms:W3CDTF">2026-10-10T20:53:00Z</dcterms:created>
  <dcterms:modified xsi:type="dcterms:W3CDTF">2026-10-10T20:53:00Z</dcterms:modified>
</cp:coreProperties>
</file>