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41B8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10. CARE Checklist</w:t>
      </w:r>
    </w:p>
    <w:p w14:paraId="6D621A2A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1. Title</w:t>
      </w:r>
    </w:p>
    <w:p w14:paraId="6792B3CB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Successful Trastuzumab Deruxtecan Treatment After Adjuvant Trastuzumab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Induced Heart Failure: A Case Report</w:t>
      </w:r>
    </w:p>
    <w:p w14:paraId="02085A60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2. Keywords</w:t>
      </w:r>
    </w:p>
    <w:p w14:paraId="157FD05F" w14:textId="77777777" w:rsidR="00B33C49" w:rsidRPr="000429A2" w:rsidRDefault="00B33C49" w:rsidP="00B33C49">
      <w:pPr>
        <w:rPr>
          <w:rFonts w:ascii="MS Gothic" w:eastAsia="MS Gothic" w:hAnsi="MS Gothic"/>
          <w:color w:val="000000" w:themeColor="text1"/>
          <w:sz w:val="28"/>
          <w:szCs w:val="28"/>
        </w:rPr>
      </w:pPr>
      <w:r w:rsidRPr="000429A2">
        <w:rPr>
          <w:rStyle w:val="keyword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>trastuzumab deruxtecan (T-DXd)</w:t>
      </w:r>
      <w:r w:rsidRPr="000429A2">
        <w:rPr>
          <w:rStyle w:val="keywordseparator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 xml:space="preserve">; </w:t>
      </w:r>
      <w:r w:rsidRPr="000429A2">
        <w:rPr>
          <w:rStyle w:val="keyword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>breast cancer</w:t>
      </w:r>
      <w:r w:rsidRPr="000429A2">
        <w:rPr>
          <w:rStyle w:val="keywordseparator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 xml:space="preserve">; </w:t>
      </w:r>
      <w:r w:rsidRPr="000429A2">
        <w:rPr>
          <w:rStyle w:val="keyword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>human epidermal growth factor receptor 2-positive (HER2-positive)</w:t>
      </w:r>
      <w:r w:rsidRPr="000429A2">
        <w:rPr>
          <w:rStyle w:val="keywordseparator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 xml:space="preserve">; </w:t>
      </w:r>
      <w:r w:rsidRPr="000429A2">
        <w:rPr>
          <w:rStyle w:val="keyword"/>
          <w:rFonts w:ascii="MS Gothic" w:eastAsia="MS Gothic" w:hAnsi="MS Gothic" w:cs="Arial"/>
          <w:color w:val="000000" w:themeColor="text1"/>
          <w:sz w:val="28"/>
          <w:szCs w:val="28"/>
          <w:shd w:val="clear" w:color="auto" w:fill="FFFFFF"/>
        </w:rPr>
        <w:t>case report</w:t>
      </w:r>
    </w:p>
    <w:p w14:paraId="63698888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3. Abstract</w:t>
      </w:r>
    </w:p>
    <w:p w14:paraId="62A7A6D7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Structured abstract provided (Background, Case Presentation, Conclusions).</w:t>
      </w:r>
    </w:p>
    <w:p w14:paraId="54B8735A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4. Introduction</w:t>
      </w:r>
    </w:p>
    <w:p w14:paraId="432E1717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Clinical background of trastuzumab cardiotoxicity, HER2 re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challenge, and T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DXd safety profile described.</w:t>
      </w:r>
    </w:p>
    <w:p w14:paraId="5A38AD90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5. Patient Information</w:t>
      </w:r>
    </w:p>
    <w:p w14:paraId="4B674FD8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lastRenderedPageBreak/>
        <w:t>79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year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old woman; history of right breast cancer; prior mastectomy and axillary dissection; endocrine therapy; chest wall recurrence; comorbidities not contributing to cardiac dysfunction.</w:t>
      </w:r>
    </w:p>
    <w:p w14:paraId="556EE5D6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6. Clinical Findings</w:t>
      </w:r>
    </w:p>
    <w:p w14:paraId="1A7430D1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Dyspnea during HP therapy; LVEF 33%; hepatic metastasis; progression on multiple therapies.</w:t>
      </w:r>
    </w:p>
    <w:p w14:paraId="76816EE1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7. Timeline</w:t>
      </w:r>
    </w:p>
    <w:p w14:paraId="5E87AD57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A chronological timeline of diagnosis, treatments (ddAC → weekly paclitaxel + HP → endocrine therapy → fulvestrant/CDK4/6 inhibitor → eribulin → weekly paclitaxel + bevacizumab → T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DXd), ILD event, response duration, and final outcome is provided.</w:t>
      </w:r>
    </w:p>
    <w:p w14:paraId="1611C956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8. Diagnostic Assessment</w:t>
      </w:r>
    </w:p>
    <w:p w14:paraId="43659CD8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Echocardiography confirming LVEF 33%; imaging showing hepatic progression; no alternative diagnoses.</w:t>
      </w:r>
    </w:p>
    <w:p w14:paraId="2C3ED194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lastRenderedPageBreak/>
        <w:t>9. Therapeutic Interventions</w:t>
      </w:r>
    </w:p>
    <w:p w14:paraId="00FADCB5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Heart failure management; discontinuation of HER2 therapy; endocrine therapy; sequential chemotherapy; initiation of T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DXd; ILD management with treatment interruption and dose reduction.</w:t>
      </w:r>
    </w:p>
    <w:p w14:paraId="32F1B93D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10. Follow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up and Outcomes</w:t>
      </w:r>
    </w:p>
    <w:p w14:paraId="7E5C1673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Cardiac function remained stable during T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DXd; sustained tumor response for 10 months; eventual progression; final therapies; patient passed away at home one week after last clinic visit.</w:t>
      </w:r>
    </w:p>
    <w:p w14:paraId="2DD63573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11. Discussion</w:t>
      </w:r>
    </w:p>
    <w:p w14:paraId="0DCD3BCC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Reversibility of trastuzumab cardiotoxicity; feasibility of HER2 re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challenge after EF recovery; limited evidence for T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DXd in heart failure patients; importance of cardio</w:t>
      </w:r>
      <w:r w:rsidRPr="000429A2">
        <w:rPr>
          <w:rFonts w:ascii="MS Gothic" w:eastAsia="MS Gothic" w:hAnsi="MS Gothic" w:cs="MS PGothic"/>
          <w:kern w:val="0"/>
          <w:sz w:val="28"/>
          <w:szCs w:val="28"/>
        </w:rPr>
        <w:noBreakHyphen/>
        <w:t>oncology collaboration.</w:t>
      </w:r>
    </w:p>
    <w:p w14:paraId="157BAB5F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12. Patient Perspective</w:t>
      </w:r>
    </w:p>
    <w:p w14:paraId="446A2012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lastRenderedPageBreak/>
        <w:t>The patient hoped to live long enough to see her grandchild, a wish that was fulfilled. She valued maintaining daily function and avoiding alopecia. After her passing, her family expressed deep gratitude for the care that allowed meaningful time together.</w:t>
      </w:r>
    </w:p>
    <w:p w14:paraId="365D3419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outlineLvl w:val="2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13. Informed Consent</w:t>
      </w:r>
    </w:p>
    <w:p w14:paraId="30A46997" w14:textId="77777777" w:rsidR="00B33C49" w:rsidRPr="000429A2" w:rsidRDefault="00B33C49" w:rsidP="00B33C49">
      <w:pPr>
        <w:widowControl/>
        <w:spacing w:before="100" w:beforeAutospacing="1" w:after="100" w:afterAutospacing="1"/>
        <w:jc w:val="left"/>
        <w:rPr>
          <w:rFonts w:ascii="MS Gothic" w:eastAsia="MS Gothic" w:hAnsi="MS Gothic" w:cs="MS PGothic"/>
          <w:kern w:val="0"/>
          <w:sz w:val="28"/>
          <w:szCs w:val="28"/>
        </w:rPr>
      </w:pPr>
      <w:r w:rsidRPr="000429A2">
        <w:rPr>
          <w:rFonts w:ascii="MS Gothic" w:eastAsia="MS Gothic" w:hAnsi="MS Gothic" w:cs="MS PGothic"/>
          <w:kern w:val="0"/>
          <w:sz w:val="28"/>
          <w:szCs w:val="28"/>
        </w:rPr>
        <w:t>The patient is deceased. All identifying information has been fully anonymized. According to journal policy, consent for publication was waived.</w:t>
      </w:r>
    </w:p>
    <w:p w14:paraId="7FC68AC2" w14:textId="77777777" w:rsidR="008B07A6" w:rsidRDefault="008B07A6"/>
    <w:sectPr w:rsidR="008B07A6" w:rsidSect="00B33C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49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33C49"/>
    <w:rsid w:val="00BF13F9"/>
    <w:rsid w:val="00CE738E"/>
    <w:rsid w:val="00D31E7D"/>
    <w:rsid w:val="00DD19F4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F5525"/>
  <w15:chartTrackingRefBased/>
  <w15:docId w15:val="{65B83323-6506-4BD1-984E-42135786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49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C49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C49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C49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C49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C49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C49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C49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C49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C49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C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C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C49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3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C49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3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C49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3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C49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3C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C4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C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C49"/>
    <w:rPr>
      <w:b/>
      <w:bCs/>
      <w:smallCaps/>
      <w:color w:val="0F4761" w:themeColor="accent1" w:themeShade="BF"/>
      <w:spacing w:val="5"/>
    </w:rPr>
  </w:style>
  <w:style w:type="character" w:customStyle="1" w:styleId="keyword">
    <w:name w:val="keyword"/>
    <w:basedOn w:val="DefaultParagraphFont"/>
    <w:rsid w:val="00B33C49"/>
  </w:style>
  <w:style w:type="character" w:customStyle="1" w:styleId="keywordseparator">
    <w:name w:val="keyword_separator"/>
    <w:basedOn w:val="DefaultParagraphFont"/>
    <w:rsid w:val="00B33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2026-10-13T07:32:00Z</dcterms:created>
  <dcterms:modified xsi:type="dcterms:W3CDTF">2026-10-13T07:32:00Z</dcterms:modified>
</cp:coreProperties>
</file>