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Arial" w:hAnsi="Arial"/>
          <w:b/>
          <w:color w:val="0B2545"/>
          <w:sz w:val="24"/>
        </w:rPr>
        <w:t>Table 1. Clinicopathologic characteristics according to AKT1/PIK3CA hotspot-mutation group</w:t>
      </w:r>
    </w:p>
    <w:p>
      <w:pPr>
        <w:spacing w:after="100"/>
      </w:pPr>
      <w:r>
        <w:rPr>
          <w:rFonts w:ascii="Arial" w:hAnsi="Arial"/>
          <w:i/>
          <w:color w:val="5A5A5A"/>
          <w:sz w:val="17"/>
        </w:rPr>
        <w:t>METABRIC discovery cohort and TCGA-BRCA independent validation cohort</w:t>
      </w:r>
    </w:p>
    <w:p>
      <w:pPr>
        <w:spacing w:before="80" w:after="100"/>
      </w:pPr>
      <w:r>
        <w:rPr>
          <w:rFonts w:ascii="Arial" w:hAnsi="Arial"/>
          <w:b/>
          <w:color w:val="1F4D78"/>
          <w:sz w:val="21"/>
        </w:rPr>
        <w:t>Panel A. METABRIC</w:t>
      </w:r>
    </w:p>
    <w:tbl>
      <w:tblPr>
        <w:tblW w:type="dxa" w:w="9760"/>
        <w:jc w:val="left"/>
        <w:tblLayout w:type="fixed"/>
        <w:tblLook w:firstColumn="1" w:firstRow="1" w:lastColumn="0" w:lastRow="0" w:noHBand="0" w:noVBand="1" w:val="04A0"/>
        <w:tblBorders>
          <w:top w:val="single" w:sz="10" w:color="1F4D78"/>
          <w:bottom w:val="single" w:sz="10" w:color="1F4D78"/>
          <w:insideH w:val="single" w:sz="4" w:color="D9E1F2"/>
          <w:left w:val="nil" w:sz="0" w:color="FFFFFF"/>
          <w:right w:val="nil" w:sz="0" w:color="FFFFFF"/>
          <w:insideV w:val="nil" w:sz="0" w:color="FFFFFF"/>
        </w:tblBorders>
      </w:tblPr>
      <w:tblGrid>
        <w:gridCol w:w="2350"/>
        <w:gridCol w:w="1700"/>
        <w:gridCol w:w="1550"/>
        <w:gridCol w:w="1800"/>
        <w:gridCol w:w="1550"/>
        <w:gridCol w:w="810"/>
      </w:tblGrid>
      <w:tr>
        <w:trPr>
          <w:tblHeader w:val="true"/>
        </w:trPr>
        <w:tc>
          <w:tcPr>
            <w:tcW w:type="dxa" w:w="235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Characteristic</w:t>
            </w:r>
          </w:p>
        </w:tc>
        <w:tc>
          <w:tcPr>
            <w:tcW w:type="dxa" w:w="170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Level</w:t>
            </w:r>
          </w:p>
        </w:tc>
        <w:tc>
          <w:tcPr>
            <w:tcW w:type="dxa" w:w="155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AKT1-mut</w:t>
              <w:br/>
              <w:t>(N=79)</w:t>
            </w:r>
          </w:p>
        </w:tc>
        <w:tc>
          <w:tcPr>
            <w:tcW w:type="dxa" w:w="180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PIK3CA-mut only</w:t>
              <w:br/>
              <w:t>(N=733)</w:t>
            </w:r>
          </w:p>
        </w:tc>
        <w:tc>
          <w:tcPr>
            <w:tcW w:type="dxa" w:w="155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Pair-WT</w:t>
              <w:br/>
              <w:t>(N=1621)</w:t>
            </w:r>
          </w:p>
        </w:tc>
        <w:tc>
          <w:tcPr>
            <w:tcW w:type="dxa" w:w="81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 value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Age at diagnosis, years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Median [Q1, Q3]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65.2 [53.6, 72.3]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62.4 [52.8, 70.7]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60.5 [50.0, 69.6]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Menopausal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Premenopausal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11 (17.5%)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112 (18.8%)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288 (23.1%)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0.081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Postmenopausal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52 (82.5%)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483 (81.2%)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958 (76.9%)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Estrogen receptor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Positive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69 (87.3%)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610 (84.7%)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1099 (68.9%)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Negative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 (12.7%)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110 (15.3%)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495 (31.1%)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Progesterone receptor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Positive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45 (71.4%)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403 (67.7%)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561 (45.0%)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Negative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18 (28.6%)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192 (32.3%)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685 (55.0%)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HER2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Positive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 (0.0%)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54 (9.1%)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182 (14.6%)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Negative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63 (100.0%)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541 (90.9%)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1064 (85.4%)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PAM50 subtype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Luminal A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31 (50.8%)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298 (50.2%)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350 (28.2%)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Luminal B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14 (23.0%)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109 (18.4%)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338 (27.2%)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HER2-enriched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 (11.5%)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66 (11.1%)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147 (11.8%)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Basal-like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 (3.3%)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20 (3.4%)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177 (14.2%)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Normal-like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 (4.9%)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62 (10.4%)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75 (6.0%)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Claudin-low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 (6.6%)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39 (6.6%)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156 (12.6%)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Histologic type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Invasive ductal/NST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62 (82.7%)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516 (72.6%)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1195 (77.5%)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Invasive lobular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 (5.3%)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58 (8.2%)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126 (8.2%)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Mixed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8 (10.7%)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111 (15.6%)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146 (9.5%)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Other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 (1.3%)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26 (3.7%)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74 (4.8%)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Pathologic stage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0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 (1.8%)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 (0.6%)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12 (1.1%)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0.601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16 (28.1%)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185 (34.6%)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403 (35.5%)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II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37 (64.9%)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303 (56.7%)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614 (54.1%)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III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 (5.3%)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39 (7.3%)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99 (8.7%)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IV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 (0.0%)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 (0.7%)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 (0.5%)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Histologic grade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 (6.7%)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105 (14.9%)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100 (6.5%)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44 (58.7%)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343 (48.8%)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558 (36.0%)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26 (34.7%)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255 (36.3%)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892 (57.5%)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r>
        <w:br w:type="page"/>
      </w:r>
    </w:p>
    <w:p>
      <w:pPr>
        <w:spacing w:before="80" w:after="100"/>
      </w:pPr>
      <w:r>
        <w:rPr>
          <w:rFonts w:ascii="Arial" w:hAnsi="Arial"/>
          <w:b/>
          <w:color w:val="1F4D78"/>
          <w:sz w:val="21"/>
        </w:rPr>
        <w:t>Panel B. TCGA</w:t>
      </w:r>
    </w:p>
    <w:tbl>
      <w:tblPr>
        <w:tblW w:type="dxa" w:w="9760"/>
        <w:jc w:val="left"/>
        <w:tblLayout w:type="fixed"/>
        <w:tblLook w:firstColumn="1" w:firstRow="1" w:lastColumn="0" w:lastRow="0" w:noHBand="0" w:noVBand="1" w:val="04A0"/>
        <w:tblBorders>
          <w:top w:val="single" w:sz="10" w:color="1F4D78"/>
          <w:bottom w:val="single" w:sz="10" w:color="1F4D78"/>
          <w:insideH w:val="single" w:sz="4" w:color="D9E1F2"/>
          <w:left w:val="nil" w:sz="0" w:color="FFFFFF"/>
          <w:right w:val="nil" w:sz="0" w:color="FFFFFF"/>
          <w:insideV w:val="nil" w:sz="0" w:color="FFFFFF"/>
        </w:tblBorders>
      </w:tblPr>
      <w:tblGrid>
        <w:gridCol w:w="2350"/>
        <w:gridCol w:w="1700"/>
        <w:gridCol w:w="1550"/>
        <w:gridCol w:w="1800"/>
        <w:gridCol w:w="1550"/>
        <w:gridCol w:w="810"/>
      </w:tblGrid>
      <w:tr>
        <w:trPr>
          <w:tblHeader w:val="true"/>
        </w:trPr>
        <w:tc>
          <w:tcPr>
            <w:tcW w:type="dxa" w:w="235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Characteristic</w:t>
            </w:r>
          </w:p>
        </w:tc>
        <w:tc>
          <w:tcPr>
            <w:tcW w:type="dxa" w:w="170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Level</w:t>
            </w:r>
          </w:p>
        </w:tc>
        <w:tc>
          <w:tcPr>
            <w:tcW w:type="dxa" w:w="155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AKT1-mut</w:t>
              <w:br/>
              <w:t>(N=19)</w:t>
            </w:r>
          </w:p>
        </w:tc>
        <w:tc>
          <w:tcPr>
            <w:tcW w:type="dxa" w:w="180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PIK3CA-mut only</w:t>
              <w:br/>
              <w:t>(N=209)</w:t>
            </w:r>
          </w:p>
        </w:tc>
        <w:tc>
          <w:tcPr>
            <w:tcW w:type="dxa" w:w="155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Pair-WT</w:t>
              <w:br/>
              <w:t>(N=588)</w:t>
            </w:r>
          </w:p>
        </w:tc>
        <w:tc>
          <w:tcPr>
            <w:tcW w:type="dxa" w:w="810"/>
            <w:shd w:fill="DCE6F1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 value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Age at diagnosis, years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Median [Q1, Q3]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50.0 [44.0, 57.0]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60.0 [50.0, 71.0]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59.0 [48.5, 67.0]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0.008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Menopausal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Premenopausal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 (27.8%)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45 (22.7%)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114 (20.9%)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0.054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Perimenopausal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 (11.1%)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8 (4.0%)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20 (3.7%)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Postmenopausal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8 (44.4%)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140 (70.7%)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390 (71.6%)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Indeterminate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 (16.7%)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 (2.5%)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21 (3.9%)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Estrogen receptor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Positive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19 (100.0%)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180 (91.4%)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401 (71.7%)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Negative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 (0.0%)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17 (8.6%)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158 (28.3%)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Progesterone receptor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Positive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16 (88.9%)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166 (84.3%)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339 (60.9%)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Negative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 (11.1%)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31 (15.7%)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218 (39.1%)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HER2 status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Positive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 (5.9%)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32 (18.0%)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107 (20.9%)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0.289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Negative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16 (94.1%)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146 (82.0%)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406 (79.1%)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PAM50 subtype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Luminal A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13 (76.5%)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108 (68.8%)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185 (44.9%)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&lt;0.001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Luminal B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 (17.6%)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33 (21.0%)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86 (20.9%)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HER2-enriched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 (5.9%)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12 (7.6%)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38 (9.2%)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Basal-like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 (0.0%)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 (2.5%)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103 (25.0%)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Histologic type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Invasive ductal/NST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15 (78.9%)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144 (68.9%)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418 (71.1%)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0.013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Invasive lobular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 (10.5%)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46 (22.0%)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79 (13.4%)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Other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 (10.5%)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19 (9.1%)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91 (15.5%)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sz w:val="15"/>
              </w:rPr>
              <w:t>Pathologic stage</w:t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 (33.3%)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39 (19.2%)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95 (16.5%)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0.487</w:t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II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 (38.9%)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116 (57.1%)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337 (58.5%)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III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 (27.8%)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44 (21.7%)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135 (23.4%)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2350"/>
            <w:shd w:fill="EEF3F8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ind w:left="115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IV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0 (0.0%)</w:t>
            </w:r>
          </w:p>
        </w:tc>
        <w:tc>
          <w:tcPr>
            <w:tcW w:type="dxa" w:w="180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 (2.0%)</w:t>
            </w:r>
          </w:p>
        </w:tc>
        <w:tc>
          <w:tcPr>
            <w:tcW w:type="dxa" w:w="155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 (1.6%)</w:t>
            </w:r>
          </w:p>
        </w:tc>
        <w:tc>
          <w:tcPr>
            <w:tcW w:type="dxa" w:w="810"/>
            <w:vAlign w:val="center"/>
            <w:tcMar>
              <w:top w:w="28" w:type="dxa"/>
              <w:start w:w="70" w:type="dxa"/>
              <w:bottom w:w="28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before="100" w:after="0" w:line="240" w:lineRule="auto"/>
      </w:pPr>
      <w:r>
        <w:rPr>
          <w:rFonts w:ascii="Arial" w:hAnsi="Arial"/>
          <w:sz w:val="15"/>
        </w:rPr>
        <w:t>Data are median [Q1, Q3] or n (% among non-missing observations). Percentages exclude missing values; complete missingness is reported in Supplementary Table S2. P values compare all three groups within each cohort using Kruskal-Wallis, Pearson chi-square, or Fisher exact tests with Monte Carlo estimation, as appropriate. Cohorts were not pooled. The AKT1-mut group includes the single AKT1/PIK3CA co-mutant TCGA tumor. Abbreviations: HER2, human epidermal growth factor receptor 2; IDC, invasive ductal carcinoma; ILC, invasive lobular carcinoma; NST, no special type; WT, wild type.</w:t>
      </w:r>
    </w:p>
    <w:sectPr w:rsidR="00FC693F" w:rsidRPr="0006063C" w:rsidSect="00034616">
      <w:footerReference w:type="default" r:id="rId9"/>
      <w:pgSz w:w="15840" w:h="12240" w:orient="landscape"/>
      <w:pgMar w:top="432" w:right="792" w:bottom="490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