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14C25" w14:textId="4657E581" w:rsidR="00606F42" w:rsidRPr="004F37B2" w:rsidRDefault="00606F42">
      <w:pPr>
        <w:rPr>
          <w:sz w:val="22"/>
          <w:szCs w:val="22"/>
          <w:lang w:val="en-US"/>
        </w:rPr>
      </w:pPr>
      <w:r w:rsidRPr="004F37B2">
        <w:rPr>
          <w:sz w:val="22"/>
          <w:szCs w:val="22"/>
          <w:lang w:val="en-US"/>
        </w:rPr>
        <w:t>Dear editor and editorial board</w:t>
      </w:r>
    </w:p>
    <w:p w14:paraId="658A6894" w14:textId="6F2424C3" w:rsidR="00606F42" w:rsidRPr="00606F42" w:rsidRDefault="00606F42">
      <w:pPr>
        <w:rPr>
          <w:sz w:val="22"/>
          <w:szCs w:val="22"/>
          <w:lang w:val="en-US"/>
        </w:rPr>
      </w:pPr>
      <w:r w:rsidRPr="00606F42">
        <w:rPr>
          <w:sz w:val="22"/>
          <w:szCs w:val="22"/>
          <w:lang w:val="en-US"/>
        </w:rPr>
        <w:t xml:space="preserve">I would like to submit my recently </w:t>
      </w:r>
      <w:proofErr w:type="spellStart"/>
      <w:r w:rsidRPr="00606F42">
        <w:rPr>
          <w:sz w:val="22"/>
          <w:szCs w:val="22"/>
          <w:lang w:val="en-US"/>
        </w:rPr>
        <w:t>finalised</w:t>
      </w:r>
      <w:proofErr w:type="spellEnd"/>
      <w:r w:rsidRPr="00606F42">
        <w:rPr>
          <w:sz w:val="22"/>
          <w:szCs w:val="22"/>
          <w:lang w:val="en-US"/>
        </w:rPr>
        <w:t xml:space="preserve"> manuscript “No Longer Just Fiscal Watchdogs: The Evolving Role of Independent Fiscal Institutions” for consideration of publication. </w:t>
      </w:r>
    </w:p>
    <w:p w14:paraId="0F2BF340" w14:textId="4255D716" w:rsidR="00606F42" w:rsidRPr="00606F42" w:rsidRDefault="00606F42">
      <w:pPr>
        <w:rPr>
          <w:sz w:val="22"/>
          <w:szCs w:val="22"/>
          <w:lang w:val="en-US"/>
        </w:rPr>
      </w:pPr>
      <w:r w:rsidRPr="00606F42">
        <w:rPr>
          <w:sz w:val="22"/>
          <w:szCs w:val="22"/>
          <w:lang w:val="en-US"/>
        </w:rPr>
        <w:t xml:space="preserve">The manuscript studies the changing role of independent fiscal institutions (IFIs). </w:t>
      </w:r>
      <w:r w:rsidRPr="00606F42">
        <w:rPr>
          <w:sz w:val="22"/>
          <w:szCs w:val="22"/>
          <w:lang w:val="en-US"/>
        </w:rPr>
        <w:br/>
        <w:t xml:space="preserve">While they have traditionally been </w:t>
      </w:r>
      <w:proofErr w:type="spellStart"/>
      <w:r w:rsidRPr="00606F42">
        <w:rPr>
          <w:sz w:val="22"/>
          <w:szCs w:val="22"/>
          <w:lang w:val="en-US"/>
        </w:rPr>
        <w:t>conceptualised</w:t>
      </w:r>
      <w:proofErr w:type="spellEnd"/>
      <w:r w:rsidRPr="00606F42">
        <w:rPr>
          <w:sz w:val="22"/>
          <w:szCs w:val="22"/>
          <w:lang w:val="en-US"/>
        </w:rPr>
        <w:t xml:space="preserve"> primarily as “fiscal watchdogs” responsible for monitoring compliance with numerical fiscal rules, the paper argues that this description has become increasingly incomplete. Drawing on a panel covering all 38 OECD countries over 1970–2024, together with annual data on IFI mandates, the paper studies both why countries establish IFIs and how their functions evolve after adoption.</w:t>
      </w:r>
    </w:p>
    <w:p w14:paraId="7A0AB16F" w14:textId="21A9984A" w:rsidR="00606F42" w:rsidRPr="00606F42" w:rsidRDefault="00606F42">
      <w:pPr>
        <w:rPr>
          <w:sz w:val="22"/>
          <w:szCs w:val="22"/>
          <w:lang w:val="en-US"/>
        </w:rPr>
      </w:pPr>
      <w:r w:rsidRPr="00606F42">
        <w:rPr>
          <w:sz w:val="22"/>
          <w:szCs w:val="22"/>
          <w:lang w:val="en-US"/>
        </w:rPr>
        <w:t>I believe that the paper would be of interest to readers concerned with the design and effectiveness of fiscal institutions and with the evolving architecture of fiscal governance in OECD and European countries.</w:t>
      </w:r>
    </w:p>
    <w:p w14:paraId="73F56FF1" w14:textId="35D498AB" w:rsidR="00606F42" w:rsidRPr="00606F42" w:rsidRDefault="00606F42" w:rsidP="00606F42">
      <w:pPr>
        <w:rPr>
          <w:sz w:val="22"/>
          <w:szCs w:val="22"/>
          <w:lang w:val="en-US"/>
        </w:rPr>
      </w:pPr>
      <w:r w:rsidRPr="00606F42">
        <w:rPr>
          <w:sz w:val="22"/>
          <w:szCs w:val="22"/>
          <w:lang w:val="en-US"/>
        </w:rPr>
        <w:t>The manuscript makes three main contributions to literature:</w:t>
      </w:r>
    </w:p>
    <w:p w14:paraId="53D81A1D" w14:textId="7AEAE064" w:rsidR="00606F42" w:rsidRPr="00606F42" w:rsidRDefault="00606F42" w:rsidP="00606F42">
      <w:pPr>
        <w:pStyle w:val="ListParagraph"/>
        <w:numPr>
          <w:ilvl w:val="0"/>
          <w:numId w:val="1"/>
        </w:numPr>
        <w:rPr>
          <w:sz w:val="22"/>
          <w:szCs w:val="22"/>
          <w:lang w:val="en-US"/>
        </w:rPr>
      </w:pPr>
      <w:r>
        <w:rPr>
          <w:sz w:val="22"/>
          <w:szCs w:val="22"/>
          <w:lang w:val="en-US"/>
        </w:rPr>
        <w:t>It</w:t>
      </w:r>
      <w:r w:rsidRPr="00606F42">
        <w:rPr>
          <w:sz w:val="22"/>
          <w:szCs w:val="22"/>
          <w:lang w:val="en-US"/>
        </w:rPr>
        <w:t xml:space="preserve"> shows that IFI adoption is driven primarily by EMU membership and peer diffusion rather than domestic fiscal distress, highlighting the importance of institutional and reputational mechanisms.</w:t>
      </w:r>
    </w:p>
    <w:p w14:paraId="095CEECC" w14:textId="28772F7B" w:rsidR="00606F42" w:rsidRPr="00606F42" w:rsidRDefault="00606F42" w:rsidP="00606F42">
      <w:pPr>
        <w:pStyle w:val="ListParagraph"/>
        <w:numPr>
          <w:ilvl w:val="0"/>
          <w:numId w:val="1"/>
        </w:numPr>
        <w:rPr>
          <w:sz w:val="22"/>
          <w:szCs w:val="22"/>
          <w:lang w:val="en-US"/>
        </w:rPr>
      </w:pPr>
      <w:r>
        <w:rPr>
          <w:sz w:val="22"/>
          <w:szCs w:val="22"/>
          <w:lang w:val="en-US"/>
        </w:rPr>
        <w:t>It</w:t>
      </w:r>
      <w:r w:rsidRPr="00606F42">
        <w:rPr>
          <w:sz w:val="22"/>
          <w:szCs w:val="22"/>
          <w:lang w:val="en-US"/>
        </w:rPr>
        <w:t xml:space="preserve"> also documents the substantial broadening of IFI mandates over time, particularly the expansion of analytical and information-provision functions beyond traditional fiscal-rule monitoring.</w:t>
      </w:r>
    </w:p>
    <w:p w14:paraId="6DA17626" w14:textId="4DFBE529" w:rsidR="00606F42" w:rsidRPr="00606F42" w:rsidRDefault="00606F42" w:rsidP="00606F42">
      <w:pPr>
        <w:pStyle w:val="ListParagraph"/>
        <w:numPr>
          <w:ilvl w:val="0"/>
          <w:numId w:val="1"/>
        </w:numPr>
        <w:rPr>
          <w:sz w:val="22"/>
          <w:szCs w:val="22"/>
          <w:lang w:val="en-US"/>
        </w:rPr>
      </w:pPr>
      <w:r w:rsidRPr="00606F42">
        <w:rPr>
          <w:sz w:val="22"/>
          <w:szCs w:val="22"/>
          <w:lang w:val="en-US"/>
        </w:rPr>
        <w:t xml:space="preserve">Finally, </w:t>
      </w:r>
      <w:r>
        <w:rPr>
          <w:sz w:val="22"/>
          <w:szCs w:val="22"/>
          <w:lang w:val="en-US"/>
        </w:rPr>
        <w:t>it</w:t>
      </w:r>
      <w:r w:rsidRPr="00606F42">
        <w:rPr>
          <w:sz w:val="22"/>
          <w:szCs w:val="22"/>
          <w:lang w:val="en-US"/>
        </w:rPr>
        <w:t xml:space="preserve"> distinguishes analytical from watchdog/enforcement capacity and show that analytical capacity is more consistently associated with lower borrowing costs and stronger fiscal-rule compliance.</w:t>
      </w:r>
    </w:p>
    <w:p w14:paraId="2F361BDC" w14:textId="240FEEEC" w:rsidR="00606F42" w:rsidRPr="00606F42" w:rsidRDefault="00606F42" w:rsidP="00606F42">
      <w:pPr>
        <w:rPr>
          <w:sz w:val="22"/>
          <w:szCs w:val="22"/>
          <w:lang w:val="en-US"/>
        </w:rPr>
      </w:pPr>
      <w:r w:rsidRPr="00606F42">
        <w:rPr>
          <w:sz w:val="22"/>
          <w:szCs w:val="22"/>
          <w:lang w:val="en-US"/>
        </w:rPr>
        <w:t>The paper is deliberately cautious about causal interpretation. In particular, the adoption and borrowing cost results should be understood as associations rather than definitive causal effects, and the manuscript explicitly distinguishes robust findings from results that are specification-dependent or exploratory. The combination of institutional, political economy, and empirical perspectives makes the manuscript relevant to the literature on fiscal institutions, fiscal governance, political economy, and public finance.</w:t>
      </w:r>
    </w:p>
    <w:p w14:paraId="1AEEAB87" w14:textId="020E3360" w:rsidR="00606F42" w:rsidRPr="00606F42" w:rsidRDefault="00606F42" w:rsidP="00606F42">
      <w:pPr>
        <w:rPr>
          <w:sz w:val="22"/>
          <w:szCs w:val="22"/>
          <w:lang w:val="en-US"/>
        </w:rPr>
      </w:pPr>
      <w:r w:rsidRPr="00606F42">
        <w:rPr>
          <w:sz w:val="22"/>
          <w:szCs w:val="22"/>
          <w:lang w:val="en-US"/>
        </w:rPr>
        <w:t>The author declares no conflicts of interest and no funding was received for this research.</w:t>
      </w:r>
    </w:p>
    <w:p w14:paraId="391C9791" w14:textId="124D954D" w:rsidR="00606F42" w:rsidRPr="00606F42" w:rsidRDefault="00606F42" w:rsidP="00606F42">
      <w:pPr>
        <w:rPr>
          <w:sz w:val="22"/>
          <w:szCs w:val="22"/>
          <w:lang w:val="en-US"/>
        </w:rPr>
      </w:pPr>
      <w:r w:rsidRPr="00606F42">
        <w:rPr>
          <w:sz w:val="22"/>
          <w:szCs w:val="22"/>
          <w:lang w:val="en-US"/>
        </w:rPr>
        <w:t xml:space="preserve">Thank you for considering the manuscript for publication. </w:t>
      </w:r>
    </w:p>
    <w:p w14:paraId="44F9AD63" w14:textId="4B938701" w:rsidR="00606F42" w:rsidRPr="00606F42" w:rsidRDefault="00606F42">
      <w:pPr>
        <w:rPr>
          <w:sz w:val="22"/>
          <w:szCs w:val="22"/>
          <w:lang w:val="en-US"/>
        </w:rPr>
      </w:pPr>
      <w:r w:rsidRPr="00606F42">
        <w:rPr>
          <w:sz w:val="22"/>
          <w:szCs w:val="22"/>
          <w:lang w:val="en-US"/>
        </w:rPr>
        <w:t xml:space="preserve">Sincerely, </w:t>
      </w:r>
      <w:r w:rsidRPr="00606F42">
        <w:rPr>
          <w:sz w:val="22"/>
          <w:szCs w:val="22"/>
          <w:lang w:val="en-US"/>
        </w:rPr>
        <w:br/>
        <w:t xml:space="preserve">Jonne Lehtimäki, D.Sc. / </w:t>
      </w:r>
      <w:hyperlink r:id="rId5" w:history="1">
        <w:r w:rsidRPr="00606F42">
          <w:rPr>
            <w:rStyle w:val="Hyperlink"/>
            <w:sz w:val="22"/>
            <w:szCs w:val="22"/>
            <w:lang w:val="en-US"/>
          </w:rPr>
          <w:t>jonne.lehtimaki@utu.fi</w:t>
        </w:r>
      </w:hyperlink>
      <w:r w:rsidRPr="00606F42">
        <w:rPr>
          <w:sz w:val="22"/>
          <w:szCs w:val="22"/>
          <w:lang w:val="en-US"/>
        </w:rPr>
        <w:br/>
        <w:t>University of Turku, The Finnish Economic Policy Council</w:t>
      </w:r>
    </w:p>
    <w:sectPr w:rsidR="00606F42" w:rsidRPr="00606F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9F2015"/>
    <w:multiLevelType w:val="hybridMultilevel"/>
    <w:tmpl w:val="AB428C2E"/>
    <w:lvl w:ilvl="0" w:tplc="A1C44C26">
      <w:start w:val="1"/>
      <w:numFmt w:val="lowerRoman"/>
      <w:lvlText w:val="%1)"/>
      <w:lvlJc w:val="left"/>
      <w:pPr>
        <w:ind w:left="1080"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383016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02F"/>
    <w:rsid w:val="000B2ACB"/>
    <w:rsid w:val="002B3FA2"/>
    <w:rsid w:val="00410622"/>
    <w:rsid w:val="004F37B2"/>
    <w:rsid w:val="00606F42"/>
    <w:rsid w:val="006109C5"/>
    <w:rsid w:val="00A7602F"/>
    <w:rsid w:val="00FC483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4937"/>
  <w15:chartTrackingRefBased/>
  <w15:docId w15:val="{7ECF25D6-FA86-40D6-ABE5-A3A80E8A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02F"/>
    <w:rPr>
      <w:rFonts w:eastAsiaTheme="majorEastAsia" w:cstheme="majorBidi"/>
      <w:color w:val="272727" w:themeColor="text1" w:themeTint="D8"/>
    </w:rPr>
  </w:style>
  <w:style w:type="paragraph" w:styleId="Title">
    <w:name w:val="Title"/>
    <w:basedOn w:val="Normal"/>
    <w:next w:val="Normal"/>
    <w:link w:val="TitleChar"/>
    <w:uiPriority w:val="10"/>
    <w:qFormat/>
    <w:rsid w:val="00A76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02F"/>
    <w:pPr>
      <w:spacing w:before="160"/>
      <w:jc w:val="center"/>
    </w:pPr>
    <w:rPr>
      <w:i/>
      <w:iCs/>
      <w:color w:val="404040" w:themeColor="text1" w:themeTint="BF"/>
    </w:rPr>
  </w:style>
  <w:style w:type="character" w:customStyle="1" w:styleId="QuoteChar">
    <w:name w:val="Quote Char"/>
    <w:basedOn w:val="DefaultParagraphFont"/>
    <w:link w:val="Quote"/>
    <w:uiPriority w:val="29"/>
    <w:rsid w:val="00A7602F"/>
    <w:rPr>
      <w:i/>
      <w:iCs/>
      <w:color w:val="404040" w:themeColor="text1" w:themeTint="BF"/>
    </w:rPr>
  </w:style>
  <w:style w:type="paragraph" w:styleId="ListParagraph">
    <w:name w:val="List Paragraph"/>
    <w:basedOn w:val="Normal"/>
    <w:uiPriority w:val="34"/>
    <w:qFormat/>
    <w:rsid w:val="00A7602F"/>
    <w:pPr>
      <w:ind w:left="720"/>
      <w:contextualSpacing/>
    </w:pPr>
  </w:style>
  <w:style w:type="character" w:styleId="IntenseEmphasis">
    <w:name w:val="Intense Emphasis"/>
    <w:basedOn w:val="DefaultParagraphFont"/>
    <w:uiPriority w:val="21"/>
    <w:qFormat/>
    <w:rsid w:val="00A7602F"/>
    <w:rPr>
      <w:i/>
      <w:iCs/>
      <w:color w:val="0F4761" w:themeColor="accent1" w:themeShade="BF"/>
    </w:rPr>
  </w:style>
  <w:style w:type="paragraph" w:styleId="IntenseQuote">
    <w:name w:val="Intense Quote"/>
    <w:basedOn w:val="Normal"/>
    <w:next w:val="Normal"/>
    <w:link w:val="IntenseQuoteChar"/>
    <w:uiPriority w:val="30"/>
    <w:qFormat/>
    <w:rsid w:val="00A76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02F"/>
    <w:rPr>
      <w:i/>
      <w:iCs/>
      <w:color w:val="0F4761" w:themeColor="accent1" w:themeShade="BF"/>
    </w:rPr>
  </w:style>
  <w:style w:type="character" w:styleId="IntenseReference">
    <w:name w:val="Intense Reference"/>
    <w:basedOn w:val="DefaultParagraphFont"/>
    <w:uiPriority w:val="32"/>
    <w:qFormat/>
    <w:rsid w:val="00A7602F"/>
    <w:rPr>
      <w:b/>
      <w:bCs/>
      <w:smallCaps/>
      <w:color w:val="0F4761" w:themeColor="accent1" w:themeShade="BF"/>
      <w:spacing w:val="5"/>
    </w:rPr>
  </w:style>
  <w:style w:type="character" w:styleId="Hyperlink">
    <w:name w:val="Hyperlink"/>
    <w:basedOn w:val="DefaultParagraphFont"/>
    <w:uiPriority w:val="99"/>
    <w:unhideWhenUsed/>
    <w:rsid w:val="00606F42"/>
    <w:rPr>
      <w:color w:val="467886" w:themeColor="hyperlink"/>
      <w:u w:val="single"/>
    </w:rPr>
  </w:style>
  <w:style w:type="character" w:styleId="UnresolvedMention">
    <w:name w:val="Unresolved Mention"/>
    <w:basedOn w:val="DefaultParagraphFont"/>
    <w:uiPriority w:val="99"/>
    <w:semiHidden/>
    <w:unhideWhenUsed/>
    <w:rsid w:val="00606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onne.lehtimaki@utu.f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267</Words>
  <Characters>2164</Characters>
  <Application>Microsoft Office Word</Application>
  <DocSecurity>0</DocSecurity>
  <Lines>18</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Lehtimäki Jonne (VATT)</dc:creator>
  <cp:keywords/>
  <dc:description/>
  <cp:lastModifiedBy>Lehtimäki Jonne (VATT)</cp:lastModifiedBy>
  <cp:revision>3</cp:revision>
  <dcterms:created xsi:type="dcterms:W3CDTF">2026-08-17T17:43:00Z</dcterms:created>
  <dcterms:modified xsi:type="dcterms:W3CDTF">2026-08-20T06:44:00Z</dcterms:modified>
</cp:coreProperties>
</file>