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Online Resource 1</w:t>
      </w:r>
    </w:p>
    <w:p>
      <w:pPr>
        <w:pStyle w:val="Subtitle"/>
      </w:pPr>
      <w:r>
        <w:t>Supplementary methods and correction record</w:t>
      </w:r>
    </w:p>
    <w:p>
      <w:r>
        <w:t>Sources of Risk in AI Systems Revisited: FCAIR-O, a Faceted Causal Framework and Lightweight Ontology for Risk Management and Assurance</w:t>
      </w:r>
    </w:p>
    <w:p>
      <w:r>
        <w:t>Journal: Artificial Intelligence Review</w:t>
      </w:r>
    </w:p>
    <w:p>
      <w:pPr>
        <w:pStyle w:val="Normal"/>
        <w:keepNext/>
        <w:spacing w:before="0" w:after="60"/>
      </w:pPr>
      <w:r>
        <w:rPr>
          <w:b/>
        </w:rPr>
        <w:t>Authors: Moritz Schneider; André Steimers</w:t>
      </w:r>
    </w:p>
    <w:p>
      <w:pPr>
        <w:pStyle w:val="Normal"/>
        <w:keepNext/>
        <w:spacing w:before="0" w:after="40"/>
      </w:pPr>
      <w:r>
        <w:rPr>
          <w:sz w:val="20"/>
        </w:rPr>
        <w:t>Moritz Schneider: Independent researcher, 56567 Neuwied, Germany</w:t>
      </w:r>
    </w:p>
    <w:p>
      <w:pPr>
        <w:pStyle w:val="Normal"/>
        <w:keepNext/>
        <w:spacing w:before="0" w:after="40"/>
      </w:pPr>
      <w:r>
        <w:rPr>
          <w:sz w:val="20"/>
        </w:rPr>
        <w:t>André Steimers: Department of Mathematics, Computer Science and Technology, Koblenz University of Applied Sciences, Remagen Campus, Remagen, Germany</w:t>
      </w:r>
    </w:p>
    <w:p>
      <w:pPr>
        <w:pStyle w:val="Normal"/>
        <w:keepNext/>
        <w:spacing w:before="0" w:after="40"/>
      </w:pPr>
      <w:r>
        <w:rPr>
          <w:sz w:val="20"/>
        </w:rPr>
        <w:t>Corresponding author: Moritz Schneider</w:t>
      </w:r>
    </w:p>
    <w:p>
      <w:r>
        <w:t>FCAIR-O v1.2.1. Material cutoff: 25 July 2026, 23:59 CEST. Correction prepared 2026-10-10.</w:t>
      </w:r>
    </w:p>
    <w:p>
      <w:pPr>
        <w:pStyle w:val="Heading1"/>
      </w:pPr>
      <w:r>
        <w:t>S1 Purpose and epistemic status</w:t>
      </w:r>
    </w:p>
    <w:p>
      <w:r>
        <w:t>This resource documents the conceptual construction of FCAIR-O and its continuity with Steimers and Schneider (2022). The study develops a theoretical framework. The cases and crosswalks illustrate how its distinctions can be applied and contested; they are not an inter-rater study, field trial, prospective decision experiment, or comparative performance test.</w:t>
      </w:r>
    </w:p>
    <w:p>
      <w:r>
        <w:t>The analytical proposition is that causal sources, latent conditions, triggers, failure modes, exposure, harms, desired properties, controls, evidence, legal status, uncertainty, and version should be represented as related but non-interchangeable objects. A machine-readable representation makes these choices inspectable without turning conceptual coherence into empirical validation.</w:t>
      </w:r>
    </w:p>
    <w:p>
      <w:r>
        <w:t>The term lightweight ontology denotes versioned identifiers, definitions, parent-child structure, relation properties, competency questions, and minimum information constraints. Exhaustive axiomatization, upper-ontology alignment, universal semantic agreement, and certified conformity are not claimed.</w:t>
      </w:r>
    </w:p>
    <w:p>
      <w:pPr>
        <w:pStyle w:val="Heading1"/>
      </w:pPr>
      <w:r>
        <w:t>S2 Continuity with the 2022 article</w:t>
      </w:r>
    </w:p>
    <w:p>
      <w:r>
        <w:t>The source article organized eight risk-source categories into ethical aspects and reliability/robustness. Its process begins with purpose and foreseeable misuse, applies a hierarchy of controls, reassesses risks induced by controls, and updates the analysis through market observation. It expressly did not claim permanent completeness. FCAIR-O retains these commitments while distinguishing normative constraints from institutional mechanisms, multidimensional authority and control from automation level alone, and integrated architecture from hardware alone.</w:t>
      </w:r>
    </w:p>
    <w:tbl>
      <w:tblPr>
        <w:tblStyle w:val="TableGrid"/>
        <w:tblW w:type="auto" w:w="0"/>
        <w:jc w:val="center"/>
        <w:tblLayout w:type="fixed"/>
        <w:tblLook w:firstColumn="1" w:firstRow="1" w:lastColumn="0" w:lastRow="0" w:noHBand="0" w:noVBand="1" w:val="04A0"/>
      </w:tblPr>
      <w:tblGrid>
        <w:gridCol w:w="1984"/>
        <w:gridCol w:w="1814"/>
        <w:gridCol w:w="5839"/>
      </w:tblGrid>
      <w:tr>
        <w:trPr>
          <w:tblHeader/>
          <w:cantSplit/>
        </w:trPr>
        <w:tc>
          <w:tcPr>
            <w:tcW w:type="dxa" w:w="198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DCE6F1"/>
          </w:tcPr>
          <w:p>
            <w:pPr>
              <w:spacing w:after="60" w:before="60"/>
            </w:pPr>
            <w:r>
              <w:rPr>
                <w:b/>
                <w:sz w:val="17"/>
              </w:rPr>
              <w:t>2022 element</w:t>
            </w:r>
          </w:p>
        </w:tc>
        <w:tc>
          <w:tcPr>
            <w:tcW w:type="dxa" w:w="181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DCE6F1"/>
          </w:tcPr>
          <w:p>
            <w:pPr>
              <w:spacing w:after="60" w:before="60"/>
            </w:pPr>
            <w:r>
              <w:rPr>
                <w:b/>
                <w:sz w:val="17"/>
              </w:rPr>
              <w:t>Decision</w:t>
            </w:r>
          </w:p>
        </w:tc>
        <w:tc>
          <w:tcPr>
            <w:tcW w:type="dxa" w:w="5839"/>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DCE6F1"/>
          </w:tcPr>
          <w:p>
            <w:pPr>
              <w:spacing w:after="60" w:before="60"/>
            </w:pPr>
            <w:r>
              <w:rPr>
                <w:b/>
                <w:sz w:val="17"/>
              </w:rPr>
              <w:t>Conceptual consequence</w:t>
            </w:r>
          </w:p>
        </w:tc>
      </w:tr>
      <w:tr>
        <w:trPr>
          <w:cantSplit/>
        </w:trPr>
        <w:tc>
          <w:tcPr>
            <w:tcW w:type="dxa" w:w="198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Purpose and limits</w:t>
            </w:r>
          </w:p>
        </w:tc>
        <w:tc>
          <w:tcPr>
            <w:tcW w:type="dxa" w:w="181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Retained</w:t>
            </w:r>
          </w:p>
        </w:tc>
        <w:tc>
          <w:tcPr>
            <w:tcW w:type="dxa" w:w="5839"/>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Purpose, alternatives, intended use, foreseeable misuse, affected interests, and system boundaries remain the starting point.</w:t>
            </w:r>
          </w:p>
        </w:tc>
      </w:tr>
      <w:tr>
        <w:trPr>
          <w:cantSplit/>
        </w:trPr>
        <w:tc>
          <w:tcPr>
            <w:tcW w:type="dxa" w:w="198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Risk-control hierarchy</w:t>
            </w:r>
          </w:p>
        </w:tc>
        <w:tc>
          <w:tcPr>
            <w:tcW w:type="dxa" w:w="181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Retained and extended</w:t>
            </w:r>
          </w:p>
        </w:tc>
        <w:tc>
          <w:tcPr>
            <w:tcW w:type="dxa" w:w="5839"/>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Avoidance and inherently safer design remain primary; owners, evidence, acceptance criteria, residual risk, and monitoring are explicit.</w:t>
            </w:r>
          </w:p>
        </w:tc>
      </w:tr>
      <w:tr>
        <w:trPr>
          <w:cantSplit/>
        </w:trPr>
        <w:tc>
          <w:tcPr>
            <w:tcW w:type="dxa" w:w="198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Market observation</w:t>
            </w:r>
          </w:p>
        </w:tc>
        <w:tc>
          <w:tcPr>
            <w:tcW w:type="dxa" w:w="181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Retained and extended</w:t>
            </w:r>
          </w:p>
        </w:tc>
        <w:tc>
          <w:tcPr>
            <w:tcW w:type="dxa" w:w="5839"/>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Monitoring, version change, incident response, rollback, and evidence decay become lifecycle and assurance objects.</w:t>
            </w:r>
          </w:p>
        </w:tc>
      </w:tr>
      <w:tr>
        <w:trPr>
          <w:cantSplit/>
        </w:trPr>
        <w:tc>
          <w:tcPr>
            <w:tcW w:type="dxa" w:w="198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Eight-category taxonomy</w:t>
            </w:r>
          </w:p>
        </w:tc>
        <w:tc>
          <w:tcPr>
            <w:tcW w:type="dxa" w:w="181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Reconstructed</w:t>
            </w:r>
          </w:p>
        </w:tc>
        <w:tc>
          <w:tcPr>
            <w:tcW w:type="dxa" w:w="5839"/>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Discovery headings are separated by ontological role instead of forming one causal-source class.</w:t>
            </w:r>
          </w:p>
        </w:tc>
      </w:tr>
      <w:tr>
        <w:trPr>
          <w:cantSplit/>
        </w:trPr>
        <w:tc>
          <w:tcPr>
            <w:tcW w:type="dxa" w:w="198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Ethical versus reliability split</w:t>
            </w:r>
          </w:p>
        </w:tc>
        <w:tc>
          <w:tcPr>
            <w:tcW w:type="dxa" w:w="181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Replaced</w:t>
            </w:r>
          </w:p>
        </w:tc>
        <w:tc>
          <w:tcPr>
            <w:tcW w:type="dxa" w:w="5839"/>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Harms, interests, properties, causal sources, controls, and law are represented by separate facets.</w:t>
            </w:r>
          </w:p>
        </w:tc>
      </w:tr>
      <w:tr>
        <w:trPr>
          <w:cantSplit/>
        </w:trPr>
        <w:tc>
          <w:tcPr>
            <w:tcW w:type="dxa" w:w="198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Complexity</w:t>
            </w:r>
          </w:p>
        </w:tc>
        <w:tc>
          <w:tcPr>
            <w:tcW w:type="dxa" w:w="181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Decomposed</w:t>
            </w:r>
          </w:p>
        </w:tc>
        <w:tc>
          <w:tcPr>
            <w:tcW w:type="dxa" w:w="5839"/>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Coupling, state-space limits, drift, feedback, and verification burden are coded as mechanisms; complexity may also modify context or uncertainty.</w:t>
            </w:r>
          </w:p>
        </w:tc>
      </w:tr>
      <w:tr>
        <w:trPr>
          <w:cantSplit/>
        </w:trPr>
        <w:tc>
          <w:tcPr>
            <w:tcW w:type="dxa" w:w="198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Technological maturity</w:t>
            </w:r>
          </w:p>
        </w:tc>
        <w:tc>
          <w:tcPr>
            <w:tcW w:type="dxa" w:w="181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Relocated</w:t>
            </w:r>
          </w:p>
        </w:tc>
        <w:tc>
          <w:tcPr>
            <w:tcW w:type="dxa" w:w="5839"/>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Evidence history, version stability, operating exposure, and decay modify confidence without constituting a cause by themselves.</w:t>
            </w:r>
          </w:p>
        </w:tc>
      </w:tr>
    </w:tbl>
    <w:p>
      <w:pPr>
        <w:pStyle w:val="Heading1"/>
      </w:pPr>
      <w:r>
        <w:t>S3 Evidence streams and access limits</w:t>
      </w:r>
    </w:p>
    <w:p>
      <w:r>
        <w:t>The historical final-cutoff registers contained 69 evidence, 44 legal, and 47 standards records plus 24 documentary cases. The correction adds two standards-stream records for documents already available before the cutoff: ISO 31000:2018 and C(2025) 3871/M/613. The current standards register therefore contains 49 records. The 162 evidence/legal/standards records are a sum of stream-specific records, not 162 unique publications. Cases and crosswalk rows are separate analytical units.</w:t>
      </w:r>
    </w:p>
    <w:tbl>
      <w:tblPr>
        <w:tblStyle w:val="TableGrid"/>
        <w:tblW w:type="auto" w:w="0"/>
        <w:jc w:val="center"/>
        <w:tblLayout w:type="fixed"/>
        <w:tblLook w:firstColumn="1" w:firstRow="1" w:lastColumn="0" w:lastRow="0" w:noHBand="0" w:noVBand="1" w:val="04A0"/>
      </w:tblPr>
      <w:tblGrid>
        <w:gridCol w:w="2381"/>
        <w:gridCol w:w="1134"/>
        <w:gridCol w:w="6123"/>
      </w:tblGrid>
      <w:tr>
        <w:trPr>
          <w:tblHeader/>
          <w:cantSplit/>
        </w:trPr>
        <w:tc>
          <w:tcPr>
            <w:tcW w:type="dxa" w:w="2381"/>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DCE6F1"/>
          </w:tcPr>
          <w:p>
            <w:pPr>
              <w:spacing w:after="60" w:before="60"/>
            </w:pPr>
            <w:r>
              <w:rPr>
                <w:b/>
                <w:sz w:val="17"/>
              </w:rPr>
              <w:t>Stream</w:t>
            </w:r>
          </w:p>
        </w:tc>
        <w:tc>
          <w:tcPr>
            <w:tcW w:type="dxa" w:w="113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DCE6F1"/>
          </w:tcPr>
          <w:p>
            <w:pPr>
              <w:spacing w:after="60" w:before="60"/>
            </w:pPr>
            <w:r>
              <w:rPr>
                <w:b/>
                <w:sz w:val="17"/>
              </w:rPr>
              <w:t>Current size</w:t>
            </w:r>
          </w:p>
        </w:tc>
        <w:tc>
          <w:tcPr>
            <w:tcW w:type="dxa" w:w="6123"/>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DCE6F1"/>
          </w:tcPr>
          <w:p>
            <w:pPr>
              <w:spacing w:after="60" w:before="60"/>
            </w:pPr>
            <w:r>
              <w:rPr>
                <w:b/>
                <w:sz w:val="17"/>
              </w:rPr>
              <w:t>Use and limitation</w:t>
            </w:r>
          </w:p>
        </w:tc>
      </w:tr>
      <w:tr>
        <w:trPr>
          <w:cantSplit/>
        </w:trPr>
        <w:tc>
          <w:tcPr>
            <w:tcW w:type="dxa" w:w="2381"/>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Scientific and institutional evidence</w:t>
            </w:r>
          </w:p>
        </w:tc>
        <w:tc>
          <w:tcPr>
            <w:tcW w:type="dxa" w:w="113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69</w:t>
            </w:r>
          </w:p>
        </w:tc>
        <w:tc>
          <w:tcPr>
            <w:tcW w:type="dxa" w:w="6123"/>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Mechanisms, framework concepts, human factors, evaluation, security, systemic risk, and assurance. The retained corpus is not a saturated review universe.</w:t>
            </w:r>
          </w:p>
        </w:tc>
      </w:tr>
      <w:tr>
        <w:trPr>
          <w:cantSplit/>
        </w:trPr>
        <w:tc>
          <w:tcPr>
            <w:tcW w:type="dxa" w:w="2381"/>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Legal and institutional records</w:t>
            </w:r>
          </w:p>
        </w:tc>
        <w:tc>
          <w:tcPr>
            <w:tcW w:type="dxa" w:w="113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44</w:t>
            </w:r>
          </w:p>
        </w:tc>
        <w:tc>
          <w:tcPr>
            <w:tcW w:type="dxa" w:w="6123"/>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Law, judgments, decisions, guidance, and institutional communications. Legal effect depends on jurisdiction, date, procedure, and facts.</w:t>
            </w:r>
          </w:p>
        </w:tc>
      </w:tr>
      <w:tr>
        <w:trPr>
          <w:cantSplit/>
        </w:trPr>
        <w:tc>
          <w:tcPr>
            <w:tcW w:type="dxa" w:w="2381"/>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Standards and standardization</w:t>
            </w:r>
          </w:p>
        </w:tc>
        <w:tc>
          <w:tcPr>
            <w:tcW w:type="dxa" w:w="113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49</w:t>
            </w:r>
          </w:p>
        </w:tc>
        <w:tc>
          <w:tcPr>
            <w:tcW w:type="dxa" w:w="6123"/>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Published documents, drafts, projects, requests, and status. Metadata-only access does not support clause-level claims.</w:t>
            </w:r>
          </w:p>
        </w:tc>
      </w:tr>
      <w:tr>
        <w:trPr>
          <w:cantSplit/>
        </w:trPr>
        <w:tc>
          <w:tcPr>
            <w:tcW w:type="dxa" w:w="2381"/>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Illustrative case corpus</w:t>
            </w:r>
          </w:p>
        </w:tc>
        <w:tc>
          <w:tcPr>
            <w:tcW w:type="dxa" w:w="113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24</w:t>
            </w:r>
          </w:p>
        </w:tc>
        <w:tc>
          <w:tcPr>
            <w:tcW w:type="dxa" w:w="6123"/>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Accidents, recalls, field evaluations, legal findings, policy reversals, and preliminary disclosures. Purposive and heterogeneous; no prevalence inference.</w:t>
            </w:r>
          </w:p>
        </w:tc>
      </w:tr>
      <w:tr>
        <w:trPr>
          <w:cantSplit/>
        </w:trPr>
        <w:tc>
          <w:tcPr>
            <w:tcW w:type="dxa" w:w="2381"/>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Framework crosswalk</w:t>
            </w:r>
          </w:p>
        </w:tc>
        <w:tc>
          <w:tcPr>
            <w:tcW w:type="dxa" w:w="113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126</w:t>
            </w:r>
          </w:p>
        </w:tc>
        <w:tc>
          <w:tcPr>
            <w:tcW w:type="dxa" w:w="6123"/>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Role-aware semantic associations and direct-assignment distinctions. Semantic mapping is not proof of equivalence or superiority.</w:t>
            </w:r>
          </w:p>
        </w:tc>
      </w:tr>
    </w:tbl>
    <w:p>
      <w:r>
        <w:t>The available search record comprises 48 primary public-web query records and 12 final-cutoff queries. The latter document 31 additions across the project and seven cutoff checks. Several subscription databases, stable search-result universes, structured exports, and complete screening denominators were unavailable. Sixty logged runs do not establish complete retrieval or screening. Paid standards were not bypassed; inaccessible full text is not represented as read.</w:t>
      </w:r>
    </w:p>
    <w:p>
      <w:r>
        <w:t>Sources were appraised qualitatively according to type and claim. The retained rubric workbook specifies possible 0/1/2 anchors and thresholds as appraisal guidance. It does not contain a completed source-by-source numerical scoring history, and the recorded qualitative ratings must not be read as computed rubric totals.</w:t>
      </w:r>
    </w:p>
    <w:p>
      <w:pPr>
        <w:pStyle w:val="Heading1"/>
      </w:pPr>
      <w:r>
        <w:t>S4 Conceptual construction procedure</w:t>
      </w:r>
    </w:p>
    <w:tbl>
      <w:tblPr>
        <w:tblStyle w:val="TableGrid"/>
        <w:tblW w:type="auto" w:w="0"/>
        <w:jc w:val="center"/>
        <w:tblLayout w:type="fixed"/>
        <w:tblLook w:firstColumn="1" w:firstRow="1" w:lastColumn="0" w:lastRow="0" w:noHBand="0" w:noVBand="1" w:val="04A0"/>
      </w:tblPr>
      <w:tblGrid>
        <w:gridCol w:w="2494"/>
        <w:gridCol w:w="7143"/>
      </w:tblGrid>
      <w:tr>
        <w:trPr>
          <w:tblHeader/>
          <w:cantSplit/>
        </w:trPr>
        <w:tc>
          <w:tcPr>
            <w:tcW w:type="dxa" w:w="249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DCE6F1"/>
          </w:tcPr>
          <w:p>
            <w:pPr>
              <w:spacing w:after="60" w:before="60"/>
            </w:pPr>
            <w:r>
              <w:rPr>
                <w:b/>
                <w:sz w:val="17"/>
              </w:rPr>
              <w:t>Step</w:t>
            </w:r>
          </w:p>
        </w:tc>
        <w:tc>
          <w:tcPr>
            <w:tcW w:type="dxa" w:w="7143"/>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DCE6F1"/>
          </w:tcPr>
          <w:p>
            <w:pPr>
              <w:spacing w:after="60" w:before="60"/>
            </w:pPr>
            <w:r>
              <w:rPr>
                <w:b/>
                <w:sz w:val="17"/>
              </w:rPr>
              <w:t>Procedure</w:t>
            </w:r>
          </w:p>
        </w:tc>
      </w:tr>
      <w:tr>
        <w:trPr>
          <w:cantSplit/>
        </w:trPr>
        <w:tc>
          <w:tcPr>
            <w:tcW w:type="dxa" w:w="249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1 Preserve terminology</w:t>
            </w:r>
          </w:p>
        </w:tc>
        <w:tc>
          <w:tcPr>
            <w:tcW w:type="dxa" w:w="7143"/>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Record each term in its source framework before interpretation.</w:t>
            </w:r>
          </w:p>
        </w:tc>
      </w:tr>
      <w:tr>
        <w:trPr>
          <w:cantSplit/>
        </w:trPr>
        <w:tc>
          <w:tcPr>
            <w:tcW w:type="dxa" w:w="249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2 Separate roles</w:t>
            </w:r>
          </w:p>
        </w:tc>
        <w:tc>
          <w:tcPr>
            <w:tcW w:type="dxa" w:w="7143"/>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Record a primary role where coherent, secondary roles where needed, and composite source labels explicitly. Distinguish cause/condition, vulnerability, trigger, failure/hazard, harm, property, control/process, evidence, norm, actor/intent/timing, and uncertainty.</w:t>
            </w:r>
          </w:p>
        </w:tc>
      </w:tr>
      <w:tr>
        <w:trPr>
          <w:cantSplit/>
        </w:trPr>
        <w:tc>
          <w:tcPr>
            <w:tcW w:type="dxa" w:w="249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3 Apply a mechanism threshold</w:t>
            </w:r>
          </w:p>
        </w:tc>
        <w:tc>
          <w:tcPr>
            <w:tcW w:type="dxa" w:w="7143"/>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A direct causal assignment requires a plausible mechanism linking source or condition to failure, exposure, or harm. Candidate associations are stored separately.</w:t>
            </w:r>
          </w:p>
        </w:tc>
      </w:tr>
      <w:tr>
        <w:trPr>
          <w:cantSplit/>
        </w:trPr>
        <w:tc>
          <w:tcPr>
            <w:tcW w:type="dxa" w:w="249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4 Separate level and lifecycle</w:t>
            </w:r>
          </w:p>
        </w:tc>
        <w:tc>
          <w:tcPr>
            <w:tcW w:type="dxa" w:w="7143"/>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Distinguish model, component, system, human-AI work, organization, value chain, institution, society, and global effects. Introduction, activation, control, change, and harm may occur in different phases.</w:t>
            </w:r>
          </w:p>
        </w:tc>
      </w:tr>
      <w:tr>
        <w:trPr>
          <w:cantSplit/>
        </w:trPr>
        <w:tc>
          <w:tcPr>
            <w:tcW w:type="dxa" w:w="249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5 Connect the record</w:t>
            </w:r>
          </w:p>
        </w:tc>
        <w:tc>
          <w:tcPr>
            <w:tcW w:type="dxa" w:w="7143"/>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Link sources, conditions, triggers, failures, hazardous events, exposure, harms, propagation, controls, evidence, residual risk, and monitoring.</w:t>
            </w:r>
          </w:p>
        </w:tc>
      </w:tr>
      <w:tr>
        <w:trPr>
          <w:cantSplit/>
        </w:trPr>
        <w:tc>
          <w:tcPr>
            <w:tcW w:type="dxa" w:w="249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6 Define concepts</w:t>
            </w:r>
          </w:p>
        </w:tc>
        <w:tc>
          <w:tcPr>
            <w:tcW w:type="dxa" w:w="7143"/>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Twelve causal parent classes orient analysis; 74 operational leaves specify mechanisms, boundaries, counterexamples, controls, and evidence needs.</w:t>
            </w:r>
          </w:p>
        </w:tc>
      </w:tr>
      <w:tr>
        <w:trPr>
          <w:cantSplit/>
        </w:trPr>
        <w:tc>
          <w:tcPr>
            <w:tcW w:type="dxa" w:w="249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7 Preserve uncertainty</w:t>
            </w:r>
          </w:p>
        </w:tc>
        <w:tc>
          <w:tcPr>
            <w:tcW w:type="dxa" w:w="7143"/>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Do not force a legal category, desired property, event status, unknown intent, or unsupported cause into a causal class.</w:t>
            </w:r>
          </w:p>
        </w:tc>
      </w:tr>
      <w:tr>
        <w:trPr>
          <w:cantSplit/>
        </w:trPr>
        <w:tc>
          <w:tcPr>
            <w:tcW w:type="dxa" w:w="249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8 Compare architectures</w:t>
            </w:r>
          </w:p>
        </w:tc>
        <w:tc>
          <w:tcPr>
            <w:tcW w:type="dxa" w:w="7143"/>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Consider and document rejected two-block, exclusive hierarchy, harm-only, process-only, and flat-list alternatives.</w:t>
            </w:r>
          </w:p>
        </w:tc>
      </w:tr>
      <w:tr>
        <w:trPr>
          <w:cantSplit/>
        </w:trPr>
        <w:tc>
          <w:tcPr>
            <w:tcW w:type="dxa" w:w="249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9 Apply conceptual closure</w:t>
            </w:r>
          </w:p>
        </w:tc>
        <w:tc>
          <w:tcPr>
            <w:tcW w:type="dxa" w:w="7143"/>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Stop adding parents when retained material can be expressed through existing roles, relations, and intervention questions. This is a design stopping rule, not bibliographic or empirical saturation.</w:t>
            </w:r>
          </w:p>
        </w:tc>
      </w:tr>
    </w:tbl>
    <w:p>
      <w:pPr>
        <w:pStyle w:val="Heading1"/>
      </w:pPr>
      <w:r>
        <w:t>S5 Conceptual criteria and bounded claims</w:t>
      </w:r>
    </w:p>
    <w:tbl>
      <w:tblPr>
        <w:tblStyle w:val="TableGrid"/>
        <w:tblW w:type="auto" w:w="0"/>
        <w:jc w:val="center"/>
        <w:tblLayout w:type="fixed"/>
        <w:tblLook w:firstColumn="1" w:firstRow="1" w:lastColumn="0" w:lastRow="0" w:noHBand="0" w:noVBand="1" w:val="04A0"/>
      </w:tblPr>
      <w:tblGrid>
        <w:gridCol w:w="1984"/>
        <w:gridCol w:w="3572"/>
        <w:gridCol w:w="4082"/>
      </w:tblGrid>
      <w:tr>
        <w:trPr>
          <w:tblHeader/>
          <w:cantSplit/>
        </w:trPr>
        <w:tc>
          <w:tcPr>
            <w:tcW w:type="dxa" w:w="198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DCE6F1"/>
          </w:tcPr>
          <w:p>
            <w:pPr>
              <w:spacing w:after="60" w:before="60"/>
            </w:pPr>
            <w:r>
              <w:rPr>
                <w:b/>
                <w:sz w:val="17"/>
              </w:rPr>
              <w:t>Criterion</w:t>
            </w:r>
          </w:p>
        </w:tc>
        <w:tc>
          <w:tcPr>
            <w:tcW w:type="dxa" w:w="3572"/>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DCE6F1"/>
          </w:tcPr>
          <w:p>
            <w:pPr>
              <w:spacing w:after="60" w:before="60"/>
            </w:pPr>
            <w:r>
              <w:rPr>
                <w:b/>
                <w:sz w:val="17"/>
              </w:rPr>
              <w:t>Framework response</w:t>
            </w:r>
          </w:p>
        </w:tc>
        <w:tc>
          <w:tcPr>
            <w:tcW w:type="dxa" w:w="4082"/>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DCE6F1"/>
          </w:tcPr>
          <w:p>
            <w:pPr>
              <w:spacing w:after="60" w:before="60"/>
            </w:pPr>
            <w:r>
              <w:rPr>
                <w:b/>
                <w:sz w:val="17"/>
              </w:rPr>
              <w:t>Limit</w:t>
            </w:r>
          </w:p>
        </w:tc>
      </w:tr>
      <w:tr>
        <w:trPr>
          <w:cantSplit/>
        </w:trPr>
        <w:tc>
          <w:tcPr>
            <w:tcW w:type="dxa" w:w="198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Role separation</w:t>
            </w:r>
          </w:p>
        </w:tc>
        <w:tc>
          <w:tcPr>
            <w:tcW w:type="dxa" w:w="3572"/>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Distinguish analytical objects.</w:t>
            </w:r>
          </w:p>
        </w:tc>
        <w:tc>
          <w:tcPr>
            <w:tcW w:type="dxa" w:w="4082"/>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Disagreement about facts or values remains possible.</w:t>
            </w:r>
          </w:p>
        </w:tc>
      </w:tr>
      <w:tr>
        <w:trPr>
          <w:cantSplit/>
        </w:trPr>
        <w:tc>
          <w:tcPr>
            <w:tcW w:type="dxa" w:w="198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Mechanistic explanation</w:t>
            </w:r>
          </w:p>
        </w:tc>
        <w:tc>
          <w:tcPr>
            <w:tcW w:type="dxa" w:w="3572"/>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State a plausible mechanism.</w:t>
            </w:r>
          </w:p>
        </w:tc>
        <w:tc>
          <w:tcPr>
            <w:tcW w:type="dxa" w:w="4082"/>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Plausibility does not prove causation.</w:t>
            </w:r>
          </w:p>
        </w:tc>
      </w:tr>
      <w:tr>
        <w:trPr>
          <w:cantSplit/>
        </w:trPr>
        <w:tc>
          <w:tcPr>
            <w:tcW w:type="dxa" w:w="198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Multi-level representation</w:t>
            </w:r>
          </w:p>
        </w:tc>
        <w:tc>
          <w:tcPr>
            <w:tcW w:type="dxa" w:w="3572"/>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Connect technical, human, organizational, institutional, and societal contributions.</w:t>
            </w:r>
          </w:p>
        </w:tc>
        <w:tc>
          <w:tcPr>
            <w:tcW w:type="dxa" w:w="4082"/>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The representation does not determine a uniquely correct system boundary.</w:t>
            </w:r>
          </w:p>
        </w:tc>
      </w:tr>
      <w:tr>
        <w:trPr>
          <w:cantSplit/>
        </w:trPr>
        <w:tc>
          <w:tcPr>
            <w:tcW w:type="dxa" w:w="198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Actionability</w:t>
            </w:r>
          </w:p>
        </w:tc>
        <w:tc>
          <w:tcPr>
            <w:tcW w:type="dxa" w:w="3572"/>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Link sources to control owners, evidence, and monitoring.</w:t>
            </w:r>
          </w:p>
        </w:tc>
        <w:tc>
          <w:tcPr>
            <w:tcW w:type="dxa" w:w="4082"/>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Control effectiveness requires evidence beyond a label.</w:t>
            </w:r>
          </w:p>
        </w:tc>
      </w:tr>
      <w:tr>
        <w:trPr>
          <w:cantSplit/>
        </w:trPr>
        <w:tc>
          <w:tcPr>
            <w:tcW w:type="dxa" w:w="198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Normative compatibility</w:t>
            </w:r>
          </w:p>
        </w:tc>
        <w:tc>
          <w:tcPr>
            <w:tcW w:type="dxa" w:w="3572"/>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Keep legal constraints and evidence duties visible.</w:t>
            </w:r>
          </w:p>
        </w:tc>
        <w:tc>
          <w:tcPr>
            <w:tcW w:type="dxa" w:w="4082"/>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A structured record is not proof of legal conformity.</w:t>
            </w:r>
          </w:p>
        </w:tc>
      </w:tr>
      <w:tr>
        <w:trPr>
          <w:cantSplit/>
        </w:trPr>
        <w:tc>
          <w:tcPr>
            <w:tcW w:type="dxa" w:w="198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Uncertainty preservation</w:t>
            </w:r>
          </w:p>
        </w:tc>
        <w:tc>
          <w:tcPr>
            <w:tcW w:type="dxa" w:w="3572"/>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Retain evidence tier, confidence, access, version, and change.</w:t>
            </w:r>
          </w:p>
        </w:tc>
        <w:tc>
          <w:tcPr>
            <w:tcW w:type="dxa" w:w="4082"/>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Uncertainty is documented rather than eliminated.</w:t>
            </w:r>
          </w:p>
        </w:tc>
      </w:tr>
      <w:tr>
        <w:trPr>
          <w:cantSplit/>
        </w:trPr>
        <w:tc>
          <w:tcPr>
            <w:tcW w:type="dxa" w:w="198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Revisability</w:t>
            </w:r>
          </w:p>
        </w:tc>
        <w:tc>
          <w:tcPr>
            <w:tcW w:type="dxa" w:w="3572"/>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Maintain stable local IDs and migration notes.</w:t>
            </w:r>
          </w:p>
        </w:tc>
        <w:tc>
          <w:tcPr>
            <w:tcW w:type="dxa" w:w="4082"/>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Completeness is not established.</w:t>
            </w:r>
          </w:p>
        </w:tc>
      </w:tr>
      <w:tr>
        <w:trPr>
          <w:cantSplit/>
        </w:trPr>
        <w:tc>
          <w:tcPr>
            <w:tcW w:type="dxa" w:w="198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Machine readability</w:t>
            </w:r>
          </w:p>
        </w:tc>
        <w:tc>
          <w:tcPr>
            <w:tcW w:type="dxa" w:w="3572"/>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Check fields, identifiers, and traversable relations.</w:t>
            </w:r>
          </w:p>
        </w:tc>
        <w:tc>
          <w:tcPr>
            <w:tcW w:type="dxa" w:w="4082"/>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Syntactic conformance is not valid causal judgment.</w:t>
            </w:r>
          </w:p>
        </w:tc>
      </w:tr>
    </w:tbl>
    <w:p>
      <w:pPr>
        <w:pStyle w:val="Heading1"/>
      </w:pPr>
      <w:r>
        <w:t>S6 Illustrative case corpus</w:t>
      </w:r>
    </w:p>
    <w:p>
      <w:r>
        <w:t>The 24 cases illustrate different combinations of model, system, human, organizational, institutional, and societal contributions. They are neither a benchmark nor ground truth. Existing source confidence and procedural status are preserved. Causal assignments express interpretations of the documentary record.</w:t>
      </w:r>
    </w:p>
    <w:tbl>
      <w:tblPr>
        <w:tblStyle w:val="TableGrid"/>
        <w:tblW w:type="auto" w:w="0"/>
        <w:jc w:val="center"/>
        <w:tblLayout w:type="fixed"/>
        <w:tblLook w:firstColumn="1" w:firstRow="1" w:lastColumn="0" w:lastRow="0" w:noHBand="0" w:noVBand="1" w:val="04A0"/>
      </w:tblPr>
      <w:tblGrid>
        <w:gridCol w:w="2608"/>
        <w:gridCol w:w="7030"/>
      </w:tblGrid>
      <w:tr>
        <w:trPr>
          <w:tblHeader/>
          <w:cantSplit/>
        </w:trPr>
        <w:tc>
          <w:tcPr>
            <w:tcW w:type="dxa" w:w="2608"/>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DCE6F1"/>
          </w:tcPr>
          <w:p>
            <w:pPr>
              <w:spacing w:after="60" w:before="60"/>
            </w:pPr>
            <w:r>
              <w:rPr>
                <w:b/>
                <w:sz w:val="17"/>
              </w:rPr>
              <w:t>Example</w:t>
            </w:r>
          </w:p>
        </w:tc>
        <w:tc>
          <w:tcPr>
            <w:tcW w:type="dxa" w:w="7030"/>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DCE6F1"/>
          </w:tcPr>
          <w:p>
            <w:pPr>
              <w:spacing w:after="60" w:before="60"/>
            </w:pPr>
            <w:r>
              <w:rPr>
                <w:b/>
                <w:sz w:val="17"/>
              </w:rPr>
              <w:t>Reconstruction and conceptual lesson</w:t>
            </w:r>
          </w:p>
        </w:tc>
      </w:tr>
      <w:tr>
        <w:trPr>
          <w:cantSplit/>
        </w:trPr>
        <w:tc>
          <w:tcPr>
            <w:tcW w:type="dxa" w:w="2608"/>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Uber Tempe</w:t>
            </w:r>
          </w:p>
        </w:tc>
        <w:tc>
          <w:tcPr>
            <w:tcW w:type="dxa" w:w="7030"/>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Perception/prediction, disabled emergency braking, operator monitoring, safety-risk assessment, safety culture, and state oversight show why a model-error label alone hides control and organizational conditions.</w:t>
            </w:r>
          </w:p>
        </w:tc>
      </w:tr>
      <w:tr>
        <w:trPr>
          <w:cantSplit/>
        </w:trPr>
        <w:tc>
          <w:tcPr>
            <w:tcW w:type="dxa" w:w="2608"/>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Epic Sepsis Model</w:t>
            </w:r>
          </w:p>
        </w:tc>
        <w:tc>
          <w:tcPr>
            <w:tcW w:type="dxa" w:w="7030"/>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External validity, local thresholds and population, alert burden, procurement, and workflow connect performance evidence to the actual work system.</w:t>
            </w:r>
          </w:p>
        </w:tc>
      </w:tr>
      <w:tr>
        <w:trPr>
          <w:cantSplit/>
        </w:trPr>
        <w:tc>
          <w:tcPr>
            <w:tcW w:type="dxa" w:w="2608"/>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Population-health allocation</w:t>
            </w:r>
          </w:p>
        </w:tc>
        <w:tc>
          <w:tcPr>
            <w:tcW w:type="dxa" w:w="7030"/>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The cost proxy, measurement, organizational use, and structural inequality identify a mechanism beyond the umbrella term fairness.</w:t>
            </w:r>
          </w:p>
        </w:tc>
      </w:tr>
      <w:tr>
        <w:trPr>
          <w:cantSplit/>
        </w:trPr>
        <w:tc>
          <w:tcPr>
            <w:tcW w:type="dxa" w:w="2608"/>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iTutorGroup and public administration</w:t>
            </w:r>
          </w:p>
        </w:tc>
        <w:tc>
          <w:tcPr>
            <w:tcW w:type="dxa" w:w="7030"/>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Rules or proxies, deployment, employment or public power, procedure, and remedy separate harm and unlawfulness from causal source.</w:t>
            </w:r>
          </w:p>
        </w:tc>
      </w:tr>
      <w:tr>
        <w:trPr>
          <w:cantSplit/>
        </w:trPr>
        <w:tc>
          <w:tcPr>
            <w:tcW w:type="dxa" w:w="2608"/>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SCHUFA and Dun &amp; Bradstreet</w:t>
            </w:r>
          </w:p>
        </w:tc>
        <w:tc>
          <w:tcPr>
            <w:tcW w:type="dxa" w:w="7030"/>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Actual decisional influence, evidence handoff, organizational use, meaningful information, and challenge distinguish formal involvement from effective control.</w:t>
            </w:r>
          </w:p>
        </w:tc>
      </w:tr>
      <w:tr>
        <w:trPr>
          <w:cantSplit/>
        </w:trPr>
        <w:tc>
          <w:tcPr>
            <w:tcW w:type="dxa" w:w="2608"/>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Model-evaluation cyber incident</w:t>
            </w:r>
          </w:p>
        </w:tc>
        <w:tc>
          <w:tcPr>
            <w:tcW w:type="dxa" w:w="7030"/>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Objective pressure, long-horizon action, privileges, egress, vulnerabilities, supplier propagation, monitoring, and response form a preliminary reconstruction. The system is not treated as an independent legal or moral offender.</w:t>
            </w:r>
          </w:p>
        </w:tc>
      </w:tr>
    </w:tbl>
    <w:p>
      <w:pPr>
        <w:pStyle w:val="Heading1"/>
      </w:pPr>
      <w:r>
        <w:t>S7 Formal and machine-readable representation</w:t>
      </w:r>
    </w:p>
    <w:p>
      <w:r>
        <w:t>The 221 concepts comprise twelve causal parents, 74 operational causal leaves, and 135 other concepts for the root and structural groups, backbone, levels, lifecycle, actors/intent/timing, harms, properties, controls, and evidence/uncertainty/version. The conceptual relation profile contains fifteen entries. The RDF vocabulary contains 37 properties, including metadata and record fields, and seventeen classes. These are different counting units.</w:t>
      </w:r>
    </w:p>
    <w:p>
      <w:r>
        <w:t>The correction places CH01-CH12 beneath CH, aligns the conceptual status and labels across formats, and repairs JSON-LD mappings so concept content survives expansion and RDF conversion. Online Resource 6 supplies the parser and SHACL validation reports for the actual exported release. Constraints require fields such as source, harm, level, lifecycle and evidence tier; control records require ownership, supporting evidence, acceptance criteria and monitoring. Conformance establishes field and structural compliance, not the truth of the causal narrative or the effectiveness of a control.</w:t>
      </w:r>
    </w:p>
    <w:p>
      <w:r>
        <w:t>Fifteen competency questions ask which mechanism is asserted, at what level and lifecycle phase, with which actors and intent, whose interests are exposed, what harm is implicated, who owns the control, what evidence supports or defeats the claim, which residual risk remains, and which legal and version constraints govern the decision. The namespace remains an explicitly illustrative example.org namespace; no public deployment or repository DOI is implied.</w:t>
      </w:r>
    </w:p>
    <w:p>
      <w:pPr>
        <w:pStyle w:val="Heading1"/>
      </w:pPr>
      <w:r>
        <w:t>S8 Claims and non-claims</w:t>
      </w:r>
    </w:p>
    <w:p>
      <w:r>
        <w:t>FCAIR-O argues for role separation, mechanistic traceability, multi-level representation, control-evidence coupling, and normative and epistemic discipline. It is intended for structured risk records, documentary incident analysis, assurance arguments, supplier evidence requests, sector overlays, and conceptual critique. Claims of bibliographic completeness, incident prevalence, inter-rater reliability, empirical framework validation, improved decisions, universal control effectiveness, legal conformity, final ontology status, or uniquely correct reconstruction are outside scope. Counterexamples or stronger evidence may justify splitting, merging, relocating, or relationally representing a concept.</w:t>
      </w:r>
    </w:p>
    <w:p>
      <w:pPr>
        <w:pStyle w:val="Heading1"/>
      </w:pPr>
      <w:r>
        <w:t>S9 Online-resource map</w:t>
      </w:r>
    </w:p>
    <w:tbl>
      <w:tblPr>
        <w:tblStyle w:val="TableGrid"/>
        <w:tblW w:type="auto" w:w="0"/>
        <w:jc w:val="center"/>
        <w:tblLayout w:type="fixed"/>
        <w:tblLook w:firstColumn="1" w:firstRow="1" w:lastColumn="0" w:lastRow="0" w:noHBand="0" w:noVBand="1" w:val="04A0"/>
      </w:tblPr>
      <w:tblGrid>
        <w:gridCol w:w="1134"/>
        <w:gridCol w:w="8504"/>
      </w:tblGrid>
      <w:tr>
        <w:trPr>
          <w:tblHeader/>
          <w:cantSplit/>
        </w:trPr>
        <w:tc>
          <w:tcPr>
            <w:tcW w:type="dxa" w:w="113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DCE6F1"/>
          </w:tcPr>
          <w:p>
            <w:pPr>
              <w:spacing w:after="60" w:before="60"/>
            </w:pPr>
            <w:r>
              <w:rPr>
                <w:b/>
                <w:sz w:val="17"/>
              </w:rPr>
              <w:t>Resource</w:t>
            </w:r>
          </w:p>
        </w:tc>
        <w:tc>
          <w:tcPr>
            <w:tcW w:type="dxa" w:w="850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DCE6F1"/>
          </w:tcPr>
          <w:p>
            <w:pPr>
              <w:spacing w:after="60" w:before="60"/>
            </w:pPr>
            <w:r>
              <w:rPr>
                <w:b/>
                <w:sz w:val="17"/>
              </w:rPr>
              <w:t>Delivered content</w:t>
            </w:r>
          </w:p>
        </w:tc>
      </w:tr>
      <w:tr>
        <w:trPr>
          <w:cantSplit/>
        </w:trPr>
        <w:tc>
          <w:tcPr>
            <w:tcW w:type="dxa" w:w="113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OR1</w:t>
            </w:r>
          </w:p>
        </w:tc>
        <w:tc>
          <w:tcPr>
            <w:tcW w:type="dxa" w:w="850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Methods, historical protocol and searches, appraisal guidance, evidence ledger, retrospective claim-evidence map, current integrity reconciliation and S3.</w:t>
            </w:r>
          </w:p>
        </w:tc>
      </w:tr>
      <w:tr>
        <w:trPr>
          <w:cantSplit/>
        </w:trPr>
        <w:tc>
          <w:tcPr>
            <w:tcW w:type="dxa" w:w="113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OR2</w:t>
            </w:r>
          </w:p>
        </w:tc>
        <w:tc>
          <w:tcPr>
            <w:tcW w:type="dxa" w:w="850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Canonical complete codebook, relations, competency questions, boundaries, case mappings, and revision history.</w:t>
            </w:r>
          </w:p>
        </w:tc>
      </w:tr>
      <w:tr>
        <w:trPr>
          <w:cantSplit/>
        </w:trPr>
        <w:tc>
          <w:tcPr>
            <w:tcW w:type="dxa" w:w="113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OR3</w:t>
            </w:r>
          </w:p>
        </w:tc>
        <w:tc>
          <w:tcPr>
            <w:tcW w:type="dxa" w:w="850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Framework crosswalk with primary/secondary or composite roles, direct assignment versus candidate associations, semantic loss and 24-case descriptive coverage.</w:t>
            </w:r>
          </w:p>
        </w:tc>
      </w:tr>
      <w:tr>
        <w:trPr>
          <w:cantSplit/>
        </w:trPr>
        <w:tc>
          <w:tcPr>
            <w:tcW w:type="dxa" w:w="113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OR4</w:t>
            </w:r>
          </w:p>
        </w:tc>
        <w:tc>
          <w:tcPr>
            <w:tcW w:type="dxa" w:w="850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Legal and standards registers with exact identities, status, access, legal effect, editions, harmonization limits and correction history.</w:t>
            </w:r>
          </w:p>
        </w:tc>
      </w:tr>
      <w:tr>
        <w:trPr>
          <w:cantSplit/>
        </w:trPr>
        <w:tc>
          <w:tcPr>
            <w:tcW w:type="dxa" w:w="113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OR5</w:t>
            </w:r>
          </w:p>
        </w:tc>
        <w:tc>
          <w:tcPr>
            <w:tcW w:type="dxa" w:w="850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Canonical 24-case documentary corpus and annotations.</w:t>
            </w:r>
          </w:p>
        </w:tc>
      </w:tr>
      <w:tr>
        <w:trPr>
          <w:cantSplit/>
        </w:trPr>
        <w:tc>
          <w:tcPr>
            <w:tcW w:type="dxa" w:w="113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OR6</w:t>
            </w:r>
          </w:p>
        </w:tc>
        <w:tc>
          <w:tcPr>
            <w:tcW w:type="dxa" w:w="850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Canonical codebook exports, SKOS, JSON-LD/RDF, relation vocabulary, SHACL, competency questions, migration notes, example and executed validation reports.</w:t>
            </w:r>
          </w:p>
        </w:tc>
      </w:tr>
      <w:tr>
        <w:trPr>
          <w:cantSplit/>
        </w:trPr>
        <w:tc>
          <w:tcPr>
            <w:tcW w:type="dxa" w:w="113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OR7</w:t>
            </w:r>
          </w:p>
        </w:tc>
        <w:tc>
          <w:tcPr>
            <w:tcW w:type="dxa" w:w="850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Eight principal figures, S1-S3, editable native-element PPTX sources, vector PDFs, high-resolution PNGs, captions, alt text and source data.</w:t>
            </w:r>
          </w:p>
        </w:tc>
      </w:tr>
      <w:tr>
        <w:trPr>
          <w:cantSplit/>
        </w:trPr>
        <w:tc>
          <w:tcPr>
            <w:tcW w:type="dxa" w:w="113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OR8</w:t>
            </w:r>
          </w:p>
        </w:tc>
        <w:tc>
          <w:tcPr>
            <w:tcW w:type="dxa" w:w="850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Concept-development rationale, rejected alternatives, boundary decisions, timeline, case matrix and agentic Risk-Control-Evidence record.</w:t>
            </w:r>
          </w:p>
        </w:tc>
      </w:tr>
    </w:tbl>
    <w:p>
      <w:pPr>
        <w:pStyle w:val="Heading1"/>
      </w:pPr>
      <w:r>
        <w:t>S10 Historical protocol and correction-stage amendment</w:t>
      </w:r>
    </w:p>
    <w:p>
      <w:r>
        <w:t>The historical v1.0 protocol planned a systematic mapping and validation workflow and referred to eight questions in a Research Contract that is not available in the supplied record. That contract is not reconstructed. The current paper uses the five questions in Section 1 and the access-limited conceptual design described in Section 3. The intended 100-case target was aspirational rather than an achieved sample or an inclusion quota. No prospective registration, independent coding, completed citation network or complete screening exclusion universe is claimed.</w:t>
      </w:r>
    </w:p>
    <w:p>
      <w:r>
        <w:t>The Gate-C workbook records an incomplete 25 July 2026, 16:19 CEST snapshot containing 54 evidence, 38 legal, and 39 standards records. Those 131 historical audit rows remain intact. The later cutoff record adds fifteen evidence, six legal, and eight standards records, for 160; the present correction adds two pre-cutoff standards records, for 162. OR1_Revision_Integrity_Audit.xlsx reconciles all current record IDs with the historical scope and reports actual identifier, title and source-location checks. The dated amendment separates technical checks, requirements outside the revised claim, and source judgments still requiring author review.</w:t>
      </w:r>
    </w:p>
    <w:p>
      <w:pPr>
        <w:pStyle w:val="Heading1"/>
      </w:pPr>
      <w:r>
        <w:t>S11 Search and audit files</w:t>
      </w:r>
    </w:p>
    <w:tbl>
      <w:tblPr>
        <w:tblStyle w:val="TableGrid"/>
        <w:tblW w:type="auto" w:w="0"/>
        <w:jc w:val="center"/>
        <w:tblLayout w:type="fixed"/>
        <w:tblLook w:firstColumn="1" w:firstRow="1" w:lastColumn="0" w:lastRow="0" w:noHBand="0" w:noVBand="1" w:val="04A0"/>
      </w:tblPr>
      <w:tblGrid>
        <w:gridCol w:w="4139"/>
        <w:gridCol w:w="5499"/>
      </w:tblGrid>
      <w:tr>
        <w:trPr>
          <w:tblHeader/>
          <w:cantSplit/>
        </w:trPr>
        <w:tc>
          <w:tcPr>
            <w:tcW w:type="dxa" w:w="4139"/>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DCE6F1"/>
          </w:tcPr>
          <w:p>
            <w:pPr>
              <w:spacing w:after="60" w:before="60"/>
            </w:pPr>
            <w:r>
              <w:rPr>
                <w:b/>
                <w:sz w:val="17"/>
              </w:rPr>
              <w:t>File</w:t>
            </w:r>
          </w:p>
        </w:tc>
        <w:tc>
          <w:tcPr>
            <w:tcW w:type="dxa" w:w="5499"/>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DCE6F1"/>
          </w:tcPr>
          <w:p>
            <w:pPr>
              <w:spacing w:after="60" w:before="60"/>
            </w:pPr>
            <w:r>
              <w:rPr>
                <w:b/>
                <w:sz w:val="17"/>
              </w:rPr>
              <w:t>Content and limit</w:t>
            </w:r>
          </w:p>
        </w:tc>
      </w:tr>
      <w:tr>
        <w:trPr>
          <w:cantSplit/>
        </w:trPr>
        <w:tc>
          <w:tcPr>
            <w:tcW w:type="dxa" w:w="4139"/>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OR1_Research_Protocol.md / .pdf</w:t>
            </w:r>
          </w:p>
        </w:tc>
        <w:tc>
          <w:tcPr>
            <w:tcW w:type="dxa" w:w="5499"/>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Historical v1.0 protocol with an explicit current-status banner; not a prospective registration or proof that all planned work occurred.</w:t>
            </w:r>
          </w:p>
        </w:tc>
      </w:tr>
      <w:tr>
        <w:trPr>
          <w:cantSplit/>
        </w:trPr>
        <w:tc>
          <w:tcPr>
            <w:tcW w:type="dxa" w:w="4139"/>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OR1_Methods_Amendment_v1.2.1.pdf</w:t>
            </w:r>
          </w:p>
        </w:tc>
        <w:tc>
          <w:tcPr>
            <w:tcW w:type="dxa" w:w="5499"/>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Dated design amendment, five research questions, historical gate reconciliation and limits.</w:t>
            </w:r>
          </w:p>
        </w:tc>
      </w:tr>
      <w:tr>
        <w:trPr>
          <w:cantSplit/>
        </w:trPr>
        <w:tc>
          <w:tcPr>
            <w:tcW w:type="dxa" w:w="4139"/>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OR1_Primary_Search_Execution_Log.xlsx</w:t>
            </w:r>
          </w:p>
        </w:tc>
        <w:tc>
          <w:tcPr>
            <w:tcW w:type="dxa" w:w="5499"/>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48 historical primary query records; no invented total-result counts or exports.</w:t>
            </w:r>
          </w:p>
        </w:tc>
      </w:tr>
      <w:tr>
        <w:trPr>
          <w:cantSplit/>
        </w:trPr>
        <w:tc>
          <w:tcPr>
            <w:tcW w:type="dxa" w:w="4139"/>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OR1_Final_Cutoff_Sweep.xlsx</w:t>
            </w:r>
          </w:p>
        </w:tc>
        <w:tc>
          <w:tcPr>
            <w:tcW w:type="dxa" w:w="5499"/>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12 final queries, 31 recorded additions and seven cutoff checks. The search history is preserved.</w:t>
            </w:r>
          </w:p>
        </w:tc>
      </w:tr>
      <w:tr>
        <w:trPr>
          <w:cantSplit/>
        </w:trPr>
        <w:tc>
          <w:tcPr>
            <w:tcW w:type="dxa" w:w="4139"/>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OR1_Quality_Appraisal_Rubrics.xlsx</w:t>
            </w:r>
          </w:p>
        </w:tc>
        <w:tc>
          <w:tcPr>
            <w:tcW w:type="dxa" w:w="5499"/>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Type-specific proposed criteria and scoring anchors, explicitly distinguished from actual qualitative source judgments.</w:t>
            </w:r>
          </w:p>
        </w:tc>
      </w:tr>
      <w:tr>
        <w:trPr>
          <w:cantSplit/>
        </w:trPr>
        <w:tc>
          <w:tcPr>
            <w:tcW w:type="dxa" w:w="4139"/>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OR1_Gate_C_Integrity_and_Access_Limits.xlsx</w:t>
            </w:r>
          </w:p>
        </w:tc>
        <w:tc>
          <w:tcPr>
            <w:tcW w:type="dxa" w:w="5499"/>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Historical 131-row audit, original gate criteria, contradictions, citation-chaining and access limits; current-status note added without changing old results.</w:t>
            </w:r>
          </w:p>
        </w:tc>
      </w:tr>
      <w:tr>
        <w:trPr>
          <w:cantSplit/>
        </w:trPr>
        <w:tc>
          <w:tcPr>
            <w:tcW w:type="dxa" w:w="4139"/>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OR1_Evidence_Ledger.xlsx</w:t>
            </w:r>
          </w:p>
        </w:tc>
        <w:tc>
          <w:tcPr>
            <w:tcW w:type="dxa" w:w="5499"/>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69 retained records with identity, inclusion, qualitative rating, uncertainty, access and original source locations.</w:t>
            </w:r>
          </w:p>
        </w:tc>
      </w:tr>
      <w:tr>
        <w:trPr>
          <w:cantSplit/>
        </w:trPr>
        <w:tc>
          <w:tcPr>
            <w:tcW w:type="dxa" w:w="4139"/>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OR1_Claim_Evidence_Map.csv / .xlsx</w:t>
            </w:r>
          </w:p>
        </w:tc>
        <w:tc>
          <w:tcPr>
            <w:tcW w:type="dxa" w:w="5499"/>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Retrospective claim-specific support map prepared during the correction; exact locators only where accessible and verified.</w:t>
            </w:r>
          </w:p>
        </w:tc>
      </w:tr>
      <w:tr>
        <w:trPr>
          <w:cantSplit/>
        </w:trPr>
        <w:tc>
          <w:tcPr>
            <w:tcW w:type="dxa" w:w="4139"/>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OR1_Revision_Integrity_Audit.xlsx / .csv</w:t>
            </w:r>
          </w:p>
        </w:tc>
        <w:tc>
          <w:tcPr>
            <w:tcW w:type="dxa" w:w="5499"/>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Current technical audit of all evidence/legal/standards IDs, including all 29 later-cutoff rows and two new correction-stage rows.</w:t>
            </w:r>
          </w:p>
        </w:tc>
      </w:tr>
      <w:tr>
        <w:trPr>
          <w:cantSplit/>
        </w:trPr>
        <w:tc>
          <w:tcPr>
            <w:tcW w:type="dxa" w:w="4139"/>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OR1_Screening_and_Exclusion_Accounting</w:t>
              <w:br/>
              <w:t>.md / .pdf</w:t>
            </w:r>
          </w:p>
        </w:tc>
        <w:tc>
          <w:tcPr>
            <w:tcW w:type="dxa" w:w="5499"/>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Available query and retained-source accounting, exclusion categories and explicit missing denominators.</w:t>
            </w:r>
          </w:p>
        </w:tc>
      </w:tr>
      <w:tr>
        <w:trPr>
          <w:cantSplit/>
        </w:trPr>
        <w:tc>
          <w:tcPr>
            <w:tcW w:type="dxa" w:w="4139"/>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Supplementary_Fig_S3_Evidence_Flow</w:t>
              <w:br/>
              <w:t>.png / .pdf / .pptx</w:t>
            </w:r>
          </w:p>
        </w:tc>
        <w:tc>
          <w:tcPr>
            <w:tcW w:type="dxa" w:w="5499"/>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Search-flow accounting plus separately dated correction reconciliation.</w:t>
            </w:r>
          </w:p>
        </w:tc>
      </w:tr>
      <w:tr>
        <w:trPr>
          <w:cantSplit/>
        </w:trPr>
        <w:tc>
          <w:tcPr>
            <w:tcW w:type="dxa" w:w="4139"/>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Bibliography_Verification.csv</w:t>
            </w:r>
          </w:p>
        </w:tc>
        <w:tc>
          <w:tcPr>
            <w:tcW w:type="dxa" w:w="5499"/>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Identity and correction record for the 140 bibliography entries, with source-access and verification limits.</w:t>
            </w:r>
          </w:p>
        </w:tc>
      </w:tr>
      <w:tr>
        <w:trPr>
          <w:cantSplit/>
        </w:trPr>
        <w:tc>
          <w:tcPr>
            <w:tcW w:type="dxa" w:w="4139"/>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OR1_File_Index.csv</w:t>
            </w:r>
          </w:p>
        </w:tc>
        <w:tc>
          <w:tcPr>
            <w:tcW w:type="dxa" w:w="5499"/>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Inventory of actual files in this resource.</w:t>
            </w:r>
          </w:p>
        </w:tc>
      </w:tr>
    </w:tbl>
    <w:p>
      <w:pPr>
        <w:pStyle w:val="Heading1"/>
      </w:pPr>
      <w:r>
        <w:t>S12 Supplementary figure S3</w:t>
      </w:r>
    </w:p>
    <w:p>
      <w:pPr>
        <w:keepNext/>
      </w:pPr>
      <w:r>
        <w:drawing>
          <wp:inline xmlns:a="http://schemas.openxmlformats.org/drawingml/2006/main" xmlns:pic="http://schemas.openxmlformats.org/drawingml/2006/picture">
            <wp:extent cx="6120000" cy="4947810"/>
            <wp:docPr id="1" name="Picture 1" descr="Sixty historical query runs, comprising 48 primary and 12 cutoff queries, lead through retained-source documentation to four historical streams: 69 scientific and framework records, 44 legal and institutional records, 47 standards records, and 24 cases. Screening denominators are unavailable. A separate revision note identifies two added standards records and the current total of 49."/>
            <wp:cNvGraphicFramePr>
              <a:graphicFrameLocks noChangeAspect="1"/>
            </wp:cNvGraphicFramePr>
            <a:graphic>
              <a:graphicData uri="http://schemas.openxmlformats.org/drawingml/2006/picture">
                <pic:pic>
                  <pic:nvPicPr>
                    <pic:cNvPr id="0" name="Supplementary_Fig_S3_Evidence_Flow.png"/>
                    <pic:cNvPicPr/>
                  </pic:nvPicPr>
                  <pic:blipFill>
                    <a:blip r:embed="rId10"/>
                    <a:stretch>
                      <a:fillRect/>
                    </a:stretch>
                  </pic:blipFill>
                  <pic:spPr>
                    <a:xfrm>
                      <a:off x="0" y="0"/>
                      <a:ext cx="6120000" cy="4947810"/>
                    </a:xfrm>
                    <a:prstGeom prst="rect"/>
                  </pic:spPr>
                </pic:pic>
              </a:graphicData>
            </a:graphic>
          </wp:inline>
        </w:drawing>
      </w:r>
    </w:p>
    <w:p>
      <w:r>
        <w:t>Supplementary Fig. S3 Evidence-flow accounting for the access-limited conceptual synthesis. The four retained-stream counts show the final July 2026 snapshot. The v1.2.1 correction adds two previously cited standards records, bringing the current standards register to 49, without altering historical query or screening counts. Register streams can overlap and are not a total of unique publications. Prepared programmatically with AI assistance from the documented source material; see Section 3.10 of the manuscript</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00" w:line="240" w:lineRule="auto"/>
      <w:contextualSpacing/>
    </w:pPr>
    <w:rPr>
      <w:rFonts w:asciiTheme="majorHAnsi" w:eastAsiaTheme="majorEastAsia" w:hAnsiTheme="majorHAnsi" w:cstheme="majorBidi" w:ascii="Arial" w:hAnsi="Arial"/>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rPr>
      <w:rFonts w:ascii="Arial" w:hAnsi="Arial"/>
      <w:sz w:val="2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after="120"/>
    </w:pPr>
    <w:rPr>
      <w:rFonts w:ascii="Arial" w:hAnsi="Arial"/>
      <w:b/>
      <w:bCs/>
      <w:color w:val="4F81BD" w:themeColor="accent1"/>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FCAIRO">
  <a:themeElements>
    <a:clrScheme name="FCAIR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FCAIRO">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FCAIR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
  <TotalTime>0</TotalTime>
  <Pages>1</Pages>
  <Words>0</Words>
  <Characters>0</Characters>
  <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Sources of Risk in AI Systems Revisited: FCAIR-O, a Faceted Causal Framework and Lightweight Ontology for Risk Management and Assurance</dc:title>
  <dc:subject>Artificial Intelligence Review</dc:subject>
  <dc:creator>Moritz Schneider; André Steimers</dc:creator>
  <cp:keywords>FCAIR-O; v1.2.1</cp:keywords>
  <dc:description>Moritz Schneider: Independent researcher, 56567 Neuwied, Germany
André Steimers: Department of Mathematics, Computer Science and Technology, Koblenz University of Applied Sciences, Remagen Campus, Remagen, Germany
Corresponding author: Moritz Schneider</dc:description>
  <cp:lastModifiedBy/>
  <cp:revision>2</cp:revision>
  <dcterms:created xsi:type="dcterms:W3CDTF">2026-10-10T11:43:23Z</dcterms:created>
  <dcterms:modified xsi:type="dcterms:W3CDTF">2026-10-10T14:00:01Z</dcterms:modified>
  <cp:category>Research material</cp:category>
</cp:coreProperties>
</file>