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Historical research protocol</w:t>
      </w:r>
    </w:p>
    <w:p>
      <w:r>
        <w:t>Historical protocol retained with FCAIR-O v1.2.1</w:t>
      </w:r>
    </w:p>
    <w:p>
      <w:pPr>
        <w:pStyle w:val="Normal"/>
        <w:keepNext/>
        <w:spacing w:before="0" w:after="60"/>
      </w:pPr>
      <w:r>
        <w:t>Article: Sources of Risk in AI Systems Revisited: FCAIR-O, a Faceted Causal Framework and Lightweight Ontology for Risk Management and Assurance</w:t>
      </w:r>
    </w:p>
    <w:p>
      <w:pPr>
        <w:pStyle w:val="Normal"/>
        <w:keepNext/>
        <w:spacing w:before="0" w:after="60"/>
      </w:pPr>
      <w:r>
        <w:t>Journal: Artificial Intelligence Review</w:t>
      </w:r>
    </w:p>
    <w:p>
      <w:pPr>
        <w:pStyle w:val="Normal"/>
        <w:keepNext/>
        <w:spacing w:before="0" w:after="60"/>
      </w:pPr>
      <w:r>
        <w:rPr>
          <w:b/>
        </w:rPr>
        <w:t>Article authors (current release): Moritz Schneider; André Steimers</w:t>
      </w:r>
    </w:p>
    <w:p>
      <w:pPr>
        <w:pStyle w:val="Normal"/>
        <w:keepNext/>
        <w:spacing w:before="0" w:after="40"/>
      </w:pPr>
      <w:r>
        <w:rPr>
          <w:sz w:val="20"/>
        </w:rPr>
        <w:t>Moritz Schneider: Independent researcher, 56567 Neuwied, Germany</w:t>
      </w:r>
    </w:p>
    <w:p>
      <w:pPr>
        <w:pStyle w:val="Normal"/>
        <w:keepNext/>
        <w:spacing w:before="0" w:after="40"/>
      </w:pPr>
      <w:r>
        <w:rPr>
          <w:sz w:val="20"/>
        </w:rPr>
        <w:t>André Steimers: Department of Mathematics, Computer Science and Technology, Koblenz University of Applied Sciences, Remagen Campus, Remagen, Germany</w:t>
      </w:r>
    </w:p>
    <w:p>
      <w:pPr>
        <w:pStyle w:val="Normal"/>
        <w:keepNext/>
        <w:spacing w:before="0" w:after="40"/>
      </w:pPr>
      <w:r>
        <w:rPr>
          <w:sz w:val="20"/>
        </w:rPr>
        <w:t>Corresponding author: Moritz Schneider</w:t>
      </w:r>
    </w:p>
    <w:p>
      <w:r>
        <w:t>This is the historical v1.0 protocol dated 25 July 2026. It is retained as an audit record, not as a claim that all planned searches, screening, validation or registration took place. The current method is specified in the manuscript and OR1_Methods_Amendment_v1.2.1.pdf, prepared 2026-10-10.</w:t>
      </w:r>
    </w:p>
    <w:p>
      <w:r>
        <w:t>The referenced Research Contract is not present in the supplied historical record and has not been reconstructed. The current article uses five research questions. The historical systematic-review and validation plans, intended sample target and Gate B/C rules remain historical proposals; their original wording below is not the operative release status.</w:t>
      </w:r>
    </w:p>
    <w:p>
      <w:r>
        <w:t>Material cutoff: 25 July 2026, 23:59 CEST. The metadata, role and export correction does not extend it.</w:t>
      </w:r>
    </w:p>
    <w:p>
      <w:pPr>
        <w:pStyle w:val="Heading1"/>
      </w:pPr>
      <w:r>
        <w:t>Retained historical text</w:t>
      </w:r>
    </w:p>
    <w:p>
      <w:pPr>
        <w:pStyle w:val="Heading1"/>
      </w:pPr>
      <w:r>
        <w:t>03 Systematic Review, Legal, Standards and Incident Research Protocol</w:t>
      </w:r>
    </w:p>
    <w:p>
      <w:pPr>
        <w:pStyle w:val="Heading1"/>
      </w:pPr>
      <w:r>
        <w:t>Protocol metadata</w:t>
      </w:r>
    </w:p>
    <w:p>
      <w:r>
        <w:t>Protocol title: Sources of Risk in AI Systems Revisited: Protocol for a Systematic Mapping Review, Best-Fit Framework Synthesis, Legal and Standards Analysis, and Structured Incident Study</w:t>
      </w:r>
    </w:p>
    <w:p>
      <w:r>
        <w:t>Version: 1.0</w:t>
      </w:r>
    </w:p>
    <w:p>
      <w:r>
        <w:t>Protocol date: 25 July 2026</w:t>
      </w:r>
    </w:p>
    <w:p>
      <w:r>
        <w:t>Material evidence cut-off: 25 July 2026, 23:59 CEST</w:t>
      </w:r>
    </w:p>
    <w:p>
      <w:r>
        <w:t>Registration status: OSF-ready protocol; not represented as prospectively registered until an actual OSF registration identifier and timestamp exist.</w:t>
      </w:r>
    </w:p>
    <w:p>
      <w:r>
        <w:t>Primary review language: German for protocol and logs; English for the manuscript and data labels where needed.</w:t>
      </w:r>
    </w:p>
    <w:p>
      <w:r>
        <w:t>Review model: model-assisted single-reviewer workflow with staged consistency checks. No independent human dual screening, inter-rater reliability or Delphi validation is claimed.</w:t>
      </w:r>
    </w:p>
    <w:p>
      <w:pPr>
        <w:pStyle w:val="Heading1"/>
      </w:pPr>
      <w:r>
        <w:t>1. Rationale</w:t>
      </w:r>
    </w:p>
    <w:p>
      <w:r>
        <w:t>Steimers and Schneider (2022) proposed a practical taxonomy of eight AI-specific sources of risk and an adapted risk-management process grounded primarily in ISO 12100 and ISO 14971. Their framework preceded the broad deployment of foundation and generative models, retrieval-augmented systems, multimodal interfaces and tool-using agents, and preceded major developments in AI regulation, horizontal AI management standards, incident repositories and system-level evaluation. The original taxonomy also combines ontologically different objects: protected interests, normative properties, allocation-of-authority variables, context conditions, threat domains, technical substrates and maturity indicators.</w:t>
      </w:r>
    </w:p>
    <w:p>
      <w:r>
        <w:t>The review therefore asks not merely which new risks should be appended. It reconstructs causal pathways and tests whether a faceted, lifecycle- and assurance-oriented ontology improves conceptual clarity, coverage, control attribution and maintainability.</w:t>
      </w:r>
    </w:p>
    <w:p>
      <w:pPr>
        <w:pStyle w:val="Heading1"/>
      </w:pPr>
      <w:r>
        <w:t>2. Objectives and research questions</w:t>
      </w:r>
    </w:p>
    <w:p>
      <w:r>
        <w:t>The objectives are to:</w:t>
      </w:r>
    </w:p>
    <w:p>
      <w:r>
        <w:t>1. critically reassess the theoretical and practical validity of the 2022 taxonomy;</w:t>
      </w:r>
    </w:p>
    <w:p>
      <w:r>
        <w:t>2. map risk sources and mechanisms documented between 1 January 2021 and 25 July 2026;</w:t>
      </w:r>
    </w:p>
    <w:p>
      <w:r>
        <w:t>3. distinguish model, component, system, human-AI, organisational, supply-chain, institutional and societal levels;</w:t>
      </w:r>
    </w:p>
    <w:p>
      <w:r>
        <w:t>4. triangulate scientific literature, incidents, frameworks, law, case law, standards and assurance practice;</w:t>
      </w:r>
    </w:p>
    <w:p>
      <w:r>
        <w:t>5. construct and validate a causal faceted ontology and codebook;</w:t>
      </w:r>
    </w:p>
    <w:p>
      <w:r>
        <w:t>6. map risk sources to preventive, detective, corrective and compensating controls and to assurance evidence;</w:t>
      </w:r>
    </w:p>
    <w:p>
      <w:r>
        <w:t>7. identify legal, standardisation, engineering and research gaps.</w:t>
      </w:r>
    </w:p>
    <w:p>
      <w:r>
        <w:t>The eight research questions are those fixed in the Research Contract. No confirmatory hypothesis is preregistered. The proposed axes are treated as a best-fit framework to be revised through deductive coding, inductive addition, negative cases and boundary-case analysis.</w:t>
      </w:r>
    </w:p>
    <w:p>
      <w:pPr>
        <w:pStyle w:val="Heading1"/>
      </w:pPr>
      <w:r>
        <w:t>3. Review design</w:t>
      </w:r>
    </w:p>
    <w:p>
      <w:r>
        <w:t>The project combines:</w:t>
      </w:r>
    </w:p>
    <w:p>
      <w:r>
        <w:t>1. a systematic mapping review;</w:t>
      </w:r>
    </w:p>
    <w:p>
      <w:r>
        <w:t>2. best-fit framework synthesis;</w:t>
      </w:r>
    </w:p>
    <w:p>
      <w:r>
        <w:t>3. inductive thematic supplementation;</w:t>
      </w:r>
    </w:p>
    <w:p>
      <w:r>
        <w:t>4. doctrinal legal analysis;</w:t>
      </w:r>
    </w:p>
    <w:p>
      <w:r>
        <w:t>5. standards and assurance landscape analysis;</w:t>
      </w:r>
    </w:p>
    <w:p>
      <w:r>
        <w:t>6. structured analysis of documented AI incidents and hazards;</w:t>
      </w:r>
    </w:p>
    <w:p>
      <w:r>
        <w:t>7. comparative framework crosswalking;</w:t>
      </w:r>
    </w:p>
    <w:p>
      <w:r>
        <w:t>8. bounded horizon scanning.</w:t>
      </w:r>
    </w:p>
    <w:p>
      <w:r>
        <w:t>PRISMA 2020 and PRISMA-S will guide reporting of bibliographic searches, screening and flow counts. Adaptations are required because statutes, judgments, standards, technical reports, incidents and scientific studies are not homogeneous intervention studies. Each evidence stream therefore has its own eligibility and appraisal criteria, while all streams share a common causal extraction model.</w:t>
      </w:r>
    </w:p>
    <w:p>
      <w:pPr>
        <w:pStyle w:val="Heading1"/>
      </w:pPr>
      <w:r>
        <w:t>4. Conceptual eligibility framework</w:t>
      </w:r>
    </w:p>
    <w:p>
      <w:r>
        <w:t>A PCC-style structure is used rather than a clinical PICO structure.</w:t>
      </w:r>
    </w:p>
    <w:p>
      <w:pPr>
        <w:pStyle w:val="ListBullet"/>
      </w:pPr>
      <w:r>
        <w:t>Population / units: AI models, components, systems, products, human-AI work systems, organisations, supply chains, sectors, information ecosystems and transnational systems.</w:t>
      </w:r>
    </w:p>
    <w:p>
      <w:pPr>
        <w:pStyle w:val="ListBullet"/>
      </w:pPr>
      <w:r>
        <w:t>Concept: sources of risk, causal mechanisms, latent conditions, vulnerabilities, threats, triggers, failure modes, hazardous events, exposure, harms, controls and assurance evidence.</w:t>
      </w:r>
    </w:p>
    <w:p>
      <w:pPr>
        <w:pStyle w:val="ListBullet"/>
      </w:pPr>
      <w:r>
        <w:t>Context: development, procurement, deployment and use across sectors, with primary legal and institutional focus on the EU and Germany and analytically relevant comparison with specified international jurisdictions.</w:t>
      </w:r>
    </w:p>
    <w:p>
      <w:pPr>
        <w:pStyle w:val="Heading1"/>
      </w:pPr>
      <w:r>
        <w:t>5. Eligibility criteria</w:t>
      </w:r>
    </w:p>
    <w:p>
      <w:pPr>
        <w:pStyle w:val="Heading2"/>
      </w:pPr>
      <w:r>
        <w:t>5.1 Inclusion criteria common to all streams</w:t>
      </w:r>
    </w:p>
    <w:p>
      <w:r>
        <w:t>A source is eligible when it provides at least one of the following:</w:t>
      </w:r>
    </w:p>
    <w:p>
      <w:pPr>
        <w:pStyle w:val="ListBullet"/>
      </w:pPr>
      <w:r>
        <w:t>a definition or causal account of an AI risk source, risk factor, hazard, vulnerability, threat, failure mode or harm pathway;</w:t>
      </w:r>
    </w:p>
    <w:p>
      <w:pPr>
        <w:pStyle w:val="ListBullet"/>
      </w:pPr>
      <w:r>
        <w:t>an AI-risk taxonomy, ontology, framework or structured classification;</w:t>
      </w:r>
    </w:p>
    <w:p>
      <w:pPr>
        <w:pStyle w:val="ListBullet"/>
      </w:pPr>
      <w:r>
        <w:t>empirical or technical evidence about failure, misuse, adversarial behaviour, human interaction, organisational conditions or system effects;</w:t>
      </w:r>
    </w:p>
    <w:p>
      <w:pPr>
        <w:pStyle w:val="ListBullet"/>
      </w:pPr>
      <w:r>
        <w:t>a documented incident with sufficient information for causal or control coding;</w:t>
      </w:r>
    </w:p>
    <w:p>
      <w:pPr>
        <w:pStyle w:val="ListBullet"/>
      </w:pPr>
      <w:r>
        <w:t>an evaluated or specified control, testing, verification, validation, monitoring or assurance method;</w:t>
      </w:r>
    </w:p>
    <w:p>
      <w:pPr>
        <w:pStyle w:val="ListBullet"/>
      </w:pPr>
      <w:r>
        <w:t>a binding or authoritative legal rule that defines prohibited conduct, protected interests, actor duties, procedures, evidence requirements, liability or remedies relevant to AI risk;</w:t>
      </w:r>
    </w:p>
    <w:p>
      <w:pPr>
        <w:pStyle w:val="ListBullet"/>
      </w:pPr>
      <w:r>
        <w:t>an official standard or technical specification relevant to AI risk management, management systems, impact assessment, data quality, safety, security or conformity assessment.</w:t>
      </w:r>
    </w:p>
    <w:p>
      <w:pPr>
        <w:pStyle w:val="Heading2"/>
      </w:pPr>
      <w:r>
        <w:t>5.2 Date criteria</w:t>
      </w:r>
    </w:p>
    <w:p>
      <w:pPr>
        <w:pStyle w:val="ListBullet"/>
      </w:pPr>
      <w:r>
        <w:t>Primary scientific search window: 1 January 2021 through 25 July 2026.</w:t>
      </w:r>
    </w:p>
    <w:p>
      <w:pPr>
        <w:pStyle w:val="ListBullet"/>
      </w:pPr>
      <w:r>
        <w:t>Earlier sources: eligible only when foundational for terminology, safety theory, established methods, legal doctrine or interpretation of the source article.</w:t>
      </w:r>
    </w:p>
    <w:p>
      <w:pPr>
        <w:pStyle w:val="ListBullet"/>
      </w:pPr>
      <w:r>
        <w:t>Later publications: excluded from the substantive evidence synthesis. If technically encountered, they are logged as post-cut-off and may only appear in a separately labelled postscript that does not alter findings.</w:t>
      </w:r>
    </w:p>
    <w:p>
      <w:pPr>
        <w:pStyle w:val="Heading2"/>
      </w:pPr>
      <w:r>
        <w:t>5.3 Language criteria</w:t>
      </w:r>
    </w:p>
    <w:p>
      <w:pPr>
        <w:pStyle w:val="ListBullet"/>
      </w:pPr>
      <w:r>
        <w:t>Systematic searches: English and German.</w:t>
      </w:r>
    </w:p>
    <w:p>
      <w:pPr>
        <w:pStyle w:val="ListBullet"/>
      </w:pPr>
      <w:r>
        <w:t>Targeted searches: additional languages where necessary for national case law, regulatory enforcement or incident documentation.</w:t>
      </w:r>
    </w:p>
    <w:p>
      <w:pPr>
        <w:pStyle w:val="ListBullet"/>
      </w:pPr>
      <w:r>
        <w:t>Machine translation may assist discovery and preliminary coding. Material legal propositions require verification against the authentic text or an official translation. Any researcher translation is labelled as such.</w:t>
      </w:r>
    </w:p>
    <w:p>
      <w:pPr>
        <w:pStyle w:val="Heading2"/>
      </w:pPr>
      <w:r>
        <w:t>5.4 Publication and evidence types</w:t>
      </w:r>
    </w:p>
    <w:p>
      <w:r>
        <w:t>Eligible:</w:t>
      </w:r>
    </w:p>
    <w:p>
      <w:pPr>
        <w:pStyle w:val="ListBullet"/>
      </w:pPr>
      <w:r>
        <w:t>peer-reviewed primary research;</w:t>
      </w:r>
    </w:p>
    <w:p>
      <w:pPr>
        <w:pStyle w:val="ListBullet"/>
      </w:pPr>
      <w:r>
        <w:t>systematic, scoping and mapping reviews;</w:t>
      </w:r>
    </w:p>
    <w:p>
      <w:pPr>
        <w:pStyle w:val="ListBullet"/>
      </w:pPr>
      <w:r>
        <w:t>peer-reviewed taxonomies and conceptual analyses;</w:t>
      </w:r>
    </w:p>
    <w:p>
      <w:pPr>
        <w:pStyle w:val="ListBullet"/>
      </w:pPr>
      <w:r>
        <w:t>technical evaluations and benchmark studies;</w:t>
      </w:r>
    </w:p>
    <w:p>
      <w:pPr>
        <w:pStyle w:val="ListBullet"/>
      </w:pPr>
      <w:r>
        <w:t>transparent preprints where publication lag or fast-moving topics justify inclusion;</w:t>
      </w:r>
    </w:p>
    <w:p>
      <w:pPr>
        <w:pStyle w:val="ListBullet"/>
      </w:pPr>
      <w:r>
        <w:t>official legislation, preparatory acts where status is material, and full judicial decisions;</w:t>
      </w:r>
    </w:p>
    <w:p>
      <w:pPr>
        <w:pStyle w:val="ListBullet"/>
      </w:pPr>
      <w:r>
        <w:t>official standards metadata and lawfully accessible text or previews;</w:t>
      </w:r>
    </w:p>
    <w:p>
      <w:pPr>
        <w:pStyle w:val="ListBullet"/>
      </w:pPr>
      <w:r>
        <w:t>official institutional reports and risk frameworks;</w:t>
      </w:r>
    </w:p>
    <w:p>
      <w:pPr>
        <w:pStyle w:val="ListBullet"/>
      </w:pPr>
      <w:r>
        <w:t>official accident, market-surveillance, data-protection, competition and safety reports;</w:t>
      </w:r>
    </w:p>
    <w:p>
      <w:pPr>
        <w:pStyle w:val="ListBullet"/>
      </w:pPr>
      <w:r>
        <w:t>methodologically transparent incident databases and technical post-mortems;</w:t>
      </w:r>
    </w:p>
    <w:p>
      <w:pPr>
        <w:pStyle w:val="ListBullet"/>
      </w:pPr>
      <w:r>
        <w:t>industry or provider reports when primary technical evidence is unavailable or the source documents its own system, with conflict-of-interest coding.</w:t>
      </w:r>
    </w:p>
    <w:p>
      <w:r>
        <w:t>Normally excluded:</w:t>
      </w:r>
    </w:p>
    <w:p>
      <w:pPr>
        <w:pStyle w:val="ListBullet"/>
      </w:pPr>
      <w:r>
        <w:t>marketing copy without analyzable methods or evidence;</w:t>
      </w:r>
    </w:p>
    <w:p>
      <w:pPr>
        <w:pStyle w:val="ListBullet"/>
      </w:pPr>
      <w:r>
        <w:t>untraceable opinion pieces;</w:t>
      </w:r>
    </w:p>
    <w:p>
      <w:pPr>
        <w:pStyle w:val="ListBullet"/>
      </w:pPr>
      <w:r>
        <w:t>search-result snippets;</w:t>
      </w:r>
    </w:p>
    <w:p>
      <w:pPr>
        <w:pStyle w:val="ListBullet"/>
      </w:pPr>
      <w:r>
        <w:t>duplicated reports of the same source or incident;</w:t>
      </w:r>
    </w:p>
    <w:p>
      <w:pPr>
        <w:pStyle w:val="ListBullet"/>
      </w:pPr>
      <w:r>
        <w:t>sources that merely mention AI risk without definitions, mechanisms, controls or analyzable evidence;</w:t>
      </w:r>
    </w:p>
    <w:p>
      <w:pPr>
        <w:pStyle w:val="ListBullet"/>
      </w:pPr>
      <w:r>
        <w:t>unverifiable second-hand claims;</w:t>
      </w:r>
    </w:p>
    <w:p>
      <w:pPr>
        <w:pStyle w:val="ListBullet"/>
      </w:pPr>
      <w:r>
        <w:t>purely speculative scenarios that cannot be distinguished from observation or experiment. Such scenarios may be retained only in the bounded horizon-scanning stream and are labelled accordingly.</w:t>
      </w:r>
    </w:p>
    <w:p>
      <w:pPr>
        <w:pStyle w:val="Heading2"/>
      </w:pPr>
      <w:r>
        <w:t>5.5 Full-text exclusion codes</w:t>
      </w:r>
    </w:p>
    <w:p>
      <w:pPr>
        <w:pStyle w:val="ListBullet"/>
      </w:pPr>
      <w:r>
        <w:t>FT01: no substantive connection to an RQ;</w:t>
      </w:r>
    </w:p>
    <w:p>
      <w:pPr>
        <w:pStyle w:val="ListBullet"/>
      </w:pPr>
      <w:r>
        <w:t>FT02: AI not a material part of the system or mechanism;</w:t>
      </w:r>
    </w:p>
    <w:p>
      <w:pPr>
        <w:pStyle w:val="ListBullet"/>
      </w:pPr>
      <w:r>
        <w:t>FT03: no causal, taxonomic, control, legal or incident content;</w:t>
      </w:r>
    </w:p>
    <w:p>
      <w:pPr>
        <w:pStyle w:val="ListBullet"/>
      </w:pPr>
      <w:r>
        <w:t>FT04: duplicate or superseded version without unique content;</w:t>
      </w:r>
    </w:p>
    <w:p>
      <w:pPr>
        <w:pStyle w:val="ListBullet"/>
      </w:pPr>
      <w:r>
        <w:t>FT05: publication after the evidence cut-off;</w:t>
      </w:r>
    </w:p>
    <w:p>
      <w:pPr>
        <w:pStyle w:val="ListBullet"/>
      </w:pPr>
      <w:r>
        <w:t>FT06: inaccessible full text and insufficient lawful information for the intended claim;</w:t>
      </w:r>
    </w:p>
    <w:p>
      <w:pPr>
        <w:pStyle w:val="ListBullet"/>
      </w:pPr>
      <w:r>
        <w:t>FT07: unverifiable or non-transparent source;</w:t>
      </w:r>
    </w:p>
    <w:p>
      <w:pPr>
        <w:pStyle w:val="ListBullet"/>
      </w:pPr>
      <w:r>
        <w:t>FT08: marketing or advocacy without analyzable evidence;</w:t>
      </w:r>
    </w:p>
    <w:p>
      <w:pPr>
        <w:pStyle w:val="ListBullet"/>
      </w:pPr>
      <w:r>
        <w:t>FT09: wrong jurisdiction or sector with no transferable analytical value;</w:t>
      </w:r>
    </w:p>
    <w:p>
      <w:pPr>
        <w:pStyle w:val="ListBullet"/>
      </w:pPr>
      <w:r>
        <w:t>FT10: incident lacks minimum documentation;</w:t>
      </w:r>
    </w:p>
    <w:p>
      <w:pPr>
        <w:pStyle w:val="ListBullet"/>
      </w:pPr>
      <w:r>
        <w:t>FT11: retracted or subject to an unresolved integrity notice that defeats the intended use;</w:t>
      </w:r>
    </w:p>
    <w:p>
      <w:pPr>
        <w:pStyle w:val="ListBullet"/>
      </w:pPr>
      <w:r>
        <w:t>FT12: language cannot be reliably interpreted.</w:t>
      </w:r>
    </w:p>
    <w:p>
      <w:pPr>
        <w:pStyle w:val="Heading1"/>
      </w:pPr>
      <w:r>
        <w:t>6. Information sources</w:t>
      </w:r>
    </w:p>
    <w:p>
      <w:pPr>
        <w:pStyle w:val="Heading2"/>
      </w:pPr>
      <w:r>
        <w:t>6.1 Scientific databases and discovery platforms</w:t>
      </w:r>
    </w:p>
    <w:p>
      <w:r>
        <w:t>The following are planned, subject to actual access:</w:t>
      </w:r>
    </w:p>
    <w:p>
      <w:pPr>
        <w:pStyle w:val="ListBullet"/>
      </w:pPr>
      <w:r>
        <w:t>Scopus;</w:t>
      </w:r>
    </w:p>
    <w:p>
      <w:pPr>
        <w:pStyle w:val="ListBullet"/>
      </w:pPr>
      <w:r>
        <w:t>Web of Science Core Collection;</w:t>
      </w:r>
    </w:p>
    <w:p>
      <w:pPr>
        <w:pStyle w:val="ListBullet"/>
      </w:pPr>
      <w:r>
        <w:t>IEEE Xplore;</w:t>
      </w:r>
    </w:p>
    <w:p>
      <w:pPr>
        <w:pStyle w:val="ListBullet"/>
      </w:pPr>
      <w:r>
        <w:t>ACM Digital Library;</w:t>
      </w:r>
    </w:p>
    <w:p>
      <w:pPr>
        <w:pStyle w:val="ListBullet"/>
      </w:pPr>
      <w:r>
        <w:t>PubMed/MEDLINE;</w:t>
      </w:r>
    </w:p>
    <w:p>
      <w:pPr>
        <w:pStyle w:val="ListBullet"/>
      </w:pPr>
      <w:r>
        <w:t>ScienceDirect;</w:t>
      </w:r>
    </w:p>
    <w:p>
      <w:pPr>
        <w:pStyle w:val="ListBullet"/>
      </w:pPr>
      <w:r>
        <w:t>SpringerLink;</w:t>
      </w:r>
    </w:p>
    <w:p>
      <w:pPr>
        <w:pStyle w:val="ListBullet"/>
      </w:pPr>
      <w:r>
        <w:t>Wiley Online Library;</w:t>
      </w:r>
    </w:p>
    <w:p>
      <w:pPr>
        <w:pStyle w:val="ListBullet"/>
      </w:pPr>
      <w:r>
        <w:t>SSRN;</w:t>
      </w:r>
    </w:p>
    <w:p>
      <w:pPr>
        <w:pStyle w:val="ListBullet"/>
      </w:pPr>
      <w:r>
        <w:t>arXiv;</w:t>
      </w:r>
    </w:p>
    <w:p>
      <w:pPr>
        <w:pStyle w:val="ListBullet"/>
      </w:pPr>
      <w:r>
        <w:t>HeinOnline;</w:t>
      </w:r>
    </w:p>
    <w:p>
      <w:pPr>
        <w:pStyle w:val="ListBullet"/>
      </w:pPr>
      <w:r>
        <w:t>Westlaw and LexisNexis where available;</w:t>
      </w:r>
    </w:p>
    <w:p>
      <w:pPr>
        <w:pStyle w:val="ListBullet"/>
      </w:pPr>
      <w:r>
        <w:t>Crossref;</w:t>
      </w:r>
    </w:p>
    <w:p>
      <w:pPr>
        <w:pStyle w:val="ListBullet"/>
      </w:pPr>
      <w:r>
        <w:t>OpenAlex;</w:t>
      </w:r>
    </w:p>
    <w:p>
      <w:pPr>
        <w:pStyle w:val="ListBullet"/>
      </w:pPr>
      <w:r>
        <w:t>Semantic Scholar;</w:t>
      </w:r>
    </w:p>
    <w:p>
      <w:pPr>
        <w:pStyle w:val="ListBullet"/>
      </w:pPr>
      <w:r>
        <w:t>Google Scholar only for supplementary citation chaining and difficult-to-locate material.</w:t>
      </w:r>
    </w:p>
    <w:p>
      <w:r>
        <w:t>A database is marked “searched” only after the log contains platform, date and time, exact query, fields, filters, result count and export or capture method. Lack of subscription access is logged; it is not silently replaced by a claim of database coverage.</w:t>
      </w:r>
    </w:p>
    <w:p>
      <w:pPr>
        <w:pStyle w:val="Heading2"/>
      </w:pPr>
      <w:r>
        <w:t>6.2 Legal sources</w:t>
      </w:r>
    </w:p>
    <w:p>
      <w:r>
        <w:t>Primary sources include EUR-Lex, CURIA, HUDOC, official national court portals, official gazettes and legislative repositories. Institutional guidance is drawn from the European Commission and AI Office, European Parliament and Council, EDPB, EDPS, Council of Europe, OECD, UNESCO and relevant national authorities.</w:t>
      </w:r>
    </w:p>
    <w:p>
      <w:pPr>
        <w:pStyle w:val="Heading2"/>
      </w:pPr>
      <w:r>
        <w:t>6.3 Standards sources</w:t>
      </w:r>
    </w:p>
    <w:p>
      <w:r>
        <w:t>Official ISO, IEC, CEN, CENELEC, IEEE Standards Association, DIN and other national standards catalogues are used for status and metadata. Full normative content is coded only when lawfully accessible. Secondary summaries cannot support invented clause-level requirements.</w:t>
      </w:r>
    </w:p>
    <w:p>
      <w:pPr>
        <w:pStyle w:val="Heading2"/>
      </w:pPr>
      <w:r>
        <w:t>6.4 Incident sources</w:t>
      </w:r>
    </w:p>
    <w:p>
      <w:r>
        <w:t>Planned sources include the OECD AI Incidents and Hazards Monitor, AI Incident Database, AIAAIC, court and authority files, accident investigations, recall and market-surveillance databases, data-protection and competition decisions, technical post-mortems, safety disclosures and peer-reviewed incident analyses.</w:t>
      </w:r>
    </w:p>
    <w:p>
      <w:pPr>
        <w:pStyle w:val="Heading1"/>
      </w:pPr>
      <w:r>
        <w:t>7. Search strategy</w:t>
      </w:r>
    </w:p>
    <w:p>
      <w:pPr>
        <w:pStyle w:val="Heading2"/>
      </w:pPr>
      <w:r>
        <w:t>7.1 Master concept blocks</w:t>
      </w:r>
    </w:p>
    <w:p>
      <w:r>
        <w:t>AI block</w:t>
      </w:r>
    </w:p>
    <w:p>
      <w:pPr>
        <w:spacing w:after="0"/>
      </w:pPr>
      <w:r>
        <w:rPr>
          <w:rFonts w:ascii="Courier New" w:hAnsi="Courier New"/>
          <w:sz w:val="16"/>
        </w:rPr>
        <w:t>("artificial intelligence" OR "machine learning" OR "deep learning" OR</w:t>
      </w:r>
    </w:p>
    <w:p>
      <w:pPr>
        <w:spacing w:after="0"/>
      </w:pPr>
      <w:r>
        <w:rPr>
          <w:rFonts w:ascii="Courier New" w:hAnsi="Courier New"/>
          <w:sz w:val="16"/>
        </w:rPr>
        <w:t xml:space="preserve"> "foundation model*" OR "large language model*" OR LLM* OR</w:t>
      </w:r>
    </w:p>
    <w:p>
      <w:pPr>
        <w:spacing w:after="0"/>
      </w:pPr>
      <w:r>
        <w:rPr>
          <w:rFonts w:ascii="Courier New" w:hAnsi="Courier New"/>
          <w:sz w:val="16"/>
        </w:rPr>
        <w:t xml:space="preserve"> "generative AI" OR "multimodal model*" OR "AI agent*" OR</w:t>
      </w:r>
    </w:p>
    <w:p>
      <w:pPr>
        <w:spacing w:after="0"/>
      </w:pPr>
      <w:r>
        <w:rPr>
          <w:rFonts w:ascii="Courier New" w:hAnsi="Courier New"/>
          <w:sz w:val="16"/>
        </w:rPr>
        <w:t xml:space="preserve"> "agentic AI" OR "autonomous AI")</w:t>
      </w:r>
    </w:p>
    <w:p>
      <w:r>
        <w:t>Risk block</w:t>
      </w:r>
    </w:p>
    <w:p>
      <w:pPr>
        <w:spacing w:after="0"/>
      </w:pPr>
      <w:r>
        <w:rPr>
          <w:rFonts w:ascii="Courier New" w:hAnsi="Courier New"/>
          <w:sz w:val="16"/>
        </w:rPr>
        <w:t>(risk* OR hazard* OR harm* OR safety OR security OR failure* OR incident* OR</w:t>
      </w:r>
    </w:p>
    <w:p>
      <w:pPr>
        <w:spacing w:after="0"/>
      </w:pPr>
      <w:r>
        <w:rPr>
          <w:rFonts w:ascii="Courier New" w:hAnsi="Courier New"/>
          <w:sz w:val="16"/>
        </w:rPr>
        <w:t xml:space="preserve"> vulnerab* OR "trustworthy AI" OR assurance OR robustness OR reliability)</w:t>
      </w:r>
    </w:p>
    <w:p>
      <w:r>
        <w:t>Causality/framework block</w:t>
      </w:r>
    </w:p>
    <w:p>
      <w:pPr>
        <w:spacing w:after="0"/>
      </w:pPr>
      <w:r>
        <w:rPr>
          <w:rFonts w:ascii="Courier New" w:hAnsi="Courier New"/>
          <w:sz w:val="16"/>
        </w:rPr>
        <w:t>(source* OR cause* OR causal* OR mechanism* OR taxonomy OR ontolog* OR</w:t>
      </w:r>
    </w:p>
    <w:p>
      <w:pPr>
        <w:spacing w:after="0"/>
      </w:pPr>
      <w:r>
        <w:rPr>
          <w:rFonts w:ascii="Courier New" w:hAnsi="Courier New"/>
          <w:sz w:val="16"/>
        </w:rPr>
        <w:t xml:space="preserve"> framework* OR lifecycle OR governance OR "risk management")</w:t>
      </w:r>
    </w:p>
    <w:p>
      <w:r>
        <w:t>The baseline query is AI AND risk AND causality/framework. Syntax, phrase handling, truncation and field tags are adapted to each platform without changing the underlying concepts.</w:t>
      </w:r>
    </w:p>
    <w:p>
      <w:pPr>
        <w:pStyle w:val="Heading2"/>
      </w:pPr>
      <w:r>
        <w:t>7.2 Database-specific baseline translations</w:t>
      </w:r>
    </w:p>
    <w:p>
      <w:r>
        <w:t>Scopus</w:t>
      </w:r>
    </w:p>
    <w:p>
      <w:pPr>
        <w:spacing w:after="0"/>
      </w:pPr>
      <w:r>
        <w:rPr>
          <w:rFonts w:ascii="Courier New" w:hAnsi="Courier New"/>
          <w:sz w:val="16"/>
        </w:rPr>
        <w:t>TITLE-ABS-KEY(</w:t>
      </w:r>
    </w:p>
    <w:p>
      <w:pPr>
        <w:spacing w:after="0"/>
      </w:pPr>
      <w:r>
        <w:rPr>
          <w:rFonts w:ascii="Courier New" w:hAnsi="Courier New"/>
          <w:sz w:val="16"/>
        </w:rPr>
        <w:t xml:space="preserve"> ("artificial intelligence" OR "machine learning" OR "deep learning" OR</w:t>
      </w:r>
    </w:p>
    <w:p>
      <w:pPr>
        <w:spacing w:after="0"/>
      </w:pPr>
      <w:r>
        <w:rPr>
          <w:rFonts w:ascii="Courier New" w:hAnsi="Courier New"/>
          <w:sz w:val="16"/>
        </w:rPr>
        <w:t xml:space="preserve">  "foundation model*" OR "large language model*" OR LLM* OR "generative AI" OR</w:t>
      </w:r>
    </w:p>
    <w:p>
      <w:pPr>
        <w:spacing w:after="0"/>
      </w:pPr>
      <w:r>
        <w:rPr>
          <w:rFonts w:ascii="Courier New" w:hAnsi="Courier New"/>
          <w:sz w:val="16"/>
        </w:rPr>
        <w:t xml:space="preserve">  "multimodal model*" OR "AI agent*" OR "agentic AI" OR "autonomous AI")</w:t>
      </w:r>
    </w:p>
    <w:p>
      <w:pPr>
        <w:spacing w:after="0"/>
      </w:pPr>
      <w:r>
        <w:rPr>
          <w:rFonts w:ascii="Courier New" w:hAnsi="Courier New"/>
          <w:sz w:val="16"/>
        </w:rPr>
        <w:t xml:space="preserve"> AND</w:t>
      </w:r>
    </w:p>
    <w:p>
      <w:pPr>
        <w:spacing w:after="0"/>
      </w:pPr>
      <w:r>
        <w:rPr>
          <w:rFonts w:ascii="Courier New" w:hAnsi="Courier New"/>
          <w:sz w:val="16"/>
        </w:rPr>
        <w:t xml:space="preserve"> (risk* OR hazard* OR harm* OR safety OR security OR failure* OR incident* OR</w:t>
      </w:r>
    </w:p>
    <w:p>
      <w:pPr>
        <w:spacing w:after="0"/>
      </w:pPr>
      <w:r>
        <w:rPr>
          <w:rFonts w:ascii="Courier New" w:hAnsi="Courier New"/>
          <w:sz w:val="16"/>
        </w:rPr>
        <w:t xml:space="preserve">  vulnerab* OR "trustworthy AI" OR assurance OR robustness OR reliability)</w:t>
      </w:r>
    </w:p>
    <w:p>
      <w:pPr>
        <w:spacing w:after="0"/>
      </w:pPr>
      <w:r>
        <w:rPr>
          <w:rFonts w:ascii="Courier New" w:hAnsi="Courier New"/>
          <w:sz w:val="16"/>
        </w:rPr>
        <w:t xml:space="preserve"> AND</w:t>
      </w:r>
    </w:p>
    <w:p>
      <w:pPr>
        <w:spacing w:after="0"/>
      </w:pPr>
      <w:r>
        <w:rPr>
          <w:rFonts w:ascii="Courier New" w:hAnsi="Courier New"/>
          <w:sz w:val="16"/>
        </w:rPr>
        <w:t xml:space="preserve"> (source* OR cause* OR causal* OR mechanism* OR taxonomy OR ontolog* OR</w:t>
      </w:r>
    </w:p>
    <w:p>
      <w:pPr>
        <w:spacing w:after="0"/>
      </w:pPr>
      <w:r>
        <w:rPr>
          <w:rFonts w:ascii="Courier New" w:hAnsi="Courier New"/>
          <w:sz w:val="16"/>
        </w:rPr>
        <w:t xml:space="preserve">  framework* OR lifecycle OR governance OR "risk management")</w:t>
      </w:r>
    </w:p>
    <w:p>
      <w:pPr>
        <w:spacing w:after="0"/>
      </w:pPr>
      <w:r>
        <w:rPr>
          <w:rFonts w:ascii="Courier New" w:hAnsi="Courier New"/>
          <w:sz w:val="16"/>
        </w:rPr>
        <w:t>)</w:t>
      </w:r>
    </w:p>
    <w:p>
      <w:pPr>
        <w:spacing w:after="0"/>
      </w:pPr>
      <w:r>
        <w:rPr>
          <w:rFonts w:ascii="Courier New" w:hAnsi="Courier New"/>
          <w:sz w:val="16"/>
        </w:rPr>
        <w:t>AND PUBYEAR &gt; 2020</w:t>
      </w:r>
    </w:p>
    <w:p>
      <w:r>
        <w:t>Web of Science Core Collection</w:t>
      </w:r>
    </w:p>
    <w:p>
      <w:pPr>
        <w:spacing w:after="0"/>
      </w:pPr>
      <w:r>
        <w:rPr>
          <w:rFonts w:ascii="Courier New" w:hAnsi="Courier New"/>
          <w:sz w:val="16"/>
        </w:rPr>
        <w:t>TS=(("artificial intelligence" OR "machine learning" OR "deep learning" OR</w:t>
      </w:r>
    </w:p>
    <w:p>
      <w:pPr>
        <w:spacing w:after="0"/>
      </w:pPr>
      <w:r>
        <w:rPr>
          <w:rFonts w:ascii="Courier New" w:hAnsi="Courier New"/>
          <w:sz w:val="16"/>
        </w:rPr>
        <w:t xml:space="preserve"> "foundation model*" OR "large language model*" OR LLM* OR "generative AI" OR</w:t>
      </w:r>
    </w:p>
    <w:p>
      <w:pPr>
        <w:spacing w:after="0"/>
      </w:pPr>
      <w:r>
        <w:rPr>
          <w:rFonts w:ascii="Courier New" w:hAnsi="Courier New"/>
          <w:sz w:val="16"/>
        </w:rPr>
        <w:t xml:space="preserve"> "multimodal model*" OR "AI agent*" OR "agentic AI" OR "autonomous AI") AND</w:t>
      </w:r>
    </w:p>
    <w:p>
      <w:pPr>
        <w:spacing w:after="0"/>
      </w:pPr>
      <w:r>
        <w:rPr>
          <w:rFonts w:ascii="Courier New" w:hAnsi="Courier New"/>
          <w:sz w:val="16"/>
        </w:rPr>
        <w:t xml:space="preserve"> (risk* OR hazard* OR harm* OR safety OR security OR failure* OR incident* OR</w:t>
      </w:r>
    </w:p>
    <w:p>
      <w:pPr>
        <w:spacing w:after="0"/>
      </w:pPr>
      <w:r>
        <w:rPr>
          <w:rFonts w:ascii="Courier New" w:hAnsi="Courier New"/>
          <w:sz w:val="16"/>
        </w:rPr>
        <w:t xml:space="preserve"> vulnerab* OR "trustworthy AI" OR assurance OR robustness OR reliability) AND</w:t>
      </w:r>
    </w:p>
    <w:p>
      <w:pPr>
        <w:spacing w:after="0"/>
      </w:pPr>
      <w:r>
        <w:rPr>
          <w:rFonts w:ascii="Courier New" w:hAnsi="Courier New"/>
          <w:sz w:val="16"/>
        </w:rPr>
        <w:t xml:space="preserve"> (source* OR cause* OR causal* OR mechanism* OR taxonomy OR ontolog* OR</w:t>
      </w:r>
    </w:p>
    <w:p>
      <w:pPr>
        <w:spacing w:after="0"/>
      </w:pPr>
      <w:r>
        <w:rPr>
          <w:rFonts w:ascii="Courier New" w:hAnsi="Courier New"/>
          <w:sz w:val="16"/>
        </w:rPr>
        <w:t xml:space="preserve"> framework* OR lifecycle OR governance OR "risk management"))</w:t>
      </w:r>
    </w:p>
    <w:p>
      <w:pPr>
        <w:spacing w:after="0"/>
      </w:pPr>
      <w:r>
        <w:rPr>
          <w:rFonts w:ascii="Courier New" w:hAnsi="Courier New"/>
          <w:sz w:val="16"/>
        </w:rPr>
        <w:t>Refined by: publication years 2021-2026; final date screening applied manually.</w:t>
      </w:r>
    </w:p>
    <w:p>
      <w:r>
        <w:t>IEEE Xplore</w:t>
      </w:r>
    </w:p>
    <w:p>
      <w:pPr>
        <w:spacing w:after="0"/>
      </w:pPr>
      <w:r>
        <w:rPr>
          <w:rFonts w:ascii="Courier New" w:hAnsi="Courier New"/>
          <w:sz w:val="16"/>
        </w:rPr>
        <w:t>(("All Metadata":"artificial intelligence" OR "All Metadata":"machine learning" OR</w:t>
      </w:r>
    </w:p>
    <w:p>
      <w:pPr>
        <w:spacing w:after="0"/>
      </w:pPr>
      <w:r>
        <w:rPr>
          <w:rFonts w:ascii="Courier New" w:hAnsi="Courier New"/>
          <w:sz w:val="16"/>
        </w:rPr>
        <w:t xml:space="preserve">  "All Metadata":"foundation model" OR "All Metadata":"large language model" OR</w:t>
      </w:r>
    </w:p>
    <w:p>
      <w:pPr>
        <w:spacing w:after="0"/>
      </w:pPr>
      <w:r>
        <w:rPr>
          <w:rFonts w:ascii="Courier New" w:hAnsi="Courier New"/>
          <w:sz w:val="16"/>
        </w:rPr>
        <w:t xml:space="preserve">  "All Metadata":"generative AI" OR "All Metadata":"AI agent") AND</w:t>
      </w:r>
    </w:p>
    <w:p>
      <w:pPr>
        <w:spacing w:after="0"/>
      </w:pPr>
      <w:r>
        <w:rPr>
          <w:rFonts w:ascii="Courier New" w:hAnsi="Courier New"/>
          <w:sz w:val="16"/>
        </w:rPr>
        <w:t xml:space="preserve"> ("All Metadata":risk OR "All Metadata":hazard OR "All Metadata":safety OR</w:t>
      </w:r>
    </w:p>
    <w:p>
      <w:pPr>
        <w:spacing w:after="0"/>
      </w:pPr>
      <w:r>
        <w:rPr>
          <w:rFonts w:ascii="Courier New" w:hAnsi="Courier New"/>
          <w:sz w:val="16"/>
        </w:rPr>
        <w:t xml:space="preserve">  "All Metadata":security OR "All Metadata":failure OR "All Metadata":assurance) AND</w:t>
      </w:r>
    </w:p>
    <w:p>
      <w:pPr>
        <w:spacing w:after="0"/>
      </w:pPr>
      <w:r>
        <w:rPr>
          <w:rFonts w:ascii="Courier New" w:hAnsi="Courier New"/>
          <w:sz w:val="16"/>
        </w:rPr>
        <w:t xml:space="preserve"> ("All Metadata":cause OR "All Metadata":mechanism OR "All Metadata":taxonomy OR</w:t>
      </w:r>
    </w:p>
    <w:p>
      <w:pPr>
        <w:spacing w:after="0"/>
      </w:pPr>
      <w:r>
        <w:rPr>
          <w:rFonts w:ascii="Courier New" w:hAnsi="Courier New"/>
          <w:sz w:val="16"/>
        </w:rPr>
        <w:t xml:space="preserve">  "All Metadata":ontology OR "All Metadata":"risk management" OR "All Metadata":lifecycle))</w:t>
      </w:r>
    </w:p>
    <w:p>
      <w:r>
        <w:t>ACM Digital Library</w:t>
      </w:r>
    </w:p>
    <w:p>
      <w:pPr>
        <w:spacing w:after="0"/>
      </w:pPr>
      <w:r>
        <w:rPr>
          <w:rFonts w:ascii="Courier New" w:hAnsi="Courier New"/>
          <w:sz w:val="16"/>
        </w:rPr>
        <w:t>[[Abstract:"artificial intelligence" OR Abstract:"machine learning" OR</w:t>
      </w:r>
    </w:p>
    <w:p>
      <w:pPr>
        <w:spacing w:after="0"/>
      </w:pPr>
      <w:r>
        <w:rPr>
          <w:rFonts w:ascii="Courier New" w:hAnsi="Courier New"/>
          <w:sz w:val="16"/>
        </w:rPr>
        <w:t xml:space="preserve">  Abstract:"foundation model" OR Abstract:"large language model" OR</w:t>
      </w:r>
    </w:p>
    <w:p>
      <w:pPr>
        <w:spacing w:after="0"/>
      </w:pPr>
      <w:r>
        <w:rPr>
          <w:rFonts w:ascii="Courier New" w:hAnsi="Courier New"/>
          <w:sz w:val="16"/>
        </w:rPr>
        <w:t xml:space="preserve">  Abstract:"generative AI" OR Abstract:"AI agent"] AND</w:t>
      </w:r>
    </w:p>
    <w:p>
      <w:pPr>
        <w:spacing w:after="0"/>
      </w:pPr>
      <w:r>
        <w:rPr>
          <w:rFonts w:ascii="Courier New" w:hAnsi="Courier New"/>
          <w:sz w:val="16"/>
        </w:rPr>
        <w:t xml:space="preserve"> [Abstract:risk OR Abstract:hazard OR Abstract:safety OR Abstract:security OR</w:t>
      </w:r>
    </w:p>
    <w:p>
      <w:pPr>
        <w:spacing w:after="0"/>
      </w:pPr>
      <w:r>
        <w:rPr>
          <w:rFonts w:ascii="Courier New" w:hAnsi="Courier New"/>
          <w:sz w:val="16"/>
        </w:rPr>
        <w:t xml:space="preserve">  Abstract:failure OR Abstract:assurance] AND</w:t>
      </w:r>
    </w:p>
    <w:p>
      <w:pPr>
        <w:spacing w:after="0"/>
      </w:pPr>
      <w:r>
        <w:rPr>
          <w:rFonts w:ascii="Courier New" w:hAnsi="Courier New"/>
          <w:sz w:val="16"/>
        </w:rPr>
        <w:t xml:space="preserve"> [Abstract:cause OR Abstract:mechanism OR Abstract:taxonomy OR Abstract:ontology OR</w:t>
      </w:r>
    </w:p>
    <w:p>
      <w:pPr>
        <w:spacing w:after="0"/>
      </w:pPr>
      <w:r>
        <w:rPr>
          <w:rFonts w:ascii="Courier New" w:hAnsi="Courier New"/>
          <w:sz w:val="16"/>
        </w:rPr>
        <w:t xml:space="preserve">  Abstract:"risk management" OR Abstract:lifecycle]]</w:t>
      </w:r>
    </w:p>
    <w:p>
      <w:r>
        <w:t>PubMed/MEDLINE</w:t>
      </w:r>
    </w:p>
    <w:p>
      <w:pPr>
        <w:spacing w:after="0"/>
      </w:pPr>
      <w:r>
        <w:rPr>
          <w:rFonts w:ascii="Courier New" w:hAnsi="Courier New"/>
          <w:sz w:val="16"/>
        </w:rPr>
        <w:t>(("Artificial Intelligence"[Mesh] OR "Machine Learning"[Mesh] OR</w:t>
      </w:r>
    </w:p>
    <w:p>
      <w:pPr>
        <w:spacing w:after="0"/>
      </w:pPr>
      <w:r>
        <w:rPr>
          <w:rFonts w:ascii="Courier New" w:hAnsi="Courier New"/>
          <w:sz w:val="16"/>
        </w:rPr>
        <w:t xml:space="preserve">  "artificial intelligence"[Title/Abstract] OR "machine learning"[Title/Abstract] OR</w:t>
      </w:r>
    </w:p>
    <w:p>
      <w:pPr>
        <w:spacing w:after="0"/>
      </w:pPr>
      <w:r>
        <w:rPr>
          <w:rFonts w:ascii="Courier New" w:hAnsi="Courier New"/>
          <w:sz w:val="16"/>
        </w:rPr>
        <w:t xml:space="preserve">  "deep learning"[Title/Abstract] OR "foundation model*"[Title/Abstract] OR</w:t>
      </w:r>
    </w:p>
    <w:p>
      <w:pPr>
        <w:spacing w:after="0"/>
      </w:pPr>
      <w:r>
        <w:rPr>
          <w:rFonts w:ascii="Courier New" w:hAnsi="Courier New"/>
          <w:sz w:val="16"/>
        </w:rPr>
        <w:t xml:space="preserve">  "large language model*"[Title/Abstract] OR "generative AI"[Title/Abstract]) AND</w:t>
      </w:r>
    </w:p>
    <w:p>
      <w:pPr>
        <w:spacing w:after="0"/>
      </w:pPr>
      <w:r>
        <w:rPr>
          <w:rFonts w:ascii="Courier New" w:hAnsi="Courier New"/>
          <w:sz w:val="16"/>
        </w:rPr>
        <w:t xml:space="preserve"> (risk*[Title/Abstract] OR hazard*[Title/Abstract] OR harm*[Title/Abstract] OR</w:t>
      </w:r>
    </w:p>
    <w:p>
      <w:pPr>
        <w:spacing w:after="0"/>
      </w:pPr>
      <w:r>
        <w:rPr>
          <w:rFonts w:ascii="Courier New" w:hAnsi="Courier New"/>
          <w:sz w:val="16"/>
        </w:rPr>
        <w:t xml:space="preserve">  safety[Title/Abstract] OR security[Title/Abstract] OR failure*[Title/Abstract] OR</w:t>
      </w:r>
    </w:p>
    <w:p>
      <w:pPr>
        <w:spacing w:after="0"/>
      </w:pPr>
      <w:r>
        <w:rPr>
          <w:rFonts w:ascii="Courier New" w:hAnsi="Courier New"/>
          <w:sz w:val="16"/>
        </w:rPr>
        <w:t xml:space="preserve">  incident*[Title/Abstract] OR assurance[Title/Abstract] OR robustness[Title/Abstract]) AND</w:t>
      </w:r>
    </w:p>
    <w:p>
      <w:pPr>
        <w:spacing w:after="0"/>
      </w:pPr>
      <w:r>
        <w:rPr>
          <w:rFonts w:ascii="Courier New" w:hAnsi="Courier New"/>
          <w:sz w:val="16"/>
        </w:rPr>
        <w:t xml:space="preserve"> (source*[Title/Abstract] OR cause*[Title/Abstract] OR causal*[Title/Abstract] OR</w:t>
      </w:r>
    </w:p>
    <w:p>
      <w:pPr>
        <w:spacing w:after="0"/>
      </w:pPr>
      <w:r>
        <w:rPr>
          <w:rFonts w:ascii="Courier New" w:hAnsi="Courier New"/>
          <w:sz w:val="16"/>
        </w:rPr>
        <w:t xml:space="preserve">  mechanism*[Title/Abstract] OR taxonomy[Title/Abstract] OR ontolog*[Title/Abstract] OR</w:t>
      </w:r>
    </w:p>
    <w:p>
      <w:pPr>
        <w:spacing w:after="0"/>
      </w:pPr>
      <w:r>
        <w:rPr>
          <w:rFonts w:ascii="Courier New" w:hAnsi="Courier New"/>
          <w:sz w:val="16"/>
        </w:rPr>
        <w:t xml:space="preserve">  framework*[Title/Abstract] OR lifecycle[Title/Abstract] OR</w:t>
      </w:r>
    </w:p>
    <w:p>
      <w:pPr>
        <w:spacing w:after="0"/>
      </w:pPr>
      <w:r>
        <w:rPr>
          <w:rFonts w:ascii="Courier New" w:hAnsi="Courier New"/>
          <w:sz w:val="16"/>
        </w:rPr>
        <w:t xml:space="preserve">  "risk management"[Title/Abstract]))</w:t>
      </w:r>
    </w:p>
    <w:p>
      <w:pPr>
        <w:spacing w:after="0"/>
      </w:pPr>
      <w:r>
        <w:rPr>
          <w:rFonts w:ascii="Courier New" w:hAnsi="Courier New"/>
          <w:sz w:val="16"/>
        </w:rPr>
        <w:t>AND ("2021/01/01"[Date - Publication] : "2026/07/25"[Date - Publication])</w:t>
      </w:r>
    </w:p>
    <w:p>
      <w:r>
        <w:t>OpenAlex / Crossref / Semantic Scholar</w:t>
      </w:r>
    </w:p>
    <w:p>
      <w:r>
        <w:t>The master concepts are split into shorter queries because these services do not uniformly support nested Boolean logic. API or interface parameters, date filters, cursor/pagination and the number of records retrieved are preserved in the search log.</w:t>
      </w:r>
    </w:p>
    <w:p>
      <w:r>
        <w:t>arXiv</w:t>
      </w:r>
    </w:p>
    <w:p>
      <w:pPr>
        <w:spacing w:after="0"/>
      </w:pPr>
      <w:r>
        <w:rPr>
          <w:rFonts w:ascii="Courier New" w:hAnsi="Courier New"/>
          <w:sz w:val="16"/>
        </w:rPr>
        <w:t>(all:"foundation model" OR all:"large language model" OR all:"generative AI" OR</w:t>
      </w:r>
    </w:p>
    <w:p>
      <w:pPr>
        <w:spacing w:after="0"/>
      </w:pPr>
      <w:r>
        <w:rPr>
          <w:rFonts w:ascii="Courier New" w:hAnsi="Courier New"/>
          <w:sz w:val="16"/>
        </w:rPr>
        <w:t xml:space="preserve"> all:"AI agent" OR all:"machine learning") AND</w:t>
      </w:r>
    </w:p>
    <w:p>
      <w:pPr>
        <w:spacing w:after="0"/>
      </w:pPr>
      <w:r>
        <w:rPr>
          <w:rFonts w:ascii="Courier New" w:hAnsi="Courier New"/>
          <w:sz w:val="16"/>
        </w:rPr>
        <w:t>(all:risk OR all:hazard OR all:safety OR all:security OR all:failure OR all:assurance) AND</w:t>
      </w:r>
    </w:p>
    <w:p>
      <w:pPr>
        <w:spacing w:after="0"/>
      </w:pPr>
      <w:r>
        <w:rPr>
          <w:rFonts w:ascii="Courier New" w:hAnsi="Courier New"/>
          <w:sz w:val="16"/>
        </w:rPr>
        <w:t>(all:taxonomy OR all:mechanism OR all:cause OR all:"risk management")</w:t>
      </w:r>
    </w:p>
    <w:p>
      <w:pPr>
        <w:pStyle w:val="Heading2"/>
      </w:pPr>
      <w:r>
        <w:t>7.3 Supplementary topic searches</w:t>
      </w:r>
    </w:p>
    <w:p>
      <w:r>
        <w:t>Each block is searched independently and linked to the main corpus through Evidence-ID. The controlled terms include:</w:t>
      </w:r>
    </w:p>
    <w:p>
      <w:r>
        <w:t>1. Generative and agentic AI: hallucination/confabulation, calibration, prompt injection, indirect prompt injection, jailbreak, retrieval poisoning, RAG security, vector-database leakage, tool use, excessive agency, privilege escalation, memory poisoning, long-horizon failure, multi-agent interaction, autonomous workflow and tool protocols.</w:t>
      </w:r>
    </w:p>
    <w:p>
      <w:r>
        <w:t>2. ML security: data poisoning, backdoor, evasion, model extraction/theft, membership inference, model inversion, adversarial examples, dependency compromise, supply-chain attack and provenance.</w:t>
      </w:r>
    </w:p>
    <w:p>
      <w:r>
        <w:t>3. Human factors: automation bias, overreliance, overtrust, algorithm aversion, deskilling, out-of-the-loop performance, human oversight, meaningful human control, cognitive offloading, anthropomorphism, emotional dependency, contestability, alert fatigue and monitoring burden.</w:t>
      </w:r>
    </w:p>
    <w:p>
      <w:r>
        <w:t>4. Organisation and system dynamics: shadow AI, governance failure, accountability gap, vendor lock-in, model monoculture, concentration, systemic risk, feedback loops, performativity, distribution/data/model drift, synthetic-data contamination, model collapse, critical infrastructure, labour effects and environmental impact.</w:t>
      </w:r>
    </w:p>
    <w:p>
      <w:r>
        <w:t>5. Evaluation and assurance: benchmark contamination/gaming, red teaming, evaluation awareness, deceptive behaviour in evaluation, unfaithful explanation, uncertainty quantification, calibration, safety/assurance cases, TEVV, conformity assessment and post-market monitoring.</w:t>
      </w:r>
    </w:p>
    <w:p>
      <w:r>
        <w:t>6. Law and standards: AI Act, automated decision-making, algorithmic discrimination, explainability and law, product/software liability, conformity assessment, harmonised standards, fundamental-rights and AI impact assessments, facial-recognition and algorithmic-management case law.</w:t>
      </w:r>
    </w:p>
    <w:p>
      <w:r>
        <w:t>Representative agentic-system query:</w:t>
      </w:r>
    </w:p>
    <w:p>
      <w:pPr>
        <w:spacing w:after="0"/>
      </w:pPr>
      <w:r>
        <w:rPr>
          <w:rFonts w:ascii="Courier New" w:hAnsi="Courier New"/>
          <w:sz w:val="16"/>
        </w:rPr>
        <w:t>("AI agent*" OR "agentic AI" OR "tool-using model*" OR "autonomous workflow*" OR</w:t>
      </w:r>
    </w:p>
    <w:p>
      <w:pPr>
        <w:spacing w:after="0"/>
      </w:pPr>
      <w:r>
        <w:rPr>
          <w:rFonts w:ascii="Courier New" w:hAnsi="Courier New"/>
          <w:sz w:val="16"/>
        </w:rPr>
        <w:t xml:space="preserve"> "multi-agent system*") AND</w:t>
      </w:r>
    </w:p>
    <w:p>
      <w:pPr>
        <w:spacing w:after="0"/>
      </w:pPr>
      <w:r>
        <w:rPr>
          <w:rFonts w:ascii="Courier New" w:hAnsi="Courier New"/>
          <w:sz w:val="16"/>
        </w:rPr>
        <w:t>("excessive agency" OR permission* OR privilege* OR "tool use" OR</w:t>
      </w:r>
    </w:p>
    <w:p>
      <w:pPr>
        <w:spacing w:after="0"/>
      </w:pPr>
      <w:r>
        <w:rPr>
          <w:rFonts w:ascii="Courier New" w:hAnsi="Courier New"/>
          <w:sz w:val="16"/>
        </w:rPr>
        <w:t xml:space="preserve"> "memory poisoning" OR interruptib* OR "long-horizon" OR "prompt injection") AND</w:t>
      </w:r>
    </w:p>
    <w:p>
      <w:pPr>
        <w:spacing w:after="0"/>
      </w:pPr>
      <w:r>
        <w:rPr>
          <w:rFonts w:ascii="Courier New" w:hAnsi="Courier New"/>
          <w:sz w:val="16"/>
        </w:rPr>
        <w:t>(risk* OR safety OR security OR failure* OR incident* OR control* OR assurance)</w:t>
      </w:r>
    </w:p>
    <w:p>
      <w:r>
        <w:t>Representative human-factors query:</w:t>
      </w:r>
    </w:p>
    <w:p>
      <w:pPr>
        <w:spacing w:after="0"/>
      </w:pPr>
      <w:r>
        <w:rPr>
          <w:rFonts w:ascii="Courier New" w:hAnsi="Courier New"/>
          <w:sz w:val="16"/>
        </w:rPr>
        <w:t>("artificial intelligence" OR "machine learning" OR "large language model*" OR</w:t>
      </w:r>
    </w:p>
    <w:p>
      <w:pPr>
        <w:spacing w:after="0"/>
      </w:pPr>
      <w:r>
        <w:rPr>
          <w:rFonts w:ascii="Courier New" w:hAnsi="Courier New"/>
          <w:sz w:val="16"/>
        </w:rPr>
        <w:t xml:space="preserve"> "generative AI") AND</w:t>
      </w:r>
    </w:p>
    <w:p>
      <w:pPr>
        <w:spacing w:after="0"/>
      </w:pPr>
      <w:r>
        <w:rPr>
          <w:rFonts w:ascii="Courier New" w:hAnsi="Courier New"/>
          <w:sz w:val="16"/>
        </w:rPr>
        <w:t>("automation bias" OR overreliance OR overtrust OR "algorithm aversion" OR</w:t>
      </w:r>
    </w:p>
    <w:p>
      <w:pPr>
        <w:spacing w:after="0"/>
      </w:pPr>
      <w:r>
        <w:rPr>
          <w:rFonts w:ascii="Courier New" w:hAnsi="Courier New"/>
          <w:sz w:val="16"/>
        </w:rPr>
        <w:t xml:space="preserve"> deskilling OR "out-of-the-loop" OR anthropomorph* OR "cognitive offloading" OR</w:t>
      </w:r>
    </w:p>
    <w:p>
      <w:pPr>
        <w:spacing w:after="0"/>
      </w:pPr>
      <w:r>
        <w:rPr>
          <w:rFonts w:ascii="Courier New" w:hAnsi="Courier New"/>
          <w:sz w:val="16"/>
        </w:rPr>
        <w:t xml:space="preserve"> contestab* OR "monitoring burden")</w:t>
      </w:r>
    </w:p>
    <w:p>
      <w:pPr>
        <w:pStyle w:val="Heading2"/>
      </w:pPr>
      <w:r>
        <w:t>7.4 Citation chaining</w:t>
      </w:r>
    </w:p>
    <w:p>
      <w:r>
        <w:t>Backward and forward citation searches will cover:</w:t>
      </w:r>
    </w:p>
    <w:p>
      <w:pPr>
        <w:pStyle w:val="ListBullet"/>
      </w:pPr>
      <w:r>
        <w:t>every central source in Steimers and Schneider (2022);</w:t>
      </w:r>
    </w:p>
    <w:p>
      <w:pPr>
        <w:pStyle w:val="ListBullet"/>
      </w:pPr>
      <w:r>
        <w:t>all publications that cite the source article up to the cut-off;</w:t>
      </w:r>
    </w:p>
    <w:p>
      <w:pPr>
        <w:pStyle w:val="ListBullet"/>
      </w:pPr>
      <w:r>
        <w:t>relevant subsequent work by André Steimers and Moritz Schneider;</w:t>
      </w:r>
    </w:p>
    <w:p>
      <w:pPr>
        <w:pStyle w:val="ListBullet"/>
      </w:pPr>
      <w:r>
        <w:t>related IFA/DGUV work;</w:t>
      </w:r>
    </w:p>
    <w:p>
      <w:pPr>
        <w:pStyle w:val="ListBullet"/>
      </w:pPr>
      <w:r>
        <w:t>seminal sources in each emergent cluster;</w:t>
      </w:r>
    </w:p>
    <w:p>
      <w:pPr>
        <w:pStyle w:val="ListBullet"/>
      </w:pPr>
      <w:r>
        <w:t>the major risk repositories and standards/frameworks used in crosswalking.</w:t>
      </w:r>
    </w:p>
    <w:p>
      <w:r>
        <w:t>Citation-chain records are logged with seed source, direction, platform, date and inclusion outcome. Google Scholar is supplementary and not treated as a reproducible primary database.</w:t>
      </w:r>
    </w:p>
    <w:p>
      <w:pPr>
        <w:pStyle w:val="Heading2"/>
      </w:pPr>
      <w:r>
        <w:t>7.5 Search peer review and amendments</w:t>
      </w:r>
    </w:p>
    <w:p>
      <w:r>
        <w:t>The search syntax will be checked against PRISMA-S principles and, where feasible, PRESS-style elements: translation accuracy, Boolean structure, field tags, phrase/truncation use, date limits and known-item recall. Any material amendment is entered before synthesis in the Amendment Log with rationale and expected effect.</w:t>
      </w:r>
    </w:p>
    <w:p>
      <w:pPr>
        <w:pStyle w:val="Heading1"/>
      </w:pPr>
      <w:r>
        <w:t>8. Search documentation and record management</w:t>
      </w:r>
    </w:p>
    <w:p>
      <w:r>
        <w:t>For every search, the Search Log records:</w:t>
      </w:r>
    </w:p>
    <w:p>
      <w:pPr>
        <w:pStyle w:val="ListBullet"/>
      </w:pPr>
      <w:r>
        <w:t>Search-ID;</w:t>
      </w:r>
    </w:p>
    <w:p>
      <w:pPr>
        <w:pStyle w:val="ListBullet"/>
      </w:pPr>
      <w:r>
        <w:t>evidence stream;</w:t>
      </w:r>
    </w:p>
    <w:p>
      <w:pPr>
        <w:pStyle w:val="ListBullet"/>
      </w:pPr>
      <w:r>
        <w:t>database and platform;</w:t>
      </w:r>
    </w:p>
    <w:p>
      <w:pPr>
        <w:pStyle w:val="ListBullet"/>
      </w:pPr>
      <w:r>
        <w:t>date, local time and timezone;</w:t>
      </w:r>
    </w:p>
    <w:p>
      <w:pPr>
        <w:pStyle w:val="ListBullet"/>
      </w:pPr>
      <w:r>
        <w:t>exact query as run;</w:t>
      </w:r>
    </w:p>
    <w:p>
      <w:pPr>
        <w:pStyle w:val="ListBullet"/>
      </w:pPr>
      <w:r>
        <w:t>fields and filters;</w:t>
      </w:r>
    </w:p>
    <w:p>
      <w:pPr>
        <w:pStyle w:val="ListBullet"/>
      </w:pPr>
      <w:r>
        <w:t>result count displayed by the platform;</w:t>
      </w:r>
    </w:p>
    <w:p>
      <w:pPr>
        <w:pStyle w:val="ListBullet"/>
      </w:pPr>
      <w:r>
        <w:t>records actually exported or captured;</w:t>
      </w:r>
    </w:p>
    <w:p>
      <w:pPr>
        <w:pStyle w:val="ListBullet"/>
      </w:pPr>
      <w:r>
        <w:t>export format;</w:t>
      </w:r>
    </w:p>
    <w:p>
      <w:pPr>
        <w:pStyle w:val="ListBullet"/>
      </w:pPr>
      <w:r>
        <w:t>coverage/pagination limit;</w:t>
      </w:r>
    </w:p>
    <w:p>
      <w:pPr>
        <w:pStyle w:val="ListBullet"/>
      </w:pPr>
      <w:r>
        <w:t>deduplication batch;</w:t>
      </w:r>
    </w:p>
    <w:p>
      <w:pPr>
        <w:pStyle w:val="ListBullet"/>
      </w:pPr>
      <w:r>
        <w:t>query amendment and rationale;</w:t>
      </w:r>
    </w:p>
    <w:p>
      <w:pPr>
        <w:pStyle w:val="ListBullet"/>
      </w:pPr>
      <w:r>
        <w:t>operator and access notes.</w:t>
      </w:r>
    </w:p>
    <w:p>
      <w:r>
        <w:t>Records receive a stable Record-ID at import. DOI, PMID, arXiv ID, ECLI, ELI/CELEX, standard number, report identifier and normalized title are stored separately. Deduplication proceeds by exact persistent identifier, then normalized title/year/first author, followed by manual review of near-duplicates and version relationships. Preprint and journal versions are linked; the final peer-reviewed version is preferred unless the earlier version contains unique material relevant to the cut-off.</w:t>
      </w:r>
    </w:p>
    <w:p>
      <w:pPr>
        <w:pStyle w:val="Heading1"/>
      </w:pPr>
      <w:r>
        <w:t>9. Screening procedure</w:t>
      </w:r>
    </w:p>
    <w:p>
      <w:pPr>
        <w:pStyle w:val="Heading2"/>
      </w:pPr>
      <w:r>
        <w:t>9.1 Calibration</w:t>
      </w:r>
    </w:p>
    <w:p>
      <w:r>
        <w:t>Before formal screening, a deliberately heterogeneous calibration set will be coded, including positive, negative and boundary cases from technical safety, human factors, law, standards and generative AI. Inclusion rules and definitions may be clarified, but any substantive change is logged.</w:t>
      </w:r>
    </w:p>
    <w:p>
      <w:pPr>
        <w:pStyle w:val="Heading2"/>
      </w:pPr>
      <w:r>
        <w:t>9.2 Title and abstract screening</w:t>
      </w:r>
    </w:p>
    <w:p>
      <w:r>
        <w:t>Each record is assigned:</w:t>
      </w:r>
    </w:p>
    <w:p>
      <w:pPr>
        <w:pStyle w:val="ListBullet"/>
      </w:pPr>
      <w:r>
        <w:t>include;</w:t>
      </w:r>
    </w:p>
    <w:p>
      <w:pPr>
        <w:pStyle w:val="ListBullet"/>
      </w:pPr>
      <w:r>
        <w:t>exclude with a high-confidence reason;</w:t>
      </w:r>
    </w:p>
    <w:p>
      <w:pPr>
        <w:pStyle w:val="ListBullet"/>
      </w:pPr>
      <w:r>
        <w:t>uncertain / retrieve full text.</w:t>
      </w:r>
    </w:p>
    <w:p>
      <w:r>
        <w:t>The model-assisted reviewer performs two temporally separated consistency passes over records marked uncertain and a random audit sample of clear decisions. This is a consistency check, not independent dual screening.</w:t>
      </w:r>
    </w:p>
    <w:p>
      <w:pPr>
        <w:pStyle w:val="Heading2"/>
      </w:pPr>
      <w:r>
        <w:t>9.3 Full-text screening</w:t>
      </w:r>
    </w:p>
    <w:p>
      <w:r>
        <w:t>Full texts are screened against all eligibility criteria. One primary exclusion code is recorded, with secondary notes where useful. Unavailable sources remain distinguishable from substantively excluded sources.</w:t>
      </w:r>
    </w:p>
    <w:p>
      <w:pPr>
        <w:pStyle w:val="Heading2"/>
      </w:pPr>
      <w:r>
        <w:t>9.4 Conflict resolution</w:t>
      </w:r>
    </w:p>
    <w:p>
      <w:r>
        <w:t>Because there is no independent second reviewer, conflicts are resolved by:</w:t>
      </w:r>
    </w:p>
    <w:p>
      <w:r>
        <w:t>1. re-reading the full source against fixed criteria;</w:t>
      </w:r>
    </w:p>
    <w:p>
      <w:r>
        <w:t>2. checking a known related or authoritative source;</w:t>
      </w:r>
    </w:p>
    <w:p>
      <w:r>
        <w:t>3. recording the uncertainty and reason;</w:t>
      </w:r>
    </w:p>
    <w:p>
      <w:r>
        <w:t>4. using conservative inclusion where the source may materially affect the ontology, while limiting the weight assigned in synthesis.</w:t>
      </w:r>
    </w:p>
    <w:p>
      <w:pPr>
        <w:pStyle w:val="Heading1"/>
      </w:pPr>
      <w:r>
        <w:t>10. Quality and relevance appraisal</w:t>
      </w:r>
    </w:p>
    <w:p>
      <w:r>
        <w:t>Separate rubrics are applied to:</w:t>
      </w:r>
    </w:p>
    <w:p>
      <w:r>
        <w:t>1. empirical studies;</w:t>
      </w:r>
    </w:p>
    <w:p>
      <w:r>
        <w:t>2. reviews and taxonomies;</w:t>
      </w:r>
    </w:p>
    <w:p>
      <w:r>
        <w:t>3. technical evaluation studies;</w:t>
      </w:r>
    </w:p>
    <w:p>
      <w:r>
        <w:t>4. legal sources;</w:t>
      </w:r>
    </w:p>
    <w:p>
      <w:r>
        <w:t>5. standards and technical specifications;</w:t>
      </w:r>
    </w:p>
    <w:p>
      <w:r>
        <w:t>6. incident reports;</w:t>
      </w:r>
    </w:p>
    <w:p>
      <w:r>
        <w:t>7. institutional reports and frameworks;</w:t>
      </w:r>
    </w:p>
    <w:p>
      <w:r>
        <w:t>8. preprints.</w:t>
      </w:r>
    </w:p>
    <w:p>
      <w:r>
        <w:t>Criteria are scored 0 (not met), 1 (partly/unclear) or 2 (met), with type-specific fatal flaws. Scores guide evidential weight and sensitivity analysis; they do not mechanically determine inclusion where a source is uniquely relevant. The appraisal workbook contains operational anchors.</w:t>
      </w:r>
    </w:p>
    <w:p>
      <w:r>
        <w:t>Common dimensions include source authenticity, methodological transparency, construct validity, data adequacy, causal attribution, external validity, reproducibility, conflicts of interest, currency/version and fitness for the specific claim. A high-status source is not assumed to answer questions outside its competence.</w:t>
      </w:r>
    </w:p>
    <w:p>
      <w:pPr>
        <w:pStyle w:val="Heading1"/>
      </w:pPr>
      <w:r>
        <w:t>11. Data extraction</w:t>
      </w:r>
    </w:p>
    <w:p>
      <w:pPr>
        <w:pStyle w:val="Heading2"/>
      </w:pPr>
      <w:r>
        <w:t>11.1 Evidence ledger fields</w:t>
      </w:r>
    </w:p>
    <w:p>
      <w:r>
        <w:t>The full ledger will contain:</w:t>
      </w:r>
    </w:p>
    <w:p>
      <w:pPr>
        <w:pStyle w:val="ListBullet"/>
      </w:pPr>
      <w:r>
        <w:t>Evidence-ID;</w:t>
      </w:r>
    </w:p>
    <w:p>
      <w:pPr>
        <w:pStyle w:val="ListBullet"/>
      </w:pPr>
      <w:r>
        <w:t>complete reference and persistent identifier;</w:t>
      </w:r>
    </w:p>
    <w:p>
      <w:pPr>
        <w:pStyle w:val="ListBullet"/>
      </w:pPr>
      <w:r>
        <w:t>source type and peer-review status;</w:t>
      </w:r>
    </w:p>
    <w:p>
      <w:pPr>
        <w:pStyle w:val="ListBullet"/>
      </w:pPr>
      <w:r>
        <w:t>publication/decision date and cut-off compliance;</w:t>
      </w:r>
    </w:p>
    <w:p>
      <w:pPr>
        <w:pStyle w:val="ListBullet"/>
      </w:pPr>
      <w:r>
        <w:t>jurisdiction/geographic context;</w:t>
      </w:r>
    </w:p>
    <w:p>
      <w:pPr>
        <w:pStyle w:val="ListBullet"/>
      </w:pPr>
      <w:r>
        <w:t>AI system and application sector;</w:t>
      </w:r>
    </w:p>
    <w:p>
      <w:pPr>
        <w:pStyle w:val="ListBullet"/>
      </w:pPr>
      <w:r>
        <w:t>system level and lifecycle phase;</w:t>
      </w:r>
    </w:p>
    <w:p>
      <w:pPr>
        <w:pStyle w:val="ListBullet"/>
      </w:pPr>
      <w:r>
        <w:t>source of risk, risk factor or latent condition;</w:t>
      </w:r>
    </w:p>
    <w:p>
      <w:pPr>
        <w:pStyle w:val="ListBullet"/>
      </w:pPr>
      <w:r>
        <w:t>mechanism;</w:t>
      </w:r>
    </w:p>
    <w:p>
      <w:pPr>
        <w:pStyle w:val="ListBullet"/>
      </w:pPr>
      <w:r>
        <w:t>hazard/threat;</w:t>
      </w:r>
    </w:p>
    <w:p>
      <w:pPr>
        <w:pStyle w:val="ListBullet"/>
      </w:pPr>
      <w:r>
        <w:t>trigger/context change;</w:t>
      </w:r>
    </w:p>
    <w:p>
      <w:pPr>
        <w:pStyle w:val="ListBullet"/>
      </w:pPr>
      <w:r>
        <w:t>failure mode or system state;</w:t>
      </w:r>
    </w:p>
    <w:p>
      <w:pPr>
        <w:pStyle w:val="ListBullet"/>
      </w:pPr>
      <w:r>
        <w:t>exposure;</w:t>
      </w:r>
    </w:p>
    <w:p>
      <w:pPr>
        <w:pStyle w:val="ListBullet"/>
      </w:pPr>
      <w:r>
        <w:t>direct and indirect harm;</w:t>
      </w:r>
    </w:p>
    <w:p>
      <w:pPr>
        <w:pStyle w:val="ListBullet"/>
      </w:pPr>
      <w:r>
        <w:t>affected persons, groups or protected interests;</w:t>
      </w:r>
    </w:p>
    <w:p>
      <w:pPr>
        <w:pStyle w:val="ListBullet"/>
      </w:pPr>
      <w:r>
        <w:t>propagation/cascade;</w:t>
      </w:r>
    </w:p>
    <w:p>
      <w:pPr>
        <w:pStyle w:val="ListBullet"/>
      </w:pPr>
      <w:r>
        <w:t>method and sample/data basis;</w:t>
      </w:r>
    </w:p>
    <w:p>
      <w:pPr>
        <w:pStyle w:val="ListBullet"/>
      </w:pPr>
      <w:r>
        <w:t>results;</w:t>
      </w:r>
    </w:p>
    <w:p>
      <w:pPr>
        <w:pStyle w:val="ListBullet"/>
      </w:pPr>
      <w:r>
        <w:t>preventive, detective, corrective and compensating controls;</w:t>
      </w:r>
    </w:p>
    <w:p>
      <w:pPr>
        <w:pStyle w:val="ListBullet"/>
      </w:pPr>
      <w:r>
        <w:t>assurance evidence;</w:t>
      </w:r>
    </w:p>
    <w:p>
      <w:pPr>
        <w:pStyle w:val="ListBullet"/>
      </w:pPr>
      <w:r>
        <w:t>limitations, uncertainty and conflicts;</w:t>
      </w:r>
    </w:p>
    <w:p>
      <w:pPr>
        <w:pStyle w:val="ListBullet"/>
      </w:pPr>
      <w:r>
        <w:t>quality appraisal;</w:t>
      </w:r>
    </w:p>
    <w:p>
      <w:pPr>
        <w:pStyle w:val="ListBullet"/>
      </w:pPr>
      <w:r>
        <w:t>precise page/paragraph/section locator;</w:t>
      </w:r>
    </w:p>
    <w:p>
      <w:pPr>
        <w:pStyle w:val="ListBullet"/>
      </w:pPr>
      <w:r>
        <w:t>inclusion decision and access date.</w:t>
      </w:r>
    </w:p>
    <w:p>
      <w:pPr>
        <w:pStyle w:val="Heading2"/>
      </w:pPr>
      <w:r>
        <w:t>11.2 Terminology discipline</w:t>
      </w:r>
    </w:p>
    <w:p>
      <w:r>
        <w:t>“Source of risk” is assigned only where a plausible causal or mechanistic link exists. Otherwise the record is coded as risk factor, condition, vulnerability, indicator or association. Properties such as fairness, transparency or robustness are not treated as causes unless a more specific causal mechanism is identified.</w:t>
      </w:r>
    </w:p>
    <w:p>
      <w:pPr>
        <w:pStyle w:val="Heading2"/>
      </w:pPr>
      <w:r>
        <w:t>11.3 Causal chain coding</w:t>
      </w:r>
    </w:p>
    <w:p>
      <w:r>
        <w:t>The common schema is:</w:t>
      </w:r>
    </w:p>
    <w:p>
      <w:pPr>
        <w:spacing w:after="0"/>
      </w:pPr>
      <w:r>
        <w:rPr>
          <w:rFonts w:ascii="Courier New" w:hAnsi="Courier New"/>
          <w:sz w:val="16"/>
        </w:rPr>
        <w:t>source of risk</w:t>
      </w:r>
    </w:p>
    <w:p>
      <w:pPr>
        <w:spacing w:after="0"/>
      </w:pPr>
      <w:r>
        <w:rPr>
          <w:rFonts w:ascii="Courier New" w:hAnsi="Courier New"/>
          <w:sz w:val="16"/>
        </w:rPr>
        <w:t>-&gt; latent condition or vulnerability</w:t>
      </w:r>
    </w:p>
    <w:p>
      <w:pPr>
        <w:spacing w:after="0"/>
      </w:pPr>
      <w:r>
        <w:rPr>
          <w:rFonts w:ascii="Courier New" w:hAnsi="Courier New"/>
          <w:sz w:val="16"/>
        </w:rPr>
        <w:t>-&gt; trigger, threat or context change</w:t>
      </w:r>
    </w:p>
    <w:p>
      <w:pPr>
        <w:spacing w:after="0"/>
      </w:pPr>
      <w:r>
        <w:rPr>
          <w:rFonts w:ascii="Courier New" w:hAnsi="Courier New"/>
          <w:sz w:val="16"/>
        </w:rPr>
        <w:t>-&gt; system state / failure mode</w:t>
      </w:r>
    </w:p>
    <w:p>
      <w:pPr>
        <w:spacing w:after="0"/>
      </w:pPr>
      <w:r>
        <w:rPr>
          <w:rFonts w:ascii="Courier New" w:hAnsi="Courier New"/>
          <w:sz w:val="16"/>
        </w:rPr>
        <w:t>-&gt; hazardous event</w:t>
      </w:r>
    </w:p>
    <w:p>
      <w:pPr>
        <w:spacing w:after="0"/>
      </w:pPr>
      <w:r>
        <w:rPr>
          <w:rFonts w:ascii="Courier New" w:hAnsi="Courier New"/>
          <w:sz w:val="16"/>
        </w:rPr>
        <w:t>-&gt; exposure</w:t>
      </w:r>
    </w:p>
    <w:p>
      <w:pPr>
        <w:spacing w:after="0"/>
      </w:pPr>
      <w:r>
        <w:rPr>
          <w:rFonts w:ascii="Courier New" w:hAnsi="Courier New"/>
          <w:sz w:val="16"/>
        </w:rPr>
        <w:t>-&gt; direct and indirect harm</w:t>
      </w:r>
    </w:p>
    <w:p>
      <w:pPr>
        <w:spacing w:after="0"/>
      </w:pPr>
      <w:r>
        <w:rPr>
          <w:rFonts w:ascii="Courier New" w:hAnsi="Courier New"/>
          <w:sz w:val="16"/>
        </w:rPr>
        <w:t>-&gt; propagation or cascade</w:t>
      </w:r>
    </w:p>
    <w:p>
      <w:pPr>
        <w:spacing w:after="0"/>
      </w:pPr>
      <w:r>
        <w:rPr>
          <w:rFonts w:ascii="Courier New" w:hAnsi="Courier New"/>
          <w:sz w:val="16"/>
        </w:rPr>
        <w:t>-&gt; controls</w:t>
      </w:r>
    </w:p>
    <w:p>
      <w:pPr>
        <w:spacing w:after="0"/>
      </w:pPr>
      <w:r>
        <w:rPr>
          <w:rFonts w:ascii="Courier New" w:hAnsi="Courier New"/>
          <w:sz w:val="16"/>
        </w:rPr>
        <w:t>-&gt; verification and assurance evidence</w:t>
      </w:r>
    </w:p>
    <w:p>
      <w:pPr>
        <w:spacing w:after="0"/>
      </w:pPr>
      <w:r>
        <w:rPr>
          <w:rFonts w:ascii="Courier New" w:hAnsi="Courier New"/>
          <w:sz w:val="16"/>
        </w:rPr>
        <w:t>-&gt; residual risk</w:t>
      </w:r>
    </w:p>
    <w:p>
      <w:pPr>
        <w:spacing w:after="0"/>
      </w:pPr>
      <w:r>
        <w:rPr>
          <w:rFonts w:ascii="Courier New" w:hAnsi="Courier New"/>
          <w:sz w:val="16"/>
        </w:rPr>
        <w:t>-&gt; monitoring and incident response</w:t>
      </w:r>
    </w:p>
    <w:p>
      <w:r>
        <w:t>Not every source must populate every node. Missing or disputed links are explicitly coded rather than inferred.</w:t>
      </w:r>
    </w:p>
    <w:p>
      <w:pPr>
        <w:pStyle w:val="Heading1"/>
      </w:pPr>
      <w:r>
        <w:t>12. Evidence synthesis</w:t>
      </w:r>
    </w:p>
    <w:p>
      <w:pPr>
        <w:pStyle w:val="Heading2"/>
      </w:pPr>
      <w:r>
        <w:t>12.1 Stage 1: source-article claim audit</w:t>
      </w:r>
    </w:p>
    <w:p>
      <w:r>
        <w:t>Claims from the source article are coded as confirmed, partly confirmed, revision required, refuted or open. Each disposition requires a rationale and supporting post-2022 evidence or a clearly stated conceptual argument.</w:t>
      </w:r>
    </w:p>
    <w:p>
      <w:pPr>
        <w:pStyle w:val="Heading2"/>
      </w:pPr>
      <w:r>
        <w:t>12.2 Stage 2: best-fit framework coding</w:t>
      </w:r>
    </w:p>
    <w:p>
      <w:r>
        <w:t>The provisional axes are used as an initial coding frame:</w:t>
      </w:r>
    </w:p>
    <w:p>
      <w:pPr>
        <w:pStyle w:val="ListBullet"/>
      </w:pPr>
      <w:r>
        <w:t>system/effect level;</w:t>
      </w:r>
    </w:p>
    <w:p>
      <w:pPr>
        <w:pStyle w:val="ListBullet"/>
      </w:pPr>
      <w:r>
        <w:t>lifecycle phase;</w:t>
      </w:r>
    </w:p>
    <w:p>
      <w:pPr>
        <w:pStyle w:val="ListBullet"/>
      </w:pPr>
      <w:r>
        <w:t>causal source class;</w:t>
      </w:r>
    </w:p>
    <w:p>
      <w:pPr>
        <w:pStyle w:val="ListBullet"/>
      </w:pPr>
      <w:r>
        <w:t>origin, intentionality and time;</w:t>
      </w:r>
    </w:p>
    <w:p>
      <w:pPr>
        <w:pStyle w:val="ListBullet"/>
      </w:pPr>
      <w:r>
        <w:t>harm domain;</w:t>
      </w:r>
    </w:p>
    <w:p>
      <w:pPr>
        <w:pStyle w:val="ListBullet"/>
      </w:pPr>
      <w:r>
        <w:t>trustworthiness/assurance property;</w:t>
      </w:r>
    </w:p>
    <w:p>
      <w:pPr>
        <w:pStyle w:val="ListBullet"/>
      </w:pPr>
      <w:r>
        <w:t>control and evidence type.</w:t>
      </w:r>
    </w:p>
    <w:p>
      <w:pPr>
        <w:pStyle w:val="Heading2"/>
      </w:pPr>
      <w:r>
        <w:t>12.3 Stage 3: inductive addition and revision</w:t>
      </w:r>
    </w:p>
    <w:p>
      <w:r>
        <w:t>Data that cannot be coded without semantic distortion generate candidate nodes. Candidate changes require:</w:t>
      </w:r>
    </w:p>
    <w:p>
      <w:pPr>
        <w:pStyle w:val="ListBullet"/>
      </w:pPr>
      <w:r>
        <w:t>at least one explicit mechanism or coherent causal rationale;</w:t>
      </w:r>
    </w:p>
    <w:p>
      <w:pPr>
        <w:pStyle w:val="ListBullet"/>
      </w:pPr>
      <w:r>
        <w:t>evidence from more than one source type where feasible;</w:t>
      </w:r>
    </w:p>
    <w:p>
      <w:pPr>
        <w:pStyle w:val="ListBullet"/>
      </w:pPr>
      <w:r>
        <w:t>a definition, inclusion and exclusion rule;</w:t>
      </w:r>
    </w:p>
    <w:p>
      <w:pPr>
        <w:pStyle w:val="ListBullet"/>
      </w:pPr>
      <w:r>
        <w:t>comparison with nearby categories;</w:t>
      </w:r>
    </w:p>
    <w:p>
      <w:pPr>
        <w:pStyle w:val="ListBullet"/>
      </w:pPr>
      <w:r>
        <w:t>a control or assurance implication, or a documented reason why control is unavailable.</w:t>
      </w:r>
    </w:p>
    <w:p>
      <w:pPr>
        <w:pStyle w:val="Heading2"/>
      </w:pPr>
      <w:r>
        <w:t>12.4 Stage 4: framework crosswalks</w:t>
      </w:r>
    </w:p>
    <w:p>
      <w:r>
        <w:t>The ontology is crosswalked to the original taxonomy, NIST AI RMF 1.0, NIST AI 600-1, NIST AML taxonomy, ISO/IEC 23894, ISO/IEC 42001, ISO/IEC 42005, MIT AI Risk Repository, OECD incident/hazard structures, international AI safety reports, EU AI Act categories and OWASP LLM/agentic lists. Crosswalks record semantic overlap, level, lifecycle, harm domain, semantic loss and unresolved mapping.</w:t>
      </w:r>
    </w:p>
    <w:p>
      <w:pPr>
        <w:pStyle w:val="Heading2"/>
      </w:pPr>
      <w:r>
        <w:t>12.5 Stage 5: negative and boundary cases</w:t>
      </w:r>
    </w:p>
    <w:p>
      <w:r>
        <w:t>Cases designed to stress category boundaries include:</w:t>
      </w:r>
    </w:p>
    <w:p>
      <w:pPr>
        <w:pStyle w:val="ListBullet"/>
      </w:pPr>
      <w:r>
        <w:t>fairness as a desired property versus discriminatory harm versus biased data;</w:t>
      </w:r>
    </w:p>
    <w:p>
      <w:pPr>
        <w:pStyle w:val="ListBullet"/>
      </w:pPr>
      <w:r>
        <w:t>low transparency as a diagnostic limitation versus a direct cause;</w:t>
      </w:r>
    </w:p>
    <w:p>
      <w:pPr>
        <w:pStyle w:val="ListBullet"/>
      </w:pPr>
      <w:r>
        <w:t>maturity as an evidence indicator versus defects caused by immature engineering;</w:t>
      </w:r>
    </w:p>
    <w:p>
      <w:pPr>
        <w:pStyle w:val="ListBullet"/>
      </w:pPr>
      <w:r>
        <w:t>hardware failure unrelated to AI versus AI-specific computation sensitivity;</w:t>
      </w:r>
    </w:p>
    <w:p>
      <w:pPr>
        <w:pStyle w:val="ListBullet"/>
      </w:pPr>
      <w:r>
        <w:t>misuse by a human versus unsafe affordance or excessive authority allocation;</w:t>
      </w:r>
    </w:p>
    <w:p>
      <w:pPr>
        <w:pStyle w:val="ListBullet"/>
      </w:pPr>
      <w:r>
        <w:t>provider-side model update versus local configuration drift;</w:t>
      </w:r>
    </w:p>
    <w:p>
      <w:pPr>
        <w:pStyle w:val="ListBullet"/>
      </w:pPr>
      <w:r>
        <w:t>legal uncertainty as a compliance issue versus an organisational latent condition.</w:t>
      </w:r>
    </w:p>
    <w:p>
      <w:pPr>
        <w:pStyle w:val="Heading2"/>
      </w:pPr>
      <w:r>
        <w:t>12.6 Quantitative summaries</w:t>
      </w:r>
    </w:p>
    <w:p>
      <w:r>
        <w:t>Counts and proportions will be reported only from actual screened and coded data. Potential analyses include coverage rates, multi-coding frequencies, Jaccard similarity, mapping matrices and sensitivity analyses by evidence quality and source type. No metric will be produced without a defined denominator and reproducible data.</w:t>
      </w:r>
    </w:p>
    <w:p>
      <w:pPr>
        <w:pStyle w:val="Heading1"/>
      </w:pPr>
      <w:r>
        <w:t>13. Legal analysis protocol</w:t>
      </w:r>
    </w:p>
    <w:p>
      <w:r>
        <w:t>The legal analysis is doctrinal and functional. For each instrument or decision it distinguishes:</w:t>
      </w:r>
    </w:p>
    <w:p>
      <w:r>
        <w:t>1. sources of possible harm;</w:t>
      </w:r>
    </w:p>
    <w:p>
      <w:r>
        <w:t>2. compliance and liability exposure;</w:t>
      </w:r>
    </w:p>
    <w:p>
      <w:r>
        <w:t>3. protected interests and fundamental rights;</w:t>
      </w:r>
    </w:p>
    <w:p>
      <w:r>
        <w:t>4. mandated risk controls;</w:t>
      </w:r>
    </w:p>
    <w:p>
      <w:r>
        <w:t>5. procedure and evidence requirements;</w:t>
      </w:r>
    </w:p>
    <w:p>
      <w:r>
        <w:t>6. limits on balancing and unacceptable practices.</w:t>
      </w:r>
    </w:p>
    <w:p>
      <w:r>
        <w:t>Each legal proposition is traced to authentic legislation, official preparatory material where status matters, or the full judgment. The legal register separates political agreement, adoption, publication, entry into force, applicability, transition and enforcement practice.</w:t>
      </w:r>
    </w:p>
    <w:p>
      <w:r>
        <w:t>Case briefs record court, chamber, date, case number/ECLI, jurisdiction, procedure, facts, issues, holding, reasoning, binding effect, status, relevance to the ontology, possible technical operationalisation and limits of transfer. Judgments, opinions, preliminary references, authority decisions, settlements, pending cases and press releases are never merged.</w:t>
      </w:r>
    </w:p>
    <w:p>
      <w:r>
        <w:t>The mandatory EU cut-off check includes the AI Act, Regulation (EU) 2026/1744, GDPR, DSA, Data Act, Data Governance Act, NIS2, DORA, Cyber Resilience Act, GPSR, Product Liability Directive (EU) 2024/2853, Machinery Regulation, MDR/IVDR and relevant fundamental-rights, consumer, equality, employment, copyright, product-safety and occupational-safety law.</w:t>
      </w:r>
    </w:p>
    <w:p>
      <w:pPr>
        <w:pStyle w:val="Heading1"/>
      </w:pPr>
      <w:r>
        <w:t>14. Standards and assurance protocol</w:t>
      </w:r>
    </w:p>
    <w:p>
      <w:r>
        <w:t>For every standard or technical document, the register captures:</w:t>
      </w:r>
    </w:p>
    <w:p>
      <w:pPr>
        <w:pStyle w:val="ListBullet"/>
      </w:pPr>
      <w:r>
        <w:t>exact identifier and title;</w:t>
      </w:r>
    </w:p>
    <w:p>
      <w:pPr>
        <w:pStyle w:val="ListBullet"/>
      </w:pPr>
      <w:r>
        <w:t>edition and publication date;</w:t>
      </w:r>
    </w:p>
    <w:p>
      <w:pPr>
        <w:pStyle w:val="ListBullet"/>
      </w:pPr>
      <w:r>
        <w:t>issuing body;</w:t>
      </w:r>
    </w:p>
    <w:p>
      <w:pPr>
        <w:pStyle w:val="ListBullet"/>
      </w:pPr>
      <w:r>
        <w:t>status (published, replaced, withdrawn, draft, CD, DIS, TS, TR, prEN, EN, harmonised EN, guidance or certification requirement);</w:t>
      </w:r>
    </w:p>
    <w:p>
      <w:pPr>
        <w:pStyle w:val="ListBullet"/>
      </w:pPr>
      <w:r>
        <w:t>scope and lifecycle coverage;</w:t>
      </w:r>
    </w:p>
    <w:p>
      <w:pPr>
        <w:pStyle w:val="ListBullet"/>
      </w:pPr>
      <w:r>
        <w:t>actors addressed;</w:t>
      </w:r>
    </w:p>
    <w:p>
      <w:pPr>
        <w:pStyle w:val="ListBullet"/>
      </w:pPr>
      <w:r>
        <w:t>risk domains and evidence expected;</w:t>
      </w:r>
    </w:p>
    <w:p>
      <w:pPr>
        <w:pStyle w:val="ListBullet"/>
      </w:pPr>
      <w:r>
        <w:t>certifiability;</w:t>
      </w:r>
    </w:p>
    <w:p>
      <w:pPr>
        <w:pStyle w:val="ListBullet"/>
      </w:pPr>
      <w:r>
        <w:t>relationship to the EU AI Act;</w:t>
      </w:r>
    </w:p>
    <w:p>
      <w:pPr>
        <w:pStyle w:val="ListBullet"/>
      </w:pPr>
      <w:r>
        <w:t>harmonisation and Official Journal citation, if any;</w:t>
      </w:r>
    </w:p>
    <w:p>
      <w:pPr>
        <w:pStyle w:val="ListBullet"/>
      </w:pPr>
      <w:r>
        <w:t>access basis and known gaps.</w:t>
      </w:r>
    </w:p>
    <w:p>
      <w:r>
        <w:t>No inference of harmonisation is made from ISO or EN status alone. No inference of EU AI Act compliance is made from ISO/IEC 42001 certification alone. Where full text is inaccessible, only verified metadata and lawfully available material are coded.</w:t>
      </w:r>
    </w:p>
    <w:p>
      <w:pPr>
        <w:pStyle w:val="Heading1"/>
      </w:pPr>
      <w:r>
        <w:t>15. Incident analysis protocol</w:t>
      </w:r>
    </w:p>
    <w:p>
      <w:pPr>
        <w:pStyle w:val="Heading2"/>
      </w:pPr>
      <w:r>
        <w:t>15.1 Operational definition</w:t>
      </w:r>
    </w:p>
    <w:p>
      <w:r>
        <w:t>An AI incident is an event or sustained episode in which an AI model, component, integrated system, its deployment, governance or misuse plausibly contributes to actual harm, a hazardous state, a material rights violation, security compromise or a near miss with credible potential for such outcomes.</w:t>
      </w:r>
    </w:p>
    <w:p>
      <w:r>
        <w:t>A hazard report without realized harm may be retained in a separate “hazard/near miss” stratum. Mere dissatisfaction, hypothetical concern or unverified social-media allegation is insufficient.</w:t>
      </w:r>
    </w:p>
    <w:p>
      <w:pPr>
        <w:pStyle w:val="Heading2"/>
      </w:pPr>
      <w:r>
        <w:t>15.2 Minimum documentation</w:t>
      </w:r>
    </w:p>
    <w:p>
      <w:r>
        <w:t>An incident requires, at minimum:</w:t>
      </w:r>
    </w:p>
    <w:p>
      <w:pPr>
        <w:pStyle w:val="ListBullet"/>
      </w:pPr>
      <w:r>
        <w:t>identifiable system or deployment class;</w:t>
      </w:r>
    </w:p>
    <w:p>
      <w:pPr>
        <w:pStyle w:val="ListBullet"/>
      </w:pPr>
      <w:r>
        <w:t>date or bounded time period;</w:t>
      </w:r>
    </w:p>
    <w:p>
      <w:pPr>
        <w:pStyle w:val="ListBullet"/>
      </w:pPr>
      <w:r>
        <w:t>sector and location/jurisdiction where available;</w:t>
      </w:r>
    </w:p>
    <w:p>
      <w:pPr>
        <w:pStyle w:val="ListBullet"/>
      </w:pPr>
      <w:r>
        <w:t>a described event, failure or misuse;</w:t>
      </w:r>
    </w:p>
    <w:p>
      <w:pPr>
        <w:pStyle w:val="ListBullet"/>
      </w:pPr>
      <w:r>
        <w:t>at least one traceable source;</w:t>
      </w:r>
    </w:p>
    <w:p>
      <w:pPr>
        <w:pStyle w:val="ListBullet"/>
      </w:pPr>
      <w:r>
        <w:t>enough information to distinguish asserted from confirmed causal contribution.</w:t>
      </w:r>
    </w:p>
    <w:p>
      <w:pPr>
        <w:pStyle w:val="Heading2"/>
      </w:pPr>
      <w:r>
        <w:t>15.3 Deduplication</w:t>
      </w:r>
    </w:p>
    <w:p>
      <w:r>
        <w:t>Multiple reports are merged into one Incident-ID using event identity, system, location, date and affected parties. Sources remain linked individually. Later investigations update confidence rather than creating duplicate incidents.</w:t>
      </w:r>
    </w:p>
    <w:p>
      <w:pPr>
        <w:pStyle w:val="Heading2"/>
      </w:pPr>
      <w:r>
        <w:t>15.4 Causal-confidence labels</w:t>
      </w:r>
    </w:p>
    <w:p>
      <w:pPr>
        <w:pStyle w:val="ListBullet"/>
      </w:pPr>
      <w:r>
        <w:t>A - confirmed: official investigation, final court/authority finding, validated technical post-mortem or comparably strong primary evidence;</w:t>
      </w:r>
    </w:p>
    <w:p>
      <w:pPr>
        <w:pStyle w:val="ListBullet"/>
      </w:pPr>
      <w:r>
        <w:t>B - strongly supported: multiple independent credible sources or a detailed primary report with coherent mechanism;</w:t>
      </w:r>
    </w:p>
    <w:p>
      <w:pPr>
        <w:pStyle w:val="ListBullet"/>
      </w:pPr>
      <w:r>
        <w:t>C - plausible but unresolved: credible report, but material causal uncertainty remains;</w:t>
      </w:r>
    </w:p>
    <w:p>
      <w:pPr>
        <w:pStyle w:val="ListBullet"/>
      </w:pPr>
      <w:r>
        <w:t>D - unverified: insufficient for the validation sample; retained only in a discovery log or excluded.</w:t>
      </w:r>
    </w:p>
    <w:p>
      <w:pPr>
        <w:pStyle w:val="Heading2"/>
      </w:pPr>
      <w:r>
        <w:t>15.5 Incident fields</w:t>
      </w:r>
    </w:p>
    <w:p>
      <w:r>
        <w:t>Date, country, sector, system and model type, affected actors, system level, lifecycle phase, source, vulnerability, trigger, failure mode, hazard, harm, reach, duration, reversibility, propagation, present and missing controls, evidence quality, investigation status and legal consequences.</w:t>
      </w:r>
    </w:p>
    <w:p>
      <w:r>
        <w:t>The target of 100 incidents is aspirational, not a quota. The dataset will not be padded with duplicates or weak cases. Five case vignettes will be selected for causal richness and sectoral diversity rather than notoriety.</w:t>
      </w:r>
    </w:p>
    <w:p>
      <w:pPr>
        <w:pStyle w:val="Heading1"/>
      </w:pPr>
      <w:r>
        <w:t>16. Taxonomy construction and validation</w:t>
      </w:r>
    </w:p>
    <w:p>
      <w:r>
        <w:t>Every category will have:</w:t>
      </w:r>
    </w:p>
    <w:p>
      <w:pPr>
        <w:pStyle w:val="ListBullet"/>
      </w:pPr>
      <w:r>
        <w:t>stable ID and preferred label;</w:t>
      </w:r>
    </w:p>
    <w:p>
      <w:pPr>
        <w:pStyle w:val="ListBullet"/>
      </w:pPr>
      <w:r>
        <w:t>definition;</w:t>
      </w:r>
    </w:p>
    <w:p>
      <w:pPr>
        <w:pStyle w:val="ListBullet"/>
      </w:pPr>
      <w:r>
        <w:t>parent and child relationships;</w:t>
      </w:r>
    </w:p>
    <w:p>
      <w:pPr>
        <w:pStyle w:val="ListBullet"/>
      </w:pPr>
      <w:r>
        <w:t>allowed system levels and lifecycle phases;</w:t>
      </w:r>
    </w:p>
    <w:p>
      <w:pPr>
        <w:pStyle w:val="ListBullet"/>
      </w:pPr>
      <w:r>
        <w:t>inclusion and exclusion rules;</w:t>
      </w:r>
    </w:p>
    <w:p>
      <w:pPr>
        <w:pStyle w:val="ListBullet"/>
      </w:pPr>
      <w:r>
        <w:t>positive examples and counterexamples;</w:t>
      </w:r>
    </w:p>
    <w:p>
      <w:pPr>
        <w:pStyle w:val="ListBullet"/>
      </w:pPr>
      <w:r>
        <w:t>known overlaps and mandatory co-codes;</w:t>
      </w:r>
    </w:p>
    <w:p>
      <w:pPr>
        <w:pStyle w:val="ListBullet"/>
      </w:pPr>
      <w:r>
        <w:t>synonyms and source mappings;</w:t>
      </w:r>
    </w:p>
    <w:p>
      <w:pPr>
        <w:pStyle w:val="ListBullet"/>
      </w:pPr>
      <w:r>
        <w:t>associated hazards, harms, controls and evidence.</w:t>
      </w:r>
    </w:p>
    <w:p>
      <w:r>
        <w:t>Validation dimensions are coverage, conceptual completeness, internal consistency, clarity, distinctiveness, controlled multi-coding, granularity, actionability, controllability, evidentiary traceability, maintainability, sector transfer and machine readability.</w:t>
      </w:r>
    </w:p>
    <w:p>
      <w:r>
        <w:t>Automated or model-assisted mappings, including any complete MIT repository mapping, require a transparent validation sample stratified across source categories and ambiguous cases. Agreement metrics are reported only if genuine independent labels exist. Otherwise the report provides consistency rates against an adjudicated reference set and explicitly states their non-independent nature.</w:t>
      </w:r>
    </w:p>
    <w:p>
      <w:pPr>
        <w:pStyle w:val="Heading1"/>
      </w:pPr>
      <w:r>
        <w:t>17. Citation-network analysis</w:t>
      </w:r>
    </w:p>
    <w:p>
      <w:r>
        <w:t>The final scientific corpus will be represented as a directed citation graph where metadata permit. Planned analyses include in-degree, bibliographic coupling or co-citation clusters, disciplinary separation, isolated debates and potential citation bias. Missing references caused by database limitations will be disclosed. Network centrality is interpreted as influence or visibility, not evidentiary quality.</w:t>
      </w:r>
    </w:p>
    <w:p>
      <w:pPr>
        <w:pStyle w:val="Heading1"/>
      </w:pPr>
      <w:r>
        <w:t>18. Risk of bias and sensitivity analysis</w:t>
      </w:r>
    </w:p>
    <w:p>
      <w:r>
        <w:t>Sensitivity checks will compare:</w:t>
      </w:r>
    </w:p>
    <w:p>
      <w:pPr>
        <w:pStyle w:val="ListBullet"/>
      </w:pPr>
      <w:r>
        <w:t>peer-reviewed versus preprint evidence;</w:t>
      </w:r>
    </w:p>
    <w:p>
      <w:pPr>
        <w:pStyle w:val="ListBullet"/>
      </w:pPr>
      <w:r>
        <w:t>high/medium versus low/unclear quality;</w:t>
      </w:r>
    </w:p>
    <w:p>
      <w:pPr>
        <w:pStyle w:val="ListBullet"/>
      </w:pPr>
      <w:r>
        <w:t>primary versus secondary incident evidence;</w:t>
      </w:r>
    </w:p>
    <w:p>
      <w:pPr>
        <w:pStyle w:val="ListBullet"/>
      </w:pPr>
      <w:r>
        <w:t>EU/Germany versus other jurisdictions;</w:t>
      </w:r>
    </w:p>
    <w:p>
      <w:pPr>
        <w:pStyle w:val="ListBullet"/>
      </w:pPr>
      <w:r>
        <w:t>model-level versus system/organisational/systemic evidence;</w:t>
      </w:r>
    </w:p>
    <w:p>
      <w:pPr>
        <w:pStyle w:val="ListBullet"/>
      </w:pPr>
      <w:r>
        <w:t>pre-generative versus foundation/generative/agentic clusters;</w:t>
      </w:r>
    </w:p>
    <w:p>
      <w:pPr>
        <w:pStyle w:val="ListBullet"/>
      </w:pPr>
      <w:r>
        <w:t>classifications with and without controversial or speculative frontier-risk sources.</w:t>
      </w:r>
    </w:p>
    <w:p>
      <w:r>
        <w:t>Material disagreements are reported rather than averaged away.</w:t>
      </w:r>
    </w:p>
    <w:p>
      <w:pPr>
        <w:pStyle w:val="Heading1"/>
      </w:pPr>
      <w:r>
        <w:t>19. Role of AI tools</w:t>
      </w:r>
    </w:p>
    <w:p>
      <w:r>
        <w:t>AI tools may assist query translation, deduplication suggestions, extraction, terminology normalisation, candidate coding, consistency checks, drafting and formatting. They do not substitute for source verification. The final paper will disclose:</w:t>
      </w:r>
    </w:p>
    <w:p>
      <w:pPr>
        <w:pStyle w:val="ListBullet"/>
      </w:pPr>
      <w:r>
        <w:t>tool and model where publication policy requires it;</w:t>
      </w:r>
    </w:p>
    <w:p>
      <w:pPr>
        <w:pStyle w:val="ListBullet"/>
      </w:pPr>
      <w:r>
        <w:t>tasks performed;</w:t>
      </w:r>
    </w:p>
    <w:p>
      <w:pPr>
        <w:pStyle w:val="ListBullet"/>
      </w:pPr>
      <w:r>
        <w:t>human or project-level verification steps;</w:t>
      </w:r>
    </w:p>
    <w:p>
      <w:pPr>
        <w:pStyle w:val="ListBullet"/>
      </w:pPr>
      <w:r>
        <w:t>known limitations;</w:t>
      </w:r>
    </w:p>
    <w:p>
      <w:pPr>
        <w:pStyle w:val="ListBullet"/>
      </w:pPr>
      <w:r>
        <w:t>that no AI tool is an author or independent reviewer.</w:t>
      </w:r>
    </w:p>
    <w:p>
      <w:r>
        <w:t>Prompts and structured outputs that materially affect reproducibility will be retained where legally and practically possible, excluding confidential or copyrighted full text.</w:t>
      </w:r>
    </w:p>
    <w:p>
      <w:pPr>
        <w:pStyle w:val="Heading1"/>
      </w:pPr>
      <w:r>
        <w:t>20. Data management, reproducibility and versioning</w:t>
      </w:r>
    </w:p>
    <w:p>
      <w:r>
        <w:t>Stable identifiers are used across all files:</w:t>
      </w:r>
    </w:p>
    <w:p>
      <w:pPr>
        <w:pStyle w:val="ListBullet"/>
      </w:pPr>
      <w:r>
        <w:t>SRC-#### scientific or institutional source;</w:t>
      </w:r>
    </w:p>
    <w:p>
      <w:pPr>
        <w:pStyle w:val="ListBullet"/>
      </w:pPr>
      <w:r>
        <w:t>LAW-#### legislation or legal instrument;</w:t>
      </w:r>
    </w:p>
    <w:p>
      <w:pPr>
        <w:pStyle w:val="ListBullet"/>
      </w:pPr>
      <w:r>
        <w:t>CASE-#### judicial or authority decision;</w:t>
      </w:r>
    </w:p>
    <w:p>
      <w:pPr>
        <w:pStyle w:val="ListBullet"/>
      </w:pPr>
      <w:r>
        <w:t>STD-#### standard or technical specification;</w:t>
      </w:r>
    </w:p>
    <w:p>
      <w:pPr>
        <w:pStyle w:val="ListBullet"/>
      </w:pPr>
      <w:r>
        <w:t>INC-#### incident;</w:t>
      </w:r>
    </w:p>
    <w:p>
      <w:pPr>
        <w:pStyle w:val="ListBullet"/>
      </w:pPr>
      <w:r>
        <w:t>CLM-#### source-article claim;</w:t>
      </w:r>
    </w:p>
    <w:p>
      <w:pPr>
        <w:pStyle w:val="ListBullet"/>
      </w:pPr>
      <w:r>
        <w:t>TAX-... ontology category;</w:t>
      </w:r>
    </w:p>
    <w:p>
      <w:pPr>
        <w:pStyle w:val="ListBullet"/>
      </w:pPr>
      <w:r>
        <w:t>CTL-... control;</w:t>
      </w:r>
    </w:p>
    <w:p>
      <w:pPr>
        <w:pStyle w:val="ListBullet"/>
      </w:pPr>
      <w:r>
        <w:t>EVD-... assurance evidence.</w:t>
      </w:r>
    </w:p>
    <w:p>
      <w:r>
        <w:t>CSV is UTF-8. Dates use ISO 8601. Controlled vocabularies are versioned. Deletions are not silent: records are retired with reasons. A revision log links every conceptual change to evidence or a protocol amendment.</w:t>
      </w:r>
    </w:p>
    <w:p>
      <w:pPr>
        <w:pStyle w:val="Heading1"/>
      </w:pPr>
      <w:r>
        <w:t>21. Reporting plan</w:t>
      </w:r>
    </w:p>
    <w:p>
      <w:r>
        <w:t>The final report will include:</w:t>
      </w:r>
    </w:p>
    <w:p>
      <w:pPr>
        <w:pStyle w:val="ListBullet"/>
      </w:pPr>
      <w:r>
        <w:t>exact searches and dates;</w:t>
      </w:r>
    </w:p>
    <w:p>
      <w:pPr>
        <w:pStyle w:val="ListBullet"/>
      </w:pPr>
      <w:r>
        <w:t>PRISMA flow with actual counts only;</w:t>
      </w:r>
    </w:p>
    <w:p>
      <w:pPr>
        <w:pStyle w:val="ListBullet"/>
      </w:pPr>
      <w:r>
        <w:t>source-type and quality distributions;</w:t>
      </w:r>
    </w:p>
    <w:p>
      <w:pPr>
        <w:pStyle w:val="ListBullet"/>
      </w:pPr>
      <w:r>
        <w:t>source-article claim audit;</w:t>
      </w:r>
    </w:p>
    <w:p>
      <w:pPr>
        <w:pStyle w:val="ListBullet"/>
      </w:pPr>
      <w:r>
        <w:t>legal, standards and incident registers;</w:t>
      </w:r>
    </w:p>
    <w:p>
      <w:pPr>
        <w:pStyle w:val="ListBullet"/>
      </w:pPr>
      <w:r>
        <w:t>ontology and codebook;</w:t>
      </w:r>
    </w:p>
    <w:p>
      <w:pPr>
        <w:pStyle w:val="ListBullet"/>
      </w:pPr>
      <w:r>
        <w:t>framework crosswalks;</w:t>
      </w:r>
    </w:p>
    <w:p>
      <w:pPr>
        <w:pStyle w:val="ListBullet"/>
      </w:pPr>
      <w:r>
        <w:t>risk-control-evidence matrix;</w:t>
      </w:r>
    </w:p>
    <w:p>
      <w:pPr>
        <w:pStyle w:val="ListBullet"/>
      </w:pPr>
      <w:r>
        <w:t>validation and sensitivity results;</w:t>
      </w:r>
    </w:p>
    <w:p>
      <w:pPr>
        <w:pStyle w:val="ListBullet"/>
      </w:pPr>
      <w:r>
        <w:t>explicit limitations and access constraints;</w:t>
      </w:r>
    </w:p>
    <w:p>
      <w:pPr>
        <w:pStyle w:val="ListBullet"/>
      </w:pPr>
      <w:r>
        <w:t>machine-readable CSV/JSON and figure source data.</w:t>
      </w:r>
    </w:p>
    <w:p>
      <w:pPr>
        <w:pStyle w:val="Heading1"/>
      </w:pPr>
      <w:r>
        <w:t>22. Protocol deviations and amendment rule</w:t>
      </w:r>
    </w:p>
    <w:p>
      <w:r>
        <w:t>A change is material if it may alter eligibility, corpus composition, coding ontology, legal interpretation method, incident confidence or validation results. Material changes require:</w:t>
      </w:r>
    </w:p>
    <w:p>
      <w:r>
        <w:t>1. amendment ID and timestamp;</w:t>
      </w:r>
    </w:p>
    <w:p>
      <w:r>
        <w:t>2. original and revised rule;</w:t>
      </w:r>
    </w:p>
    <w:p>
      <w:r>
        <w:t>3. reason and evidence prompting the change;</w:t>
      </w:r>
    </w:p>
    <w:p>
      <w:r>
        <w:t>4. stage at which made;</w:t>
      </w:r>
    </w:p>
    <w:p>
      <w:r>
        <w:t>5. expected direction of bias;</w:t>
      </w:r>
    </w:p>
    <w:p>
      <w:r>
        <w:t>6. files or analyses affected.</w:t>
      </w:r>
    </w:p>
    <w:p>
      <w:r>
        <w:t>No retrospective relabelling as “preregistered” is permitted.</w:t>
      </w:r>
    </w:p>
    <w:p>
      <w:pPr>
        <w:pStyle w:val="Heading1"/>
      </w:pPr>
      <w:r>
        <w:t>23. Gate B decision</w:t>
      </w:r>
    </w:p>
    <w:p>
      <w:r>
        <w:t>Gate B is satisfied at the protocol-design level because the search framework, inclusion and exclusion rules, screening logic, source-type appraisal, extraction schema, synthesis, legal, standards and incident methods are specified. It is not equivalent to completion of the searches. Gate C remains closed until the systematic searches, exports, deduplication, identifier checks, source appraisals and contradiction audit are actually performed.</w:t>
      </w:r>
    </w:p>
    <w:p>
      <w:pPr>
        <w:pStyle w:val="Heading1"/>
      </w:pPr>
      <w:r>
        <w:t>24. Core methodological references and official resources</w:t>
      </w:r>
    </w:p>
    <w:p>
      <w:pPr>
        <w:pStyle w:val="ListBullet"/>
      </w:pPr>
      <w:r>
        <w:t>PRISMA 2020: https://www.prisma-statement.org/prisma-2020</w:t>
      </w:r>
    </w:p>
    <w:p>
      <w:pPr>
        <w:pStyle w:val="ListBullet"/>
      </w:pPr>
      <w:r>
        <w:t>PRISMA-S: https://doi.org/10.1186/s13643-020-01542-z</w:t>
      </w:r>
    </w:p>
    <w:p>
      <w:pPr>
        <w:pStyle w:val="ListBullet"/>
      </w:pPr>
      <w:r>
        <w:t>Best-fit framework synthesis: https://doi.org/10.1186/1471-2288-13-37</w:t>
      </w:r>
    </w:p>
    <w:p>
      <w:pPr>
        <w:pStyle w:val="ListBullet"/>
      </w:pPr>
      <w:r>
        <w:t>NIST AI RMF 1.0: https://doi.org/10.6028/NIST.AI.100-1</w:t>
      </w:r>
    </w:p>
    <w:p>
      <w:pPr>
        <w:pStyle w:val="ListBullet"/>
      </w:pPr>
      <w:r>
        <w:t>NIST Generative AI Profile: https://doi.org/10.6028/NIST.AI.600-1</w:t>
      </w:r>
    </w:p>
    <w:p>
      <w:pPr>
        <w:pStyle w:val="ListBullet"/>
      </w:pPr>
      <w:r>
        <w:t>NIST AML taxonomy: https://doi.org/10.6028/NIST.AI.100-2e2025</w:t>
      </w:r>
    </w:p>
    <w:p>
      <w:pPr>
        <w:pStyle w:val="ListBullet"/>
      </w:pPr>
      <w:r>
        <w:t>EUR-Lex: https://eur-lex.europa.eu/</w:t>
      </w:r>
    </w:p>
    <w:p>
      <w:pPr>
        <w:pStyle w:val="ListBullet"/>
      </w:pPr>
      <w:r>
        <w:t>CURIA: https://curia.europa.eu/</w:t>
      </w:r>
    </w:p>
    <w:p>
      <w:pPr>
        <w:pStyle w:val="ListBullet"/>
      </w:pPr>
      <w:r>
        <w:t>HUDOC: https://hudoc.echr.coe.int/</w:t>
      </w:r>
    </w:p>
    <w:p>
      <w:pPr>
        <w:pStyle w:val="ListBullet"/>
      </w:pPr>
      <w:r>
        <w:t>ISO standards catalogue: https://www.iso.org/standards.html</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bCs/>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FCAIRO">
  <a:themeElements>
    <a:clrScheme name="FCAIR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CAIRO">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CAIR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of Risk in AI Systems Revisited: FCAIR-O, a Faceted Causal Framework and Lightweight Ontology for Risk Management and Assurance</dc:title>
  <dc:subject>Artificial Intelligence Review</dc:subject>
  <dc:creator>Moritz Schneider; André Steimers</dc:creator>
  <cp:keywords>FCAIR-O; v1.2.1</cp:keywords>
  <dc:description>Moritz Schneider: Independent researcher, 56567 Neuwied, Germany
André Steimers: Department of Mathematics, Computer Science and Technology, Koblenz University of Applied Sciences, Remagen Campus, Remagen, Germany
Corresponding author: Moritz Schneider</dc:description>
  <cp:lastModifiedBy/>
  <cp:revision>2</cp:revision>
  <dcterms:created xsi:type="dcterms:W3CDTF">2026-10-10T11:43:23Z</dcterms:created>
  <dcterms:modified xsi:type="dcterms:W3CDTF">2026-10-10T14:00:01Z</dcterms:modified>
  <cp:category>Research material</cp:category>
</cp:coreProperties>
</file>