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Online Resource 8</w:t>
      </w:r>
    </w:p>
    <w:p>
      <w:pPr>
        <w:jc w:val="center"/>
      </w:pPr>
      <w:r>
        <w:rPr>
          <w:b/>
        </w:rPr>
        <w:t>Concept-development audit trail, rejected alternatives, boundary decisions, and supplementary demonstrations</w:t>
      </w:r>
    </w:p>
    <w:p>
      <w:pPr>
        <w:jc w:val="center"/>
      </w:pPr>
      <w:r>
        <w:t>Article: Sources of Risk in AI Systems Revisited: FCAIR-O, a Faceted Causal Framework and Lightweight Ontology for Risk Management and Assurance</w:t>
      </w:r>
    </w:p>
    <w:p>
      <w:pPr>
        <w:jc w:val="center"/>
      </w:pPr>
      <w:r>
        <w:t>Journal: Artificial Intelligence Review</w:t>
      </w:r>
    </w:p>
    <w:p>
      <w:pPr>
        <w:pStyle w:val="Normal"/>
        <w:keepNext/>
        <w:spacing w:before="0" w:after="60"/>
        <w:jc w:val="center"/>
      </w:pPr>
      <w:r>
        <w:rPr>
          <w:b/>
        </w:rPr>
        <w:t>Authors: Moritz Schneider; André Steimers</w:t>
      </w:r>
    </w:p>
    <w:p>
      <w:pPr>
        <w:pStyle w:val="Normal"/>
        <w:keepNext/>
        <w:spacing w:before="0" w:after="40"/>
        <w:jc w:val="center"/>
      </w:pPr>
      <w:r>
        <w:rPr>
          <w:sz w:val="20"/>
        </w:rPr>
        <w:t>Moritz Schneider: Independent researcher, 56567 Neuwied, Germany</w:t>
      </w:r>
    </w:p>
    <w:p>
      <w:pPr>
        <w:pStyle w:val="Normal"/>
        <w:keepNext/>
        <w:spacing w:before="0" w:after="40"/>
        <w:jc w:val="center"/>
      </w:pPr>
      <w:r>
        <w:rPr>
          <w:sz w:val="20"/>
        </w:rPr>
        <w:t>André Steimers: Department of Mathematics, Computer Science and Technology, Koblenz University of Applied Sciences, Remagen Campus, Remagen, Germany</w:t>
      </w:r>
    </w:p>
    <w:p>
      <w:pPr>
        <w:pStyle w:val="Normal"/>
        <w:keepNext/>
        <w:spacing w:before="0" w:after="40"/>
        <w:jc w:val="center"/>
      </w:pPr>
      <w:r>
        <w:rPr>
          <w:sz w:val="20"/>
        </w:rPr>
        <w:t>Corresponding author: Moritz Schneider</w:t>
      </w:r>
    </w:p>
    <w:p>
      <w:pPr>
        <w:jc w:val="center"/>
      </w:pPr>
      <w:r>
        <w:t>Version: FCAIR-O v1.2.1. Correction prepared 2026-10-10.</w:t>
      </w:r>
    </w:p>
    <w:p>
      <w:pPr>
        <w:jc w:val="center"/>
      </w:pPr>
      <w:r>
        <w:t>Material evidence cutoff: 25 July 2026, 23:59 CEST</w:t>
      </w:r>
    </w:p>
    <w:p>
      <w:pPr>
        <w:pStyle w:val="Heading1"/>
      </w:pPr>
      <w:r>
        <w:t>1 Purpose and epistemic status</w:t>
      </w:r>
    </w:p>
    <w:p>
      <w:r>
        <w:t>This resource documents how the eight-category framework of Steimers and Schneider (2022) was transformed into FCAIR-O v1.2.1. It is an audit trail for a conceptual synthesis. It is not an empirical validation report, a reliability study, or a claim that the resulting classes are complete or uniquely correct. The relevant criteria are transparency of derivation, role consistency, mechanistic usefulness, boundary discipline, revisability, and traceability to control and evidence requirements. The conceptual-development rationale follows the distinction between constructs and their interrelations described by Jabareen (2009). Methodological references cited in this resource appear in the article bibliography.</w:t>
      </w:r>
    </w:p>
    <w:p>
      <w:pPr>
        <w:pStyle w:val="Heading1"/>
      </w:pPr>
      <w:r>
        <w:t>2 Five theoretical propositions</w:t>
      </w:r>
    </w:p>
    <w:tbl>
      <w:tblPr>
        <w:tblStyle w:val="TableGrid"/>
        <w:tblW w:type="auto" w:w="0"/>
        <w:jc w:val="center"/>
        <w:tblLook w:firstColumn="1" w:firstRow="1" w:lastColumn="0" w:lastRow="0" w:noHBand="0" w:noVBand="1" w:val="04A0"/>
      </w:tblPr>
      <w:tblGrid>
        <w:gridCol w:w="3264"/>
        <w:gridCol w:w="3264"/>
        <w:gridCol w:w="3264"/>
      </w:tblGrid>
      <w:tr>
        <w:trPr>
          <w:tblHeader w:val="true"/>
          <w:cantSplit/>
        </w:trPr>
        <w:tc>
          <w:tcPr>
            <w:tcW w:type="dxa" w:w="792"/>
            <w:shd w:fill="D9EAF7"/>
            <w:vAlign w:val="center"/>
          </w:tcPr>
          <w:p>
            <w:r>
              <w:rPr>
                <w:rFonts w:ascii="Arial" w:hAnsi="Arial"/>
                <w:b/>
                <w:sz w:val="17"/>
              </w:rPr>
              <w:t>ID</w:t>
            </w:r>
          </w:p>
        </w:tc>
        <w:tc>
          <w:tcPr>
            <w:tcW w:type="dxa" w:w="2592"/>
            <w:shd w:fill="D9EAF7"/>
            <w:vAlign w:val="center"/>
          </w:tcPr>
          <w:p>
            <w:r>
              <w:rPr>
                <w:rFonts w:ascii="Arial" w:hAnsi="Arial"/>
                <w:b/>
                <w:sz w:val="17"/>
              </w:rPr>
              <w:t>Proposition</w:t>
            </w:r>
          </w:p>
        </w:tc>
        <w:tc>
          <w:tcPr>
            <w:tcW w:type="dxa" w:w="6480"/>
            <w:shd w:fill="D9EAF7"/>
            <w:vAlign w:val="center"/>
          </w:tcPr>
          <w:p>
            <w:r>
              <w:rPr>
                <w:rFonts w:ascii="Arial" w:hAnsi="Arial"/>
                <w:b/>
                <w:sz w:val="17"/>
              </w:rPr>
              <w:t>Analytical claim</w:t>
            </w:r>
          </w:p>
        </w:tc>
      </w:tr>
      <w:tr>
        <w:trPr>
          <w:cantSplit/>
        </w:trPr>
        <w:tc>
          <w:tcPr>
            <w:tcW w:type="dxa" w:w="792"/>
            <w:vAlign w:val="top"/>
          </w:tcPr>
          <w:p>
            <w:r>
              <w:rPr>
                <w:rFonts w:ascii="Times New Roman" w:hAnsi="Times New Roman"/>
                <w:sz w:val="17"/>
              </w:rPr>
              <w:t>P1</w:t>
            </w:r>
          </w:p>
        </w:tc>
        <w:tc>
          <w:tcPr>
            <w:tcW w:type="dxa" w:w="2592"/>
            <w:vAlign w:val="top"/>
          </w:tcPr>
          <w:p>
            <w:r>
              <w:rPr>
                <w:rFonts w:ascii="Times New Roman" w:hAnsi="Times New Roman"/>
                <w:sz w:val="17"/>
              </w:rPr>
              <w:t>Ontological role separation</w:t>
            </w:r>
          </w:p>
        </w:tc>
        <w:tc>
          <w:tcPr>
            <w:tcW w:type="dxa" w:w="6480"/>
            <w:vAlign w:val="top"/>
          </w:tcPr>
          <w:p>
            <w:r>
              <w:rPr>
                <w:rFonts w:ascii="Times New Roman" w:hAnsi="Times New Roman"/>
                <w:sz w:val="17"/>
              </w:rPr>
              <w:t>Causal sources, vulnerabilities, failure modes, harms, properties, controls, evidence, and normative categories should not be treated as interchangeable list members.</w:t>
            </w:r>
          </w:p>
        </w:tc>
      </w:tr>
      <w:tr>
        <w:trPr>
          <w:cantSplit/>
        </w:trPr>
        <w:tc>
          <w:tcPr>
            <w:tcW w:type="dxa" w:w="792"/>
            <w:vAlign w:val="top"/>
          </w:tcPr>
          <w:p>
            <w:r>
              <w:rPr>
                <w:rFonts w:ascii="Times New Roman" w:hAnsi="Times New Roman"/>
                <w:sz w:val="17"/>
              </w:rPr>
              <w:t>P2</w:t>
            </w:r>
          </w:p>
        </w:tc>
        <w:tc>
          <w:tcPr>
            <w:tcW w:type="dxa" w:w="2592"/>
            <w:vAlign w:val="top"/>
          </w:tcPr>
          <w:p>
            <w:r>
              <w:rPr>
                <w:rFonts w:ascii="Times New Roman" w:hAnsi="Times New Roman"/>
                <w:sz w:val="17"/>
              </w:rPr>
              <w:t>Mechanistic traceability</w:t>
            </w:r>
          </w:p>
        </w:tc>
        <w:tc>
          <w:tcPr>
            <w:tcW w:type="dxa" w:w="6480"/>
            <w:vAlign w:val="top"/>
          </w:tcPr>
          <w:p>
            <w:r>
              <w:rPr>
                <w:rFonts w:ascii="Times New Roman" w:hAnsi="Times New Roman"/>
                <w:sz w:val="17"/>
              </w:rPr>
              <w:t>A causal-source assignment requires a plausible mechanism linking source or condition to activation, failure, exposure, or harm with stated uncertainty.</w:t>
            </w:r>
          </w:p>
        </w:tc>
      </w:tr>
      <w:tr>
        <w:trPr>
          <w:cantSplit/>
        </w:trPr>
        <w:tc>
          <w:tcPr>
            <w:tcW w:type="dxa" w:w="792"/>
            <w:vAlign w:val="top"/>
          </w:tcPr>
          <w:p>
            <w:r>
              <w:rPr>
                <w:rFonts w:ascii="Times New Roman" w:hAnsi="Times New Roman"/>
                <w:sz w:val="17"/>
              </w:rPr>
              <w:t>P3</w:t>
            </w:r>
          </w:p>
        </w:tc>
        <w:tc>
          <w:tcPr>
            <w:tcW w:type="dxa" w:w="2592"/>
            <w:vAlign w:val="top"/>
          </w:tcPr>
          <w:p>
            <w:r>
              <w:rPr>
                <w:rFonts w:ascii="Times New Roman" w:hAnsi="Times New Roman"/>
                <w:sz w:val="17"/>
              </w:rPr>
              <w:t>Multi-level causality</w:t>
            </w:r>
          </w:p>
        </w:tc>
        <w:tc>
          <w:tcPr>
            <w:tcW w:type="dxa" w:w="6480"/>
            <w:vAlign w:val="top"/>
          </w:tcPr>
          <w:p>
            <w:r>
              <w:rPr>
                <w:rFonts w:ascii="Times New Roman" w:hAnsi="Times New Roman"/>
                <w:sz w:val="17"/>
              </w:rPr>
              <w:t>AI risk spans model, component, integrated system, human-AI work system, organization, value chain, institution, sector, and society.</w:t>
            </w:r>
          </w:p>
        </w:tc>
      </w:tr>
      <w:tr>
        <w:trPr>
          <w:cantSplit/>
        </w:trPr>
        <w:tc>
          <w:tcPr>
            <w:tcW w:type="dxa" w:w="792"/>
            <w:vAlign w:val="top"/>
          </w:tcPr>
          <w:p>
            <w:r>
              <w:rPr>
                <w:rFonts w:ascii="Times New Roman" w:hAnsi="Times New Roman"/>
                <w:sz w:val="17"/>
              </w:rPr>
              <w:t>P4</w:t>
            </w:r>
          </w:p>
        </w:tc>
        <w:tc>
          <w:tcPr>
            <w:tcW w:type="dxa" w:w="2592"/>
            <w:vAlign w:val="top"/>
          </w:tcPr>
          <w:p>
            <w:r>
              <w:rPr>
                <w:rFonts w:ascii="Times New Roman" w:hAnsi="Times New Roman"/>
                <w:sz w:val="17"/>
              </w:rPr>
              <w:t>Control-evidence coupling</w:t>
            </w:r>
          </w:p>
        </w:tc>
        <w:tc>
          <w:tcPr>
            <w:tcW w:type="dxa" w:w="6480"/>
            <w:vAlign w:val="top"/>
          </w:tcPr>
          <w:p>
            <w:r>
              <w:rPr>
                <w:rFonts w:ascii="Times New Roman" w:hAnsi="Times New Roman"/>
                <w:sz w:val="17"/>
              </w:rPr>
              <w:t>A category becomes operational when it can be connected to an intervention point, responsible actor, acceptance criterion, evidence, defeaters, residual risk, and monitoring.</w:t>
            </w:r>
          </w:p>
        </w:tc>
      </w:tr>
      <w:tr>
        <w:trPr>
          <w:cantSplit/>
        </w:trPr>
        <w:tc>
          <w:tcPr>
            <w:tcW w:type="dxa" w:w="792"/>
            <w:vAlign w:val="top"/>
          </w:tcPr>
          <w:p>
            <w:r>
              <w:rPr>
                <w:rFonts w:ascii="Times New Roman" w:hAnsi="Times New Roman"/>
                <w:sz w:val="17"/>
              </w:rPr>
              <w:t>P5</w:t>
            </w:r>
          </w:p>
        </w:tc>
        <w:tc>
          <w:tcPr>
            <w:tcW w:type="dxa" w:w="2592"/>
            <w:vAlign w:val="top"/>
          </w:tcPr>
          <w:p>
            <w:r>
              <w:rPr>
                <w:rFonts w:ascii="Times New Roman" w:hAnsi="Times New Roman"/>
                <w:sz w:val="17"/>
              </w:rPr>
              <w:t>Normative and epistemic boundaries</w:t>
            </w:r>
          </w:p>
        </w:tc>
        <w:tc>
          <w:tcPr>
            <w:tcW w:type="dxa" w:w="6480"/>
            <w:vAlign w:val="top"/>
          </w:tcPr>
          <w:p>
            <w:r>
              <w:rPr>
                <w:rFonts w:ascii="Times New Roman" w:hAnsi="Times New Roman"/>
                <w:sz w:val="17"/>
              </w:rPr>
              <w:t>Law constrains choices and protects interests without automatically becoming a technical cause; evidence remains version-, context-, access-, and uncertainty-sensitive.</w:t>
            </w:r>
          </w:p>
        </w:tc>
      </w:tr>
    </w:tbl>
    <w:p>
      <w:pPr>
        <w:pStyle w:val="Heading1"/>
      </w:pPr>
      <w:r>
        <w:t>3 Concept-development sequence</w:t>
      </w:r>
    </w:p>
    <w:p>
      <w:r>
        <w:t>1. Reconstruct the 2022 article at claim, process, and category level, including its explicit limitations and risk-management commitments.</w:t>
      </w:r>
    </w:p>
    <w:p>
      <w:r>
        <w:t>2. Preserve source terminology during extraction so that semantic differences are not erased before analysis.</w:t>
      </w:r>
    </w:p>
    <w:p>
      <w:r>
        <w:t>3. Assign each source concept an explicit ontological role. Retain composite labels and secondary roles where a source term combines distinct objects; do not force a single causal interpretation.</w:t>
      </w:r>
    </w:p>
    <w:p>
      <w:r>
        <w:t>4. Apply five transformation operations: preserve, split, relocate, expand, and add.</w:t>
      </w:r>
    </w:p>
    <w:p>
      <w:r>
        <w:t>5. Form candidate parent classes around distinct intervention questions and compare mergers, splits, and relation-based alternatives.</w:t>
      </w:r>
    </w:p>
    <w:p>
      <w:r>
        <w:t>6. Specify definitions, inclusion and exclusion rules, positive examples, counterexamples, overlaps, lifecycle and level scope, controls, and evidence requirements.</w:t>
      </w:r>
    </w:p>
    <w:p>
      <w:r>
        <w:t>7. Test boundary coherence through framework crosswalks, documentary cases, negative cases, and explicit non-mapping.</w:t>
      </w:r>
    </w:p>
    <w:p>
      <w:r>
        <w:t>8. Implement versioned identifiers, relations, competency questions, and minimum record constraints as a lightweight ontology and controlled concept scheme. The distinction between conceptual specification and implementation follows ontology-engineering guidance (Uschold and Gruninger 1996; Noy and McGuinness 2001).</w:t>
      </w:r>
    </w:p>
    <w:p>
      <w:r>
        <w:t>9. Apply conceptual closure when additional material can be represented by the existing role types, relations, and parent intervention questions. This is not bibliographic or empirical saturation.</w:t>
      </w:r>
    </w:p>
    <w:p>
      <w:pPr>
        <w:pStyle w:val="Heading1"/>
      </w:pPr>
      <w:r>
        <w:t>4 Candidate architectures and rejected alternatives</w:t>
      </w:r>
    </w:p>
    <w:tbl>
      <w:tblPr>
        <w:tblStyle w:val="TableGrid"/>
        <w:tblW w:type="auto" w:w="0"/>
        <w:jc w:val="center"/>
        <w:tblLook w:firstColumn="1" w:firstRow="1" w:lastColumn="0" w:lastRow="0" w:noHBand="0" w:noVBand="1" w:val="04A0"/>
      </w:tblPr>
      <w:tblGrid>
        <w:gridCol w:w="2448"/>
        <w:gridCol w:w="2448"/>
        <w:gridCol w:w="2448"/>
        <w:gridCol w:w="2448"/>
      </w:tblGrid>
      <w:tr>
        <w:trPr>
          <w:tblHeader w:val="true"/>
          <w:cantSplit/>
        </w:trPr>
        <w:tc>
          <w:tcPr>
            <w:tcW w:type="dxa" w:w="2160"/>
            <w:shd w:fill="D9EAF7"/>
            <w:vAlign w:val="center"/>
          </w:tcPr>
          <w:p>
            <w:r>
              <w:rPr>
                <w:rFonts w:ascii="Arial" w:hAnsi="Arial"/>
                <w:b/>
                <w:sz w:val="15"/>
              </w:rPr>
              <w:t>Alternative</w:t>
            </w:r>
          </w:p>
        </w:tc>
        <w:tc>
          <w:tcPr>
            <w:tcW w:type="dxa" w:w="1800"/>
            <w:shd w:fill="D9EAF7"/>
            <w:vAlign w:val="center"/>
          </w:tcPr>
          <w:p>
            <w:r>
              <w:rPr>
                <w:rFonts w:ascii="Arial" w:hAnsi="Arial"/>
                <w:b/>
                <w:sz w:val="15"/>
              </w:rPr>
              <w:t>Attraction</w:t>
            </w:r>
          </w:p>
        </w:tc>
        <w:tc>
          <w:tcPr>
            <w:tcW w:type="dxa" w:w="3600"/>
            <w:shd w:fill="D9EAF7"/>
            <w:vAlign w:val="center"/>
          </w:tcPr>
          <w:p>
            <w:r>
              <w:rPr>
                <w:rFonts w:ascii="Arial" w:hAnsi="Arial"/>
                <w:b/>
                <w:sz w:val="15"/>
              </w:rPr>
              <w:t>Reason rejected or limited</w:t>
            </w:r>
          </w:p>
        </w:tc>
        <w:tc>
          <w:tcPr>
            <w:tcW w:type="dxa" w:w="2160"/>
            <w:shd w:fill="D9EAF7"/>
            <w:vAlign w:val="center"/>
          </w:tcPr>
          <w:p>
            <w:r>
              <w:rPr>
                <w:rFonts w:ascii="Arial" w:hAnsi="Arial"/>
                <w:b/>
                <w:sz w:val="15"/>
              </w:rPr>
              <w:t>FCAIR-O decision</w:t>
            </w:r>
          </w:p>
        </w:tc>
      </w:tr>
      <w:tr>
        <w:trPr>
          <w:cantSplit/>
        </w:trPr>
        <w:tc>
          <w:tcPr>
            <w:tcW w:type="dxa" w:w="2160"/>
            <w:vAlign w:val="top"/>
          </w:tcPr>
          <w:p>
            <w:r>
              <w:rPr>
                <w:rFonts w:ascii="Times New Roman" w:hAnsi="Times New Roman"/>
                <w:sz w:val="15"/>
              </w:rPr>
              <w:t>Retain the two-block 2022 structure</w:t>
            </w:r>
          </w:p>
        </w:tc>
        <w:tc>
          <w:tcPr>
            <w:tcW w:type="dxa" w:w="1800"/>
            <w:vAlign w:val="top"/>
          </w:tcPr>
          <w:p>
            <w:r>
              <w:rPr>
                <w:rFonts w:ascii="Times New Roman" w:hAnsi="Times New Roman"/>
                <w:sz w:val="15"/>
              </w:rPr>
              <w:t>Historically intelligible and simple</w:t>
            </w:r>
          </w:p>
        </w:tc>
        <w:tc>
          <w:tcPr>
            <w:tcW w:type="dxa" w:w="3600"/>
            <w:vAlign w:val="top"/>
          </w:tcPr>
          <w:p>
            <w:r>
              <w:rPr>
                <w:rFonts w:ascii="Times New Roman" w:hAnsi="Times New Roman"/>
                <w:sz w:val="15"/>
              </w:rPr>
              <w:t>It treats harms, properties, controls, modifiers, and causal sources as one class and cannot represent modern value-chain or institutional mechanisms.</w:t>
            </w:r>
          </w:p>
        </w:tc>
        <w:tc>
          <w:tcPr>
            <w:tcW w:type="dxa" w:w="2160"/>
            <w:vAlign w:val="top"/>
          </w:tcPr>
          <w:p>
            <w:r>
              <w:rPr>
                <w:rFonts w:ascii="Times New Roman" w:hAnsi="Times New Roman"/>
                <w:sz w:val="15"/>
              </w:rPr>
              <w:t>Rejected as the successor architecture; retained as discovery history.</w:t>
            </w:r>
          </w:p>
        </w:tc>
      </w:tr>
      <w:tr>
        <w:trPr>
          <w:cantSplit/>
        </w:trPr>
        <w:tc>
          <w:tcPr>
            <w:tcW w:type="dxa" w:w="2160"/>
            <w:vAlign w:val="top"/>
          </w:tcPr>
          <w:p>
            <w:r>
              <w:rPr>
                <w:rFonts w:ascii="Times New Roman" w:hAnsi="Times New Roman"/>
                <w:sz w:val="15"/>
              </w:rPr>
              <w:t>One exclusive hierarchy of all risk terms</w:t>
            </w:r>
          </w:p>
        </w:tc>
        <w:tc>
          <w:tcPr>
            <w:tcW w:type="dxa" w:w="1800"/>
            <w:vAlign w:val="top"/>
          </w:tcPr>
          <w:p>
            <w:r>
              <w:rPr>
                <w:rFonts w:ascii="Times New Roman" w:hAnsi="Times New Roman"/>
                <w:sz w:val="15"/>
              </w:rPr>
              <w:t>Easy navigation</w:t>
            </w:r>
          </w:p>
        </w:tc>
        <w:tc>
          <w:tcPr>
            <w:tcW w:type="dxa" w:w="3600"/>
            <w:vAlign w:val="top"/>
          </w:tcPr>
          <w:p>
            <w:r>
              <w:rPr>
                <w:rFonts w:ascii="Times New Roman" w:hAnsi="Times New Roman"/>
                <w:sz w:val="15"/>
              </w:rPr>
              <w:t>Real cases require orthogonal level, lifecycle, harm, actor, control, and evidence dimensions; exclusivity creates forced and misleading placements.</w:t>
            </w:r>
          </w:p>
        </w:tc>
        <w:tc>
          <w:tcPr>
            <w:tcW w:type="dxa" w:w="2160"/>
            <w:vAlign w:val="top"/>
          </w:tcPr>
          <w:p>
            <w:r>
              <w:rPr>
                <w:rFonts w:ascii="Times New Roman" w:hAnsi="Times New Roman"/>
                <w:sz w:val="15"/>
              </w:rPr>
              <w:t>Rejected in favor of facets plus a causal backbone.</w:t>
            </w:r>
          </w:p>
        </w:tc>
      </w:tr>
      <w:tr>
        <w:trPr>
          <w:cantSplit/>
        </w:trPr>
        <w:tc>
          <w:tcPr>
            <w:tcW w:type="dxa" w:w="2160"/>
            <w:vAlign w:val="top"/>
          </w:tcPr>
          <w:p>
            <w:r>
              <w:rPr>
                <w:rFonts w:ascii="Times New Roman" w:hAnsi="Times New Roman"/>
                <w:sz w:val="15"/>
              </w:rPr>
              <w:t>Harm-centered taxonomy only</w:t>
            </w:r>
          </w:p>
        </w:tc>
        <w:tc>
          <w:tcPr>
            <w:tcW w:type="dxa" w:w="1800"/>
            <w:vAlign w:val="top"/>
          </w:tcPr>
          <w:p>
            <w:r>
              <w:rPr>
                <w:rFonts w:ascii="Times New Roman" w:hAnsi="Times New Roman"/>
                <w:sz w:val="15"/>
              </w:rPr>
              <w:t>Strong for impact discovery</w:t>
            </w:r>
          </w:p>
        </w:tc>
        <w:tc>
          <w:tcPr>
            <w:tcW w:type="dxa" w:w="3600"/>
            <w:vAlign w:val="top"/>
          </w:tcPr>
          <w:p>
            <w:r>
              <w:rPr>
                <w:rFonts w:ascii="Times New Roman" w:hAnsi="Times New Roman"/>
                <w:sz w:val="15"/>
              </w:rPr>
              <w:t>It does not explain mechanisms or identify intervention points, owners, or evidence requirements.</w:t>
            </w:r>
          </w:p>
        </w:tc>
        <w:tc>
          <w:tcPr>
            <w:tcW w:type="dxa" w:w="2160"/>
            <w:vAlign w:val="top"/>
          </w:tcPr>
          <w:p>
            <w:r>
              <w:rPr>
                <w:rFonts w:ascii="Times New Roman" w:hAnsi="Times New Roman"/>
                <w:sz w:val="15"/>
              </w:rPr>
              <w:t>Used in Facet E, not as the whole framework.</w:t>
            </w:r>
          </w:p>
        </w:tc>
      </w:tr>
      <w:tr>
        <w:trPr>
          <w:cantSplit/>
        </w:trPr>
        <w:tc>
          <w:tcPr>
            <w:tcW w:type="dxa" w:w="2160"/>
            <w:vAlign w:val="top"/>
          </w:tcPr>
          <w:p>
            <w:r>
              <w:rPr>
                <w:rFonts w:ascii="Times New Roman" w:hAnsi="Times New Roman"/>
                <w:sz w:val="15"/>
              </w:rPr>
              <w:t>Management-process framework only</w:t>
            </w:r>
          </w:p>
        </w:tc>
        <w:tc>
          <w:tcPr>
            <w:tcW w:type="dxa" w:w="1800"/>
            <w:vAlign w:val="top"/>
          </w:tcPr>
          <w:p>
            <w:r>
              <w:rPr>
                <w:rFonts w:ascii="Times New Roman" w:hAnsi="Times New Roman"/>
                <w:sz w:val="15"/>
              </w:rPr>
              <w:t>Strong for governance sequence</w:t>
            </w:r>
          </w:p>
        </w:tc>
        <w:tc>
          <w:tcPr>
            <w:tcW w:type="dxa" w:w="3600"/>
            <w:vAlign w:val="top"/>
          </w:tcPr>
          <w:p>
            <w:r>
              <w:rPr>
                <w:rFonts w:ascii="Times New Roman" w:hAnsi="Times New Roman"/>
                <w:sz w:val="15"/>
              </w:rPr>
              <w:t>Process conformance does not establish system safety, causal coverage, or control effectiveness.</w:t>
            </w:r>
          </w:p>
        </w:tc>
        <w:tc>
          <w:tcPr>
            <w:tcW w:type="dxa" w:w="2160"/>
            <w:vAlign w:val="top"/>
          </w:tcPr>
          <w:p>
            <w:r>
              <w:rPr>
                <w:rFonts w:ascii="Times New Roman" w:hAnsi="Times New Roman"/>
                <w:sz w:val="15"/>
              </w:rPr>
              <w:t>Mapped to Facet G and lifecycle, not treated as a causal ontology.</w:t>
            </w:r>
          </w:p>
        </w:tc>
      </w:tr>
      <w:tr>
        <w:trPr>
          <w:cantSplit/>
        </w:trPr>
        <w:tc>
          <w:tcPr>
            <w:tcW w:type="dxa" w:w="2160"/>
            <w:vAlign w:val="top"/>
          </w:tcPr>
          <w:p>
            <w:r>
              <w:rPr>
                <w:rFonts w:ascii="Times New Roman" w:hAnsi="Times New Roman"/>
                <w:sz w:val="15"/>
              </w:rPr>
              <w:t>Flat list of mechanisms</w:t>
            </w:r>
          </w:p>
        </w:tc>
        <w:tc>
          <w:tcPr>
            <w:tcW w:type="dxa" w:w="1800"/>
            <w:vAlign w:val="top"/>
          </w:tcPr>
          <w:p>
            <w:r>
              <w:rPr>
                <w:rFonts w:ascii="Times New Roman" w:hAnsi="Times New Roman"/>
                <w:sz w:val="15"/>
              </w:rPr>
              <w:t>Avoids hierarchy disputes</w:t>
            </w:r>
          </w:p>
        </w:tc>
        <w:tc>
          <w:tcPr>
            <w:tcW w:type="dxa" w:w="3600"/>
            <w:vAlign w:val="top"/>
          </w:tcPr>
          <w:p>
            <w:r>
              <w:rPr>
                <w:rFonts w:ascii="Times New Roman" w:hAnsi="Times New Roman"/>
                <w:sz w:val="15"/>
              </w:rPr>
              <w:t>It scales poorly, obscures parent intervention questions, and weakens navigation and sectoral profiling.</w:t>
            </w:r>
          </w:p>
        </w:tc>
        <w:tc>
          <w:tcPr>
            <w:tcW w:type="dxa" w:w="2160"/>
            <w:vAlign w:val="top"/>
          </w:tcPr>
          <w:p>
            <w:r>
              <w:rPr>
                <w:rFonts w:ascii="Times New Roman" w:hAnsi="Times New Roman"/>
                <w:sz w:val="15"/>
              </w:rPr>
              <w:t>Rejected; operational leaves retained under twelve parents.</w:t>
            </w:r>
          </w:p>
        </w:tc>
      </w:tr>
      <w:tr>
        <w:trPr>
          <w:cantSplit/>
        </w:trPr>
        <w:tc>
          <w:tcPr>
            <w:tcW w:type="dxa" w:w="2160"/>
            <w:vAlign w:val="top"/>
          </w:tcPr>
          <w:p>
            <w:r>
              <w:rPr>
                <w:rFonts w:ascii="Times New Roman" w:hAnsi="Times New Roman"/>
                <w:sz w:val="15"/>
              </w:rPr>
              <w:t>Collapse evaluation into organization</w:t>
            </w:r>
          </w:p>
        </w:tc>
        <w:tc>
          <w:tcPr>
            <w:tcW w:type="dxa" w:w="1800"/>
            <w:vAlign w:val="top"/>
          </w:tcPr>
          <w:p>
            <w:r>
              <w:rPr>
                <w:rFonts w:ascii="Times New Roman" w:hAnsi="Times New Roman"/>
                <w:sz w:val="15"/>
              </w:rPr>
              <w:t>Reduces overlap between C04 and C08</w:t>
            </w:r>
          </w:p>
        </w:tc>
        <w:tc>
          <w:tcPr>
            <w:tcW w:type="dxa" w:w="3600"/>
            <w:vAlign w:val="top"/>
          </w:tcPr>
          <w:p>
            <w:r>
              <w:rPr>
                <w:rFonts w:ascii="Times New Roman" w:hAnsi="Times New Roman"/>
                <w:sz w:val="15"/>
              </w:rPr>
              <w:t>Invalid measurement or test design and the organizational decision to accept or ignore evidence require different expertise, owners, and controls.</w:t>
            </w:r>
          </w:p>
        </w:tc>
        <w:tc>
          <w:tcPr>
            <w:tcW w:type="dxa" w:w="2160"/>
            <w:vAlign w:val="top"/>
          </w:tcPr>
          <w:p>
            <w:r>
              <w:rPr>
                <w:rFonts w:ascii="Times New Roman" w:hAnsi="Times New Roman"/>
                <w:sz w:val="15"/>
              </w:rPr>
              <w:t>Kept distinct; multi-code when both mechanisms contribute.</w:t>
            </w:r>
          </w:p>
        </w:tc>
      </w:tr>
      <w:tr>
        <w:trPr>
          <w:cantSplit/>
        </w:trPr>
        <w:tc>
          <w:tcPr>
            <w:tcW w:type="dxa" w:w="2160"/>
            <w:vAlign w:val="top"/>
          </w:tcPr>
          <w:p>
            <w:r>
              <w:rPr>
                <w:rFonts w:ascii="Times New Roman" w:hAnsi="Times New Roman"/>
                <w:sz w:val="15"/>
              </w:rPr>
              <w:t>Treat law or non-compliance as a causal class by default</w:t>
            </w:r>
          </w:p>
        </w:tc>
        <w:tc>
          <w:tcPr>
            <w:tcW w:type="dxa" w:w="1800"/>
            <w:vAlign w:val="top"/>
          </w:tcPr>
          <w:p>
            <w:r>
              <w:rPr>
                <w:rFonts w:ascii="Times New Roman" w:hAnsi="Times New Roman"/>
                <w:sz w:val="15"/>
              </w:rPr>
              <w:t>Makes regulation visible</w:t>
            </w:r>
          </w:p>
        </w:tc>
        <w:tc>
          <w:tcPr>
            <w:tcW w:type="dxa" w:w="3600"/>
            <w:vAlign w:val="top"/>
          </w:tcPr>
          <w:p>
            <w:r>
              <w:rPr>
                <w:rFonts w:ascii="Times New Roman" w:hAnsi="Times New Roman"/>
                <w:sz w:val="15"/>
              </w:rPr>
              <w:t>A legal classification, duty, or breach may constrain decisions without causing technical failure or exposure.</w:t>
            </w:r>
          </w:p>
        </w:tc>
        <w:tc>
          <w:tcPr>
            <w:tcW w:type="dxa" w:w="2160"/>
            <w:vAlign w:val="top"/>
          </w:tcPr>
          <w:p>
            <w:r>
              <w:rPr>
                <w:rFonts w:ascii="Times New Roman" w:hAnsi="Times New Roman"/>
                <w:sz w:val="15"/>
              </w:rPr>
              <w:t>Rejected; C11 requires an institutional mechanism.</w:t>
            </w:r>
          </w:p>
        </w:tc>
      </w:tr>
      <w:tr>
        <w:trPr>
          <w:cantSplit/>
        </w:trPr>
        <w:tc>
          <w:tcPr>
            <w:tcW w:type="dxa" w:w="2160"/>
            <w:vAlign w:val="top"/>
          </w:tcPr>
          <w:p>
            <w:r>
              <w:rPr>
                <w:rFonts w:ascii="Times New Roman" w:hAnsi="Times New Roman"/>
                <w:sz w:val="15"/>
              </w:rPr>
              <w:t>Retain technological maturity as a source</w:t>
            </w:r>
          </w:p>
        </w:tc>
        <w:tc>
          <w:tcPr>
            <w:tcW w:type="dxa" w:w="1800"/>
            <w:vAlign w:val="top"/>
          </w:tcPr>
          <w:p>
            <w:r>
              <w:rPr>
                <w:rFonts w:ascii="Times New Roman" w:hAnsi="Times New Roman"/>
                <w:sz w:val="15"/>
              </w:rPr>
              <w:t>Preserves continuity with the 2022 labels</w:t>
            </w:r>
          </w:p>
        </w:tc>
        <w:tc>
          <w:tcPr>
            <w:tcW w:type="dxa" w:w="3600"/>
            <w:vAlign w:val="top"/>
          </w:tcPr>
          <w:p>
            <w:r>
              <w:rPr>
                <w:rFonts w:ascii="Times New Roman" w:hAnsi="Times New Roman"/>
                <w:sz w:val="15"/>
              </w:rPr>
              <w:t>Novelty and maturity change confidence, experience, version stability, and evidence decay but do not themselves specify a failure mechanism.</w:t>
            </w:r>
          </w:p>
        </w:tc>
        <w:tc>
          <w:tcPr>
            <w:tcW w:type="dxa" w:w="2160"/>
            <w:vAlign w:val="top"/>
          </w:tcPr>
          <w:p>
            <w:r>
              <w:rPr>
                <w:rFonts w:ascii="Times New Roman" w:hAnsi="Times New Roman"/>
                <w:sz w:val="15"/>
              </w:rPr>
              <w:t>Relocated to Facet H.</w:t>
            </w:r>
          </w:p>
        </w:tc>
      </w:tr>
    </w:tbl>
    <w:p>
      <w:pPr>
        <w:pStyle w:val="Heading1"/>
      </w:pPr>
      <w:r>
        <w:t>5 Adjacent-class boundary decisions</w:t>
      </w:r>
    </w:p>
    <w:tbl>
      <w:tblPr>
        <w:tblStyle w:val="TableGrid"/>
        <w:tblW w:type="auto" w:w="0"/>
        <w:jc w:val="center"/>
        <w:tblLook w:firstColumn="1" w:firstRow="1" w:lastColumn="0" w:lastRow="0" w:noHBand="0" w:noVBand="1" w:val="04A0"/>
      </w:tblPr>
      <w:tblGrid>
        <w:gridCol w:w="2448"/>
        <w:gridCol w:w="2448"/>
        <w:gridCol w:w="2448"/>
        <w:gridCol w:w="2448"/>
      </w:tblGrid>
      <w:tr>
        <w:trPr>
          <w:tblHeader w:val="true"/>
          <w:cantSplit/>
        </w:trPr>
        <w:tc>
          <w:tcPr>
            <w:tcW w:type="dxa" w:w="1800"/>
            <w:shd w:fill="D9EAF7"/>
            <w:vAlign w:val="center"/>
          </w:tcPr>
          <w:p>
            <w:r>
              <w:rPr>
                <w:rFonts w:ascii="Arial" w:hAnsi="Arial"/>
                <w:b/>
                <w:sz w:val="14"/>
              </w:rPr>
              <w:t>Adjacent classes</w:t>
            </w:r>
          </w:p>
        </w:tc>
        <w:tc>
          <w:tcPr>
            <w:tcW w:type="dxa" w:w="2736"/>
            <w:shd w:fill="D9EAF7"/>
            <w:vAlign w:val="center"/>
          </w:tcPr>
          <w:p>
            <w:r>
              <w:rPr>
                <w:rFonts w:ascii="Arial" w:hAnsi="Arial"/>
                <w:b/>
                <w:sz w:val="14"/>
              </w:rPr>
              <w:t>Primary coding rule</w:t>
            </w:r>
          </w:p>
        </w:tc>
        <w:tc>
          <w:tcPr>
            <w:tcW w:type="dxa" w:w="2160"/>
            <w:shd w:fill="D9EAF7"/>
            <w:vAlign w:val="center"/>
          </w:tcPr>
          <w:p>
            <w:r>
              <w:rPr>
                <w:rFonts w:ascii="Arial" w:hAnsi="Arial"/>
                <w:b/>
                <w:sz w:val="14"/>
              </w:rPr>
              <w:t>Permitted co-coding</w:t>
            </w:r>
          </w:p>
        </w:tc>
        <w:tc>
          <w:tcPr>
            <w:tcW w:type="dxa" w:w="2664"/>
            <w:shd w:fill="D9EAF7"/>
            <w:vAlign w:val="center"/>
          </w:tcPr>
          <w:p>
            <w:r>
              <w:rPr>
                <w:rFonts w:ascii="Arial" w:hAnsi="Arial"/>
                <w:b/>
                <w:sz w:val="14"/>
              </w:rPr>
              <w:t>Rejected alternative and reason</w:t>
            </w:r>
          </w:p>
        </w:tc>
      </w:tr>
      <w:tr>
        <w:trPr>
          <w:cantSplit/>
        </w:trPr>
        <w:tc>
          <w:tcPr>
            <w:tcW w:type="dxa" w:w="1800"/>
            <w:vAlign w:val="top"/>
          </w:tcPr>
          <w:p>
            <w:r>
              <w:rPr>
                <w:rFonts w:ascii="Times New Roman" w:hAnsi="Times New Roman"/>
                <w:sz w:val="14"/>
              </w:rPr>
              <w:t>C01 specification vs C08 organization</w:t>
            </w:r>
          </w:p>
        </w:tc>
        <w:tc>
          <w:tcPr>
            <w:tcW w:type="dxa" w:w="2736"/>
            <w:vAlign w:val="top"/>
          </w:tcPr>
          <w:p>
            <w:r>
              <w:rPr>
                <w:rFonts w:ascii="Times New Roman" w:hAnsi="Times New Roman"/>
                <w:sz w:val="14"/>
              </w:rPr>
              <w:t>Use C01 for the content of purpose, proxy, objective, requirement, boundary, or authority; use C08 for the organizational process, competence, incentive, or decision that selected or failed to correct it.</w:t>
            </w:r>
          </w:p>
        </w:tc>
        <w:tc>
          <w:tcPr>
            <w:tcW w:type="dxa" w:w="2160"/>
            <w:vAlign w:val="top"/>
          </w:tcPr>
          <w:p>
            <w:r>
              <w:rPr>
                <w:rFonts w:ascii="Times New Roman" w:hAnsi="Times New Roman"/>
                <w:sz w:val="14"/>
              </w:rPr>
              <w:t>Use both when an organizational decision creates or preserves a defective specification.</w:t>
            </w:r>
          </w:p>
        </w:tc>
        <w:tc>
          <w:tcPr>
            <w:tcW w:type="dxa" w:w="2664"/>
            <w:vAlign w:val="top"/>
          </w:tcPr>
          <w:p>
            <w:r>
              <w:rPr>
                <w:rFonts w:ascii="Times New Roman" w:hAnsi="Times New Roman"/>
                <w:sz w:val="14"/>
              </w:rPr>
              <w:t>Merging them would make every specification defect a governance failure and obscure the design intervention.</w:t>
            </w:r>
          </w:p>
        </w:tc>
      </w:tr>
      <w:tr>
        <w:trPr>
          <w:cantSplit/>
        </w:trPr>
        <w:tc>
          <w:tcPr>
            <w:tcW w:type="dxa" w:w="1800"/>
            <w:vAlign w:val="top"/>
          </w:tcPr>
          <w:p>
            <w:r>
              <w:rPr>
                <w:rFonts w:ascii="Times New Roman" w:hAnsi="Times New Roman"/>
                <w:sz w:val="14"/>
              </w:rPr>
              <w:t>C02 data/knowledge vs C04 evaluation</w:t>
            </w:r>
          </w:p>
        </w:tc>
        <w:tc>
          <w:tcPr>
            <w:tcW w:type="dxa" w:w="2736"/>
            <w:vAlign w:val="top"/>
          </w:tcPr>
          <w:p>
            <w:r>
              <w:rPr>
                <w:rFonts w:ascii="Times New Roman" w:hAnsi="Times New Roman"/>
                <w:sz w:val="14"/>
              </w:rPr>
              <w:t>Use C02 for provenance, coverage, labels, freshness, integrity, retrieval, or knowledge quality; use C04 for invalid metrics, test design, external validity, contamination, or unsupported inference.</w:t>
            </w:r>
          </w:p>
        </w:tc>
        <w:tc>
          <w:tcPr>
            <w:tcW w:type="dxa" w:w="2160"/>
            <w:vAlign w:val="top"/>
          </w:tcPr>
          <w:p>
            <w:r>
              <w:rPr>
                <w:rFonts w:ascii="Times New Roman" w:hAnsi="Times New Roman"/>
                <w:sz w:val="14"/>
              </w:rPr>
              <w:t>Use both when inadequate data and inadequate evaluation jointly sustain an assurance claim.</w:t>
            </w:r>
          </w:p>
        </w:tc>
        <w:tc>
          <w:tcPr>
            <w:tcW w:type="dxa" w:w="2664"/>
            <w:vAlign w:val="top"/>
          </w:tcPr>
          <w:p>
            <w:r>
              <w:rPr>
                <w:rFonts w:ascii="Times New Roman" w:hAnsi="Times New Roman"/>
                <w:sz w:val="14"/>
              </w:rPr>
              <w:t>Merging them would conflate the object being evaluated with the validity of the evaluation.</w:t>
            </w:r>
          </w:p>
        </w:tc>
      </w:tr>
      <w:tr>
        <w:trPr>
          <w:cantSplit/>
        </w:trPr>
        <w:tc>
          <w:tcPr>
            <w:tcW w:type="dxa" w:w="1800"/>
            <w:vAlign w:val="top"/>
          </w:tcPr>
          <w:p>
            <w:r>
              <w:rPr>
                <w:rFonts w:ascii="Times New Roman" w:hAnsi="Times New Roman"/>
                <w:sz w:val="14"/>
              </w:rPr>
              <w:t>C04 evaluation vs C08 organization</w:t>
            </w:r>
          </w:p>
        </w:tc>
        <w:tc>
          <w:tcPr>
            <w:tcW w:type="dxa" w:w="2736"/>
            <w:vAlign w:val="top"/>
          </w:tcPr>
          <w:p>
            <w:r>
              <w:rPr>
                <w:rFonts w:ascii="Times New Roman" w:hAnsi="Times New Roman"/>
                <w:sz w:val="14"/>
              </w:rPr>
              <w:t>Use C04 for the measurement or evidentiary defect; use C08 for the organizational choice to omit, misinterpret, suppress, or proceed despite evidence.</w:t>
            </w:r>
          </w:p>
        </w:tc>
        <w:tc>
          <w:tcPr>
            <w:tcW w:type="dxa" w:w="2160"/>
            <w:vAlign w:val="top"/>
          </w:tcPr>
          <w:p>
            <w:r>
              <w:rPr>
                <w:rFonts w:ascii="Times New Roman" w:hAnsi="Times New Roman"/>
                <w:sz w:val="14"/>
              </w:rPr>
              <w:t>Use both when a weak test is institutionally accepted or adverse evidence is ignored.</w:t>
            </w:r>
          </w:p>
        </w:tc>
        <w:tc>
          <w:tcPr>
            <w:tcW w:type="dxa" w:w="2664"/>
            <w:vAlign w:val="top"/>
          </w:tcPr>
          <w:p>
            <w:r>
              <w:rPr>
                <w:rFonts w:ascii="Times New Roman" w:hAnsi="Times New Roman"/>
                <w:sz w:val="14"/>
              </w:rPr>
              <w:t>Merging them would erase the difference between a bad test and a governance decision about the test.</w:t>
            </w:r>
          </w:p>
        </w:tc>
      </w:tr>
      <w:tr>
        <w:trPr>
          <w:cantSplit/>
        </w:trPr>
        <w:tc>
          <w:tcPr>
            <w:tcW w:type="dxa" w:w="1800"/>
            <w:vAlign w:val="top"/>
          </w:tcPr>
          <w:p>
            <w:r>
              <w:rPr>
                <w:rFonts w:ascii="Times New Roman" w:hAnsi="Times New Roman"/>
                <w:sz w:val="14"/>
              </w:rPr>
              <w:t>C06 architecture vs C09 supply chain</w:t>
            </w:r>
          </w:p>
        </w:tc>
        <w:tc>
          <w:tcPr>
            <w:tcW w:type="dxa" w:w="2736"/>
            <w:vAlign w:val="top"/>
          </w:tcPr>
          <w:p>
            <w:r>
              <w:rPr>
                <w:rFonts w:ascii="Times New Roman" w:hAnsi="Times New Roman"/>
                <w:sz w:val="14"/>
              </w:rPr>
              <w:t>Use C06 for component, interface, identity, infrastructure, logging, resource, or recovery architecture within the focal system; use C09 for upstream/downstream dependency, supplier change, concentration, or evidence handoff.</w:t>
            </w:r>
          </w:p>
        </w:tc>
        <w:tc>
          <w:tcPr>
            <w:tcW w:type="dxa" w:w="2160"/>
            <w:vAlign w:val="top"/>
          </w:tcPr>
          <w:p>
            <w:r>
              <w:rPr>
                <w:rFonts w:ascii="Times New Roman" w:hAnsi="Times New Roman"/>
                <w:sz w:val="14"/>
              </w:rPr>
              <w:t>Use both when an external dependency is integrated through an unsafe architecture.</w:t>
            </w:r>
          </w:p>
        </w:tc>
        <w:tc>
          <w:tcPr>
            <w:tcW w:type="dxa" w:w="2664"/>
            <w:vAlign w:val="top"/>
          </w:tcPr>
          <w:p>
            <w:r>
              <w:rPr>
                <w:rFonts w:ascii="Times New Roman" w:hAnsi="Times New Roman"/>
                <w:sz w:val="14"/>
              </w:rPr>
              <w:t>A single technical-dependency class would obscure ownership and contractual or continuity controls.</w:t>
            </w:r>
          </w:p>
        </w:tc>
      </w:tr>
      <w:tr>
        <w:trPr>
          <w:cantSplit/>
        </w:trPr>
        <w:tc>
          <w:tcPr>
            <w:tcW w:type="dxa" w:w="1800"/>
            <w:vAlign w:val="top"/>
          </w:tcPr>
          <w:p>
            <w:r>
              <w:rPr>
                <w:rFonts w:ascii="Times New Roman" w:hAnsi="Times New Roman"/>
                <w:sz w:val="14"/>
              </w:rPr>
              <w:t>C08 organization vs C11 institution</w:t>
            </w:r>
          </w:p>
        </w:tc>
        <w:tc>
          <w:tcPr>
            <w:tcW w:type="dxa" w:w="2736"/>
            <w:vAlign w:val="top"/>
          </w:tcPr>
          <w:p>
            <w:r>
              <w:rPr>
                <w:rFonts w:ascii="Times New Roman" w:hAnsi="Times New Roman"/>
                <w:sz w:val="14"/>
              </w:rPr>
              <w:t>Use C08 for provider, integrator, deployer, or operator governance; use C11 only when legal, supervisory, remedial, conformity, or public-power arrangements form part of the mechanism.</w:t>
            </w:r>
          </w:p>
        </w:tc>
        <w:tc>
          <w:tcPr>
            <w:tcW w:type="dxa" w:w="2160"/>
            <w:vAlign w:val="top"/>
          </w:tcPr>
          <w:p>
            <w:r>
              <w:rPr>
                <w:rFonts w:ascii="Times New Roman" w:hAnsi="Times New Roman"/>
                <w:sz w:val="14"/>
              </w:rPr>
              <w:t>Use both when an organization acts within an institutional gap that enables continued exposure.</w:t>
            </w:r>
          </w:p>
        </w:tc>
        <w:tc>
          <w:tcPr>
            <w:tcW w:type="dxa" w:w="2664"/>
            <w:vAlign w:val="top"/>
          </w:tcPr>
          <w:p>
            <w:r>
              <w:rPr>
                <w:rFonts w:ascii="Times New Roman" w:hAnsi="Times New Roman"/>
                <w:sz w:val="14"/>
              </w:rPr>
              <w:t>Treating all compliance issues as C11 would turn legal status into a causal catch-all.</w:t>
            </w:r>
          </w:p>
        </w:tc>
      </w:tr>
      <w:tr>
        <w:trPr>
          <w:cantSplit/>
        </w:trPr>
        <w:tc>
          <w:tcPr>
            <w:tcW w:type="dxa" w:w="1800"/>
            <w:vAlign w:val="top"/>
          </w:tcPr>
          <w:p>
            <w:r>
              <w:rPr>
                <w:rFonts w:ascii="Times New Roman" w:hAnsi="Times New Roman"/>
                <w:sz w:val="14"/>
              </w:rPr>
              <w:t>C10 deployment context vs C12 societal structure</w:t>
            </w:r>
          </w:p>
        </w:tc>
        <w:tc>
          <w:tcPr>
            <w:tcW w:type="dxa" w:w="2736"/>
            <w:vAlign w:val="top"/>
          </w:tcPr>
          <w:p>
            <w:r>
              <w:rPr>
                <w:rFonts w:ascii="Times New Roman" w:hAnsi="Times New Roman"/>
                <w:sz w:val="14"/>
              </w:rPr>
              <w:t>Use C10 for operational conditions, shifts, foreseeable misuse, physical environment, scale, or workflow mismatch; use C12 for structural inequality, markets, labor, information ecosystems, environment, or systemic interdependence.</w:t>
            </w:r>
          </w:p>
        </w:tc>
        <w:tc>
          <w:tcPr>
            <w:tcW w:type="dxa" w:w="2160"/>
            <w:vAlign w:val="top"/>
          </w:tcPr>
          <w:p>
            <w:r>
              <w:rPr>
                <w:rFonts w:ascii="Times New Roman" w:hAnsi="Times New Roman"/>
                <w:sz w:val="14"/>
              </w:rPr>
              <w:t>Use both when local deployment interacts with structural conditions.</w:t>
            </w:r>
          </w:p>
        </w:tc>
        <w:tc>
          <w:tcPr>
            <w:tcW w:type="dxa" w:w="2664"/>
            <w:vAlign w:val="top"/>
          </w:tcPr>
          <w:p>
            <w:r>
              <w:rPr>
                <w:rFonts w:ascii="Times New Roman" w:hAnsi="Times New Roman"/>
                <w:sz w:val="14"/>
              </w:rPr>
              <w:t>Merging them would make broad social structure indistinguishable from the immediate operating context.</w:t>
            </w:r>
          </w:p>
        </w:tc>
      </w:tr>
      <w:tr>
        <w:trPr>
          <w:cantSplit/>
        </w:trPr>
        <w:tc>
          <w:tcPr>
            <w:tcW w:type="dxa" w:w="1800"/>
            <w:vAlign w:val="top"/>
          </w:tcPr>
          <w:p>
            <w:r>
              <w:rPr>
                <w:rFonts w:ascii="Times New Roman" w:hAnsi="Times New Roman"/>
                <w:sz w:val="14"/>
              </w:rPr>
              <w:t>C07 adversarial influence vs C06/C09 vulnerabilities</w:t>
            </w:r>
          </w:p>
        </w:tc>
        <w:tc>
          <w:tcPr>
            <w:tcW w:type="dxa" w:w="2736"/>
            <w:vAlign w:val="top"/>
          </w:tcPr>
          <w:p>
            <w:r>
              <w:rPr>
                <w:rFonts w:ascii="Times New Roman" w:hAnsi="Times New Roman"/>
                <w:sz w:val="14"/>
              </w:rPr>
              <w:t>Use C07 for intentional attack, abuse, manipulation, or harmful capability use; use C06 or C09 for the architecture or dependency that enables the attack.</w:t>
            </w:r>
          </w:p>
        </w:tc>
        <w:tc>
          <w:tcPr>
            <w:tcW w:type="dxa" w:w="2160"/>
            <w:vAlign w:val="top"/>
          </w:tcPr>
          <w:p>
            <w:r>
              <w:rPr>
                <w:rFonts w:ascii="Times New Roman" w:hAnsi="Times New Roman"/>
                <w:sz w:val="14"/>
              </w:rPr>
              <w:t>Security cases normally combine the threat mechanism with one or more enabling conditions.</w:t>
            </w:r>
          </w:p>
        </w:tc>
        <w:tc>
          <w:tcPr>
            <w:tcW w:type="dxa" w:w="2664"/>
            <w:vAlign w:val="top"/>
          </w:tcPr>
          <w:p>
            <w:r>
              <w:rPr>
                <w:rFonts w:ascii="Times New Roman" w:hAnsi="Times New Roman"/>
                <w:sz w:val="14"/>
              </w:rPr>
              <w:t>Coding the entire chain as “security” would hide preventable architectural and supplier interventions.</w:t>
            </w:r>
          </w:p>
        </w:tc>
      </w:tr>
    </w:tbl>
    <w:p>
      <w:pPr>
        <w:pStyle w:val="Heading1"/>
      </w:pPr>
      <w:r>
        <w:t>6 Deliberate non-mappings and role discipline</w:t>
      </w:r>
    </w:p>
    <w:p>
      <w:r>
        <w:t>The crosswalk retains four source rows without concrete C-class associations. The remaining 122 rows contain candidate associations that must not be read as 122 direct causal assignments. Intent, timing, event status, a legal duty, or an evidence requirement does not itself describe a causal mechanism. Composite terms, secondary roles, direct assignments and associated candidate classes are therefore distinguished in Online Resource 3. Non-mapping and unresolved mapping remain analytical results rather than evidence of failed coverage.</w:t>
      </w:r>
    </w:p>
    <w:p>
      <w:pPr>
        <w:pStyle w:val="Heading1"/>
      </w:pPr>
      <w:r>
        <w:t>7 Documentary case-type typology</w:t>
      </w:r>
    </w:p>
    <w:tbl>
      <w:tblPr>
        <w:tblStyle w:val="TableGrid"/>
        <w:tblW w:type="auto" w:w="0"/>
        <w:jc w:val="center"/>
        <w:tblLook w:firstColumn="1" w:firstRow="1" w:lastColumn="0" w:lastRow="0" w:noHBand="0" w:noVBand="1" w:val="04A0"/>
      </w:tblPr>
      <w:tblGrid>
        <w:gridCol w:w="3264"/>
        <w:gridCol w:w="3264"/>
        <w:gridCol w:w="3264"/>
      </w:tblGrid>
      <w:tr>
        <w:trPr>
          <w:tblHeader w:val="true"/>
          <w:cantSplit/>
        </w:trPr>
        <w:tc>
          <w:tcPr>
            <w:tcW w:type="dxa" w:w="2304"/>
            <w:shd w:fill="D9EAF7"/>
            <w:vAlign w:val="center"/>
          </w:tcPr>
          <w:p>
            <w:r>
              <w:rPr>
                <w:rFonts w:ascii="Arial" w:hAnsi="Arial"/>
                <w:b/>
                <w:sz w:val="16"/>
              </w:rPr>
              <w:t>Case type</w:t>
            </w:r>
          </w:p>
        </w:tc>
        <w:tc>
          <w:tcPr>
            <w:tcW w:type="dxa" w:w="3456"/>
            <w:shd w:fill="D9EAF7"/>
            <w:vAlign w:val="center"/>
          </w:tcPr>
          <w:p>
            <w:r>
              <w:rPr>
                <w:rFonts w:ascii="Arial" w:hAnsi="Arial"/>
                <w:b/>
                <w:sz w:val="16"/>
              </w:rPr>
              <w:t>Primary contribution</w:t>
            </w:r>
          </w:p>
        </w:tc>
        <w:tc>
          <w:tcPr>
            <w:tcW w:type="dxa" w:w="3456"/>
            <w:shd w:fill="D9EAF7"/>
            <w:vAlign w:val="center"/>
          </w:tcPr>
          <w:p>
            <w:r>
              <w:rPr>
                <w:rFonts w:ascii="Arial" w:hAnsi="Arial"/>
                <w:b/>
                <w:sz w:val="16"/>
              </w:rPr>
              <w:t>Principal caution</w:t>
            </w:r>
          </w:p>
        </w:tc>
      </w:tr>
      <w:tr>
        <w:trPr>
          <w:cantSplit/>
        </w:trPr>
        <w:tc>
          <w:tcPr>
            <w:tcW w:type="dxa" w:w="2304"/>
            <w:vAlign w:val="top"/>
          </w:tcPr>
          <w:p>
            <w:r>
              <w:rPr>
                <w:rFonts w:ascii="Times New Roman" w:hAnsi="Times New Roman"/>
                <w:sz w:val="16"/>
              </w:rPr>
              <w:t>Completed accident investigations</w:t>
            </w:r>
          </w:p>
        </w:tc>
        <w:tc>
          <w:tcPr>
            <w:tcW w:type="dxa" w:w="3456"/>
            <w:vAlign w:val="top"/>
          </w:tcPr>
          <w:p>
            <w:r>
              <w:rPr>
                <w:rFonts w:ascii="Times New Roman" w:hAnsi="Times New Roman"/>
                <w:sz w:val="16"/>
              </w:rPr>
              <w:t>Official reconstructed sequence and contributing factors</w:t>
            </w:r>
          </w:p>
        </w:tc>
        <w:tc>
          <w:tcPr>
            <w:tcW w:type="dxa" w:w="3456"/>
            <w:vAlign w:val="top"/>
          </w:tcPr>
          <w:p>
            <w:r>
              <w:rPr>
                <w:rFonts w:ascii="Times New Roman" w:hAnsi="Times New Roman"/>
                <w:sz w:val="16"/>
              </w:rPr>
              <w:t>Strongest documentary basis for system and control reconstruction; still bounded by investigative scope.</w:t>
            </w:r>
          </w:p>
        </w:tc>
      </w:tr>
      <w:tr>
        <w:trPr>
          <w:cantSplit/>
        </w:trPr>
        <w:tc>
          <w:tcPr>
            <w:tcW w:type="dxa" w:w="2304"/>
            <w:vAlign w:val="top"/>
          </w:tcPr>
          <w:p>
            <w:r>
              <w:rPr>
                <w:rFonts w:ascii="Times New Roman" w:hAnsi="Times New Roman"/>
                <w:sz w:val="16"/>
              </w:rPr>
              <w:t>Recalls and safety determinations</w:t>
            </w:r>
          </w:p>
        </w:tc>
        <w:tc>
          <w:tcPr>
            <w:tcW w:type="dxa" w:w="3456"/>
            <w:vAlign w:val="top"/>
          </w:tcPr>
          <w:p>
            <w:r>
              <w:rPr>
                <w:rFonts w:ascii="Times New Roman" w:hAnsi="Times New Roman"/>
                <w:sz w:val="16"/>
              </w:rPr>
              <w:t>Defect or unsafe-condition determination and corrective action</w:t>
            </w:r>
          </w:p>
        </w:tc>
        <w:tc>
          <w:tcPr>
            <w:tcW w:type="dxa" w:w="3456"/>
            <w:vAlign w:val="top"/>
          </w:tcPr>
          <w:p>
            <w:r>
              <w:rPr>
                <w:rFonts w:ascii="Times New Roman" w:hAnsi="Times New Roman"/>
                <w:sz w:val="16"/>
              </w:rPr>
              <w:t>Often concise and product-focused; root organizational evidence may be limited.</w:t>
            </w:r>
          </w:p>
        </w:tc>
      </w:tr>
      <w:tr>
        <w:trPr>
          <w:cantSplit/>
        </w:trPr>
        <w:tc>
          <w:tcPr>
            <w:tcW w:type="dxa" w:w="2304"/>
            <w:vAlign w:val="top"/>
          </w:tcPr>
          <w:p>
            <w:r>
              <w:rPr>
                <w:rFonts w:ascii="Times New Roman" w:hAnsi="Times New Roman"/>
                <w:sz w:val="16"/>
              </w:rPr>
              <w:t>Peer-reviewed field-performance studies</w:t>
            </w:r>
          </w:p>
        </w:tc>
        <w:tc>
          <w:tcPr>
            <w:tcW w:type="dxa" w:w="3456"/>
            <w:vAlign w:val="top"/>
          </w:tcPr>
          <w:p>
            <w:r>
              <w:rPr>
                <w:rFonts w:ascii="Times New Roman" w:hAnsi="Times New Roman"/>
                <w:sz w:val="16"/>
              </w:rPr>
              <w:t>Measured external validity or operational performance</w:t>
            </w:r>
          </w:p>
        </w:tc>
        <w:tc>
          <w:tcPr>
            <w:tcW w:type="dxa" w:w="3456"/>
            <w:vAlign w:val="top"/>
          </w:tcPr>
          <w:p>
            <w:r>
              <w:rPr>
                <w:rFonts w:ascii="Times New Roman" w:hAnsi="Times New Roman"/>
                <w:sz w:val="16"/>
              </w:rPr>
              <w:t>Can support performance and workflow claims but may not provide full accident causation.</w:t>
            </w:r>
          </w:p>
        </w:tc>
      </w:tr>
      <w:tr>
        <w:trPr>
          <w:cantSplit/>
        </w:trPr>
        <w:tc>
          <w:tcPr>
            <w:tcW w:type="dxa" w:w="2304"/>
            <w:vAlign w:val="top"/>
          </w:tcPr>
          <w:p>
            <w:r>
              <w:rPr>
                <w:rFonts w:ascii="Times New Roman" w:hAnsi="Times New Roman"/>
                <w:sz w:val="16"/>
              </w:rPr>
              <w:t>Final judgments and authoritative decisions</w:t>
            </w:r>
          </w:p>
        </w:tc>
        <w:tc>
          <w:tcPr>
            <w:tcW w:type="dxa" w:w="3456"/>
            <w:vAlign w:val="top"/>
          </w:tcPr>
          <w:p>
            <w:r>
              <w:rPr>
                <w:rFonts w:ascii="Times New Roman" w:hAnsi="Times New Roman"/>
                <w:sz w:val="16"/>
              </w:rPr>
              <w:t>Legally established facts and holdings</w:t>
            </w:r>
          </w:p>
        </w:tc>
        <w:tc>
          <w:tcPr>
            <w:tcW w:type="dxa" w:w="3456"/>
            <w:vAlign w:val="top"/>
          </w:tcPr>
          <w:p>
            <w:r>
              <w:rPr>
                <w:rFonts w:ascii="Times New Roman" w:hAnsi="Times New Roman"/>
                <w:sz w:val="16"/>
              </w:rPr>
              <w:t>Strong for decisional influence, procedure, rights, and remedy; not a technical accident investigation.</w:t>
            </w:r>
          </w:p>
        </w:tc>
      </w:tr>
      <w:tr>
        <w:trPr>
          <w:cantSplit/>
        </w:trPr>
        <w:tc>
          <w:tcPr>
            <w:tcW w:type="dxa" w:w="2304"/>
            <w:vAlign w:val="top"/>
          </w:tcPr>
          <w:p>
            <w:r>
              <w:rPr>
                <w:rFonts w:ascii="Times New Roman" w:hAnsi="Times New Roman"/>
                <w:sz w:val="16"/>
              </w:rPr>
              <w:t>Regulator findings, settlements, and consent resolutions</w:t>
            </w:r>
          </w:p>
        </w:tc>
        <w:tc>
          <w:tcPr>
            <w:tcW w:type="dxa" w:w="3456"/>
            <w:vAlign w:val="top"/>
          </w:tcPr>
          <w:p>
            <w:r>
              <w:rPr>
                <w:rFonts w:ascii="Times New Roman" w:hAnsi="Times New Roman"/>
                <w:sz w:val="16"/>
              </w:rPr>
              <w:t>Allegations, agreed facts, or non-contested remedies</w:t>
            </w:r>
          </w:p>
        </w:tc>
        <w:tc>
          <w:tcPr>
            <w:tcW w:type="dxa" w:w="3456"/>
            <w:vAlign w:val="top"/>
          </w:tcPr>
          <w:p>
            <w:r>
              <w:rPr>
                <w:rFonts w:ascii="Times New Roman" w:hAnsi="Times New Roman"/>
                <w:sz w:val="16"/>
              </w:rPr>
              <w:t>Procedural status must be preserved; settlement does not equal adjudicated merits.</w:t>
            </w:r>
          </w:p>
        </w:tc>
      </w:tr>
      <w:tr>
        <w:trPr>
          <w:cantSplit/>
        </w:trPr>
        <w:tc>
          <w:tcPr>
            <w:tcW w:type="dxa" w:w="2304"/>
            <w:vAlign w:val="top"/>
          </w:tcPr>
          <w:p>
            <w:r>
              <w:rPr>
                <w:rFonts w:ascii="Times New Roman" w:hAnsi="Times New Roman"/>
                <w:sz w:val="16"/>
              </w:rPr>
              <w:t>Policy reversals and institutional reports</w:t>
            </w:r>
          </w:p>
        </w:tc>
        <w:tc>
          <w:tcPr>
            <w:tcW w:type="dxa" w:w="3456"/>
            <w:vAlign w:val="top"/>
          </w:tcPr>
          <w:p>
            <w:r>
              <w:rPr>
                <w:rFonts w:ascii="Times New Roman" w:hAnsi="Times New Roman"/>
                <w:sz w:val="16"/>
              </w:rPr>
              <w:t>Administrative failure and institutional learning</w:t>
            </w:r>
          </w:p>
        </w:tc>
        <w:tc>
          <w:tcPr>
            <w:tcW w:type="dxa" w:w="3456"/>
            <w:vAlign w:val="top"/>
          </w:tcPr>
          <w:p>
            <w:r>
              <w:rPr>
                <w:rFonts w:ascii="Times New Roman" w:hAnsi="Times New Roman"/>
                <w:sz w:val="16"/>
              </w:rPr>
              <w:t>Useful for governance and public-power mechanisms; selection and documentation vary.</w:t>
            </w:r>
          </w:p>
        </w:tc>
      </w:tr>
      <w:tr>
        <w:trPr>
          <w:cantSplit/>
        </w:trPr>
        <w:tc>
          <w:tcPr>
            <w:tcW w:type="dxa" w:w="2304"/>
            <w:vAlign w:val="top"/>
          </w:tcPr>
          <w:p>
            <w:r>
              <w:rPr>
                <w:rFonts w:ascii="Times New Roman" w:hAnsi="Times New Roman"/>
                <w:sz w:val="16"/>
              </w:rPr>
              <w:t>Preliminary technical disclosures</w:t>
            </w:r>
          </w:p>
        </w:tc>
        <w:tc>
          <w:tcPr>
            <w:tcW w:type="dxa" w:w="3456"/>
            <w:vAlign w:val="top"/>
          </w:tcPr>
          <w:p>
            <w:r>
              <w:rPr>
                <w:rFonts w:ascii="Times New Roman" w:hAnsi="Times New Roman"/>
                <w:sz w:val="16"/>
              </w:rPr>
              <w:t>Early technical sequence and response</w:t>
            </w:r>
          </w:p>
        </w:tc>
        <w:tc>
          <w:tcPr>
            <w:tcW w:type="dxa" w:w="3456"/>
            <w:vAlign w:val="top"/>
          </w:tcPr>
          <w:p>
            <w:r>
              <w:rPr>
                <w:rFonts w:ascii="Times New Roman" w:hAnsi="Times New Roman"/>
                <w:sz w:val="16"/>
              </w:rPr>
              <w:t>Version-sensitive and potentially self-interested; causal confidence remains limited or moderate.</w:t>
            </w:r>
          </w:p>
        </w:tc>
      </w:tr>
    </w:tbl>
    <w:p>
      <w:pPr>
        <w:pStyle w:val="Heading1"/>
      </w:pPr>
      <w:r>
        <w:t>8 Additional agentic Risk-Control-Evidence record</w:t>
      </w:r>
    </w:p>
    <w:tbl>
      <w:tblPr>
        <w:tblStyle w:val="TableGrid"/>
        <w:tblW w:type="auto" w:w="0"/>
        <w:jc w:val="center"/>
        <w:tblLook w:firstColumn="1" w:firstRow="1" w:lastColumn="0" w:lastRow="0" w:noHBand="0" w:noVBand="1" w:val="04A0"/>
      </w:tblPr>
      <w:tblGrid>
        <w:gridCol w:w="4896"/>
        <w:gridCol w:w="4896"/>
      </w:tblGrid>
      <w:tr>
        <w:trPr>
          <w:tblHeader w:val="true"/>
          <w:cantSplit/>
        </w:trPr>
        <w:tc>
          <w:tcPr>
            <w:tcW w:type="dxa" w:w="2088"/>
            <w:shd w:fill="D9EAF7"/>
            <w:vAlign w:val="center"/>
          </w:tcPr>
          <w:p>
            <w:r>
              <w:rPr>
                <w:rFonts w:ascii="Arial" w:hAnsi="Arial"/>
                <w:b/>
                <w:sz w:val="16"/>
              </w:rPr>
              <w:t>Field</w:t>
            </w:r>
          </w:p>
        </w:tc>
        <w:tc>
          <w:tcPr>
            <w:tcW w:type="dxa" w:w="7200"/>
            <w:shd w:fill="D9EAF7"/>
            <w:vAlign w:val="center"/>
          </w:tcPr>
          <w:p>
            <w:r>
              <w:rPr>
                <w:rFonts w:ascii="Arial" w:hAnsi="Arial"/>
                <w:b/>
                <w:sz w:val="16"/>
              </w:rPr>
              <w:t>Illustrative content</w:t>
            </w:r>
          </w:p>
        </w:tc>
      </w:tr>
      <w:tr>
        <w:trPr>
          <w:cantSplit/>
        </w:trPr>
        <w:tc>
          <w:tcPr>
            <w:tcW w:type="dxa" w:w="2088"/>
            <w:vAlign w:val="top"/>
          </w:tcPr>
          <w:p>
            <w:r>
              <w:rPr>
                <w:rFonts w:ascii="Times New Roman" w:hAnsi="Times New Roman"/>
                <w:sz w:val="16"/>
              </w:rPr>
              <w:t>System boundary</w:t>
            </w:r>
          </w:p>
        </w:tc>
        <w:tc>
          <w:tcPr>
            <w:tcW w:type="dxa" w:w="7200"/>
            <w:vAlign w:val="top"/>
          </w:tcPr>
          <w:p>
            <w:r>
              <w:rPr>
                <w:rFonts w:ascii="Times New Roman" w:hAnsi="Times New Roman"/>
                <w:sz w:val="16"/>
              </w:rPr>
              <w:t>Evaluation agent, model, sandbox, tools, credentials, package proxy, internet egress, third-party platform, operators, and response organizations.</w:t>
            </w:r>
          </w:p>
        </w:tc>
      </w:tr>
      <w:tr>
        <w:trPr>
          <w:cantSplit/>
        </w:trPr>
        <w:tc>
          <w:tcPr>
            <w:tcW w:type="dxa" w:w="2088"/>
            <w:vAlign w:val="top"/>
          </w:tcPr>
          <w:p>
            <w:r>
              <w:rPr>
                <w:rFonts w:ascii="Times New Roman" w:hAnsi="Times New Roman"/>
                <w:sz w:val="16"/>
              </w:rPr>
              <w:t>Purpose and constraint</w:t>
            </w:r>
          </w:p>
        </w:tc>
        <w:tc>
          <w:tcPr>
            <w:tcW w:type="dxa" w:w="7200"/>
            <w:vAlign w:val="top"/>
          </w:tcPr>
          <w:p>
            <w:r>
              <w:rPr>
                <w:rFonts w:ascii="Times New Roman" w:hAnsi="Times New Roman"/>
                <w:sz w:val="16"/>
              </w:rPr>
              <w:t>Evaluate cyber capability without allowing the benchmark objective to override containment, authorization, or third-party boundaries.</w:t>
            </w:r>
          </w:p>
        </w:tc>
      </w:tr>
      <w:tr>
        <w:trPr>
          <w:cantSplit/>
        </w:trPr>
        <w:tc>
          <w:tcPr>
            <w:tcW w:type="dxa" w:w="2088"/>
            <w:vAlign w:val="top"/>
          </w:tcPr>
          <w:p>
            <w:r>
              <w:rPr>
                <w:rFonts w:ascii="Times New Roman" w:hAnsi="Times New Roman"/>
                <w:sz w:val="16"/>
              </w:rPr>
              <w:t>Principal source claims</w:t>
            </w:r>
          </w:p>
        </w:tc>
        <w:tc>
          <w:tcPr>
            <w:tcW w:type="dxa" w:w="7200"/>
            <w:vAlign w:val="top"/>
          </w:tcPr>
          <w:p>
            <w:r>
              <w:rPr>
                <w:rFonts w:ascii="Times New Roman" w:hAnsi="Times New Roman"/>
                <w:sz w:val="16"/>
              </w:rPr>
              <w:t>C01 objective and boundary specification; C03 long-horizon agentic behavior; C06 identity, privilege, egress, logging and recovery architecture; C07 tool and privilege misuse; C08 performance pressure and governance; C09 cross-organization dependencies.</w:t>
            </w:r>
          </w:p>
        </w:tc>
      </w:tr>
      <w:tr>
        <w:trPr>
          <w:cantSplit/>
        </w:trPr>
        <w:tc>
          <w:tcPr>
            <w:tcW w:type="dxa" w:w="2088"/>
            <w:vAlign w:val="top"/>
          </w:tcPr>
          <w:p>
            <w:r>
              <w:rPr>
                <w:rFonts w:ascii="Times New Roman" w:hAnsi="Times New Roman"/>
                <w:sz w:val="16"/>
              </w:rPr>
              <w:t>Trigger and failure states</w:t>
            </w:r>
          </w:p>
        </w:tc>
        <w:tc>
          <w:tcPr>
            <w:tcW w:type="dxa" w:w="7200"/>
            <w:vAlign w:val="top"/>
          </w:tcPr>
          <w:p>
            <w:r>
              <w:rPr>
                <w:rFonts w:ascii="Times New Roman" w:hAnsi="Times New Roman"/>
                <w:sz w:val="16"/>
              </w:rPr>
              <w:t>Opportunity to escape the intended environment; privilege escalation; external access; credential and vulnerability chaining; unauthorized actions.</w:t>
            </w:r>
          </w:p>
        </w:tc>
      </w:tr>
      <w:tr>
        <w:trPr>
          <w:cantSplit/>
        </w:trPr>
        <w:tc>
          <w:tcPr>
            <w:tcW w:type="dxa" w:w="2088"/>
            <w:vAlign w:val="top"/>
          </w:tcPr>
          <w:p>
            <w:r>
              <w:rPr>
                <w:rFonts w:ascii="Times New Roman" w:hAnsi="Times New Roman"/>
                <w:sz w:val="16"/>
              </w:rPr>
              <w:t>Harms</w:t>
            </w:r>
          </w:p>
        </w:tc>
        <w:tc>
          <w:tcPr>
            <w:tcW w:type="dxa" w:w="7200"/>
            <w:vAlign w:val="top"/>
          </w:tcPr>
          <w:p>
            <w:r>
              <w:rPr>
                <w:rFonts w:ascii="Times New Roman" w:hAnsi="Times New Roman"/>
                <w:sz w:val="16"/>
              </w:rPr>
              <w:t>Confidentiality, integrity, operational disruption, third-party exposure, assurance failure, and ecosystem trust damage.</w:t>
            </w:r>
          </w:p>
        </w:tc>
      </w:tr>
      <w:tr>
        <w:trPr>
          <w:cantSplit/>
        </w:trPr>
        <w:tc>
          <w:tcPr>
            <w:tcW w:type="dxa" w:w="2088"/>
            <w:vAlign w:val="top"/>
          </w:tcPr>
          <w:p>
            <w:r>
              <w:rPr>
                <w:rFonts w:ascii="Times New Roman" w:hAnsi="Times New Roman"/>
                <w:sz w:val="16"/>
              </w:rPr>
              <w:t>Primary controls</w:t>
            </w:r>
          </w:p>
        </w:tc>
        <w:tc>
          <w:tcPr>
            <w:tcW w:type="dxa" w:w="7200"/>
            <w:vAlign w:val="top"/>
          </w:tcPr>
          <w:p>
            <w:r>
              <w:rPr>
                <w:rFonts w:ascii="Times New Roman" w:hAnsi="Times New Roman"/>
                <w:sz w:val="16"/>
              </w:rPr>
              <w:t>Objective and scope constraints; deny-by-default egress; ephemeral least-privilege identity; tool allowlists; approval gates; tripwires; continuous trajectory monitoring; rapid isolation and credential rotation.</w:t>
            </w:r>
          </w:p>
        </w:tc>
      </w:tr>
      <w:tr>
        <w:trPr>
          <w:cantSplit/>
        </w:trPr>
        <w:tc>
          <w:tcPr>
            <w:tcW w:type="dxa" w:w="2088"/>
            <w:vAlign w:val="top"/>
          </w:tcPr>
          <w:p>
            <w:r>
              <w:rPr>
                <w:rFonts w:ascii="Times New Roman" w:hAnsi="Times New Roman"/>
                <w:sz w:val="16"/>
              </w:rPr>
              <w:t>Evidence</w:t>
            </w:r>
          </w:p>
        </w:tc>
        <w:tc>
          <w:tcPr>
            <w:tcW w:type="dxa" w:w="7200"/>
            <w:vAlign w:val="top"/>
          </w:tcPr>
          <w:p>
            <w:r>
              <w:rPr>
                <w:rFonts w:ascii="Times New Roman" w:hAnsi="Times New Roman"/>
                <w:sz w:val="16"/>
              </w:rPr>
              <w:t>Architecture and authorization matrix; adversarial containment tests; action logs; rollback and rebuild exercises; independent review of monitoring coverage and incident response.</w:t>
            </w:r>
          </w:p>
        </w:tc>
      </w:tr>
      <w:tr>
        <w:trPr>
          <w:cantSplit/>
        </w:trPr>
        <w:tc>
          <w:tcPr>
            <w:tcW w:type="dxa" w:w="2088"/>
            <w:vAlign w:val="top"/>
          </w:tcPr>
          <w:p>
            <w:r>
              <w:rPr>
                <w:rFonts w:ascii="Times New Roman" w:hAnsi="Times New Roman"/>
                <w:sz w:val="16"/>
              </w:rPr>
              <w:t>Acceptance criteria</w:t>
            </w:r>
          </w:p>
        </w:tc>
        <w:tc>
          <w:tcPr>
            <w:tcW w:type="dxa" w:w="7200"/>
            <w:vAlign w:val="top"/>
          </w:tcPr>
          <w:p>
            <w:r>
              <w:rPr>
                <w:rFonts w:ascii="Times New Roman" w:hAnsi="Times New Roman"/>
                <w:sz w:val="16"/>
              </w:rPr>
              <w:t>No unauthorized network path or privilege escalation under defined adversarial tests; all consequential actions observable; stop and isolation completed within the pre-defined response budget; no unresolved critical containment defect.</w:t>
            </w:r>
          </w:p>
        </w:tc>
      </w:tr>
      <w:tr>
        <w:trPr>
          <w:cantSplit/>
        </w:trPr>
        <w:tc>
          <w:tcPr>
            <w:tcW w:type="dxa" w:w="2088"/>
            <w:vAlign w:val="top"/>
          </w:tcPr>
          <w:p>
            <w:r>
              <w:rPr>
                <w:rFonts w:ascii="Times New Roman" w:hAnsi="Times New Roman"/>
                <w:sz w:val="16"/>
              </w:rPr>
              <w:t>Defeaters</w:t>
            </w:r>
          </w:p>
        </w:tc>
        <w:tc>
          <w:tcPr>
            <w:tcW w:type="dxa" w:w="7200"/>
            <w:vAlign w:val="top"/>
          </w:tcPr>
          <w:p>
            <w:r>
              <w:rPr>
                <w:rFonts w:ascii="Times New Roman" w:hAnsi="Times New Roman"/>
                <w:sz w:val="16"/>
              </w:rPr>
              <w:t>Unknown zero-day paths; shared credentials; incomplete logs; monitor blind spots; evaluation pressure; silent upstream changes; common-cause dependency.</w:t>
            </w:r>
          </w:p>
        </w:tc>
      </w:tr>
      <w:tr>
        <w:trPr>
          <w:cantSplit/>
        </w:trPr>
        <w:tc>
          <w:tcPr>
            <w:tcW w:type="dxa" w:w="2088"/>
            <w:vAlign w:val="top"/>
          </w:tcPr>
          <w:p>
            <w:r>
              <w:rPr>
                <w:rFonts w:ascii="Times New Roman" w:hAnsi="Times New Roman"/>
                <w:sz w:val="16"/>
              </w:rPr>
              <w:t>Residual risk and monitoring</w:t>
            </w:r>
          </w:p>
        </w:tc>
        <w:tc>
          <w:tcPr>
            <w:tcW w:type="dxa" w:w="7200"/>
            <w:vAlign w:val="top"/>
          </w:tcPr>
          <w:p>
            <w:r>
              <w:rPr>
                <w:rFonts w:ascii="Times New Roman" w:hAnsi="Times New Roman"/>
                <w:sz w:val="16"/>
              </w:rPr>
              <w:t>Adaptive adversaries and unknown vulnerabilities remain. Monitor identity, egress, tool calls, anomalous planning, resource use, cross-boundary actions, supplier changes, and incident indicators; suspend evaluation when stop criteria are reached.</w:t>
            </w:r>
          </w:p>
        </w:tc>
      </w:tr>
    </w:tbl>
    <w:p>
      <w:pPr>
        <w:pStyle w:val="Heading1"/>
      </w:pPr>
      <w:r>
        <w:t>9 Supplementary figures</w:t>
      </w:r>
    </w:p>
    <w:p>
      <w:pPr>
        <w:keepNext/>
      </w:pPr>
      <w:r>
        <w:t>Supplementary Fig. S1 presents selected research, legal, standards, and incident milestones. Supplementary Fig. S2 gives the descriptive parent-class mapping across the 24-case documentary corpus. Supplementary Fig. S3 records the historical search flow and the correction-stage register reconciliation and is supplied in Online Resource 1. Editable sources and consistent exports of all three figures are supplied in Online Resource 7. None is a prevalence, completeness, or empirical-validation estimate.</w:t>
      </w:r>
    </w:p>
    <w:p>
      <w:pPr>
        <w:keepNext/>
        <w:jc w:val="center"/>
      </w:pPr>
      <w:r>
        <w:drawing>
          <wp:inline xmlns:a="http://schemas.openxmlformats.org/drawingml/2006/main" xmlns:pic="http://schemas.openxmlformats.org/drawingml/2006/picture">
            <wp:extent cx="5760720" cy="6001512"/>
            <wp:docPr id="1" name="Picture 1" descr="A chronological list grouped by year traces the source taxonomy, legal judgments, NIST and ISO publications, EU legislation and guidance, and separate July 2026 incident disclosures. The final milestone is the material evidence cutoff on 25 July 2026 at 23:59 CEST. EN 18286 publication is included on 24 July."/>
            <wp:cNvGraphicFramePr>
              <a:graphicFrameLocks noChangeAspect="1"/>
            </wp:cNvGraphicFramePr>
            <a:graphic>
              <a:graphicData uri="http://schemas.openxmlformats.org/drawingml/2006/picture">
                <pic:pic>
                  <pic:nvPicPr>
                    <pic:cNvPr id="0" name="Supplementary_Fig_S1_Timeline.png"/>
                    <pic:cNvPicPr/>
                  </pic:nvPicPr>
                  <pic:blipFill>
                    <a:blip r:embed="rId9"/>
                    <a:stretch>
                      <a:fillRect/>
                    </a:stretch>
                  </pic:blipFill>
                  <pic:spPr>
                    <a:xfrm>
                      <a:off x="0" y="0"/>
                      <a:ext cx="5760720" cy="6001512"/>
                    </a:xfrm>
                    <a:prstGeom prst="rect"/>
                  </pic:spPr>
                </pic:pic>
              </a:graphicData>
            </a:graphic>
          </wp:inline>
        </w:drawing>
      </w:r>
    </w:p>
    <w:p>
      <w:pPr>
        <w:pStyle w:val="Caption"/>
      </w:pPr>
      <w:r>
        <w:t>Supplementary Fig. S1 Selected research, legal, standardization, and incident milestones from 2022 to the material evidence cutoff of 25 July 2026. Milestones are grouped by year; the date precision available in the source records is preserved. Positions do not represent proportional elapsed time. Prepared programmatically with AI assistance from the documented source material; see Section 3.10 of the manuscript</w:t>
      </w:r>
    </w:p>
    <w:p>
      <w:pPr>
        <w:keepNext/>
        <w:jc w:val="center"/>
      </w:pPr>
      <w:r>
        <w:drawing>
          <wp:inline xmlns:a="http://schemas.openxmlformats.org/drawingml/2006/main" xmlns:pic="http://schemas.openxmlformats.org/drawingml/2006/picture">
            <wp:extent cx="5760720" cy="3480816"/>
            <wp:docPr id="2" name="Picture 2" descr="A binary matrix shows twelve parent causal classes against cases I001 to I024. The row totals from C01 to C12 are 9, 9, 11, 17, 11, 9, 3, 21, 10, 10, 15, and 10. The matrix contains 135 class annotations across 24 illustrative cases."/>
            <wp:cNvGraphicFramePr>
              <a:graphicFrameLocks noChangeAspect="1"/>
            </wp:cNvGraphicFramePr>
            <a:graphic>
              <a:graphicData uri="http://schemas.openxmlformats.org/drawingml/2006/picture">
                <pic:pic>
                  <pic:nvPicPr>
                    <pic:cNvPr id="0" name="Supplementary_Fig_S2_Illustrative_Case_Matrix.png"/>
                    <pic:cNvPicPr/>
                  </pic:nvPicPr>
                  <pic:blipFill>
                    <a:blip r:embed="rId10"/>
                    <a:stretch>
                      <a:fillRect/>
                    </a:stretch>
                  </pic:blipFill>
                  <pic:spPr>
                    <a:xfrm>
                      <a:off x="0" y="0"/>
                      <a:ext cx="5760720" cy="3480816"/>
                    </a:xfrm>
                    <a:prstGeom prst="rect"/>
                  </pic:spPr>
                </pic:pic>
              </a:graphicData>
            </a:graphic>
          </wp:inline>
        </w:drawing>
      </w:r>
    </w:p>
    <w:p>
      <w:pPr>
        <w:pStyle w:val="Caption"/>
      </w:pPr>
      <w:r>
        <w:t>Supplementary Fig. S2 Illustrative parent-class mapping across the 24-case documentary corpus. Black cells indicate a parent class used in an author reconstruction. Row totals describe these annotations and are not validation or prevalence estimates. Prepared programmatically with AI assistance from the documented source material; see Section 3.10 of the manuscript</w:t>
      </w:r>
    </w:p>
    <w:p>
      <w:pPr>
        <w:pStyle w:val="Heading1"/>
      </w:pPr>
      <w:r>
        <w:t>10 Scope and revision rule</w:t>
      </w:r>
    </w:p>
    <w:p>
      <w:r>
        <w:t>FCAIR-O v1.2.1 should be revised when stronger evidence or counterexamples show that a concept has the wrong primary role, that a parent class should be merged or split, that a relation better represents a dependency, or that a new intervention question cannot be expressed through the existing structure. Version identifiers, migration notes, and explicit deprecation should preserve traceability. Empirical reliability, comparative utility, and sector-specific effectiveness remain outside the claims of this conceptual paper.</w:t>
      </w:r>
    </w:p>
    <w:p>
      <w:pPr>
        <w:pStyle w:val="Heading1"/>
      </w:pPr>
      <w:r>
        <w:t>11 External conceptual adequacy criteria</w:t>
      </w:r>
    </w:p>
    <w:p>
      <w:r>
        <w:t>In addition to proposition-to-design traceability, FCAIR-O was examined against criteria drawn from theory-building and conceptual-review methodology: construct clarity, logical consistency, discriminant clarity, parsimony, explanatory scope, boundary conditions, generativity and revisability, and practical interpretability (Whetten 1989; Torraco 2005; Snyder 2019; Jaakkola 2020). These are reasoned criteria rather than empirical performance metrics.</w:t>
      </w:r>
    </w:p>
    <w:tbl>
      <w:tblPr>
        <w:tblStyle w:val="TableGrid"/>
        <w:tblW w:type="auto" w:w="0"/>
        <w:jc w:val="center"/>
        <w:tblLook w:firstColumn="1" w:firstRow="1" w:lastColumn="0" w:lastRow="0" w:noHBand="0" w:noVBand="1" w:val="04A0"/>
      </w:tblPr>
      <w:tblGrid>
        <w:gridCol w:w="3264"/>
        <w:gridCol w:w="3264"/>
        <w:gridCol w:w="3264"/>
      </w:tblGrid>
      <w:tr>
        <w:trPr>
          <w:tblHeader w:val="true"/>
          <w:cantSplit/>
        </w:trPr>
        <w:tc>
          <w:tcPr>
            <w:tcW w:type="dxa" w:w="2088"/>
            <w:vAlign w:val="top"/>
          </w:tcPr>
          <w:p>
            <w:pPr>
              <w:jc w:val="left"/>
            </w:pPr>
            <w:r/>
            <w:r>
              <w:rPr>
                <w:rFonts w:ascii="Arial" w:hAnsi="Arial"/>
                <w:b/>
                <w:sz w:val="15"/>
              </w:rPr>
              <w:t>Criterion</w:t>
            </w:r>
          </w:p>
        </w:tc>
        <w:tc>
          <w:tcPr>
            <w:tcW w:type="dxa" w:w="5112"/>
            <w:vAlign w:val="top"/>
          </w:tcPr>
          <w:p>
            <w:pPr>
              <w:jc w:val="left"/>
            </w:pPr>
            <w:r/>
            <w:r>
              <w:rPr>
                <w:rFonts w:ascii="Arial" w:hAnsi="Arial"/>
                <w:b/>
                <w:sz w:val="15"/>
              </w:rPr>
              <w:t>FCAIR-O evidence</w:t>
            </w:r>
          </w:p>
        </w:tc>
        <w:tc>
          <w:tcPr>
            <w:tcW w:type="dxa" w:w="3384"/>
            <w:vAlign w:val="top"/>
          </w:tcPr>
          <w:p>
            <w:pPr>
              <w:jc w:val="left"/>
            </w:pPr>
            <w:r/>
            <w:r>
              <w:rPr>
                <w:rFonts w:ascii="Arial" w:hAnsi="Arial"/>
                <w:b/>
                <w:sz w:val="15"/>
              </w:rPr>
              <w:t>Remaining limitation</w:t>
            </w:r>
          </w:p>
        </w:tc>
      </w:tr>
      <w:tr>
        <w:trPr>
          <w:cantSplit/>
        </w:trPr>
        <w:tc>
          <w:tcPr>
            <w:tcW w:type="dxa" w:w="2088"/>
            <w:vAlign w:val="top"/>
          </w:tcPr>
          <w:p>
            <w:pPr>
              <w:jc w:val="left"/>
            </w:pPr>
            <w:r/>
            <w:r>
              <w:rPr>
                <w:rFonts w:ascii="Arial" w:hAnsi="Arial"/>
                <w:b w:val="0"/>
                <w:sz w:val="14"/>
              </w:rPr>
              <w:t>Construct clarity</w:t>
            </w:r>
          </w:p>
        </w:tc>
        <w:tc>
          <w:tcPr>
            <w:tcW w:type="dxa" w:w="5112"/>
            <w:vAlign w:val="top"/>
          </w:tcPr>
          <w:p>
            <w:pPr>
              <w:jc w:val="left"/>
            </w:pPr>
            <w:r/>
            <w:r>
              <w:rPr>
                <w:rFonts w:ascii="Arial" w:hAnsi="Arial"/>
                <w:b w:val="0"/>
                <w:sz w:val="14"/>
              </w:rPr>
              <w:t>Versioned definitions, inclusion and exclusion rules, positive examples, counterexamples, and primary ontological roles.</w:t>
            </w:r>
          </w:p>
        </w:tc>
        <w:tc>
          <w:tcPr>
            <w:tcW w:type="dxa" w:w="3384"/>
            <w:vAlign w:val="top"/>
          </w:tcPr>
          <w:p>
            <w:pPr>
              <w:jc w:val="left"/>
            </w:pPr>
            <w:r/>
            <w:r>
              <w:rPr>
                <w:rFonts w:ascii="Arial" w:hAnsi="Arial"/>
                <w:b w:val="0"/>
                <w:sz w:val="14"/>
              </w:rPr>
              <w:t>Definitions remain open to revision and disciplinary disagreement.</w:t>
            </w:r>
          </w:p>
        </w:tc>
      </w:tr>
      <w:tr>
        <w:trPr>
          <w:cantSplit/>
        </w:trPr>
        <w:tc>
          <w:tcPr>
            <w:tcW w:type="dxa" w:w="2088"/>
            <w:vAlign w:val="top"/>
          </w:tcPr>
          <w:p>
            <w:pPr>
              <w:jc w:val="left"/>
            </w:pPr>
            <w:r/>
            <w:r>
              <w:rPr>
                <w:rFonts w:ascii="Arial" w:hAnsi="Arial"/>
                <w:b w:val="0"/>
                <w:sz w:val="14"/>
              </w:rPr>
              <w:t>Logical consistency</w:t>
            </w:r>
          </w:p>
        </w:tc>
        <w:tc>
          <w:tcPr>
            <w:tcW w:type="dxa" w:w="5112"/>
            <w:vAlign w:val="top"/>
          </w:tcPr>
          <w:p>
            <w:pPr>
              <w:jc w:val="left"/>
            </w:pPr>
            <w:r/>
            <w:r>
              <w:rPr>
                <w:rFonts w:ascii="Arial" w:hAnsi="Arial"/>
                <w:b w:val="0"/>
                <w:sz w:val="14"/>
              </w:rPr>
              <w:t>Role separation, explicit relations, non-mapping, and minimum record constraints.</w:t>
            </w:r>
          </w:p>
        </w:tc>
        <w:tc>
          <w:tcPr>
            <w:tcW w:type="dxa" w:w="3384"/>
            <w:vAlign w:val="top"/>
          </w:tcPr>
          <w:p>
            <w:pPr>
              <w:jc w:val="left"/>
            </w:pPr>
            <w:r/>
            <w:r>
              <w:rPr>
                <w:rFonts w:ascii="Arial" w:hAnsi="Arial"/>
                <w:b w:val="0"/>
                <w:sz w:val="14"/>
              </w:rPr>
              <w:t>Syntactic consistency cannot ensure a true causal claim.</w:t>
            </w:r>
          </w:p>
        </w:tc>
      </w:tr>
      <w:tr>
        <w:trPr>
          <w:cantSplit/>
        </w:trPr>
        <w:tc>
          <w:tcPr>
            <w:tcW w:type="dxa" w:w="2088"/>
            <w:vAlign w:val="top"/>
          </w:tcPr>
          <w:p>
            <w:pPr>
              <w:jc w:val="left"/>
            </w:pPr>
            <w:r/>
            <w:r>
              <w:rPr>
                <w:rFonts w:ascii="Arial" w:hAnsi="Arial"/>
                <w:b w:val="0"/>
                <w:sz w:val="14"/>
              </w:rPr>
              <w:t>Discriminant clarity</w:t>
            </w:r>
          </w:p>
        </w:tc>
        <w:tc>
          <w:tcPr>
            <w:tcW w:type="dxa" w:w="5112"/>
            <w:vAlign w:val="top"/>
          </w:tcPr>
          <w:p>
            <w:pPr>
              <w:jc w:val="left"/>
            </w:pPr>
            <w:r/>
            <w:r>
              <w:rPr>
                <w:rFonts w:ascii="Arial" w:hAnsi="Arial"/>
                <w:b w:val="0"/>
                <w:sz w:val="14"/>
              </w:rPr>
              <w:t>Adjacent-class rules and rejected alternatives in Table 4 and this audit trail.</w:t>
            </w:r>
          </w:p>
        </w:tc>
        <w:tc>
          <w:tcPr>
            <w:tcW w:type="dxa" w:w="3384"/>
            <w:vAlign w:val="top"/>
          </w:tcPr>
          <w:p>
            <w:pPr>
              <w:jc w:val="left"/>
            </w:pPr>
            <w:r/>
            <w:r>
              <w:rPr>
                <w:rFonts w:ascii="Arial" w:hAnsi="Arial"/>
                <w:b w:val="0"/>
                <w:sz w:val="14"/>
              </w:rPr>
              <w:t>Some cases legitimately require contributory co-coding.</w:t>
            </w:r>
          </w:p>
        </w:tc>
      </w:tr>
      <w:tr>
        <w:trPr>
          <w:cantSplit/>
        </w:trPr>
        <w:tc>
          <w:tcPr>
            <w:tcW w:type="dxa" w:w="2088"/>
            <w:vAlign w:val="top"/>
          </w:tcPr>
          <w:p>
            <w:pPr>
              <w:jc w:val="left"/>
            </w:pPr>
            <w:r/>
            <w:r>
              <w:rPr>
                <w:rFonts w:ascii="Arial" w:hAnsi="Arial"/>
                <w:b w:val="0"/>
                <w:sz w:val="14"/>
              </w:rPr>
              <w:t>Parsimony</w:t>
            </w:r>
          </w:p>
        </w:tc>
        <w:tc>
          <w:tcPr>
            <w:tcW w:type="dxa" w:w="5112"/>
            <w:vAlign w:val="top"/>
          </w:tcPr>
          <w:p>
            <w:pPr>
              <w:jc w:val="left"/>
            </w:pPr>
            <w:r/>
            <w:r>
              <w:rPr>
                <w:rFonts w:ascii="Arial" w:hAnsi="Arial"/>
                <w:b w:val="0"/>
                <w:sz w:val="14"/>
              </w:rPr>
              <w:t>Twelve parent classes for orientation; 74 leaves for mechanism detail.</w:t>
            </w:r>
          </w:p>
        </w:tc>
        <w:tc>
          <w:tcPr>
            <w:tcW w:type="dxa" w:w="3384"/>
            <w:vAlign w:val="top"/>
          </w:tcPr>
          <w:p>
            <w:pPr>
              <w:jc w:val="left"/>
            </w:pPr>
            <w:r/>
            <w:r>
              <w:rPr>
                <w:rFonts w:ascii="Arial" w:hAnsi="Arial"/>
                <w:b w:val="0"/>
                <w:sz w:val="14"/>
              </w:rPr>
              <w:t>The parent layer may still be revised if counterexamples show redundancy.</w:t>
            </w:r>
          </w:p>
        </w:tc>
      </w:tr>
      <w:tr>
        <w:trPr>
          <w:cantSplit/>
        </w:trPr>
        <w:tc>
          <w:tcPr>
            <w:tcW w:type="dxa" w:w="2088"/>
            <w:vAlign w:val="top"/>
          </w:tcPr>
          <w:p>
            <w:pPr>
              <w:jc w:val="left"/>
            </w:pPr>
            <w:r/>
            <w:r>
              <w:rPr>
                <w:rFonts w:ascii="Arial" w:hAnsi="Arial"/>
                <w:b w:val="0"/>
                <w:sz w:val="14"/>
              </w:rPr>
              <w:t>Explanatory scope</w:t>
            </w:r>
          </w:p>
        </w:tc>
        <w:tc>
          <w:tcPr>
            <w:tcW w:type="dxa" w:w="5112"/>
            <w:vAlign w:val="top"/>
          </w:tcPr>
          <w:p>
            <w:pPr>
              <w:jc w:val="left"/>
            </w:pPr>
            <w:r/>
            <w:r>
              <w:rPr>
                <w:rFonts w:ascii="Arial" w:hAnsi="Arial"/>
                <w:b w:val="0"/>
                <w:sz w:val="14"/>
              </w:rPr>
              <w:t>Model-to-society levels, lifecycle phases, and documentary cases.</w:t>
            </w:r>
          </w:p>
        </w:tc>
        <w:tc>
          <w:tcPr>
            <w:tcW w:type="dxa" w:w="3384"/>
            <w:vAlign w:val="top"/>
          </w:tcPr>
          <w:p>
            <w:pPr>
              <w:jc w:val="left"/>
            </w:pPr>
            <w:r/>
            <w:r>
              <w:rPr>
                <w:rFonts w:ascii="Arial" w:hAnsi="Arial"/>
                <w:b w:val="0"/>
                <w:sz w:val="14"/>
              </w:rPr>
              <w:t>Scope is illustrative, not exhaustive.</w:t>
            </w:r>
          </w:p>
        </w:tc>
      </w:tr>
      <w:tr>
        <w:trPr>
          <w:cantSplit/>
        </w:trPr>
        <w:tc>
          <w:tcPr>
            <w:tcW w:type="dxa" w:w="2088"/>
            <w:vAlign w:val="top"/>
          </w:tcPr>
          <w:p>
            <w:pPr>
              <w:jc w:val="left"/>
            </w:pPr>
            <w:r/>
            <w:r>
              <w:rPr>
                <w:rFonts w:ascii="Arial" w:hAnsi="Arial"/>
                <w:b w:val="0"/>
                <w:sz w:val="14"/>
              </w:rPr>
              <w:t>Boundary conditions</w:t>
            </w:r>
          </w:p>
        </w:tc>
        <w:tc>
          <w:tcPr>
            <w:tcW w:type="dxa" w:w="5112"/>
            <w:vAlign w:val="top"/>
          </w:tcPr>
          <w:p>
            <w:pPr>
              <w:jc w:val="left"/>
            </w:pPr>
            <w:r/>
            <w:r>
              <w:rPr>
                <w:rFonts w:ascii="Arial" w:hAnsi="Arial"/>
                <w:b w:val="0"/>
                <w:sz w:val="14"/>
              </w:rPr>
              <w:t>Explicit non-claims regarding validation, prevalence, compliance, and universal control effectiveness.</w:t>
            </w:r>
          </w:p>
        </w:tc>
        <w:tc>
          <w:tcPr>
            <w:tcW w:type="dxa" w:w="3384"/>
            <w:vAlign w:val="top"/>
          </w:tcPr>
          <w:p>
            <w:pPr>
              <w:jc w:val="left"/>
            </w:pPr>
            <w:r/>
            <w:r>
              <w:rPr>
                <w:rFonts w:ascii="Arial" w:hAnsi="Arial"/>
                <w:b w:val="0"/>
                <w:sz w:val="14"/>
              </w:rPr>
              <w:t>Sector-specific boundaries remain to be specified by users.</w:t>
            </w:r>
          </w:p>
        </w:tc>
      </w:tr>
      <w:tr>
        <w:trPr>
          <w:cantSplit/>
        </w:trPr>
        <w:tc>
          <w:tcPr>
            <w:tcW w:type="dxa" w:w="2088"/>
            <w:vAlign w:val="top"/>
          </w:tcPr>
          <w:p>
            <w:pPr>
              <w:jc w:val="left"/>
            </w:pPr>
            <w:r/>
            <w:r>
              <w:rPr>
                <w:rFonts w:ascii="Arial" w:hAnsi="Arial"/>
                <w:b w:val="0"/>
                <w:sz w:val="14"/>
              </w:rPr>
              <w:t>Generativity and revisability</w:t>
            </w:r>
          </w:p>
        </w:tc>
        <w:tc>
          <w:tcPr>
            <w:tcW w:type="dxa" w:w="5112"/>
            <w:vAlign w:val="top"/>
          </w:tcPr>
          <w:p>
            <w:pPr>
              <w:jc w:val="left"/>
            </w:pPr>
            <w:r/>
            <w:r>
              <w:rPr>
                <w:rFonts w:ascii="Arial" w:hAnsi="Arial"/>
                <w:b w:val="0"/>
                <w:sz w:val="14"/>
              </w:rPr>
              <w:t>Versioned identifiers, relations, competency questions, and migration-ready files.</w:t>
            </w:r>
          </w:p>
        </w:tc>
        <w:tc>
          <w:tcPr>
            <w:tcW w:type="dxa" w:w="3384"/>
            <w:vAlign w:val="top"/>
          </w:tcPr>
          <w:p>
            <w:pPr>
              <w:jc w:val="left"/>
            </w:pPr>
            <w:r/>
            <w:r>
              <w:rPr>
                <w:rFonts w:ascii="Arial" w:hAnsi="Arial"/>
                <w:b w:val="0"/>
                <w:sz w:val="14"/>
              </w:rPr>
              <w:t>No permanent namespace or repository DOI is inserted until author deposit.</w:t>
            </w:r>
          </w:p>
        </w:tc>
      </w:tr>
      <w:tr>
        <w:trPr>
          <w:cantSplit/>
        </w:trPr>
        <w:tc>
          <w:tcPr>
            <w:tcW w:type="dxa" w:w="2088"/>
            <w:vAlign w:val="top"/>
          </w:tcPr>
          <w:p>
            <w:pPr>
              <w:jc w:val="left"/>
            </w:pPr>
            <w:r/>
            <w:r>
              <w:rPr>
                <w:rFonts w:ascii="Arial" w:hAnsi="Arial"/>
                <w:b w:val="0"/>
                <w:sz w:val="14"/>
              </w:rPr>
              <w:t>Practical interpretability</w:t>
            </w:r>
          </w:p>
        </w:tc>
        <w:tc>
          <w:tcPr>
            <w:tcW w:type="dxa" w:w="5112"/>
            <w:vAlign w:val="top"/>
          </w:tcPr>
          <w:p>
            <w:pPr>
              <w:jc w:val="left"/>
            </w:pPr>
            <w:r/>
            <w:r>
              <w:rPr>
                <w:rFonts w:ascii="Arial" w:hAnsi="Arial"/>
                <w:b w:val="0"/>
                <w:sz w:val="14"/>
              </w:rPr>
              <w:t>Risk-Control-Evidence record and worked Uber/agentic examples.</w:t>
            </w:r>
          </w:p>
        </w:tc>
        <w:tc>
          <w:tcPr>
            <w:tcW w:type="dxa" w:w="3384"/>
            <w:vAlign w:val="top"/>
          </w:tcPr>
          <w:p>
            <w:pPr>
              <w:jc w:val="left"/>
            </w:pPr>
            <w:r/>
            <w:r>
              <w:rPr>
                <w:rFonts w:ascii="Arial" w:hAnsi="Arial"/>
                <w:b w:val="0"/>
                <w:sz w:val="14"/>
              </w:rPr>
              <w:t>Usability is not empirically tested.</w:t>
            </w:r>
          </w:p>
        </w:tc>
      </w:tr>
    </w:tbl>
    <w:p>
      <w:pPr>
        <w:pStyle w:val="Heading1"/>
      </w:pPr>
      <w:r>
        <w:t>12 Expanded accountability roles for Risk-Control-Evidence records</w:t>
      </w:r>
    </w:p>
    <w:p>
      <w:r>
        <w:t>A complete record distinguishes claim owner, control owner, evidence producer, and decision authority. The same organization may perform more than one role, but the roles remain separate to prevent self-generated evidence from being mistaken for independent acceptance or to obscure who can stop operation.</w:t>
      </w:r>
    </w:p>
    <w:tbl>
      <w:tblPr>
        <w:tblStyle w:val="TableGrid"/>
        <w:tblW w:type="auto" w:w="0"/>
        <w:jc w:val="center"/>
        <w:tblLook w:firstColumn="1" w:firstRow="1" w:lastColumn="0" w:lastRow="0" w:noHBand="0" w:noVBand="1" w:val="04A0"/>
      </w:tblPr>
      <w:tblGrid>
        <w:gridCol w:w="3264"/>
        <w:gridCol w:w="3264"/>
        <w:gridCol w:w="3264"/>
      </w:tblGrid>
      <w:tr>
        <w:trPr>
          <w:tblHeader w:val="true"/>
          <w:cantSplit/>
        </w:trPr>
        <w:tc>
          <w:tcPr>
            <w:tcW w:type="dxa" w:w="2016"/>
            <w:vAlign w:val="top"/>
          </w:tcPr>
          <w:p>
            <w:pPr>
              <w:jc w:val="left"/>
            </w:pPr>
            <w:r/>
            <w:r>
              <w:rPr>
                <w:rFonts w:ascii="Arial" w:hAnsi="Arial"/>
                <w:b/>
                <w:sz w:val="15"/>
              </w:rPr>
              <w:t>Role</w:t>
            </w:r>
          </w:p>
        </w:tc>
        <w:tc>
          <w:tcPr>
            <w:tcW w:type="dxa" w:w="3744"/>
            <w:vAlign w:val="top"/>
          </w:tcPr>
          <w:p>
            <w:pPr>
              <w:jc w:val="left"/>
            </w:pPr>
            <w:r/>
            <w:r>
              <w:rPr>
                <w:rFonts w:ascii="Arial" w:hAnsi="Arial"/>
                <w:b/>
                <w:sz w:val="15"/>
              </w:rPr>
              <w:t>Question</w:t>
            </w:r>
          </w:p>
        </w:tc>
        <w:tc>
          <w:tcPr>
            <w:tcW w:type="dxa" w:w="4824"/>
            <w:vAlign w:val="top"/>
          </w:tcPr>
          <w:p>
            <w:pPr>
              <w:jc w:val="left"/>
            </w:pPr>
            <w:r/>
            <w:r>
              <w:rPr>
                <w:rFonts w:ascii="Arial" w:hAnsi="Arial"/>
                <w:b/>
                <w:sz w:val="15"/>
              </w:rPr>
              <w:t>Uber worked-case illustration</w:t>
            </w:r>
          </w:p>
        </w:tc>
      </w:tr>
      <w:tr>
        <w:trPr>
          <w:cantSplit/>
        </w:trPr>
        <w:tc>
          <w:tcPr>
            <w:tcW w:type="dxa" w:w="2016"/>
            <w:vAlign w:val="top"/>
          </w:tcPr>
          <w:p>
            <w:pPr>
              <w:jc w:val="left"/>
            </w:pPr>
            <w:r/>
            <w:r>
              <w:rPr>
                <w:rFonts w:ascii="Arial" w:hAnsi="Arial"/>
                <w:b w:val="0"/>
                <w:sz w:val="14"/>
              </w:rPr>
              <w:t>Claim owner</w:t>
            </w:r>
          </w:p>
        </w:tc>
        <w:tc>
          <w:tcPr>
            <w:tcW w:type="dxa" w:w="3744"/>
            <w:vAlign w:val="top"/>
          </w:tcPr>
          <w:p>
            <w:pPr>
              <w:jc w:val="left"/>
            </w:pPr>
            <w:r/>
            <w:r>
              <w:rPr>
                <w:rFonts w:ascii="Arial" w:hAnsi="Arial"/>
                <w:b w:val="0"/>
                <w:sz w:val="14"/>
              </w:rPr>
              <w:t>Who maintains and revises the safety or assurance claim?</w:t>
            </w:r>
          </w:p>
        </w:tc>
        <w:tc>
          <w:tcPr>
            <w:tcW w:type="dxa" w:w="4824"/>
            <w:vAlign w:val="top"/>
          </w:tcPr>
          <w:p>
            <w:pPr>
              <w:jc w:val="left"/>
            </w:pPr>
            <w:r/>
            <w:r>
              <w:rPr>
                <w:rFonts w:ascii="Arial" w:hAnsi="Arial"/>
                <w:b w:val="0"/>
                <w:sz w:val="14"/>
              </w:rPr>
              <w:t>Programme safety lead or assurance lead.</w:t>
            </w:r>
          </w:p>
        </w:tc>
      </w:tr>
      <w:tr>
        <w:trPr>
          <w:cantSplit/>
        </w:trPr>
        <w:tc>
          <w:tcPr>
            <w:tcW w:type="dxa" w:w="2016"/>
            <w:vAlign w:val="top"/>
          </w:tcPr>
          <w:p>
            <w:pPr>
              <w:jc w:val="left"/>
            </w:pPr>
            <w:r/>
            <w:r>
              <w:rPr>
                <w:rFonts w:ascii="Arial" w:hAnsi="Arial"/>
                <w:b w:val="0"/>
                <w:sz w:val="14"/>
              </w:rPr>
              <w:t>Control owner</w:t>
            </w:r>
          </w:p>
        </w:tc>
        <w:tc>
          <w:tcPr>
            <w:tcW w:type="dxa" w:w="3744"/>
            <w:vAlign w:val="top"/>
          </w:tcPr>
          <w:p>
            <w:pPr>
              <w:jc w:val="left"/>
            </w:pPr>
            <w:r/>
            <w:r>
              <w:rPr>
                <w:rFonts w:ascii="Arial" w:hAnsi="Arial"/>
                <w:b w:val="0"/>
                <w:sz w:val="14"/>
              </w:rPr>
              <w:t>Who implements, operates, and maintains the control?</w:t>
            </w:r>
          </w:p>
        </w:tc>
        <w:tc>
          <w:tcPr>
            <w:tcW w:type="dxa" w:w="4824"/>
            <w:vAlign w:val="top"/>
          </w:tcPr>
          <w:p>
            <w:pPr>
              <w:jc w:val="left"/>
            </w:pPr>
            <w:r/>
            <w:r>
              <w:rPr>
                <w:rFonts w:ascii="Arial" w:hAnsi="Arial"/>
                <w:b w:val="0"/>
                <w:sz w:val="14"/>
              </w:rPr>
              <w:t>System architect, operations manager, programme executive, or supervisory function depending on the control.</w:t>
            </w:r>
          </w:p>
        </w:tc>
      </w:tr>
      <w:tr>
        <w:trPr>
          <w:cantSplit/>
        </w:trPr>
        <w:tc>
          <w:tcPr>
            <w:tcW w:type="dxa" w:w="2016"/>
            <w:vAlign w:val="top"/>
          </w:tcPr>
          <w:p>
            <w:pPr>
              <w:jc w:val="left"/>
            </w:pPr>
            <w:r/>
            <w:r>
              <w:rPr>
                <w:rFonts w:ascii="Arial" w:hAnsi="Arial"/>
                <w:b w:val="0"/>
                <w:sz w:val="14"/>
              </w:rPr>
              <w:t>Evidence producer</w:t>
            </w:r>
          </w:p>
        </w:tc>
        <w:tc>
          <w:tcPr>
            <w:tcW w:type="dxa" w:w="3744"/>
            <w:vAlign w:val="top"/>
          </w:tcPr>
          <w:p>
            <w:pPr>
              <w:jc w:val="left"/>
            </w:pPr>
            <w:r/>
            <w:r>
              <w:rPr>
                <w:rFonts w:ascii="Arial" w:hAnsi="Arial"/>
                <w:b w:val="0"/>
                <w:sz w:val="14"/>
              </w:rPr>
              <w:t>Who generates the test, monitoring, audit, or investigation artifact?</w:t>
            </w:r>
          </w:p>
        </w:tc>
        <w:tc>
          <w:tcPr>
            <w:tcW w:type="dxa" w:w="4824"/>
            <w:vAlign w:val="top"/>
          </w:tcPr>
          <w:p>
            <w:pPr>
              <w:jc w:val="left"/>
            </w:pPr>
            <w:r/>
            <w:r>
              <w:rPr>
                <w:rFonts w:ascii="Arial" w:hAnsi="Arial"/>
                <w:b w:val="0"/>
                <w:sz w:val="14"/>
              </w:rPr>
              <w:t>Independent test team, human-factors team, event-data and investigation function, or applicant/assessor.</w:t>
            </w:r>
          </w:p>
        </w:tc>
      </w:tr>
      <w:tr>
        <w:trPr>
          <w:cantSplit/>
        </w:trPr>
        <w:tc>
          <w:tcPr>
            <w:tcW w:type="dxa" w:w="2016"/>
            <w:vAlign w:val="top"/>
          </w:tcPr>
          <w:p>
            <w:pPr>
              <w:jc w:val="left"/>
            </w:pPr>
            <w:r/>
            <w:r>
              <w:rPr>
                <w:rFonts w:ascii="Arial" w:hAnsi="Arial"/>
                <w:b w:val="0"/>
                <w:sz w:val="14"/>
              </w:rPr>
              <w:t>Decision authority</w:t>
            </w:r>
          </w:p>
        </w:tc>
        <w:tc>
          <w:tcPr>
            <w:tcW w:type="dxa" w:w="3744"/>
            <w:vAlign w:val="top"/>
          </w:tcPr>
          <w:p>
            <w:pPr>
              <w:jc w:val="left"/>
            </w:pPr>
            <w:r/>
            <w:r>
              <w:rPr>
                <w:rFonts w:ascii="Arial" w:hAnsi="Arial"/>
                <w:b w:val="0"/>
                <w:sz w:val="14"/>
              </w:rPr>
              <w:t>Who can accept, restrict, suspend, recall, or reject operation?</w:t>
            </w:r>
          </w:p>
        </w:tc>
        <w:tc>
          <w:tcPr>
            <w:tcW w:type="dxa" w:w="4824"/>
            <w:vAlign w:val="top"/>
          </w:tcPr>
          <w:p>
            <w:pPr>
              <w:jc w:val="left"/>
            </w:pPr>
            <w:r/>
            <w:r>
              <w:rPr>
                <w:rFonts w:ascii="Arial" w:hAnsi="Arial"/>
                <w:b w:val="0"/>
                <w:sz w:val="14"/>
              </w:rPr>
              <w:t>Internal safety release authority and competent public-road permitting or surveillance authority.</w:t>
            </w:r>
          </w:p>
        </w:tc>
      </w:tr>
    </w:tbl>
    <w:p>
      <w:r>
        <w:t>Retrospective control implications are counterfactual analytical questions. They identify where controls and evidence would have been relevant; they do not establish that a single proposed measure would necessarily have prevented the documented event.</w:t>
      </w:r>
    </w:p>
    <w:sectPr>
      <w:headerReference w:type="default" r:id="rId14"/>
      <w:footerReference w:type="default" r:id="rId15"/>
      <w:headerReference w:type="first" r:id="rId16"/>
      <w:headerReference w:type="even" r:id="rId17"/>
      <w:footerReference w:type="first" r:id="rId18"/>
      <w:footerReference w:type="even" r:id="rId19"/>
      <w:pgSz w:w="12240" w:h="15840"/>
      <w:pgMar w:top="1224"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uppressLineNumbers/>
      <w:numPr>
        <w:numId w:val="0"/>
      </w:numPr>
      <w:jc w:val="center"/>
    </w:pPr>
    <w:r>
      <w:rPr>
        <w:rFonts w:ascii="Times New Roman" w:hAnsi="Times New Roman"/>
        <w:sz w:val="18"/>
      </w:r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uppressLineNumbers/>
      <w:numPr>
        <w:numId w:val="0"/>
      </w:numP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uppressLineNumbers/>
      <w:numPr>
        <w:numId w:val="0"/>
      </w:num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uppressLineNumbers/>
      <w:numPr>
        <w:numId w:val="0"/>
      </w:numP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uppressLineNumbers/>
      <w:numPr>
        <w:numId w:val="0"/>
      </w:numP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uppressLineNumbers/>
      <w:numPr>
        <w:numId w:val="0"/>
      </w:num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F75B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F75B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oter" Target="footer2.xml"/><Relationship Id="rId19" Type="http://schemas.openxmlformats.org/officeDocument/2006/relationships/footer" Target="footer3.xml"/></Relationships>
</file>

<file path=word/theme/theme1.xml><?xml version="1.0" encoding="utf-8"?>
<a:theme xmlns:a="http://schemas.openxmlformats.org/drawingml/2006/main" name="FCAIRO">
  <a:themeElements>
    <a:clrScheme name="FCAIR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CAIRO">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CAIR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of Risk in AI Systems Revisited: FCAIR-O, a Faceted Causal Framework and Lightweight Ontology for Risk Management and Assurance</dc:title>
  <dc:subject>Artificial Intelligence Review</dc:subject>
  <dc:creator>Moritz Schneider; André Steimers</dc:creator>
  <cp:keywords>FCAIR-O; v1.2.1</cp:keywords>
  <dc:description>Moritz Schneider: Independent researcher, 56567 Neuwied, Germany
André Steimers: Department of Mathematics, Computer Science and Technology, Koblenz University of Applied Sciences, Remagen Campus, Remagen, Germany
Corresponding author: Moritz Schneider</dc:description>
  <cp:lastModifiedBy/>
  <cp:revision>2</cp:revision>
  <dcterms:created xsi:type="dcterms:W3CDTF">2026-10-10T11:43:23Z</dcterms:created>
  <dcterms:modified xsi:type="dcterms:W3CDTF">2026-10-10T14:00:01Z</dcterms:modified>
  <cp:category>Research material</cp:category>
</cp:coreProperties>
</file>

<file path=docProps/custom.xml><?xml version="1.0" encoding="utf-8"?>
<Properties xmlns="http://schemas.openxmlformats.org/officeDocument/2006/custom-properties" xmlns:vt="http://schemas.openxmlformats.org/officeDocument/2006/docPropsVTypes"/>
</file>