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Methods amendment and gate reconciliation</w:t>
      </w:r>
    </w:p>
    <w:p>
      <w:pPr>
        <w:pStyle w:val="Subtitle"/>
      </w:pPr>
      <w:r>
        <w:t>FCAIR-O v1.2.1</w:t>
      </w:r>
    </w:p>
    <w:p>
      <w:r>
        <w:t>Sources of Risk in AI Systems Revisited: FCAIR-O, a Faceted Causal Framework and Lightweight Ontology for Risk Management and Assurance</w:t>
      </w:r>
    </w:p>
    <w:p>
      <w:r>
        <w:t>Journal: Artificial Intelligence Review</w:t>
      </w:r>
    </w:p>
    <w:p>
      <w:pPr>
        <w:pStyle w:val="Normal"/>
        <w:keepNext/>
        <w:spacing w:before="0" w:after="60"/>
      </w:pPr>
      <w:r>
        <w:rPr>
          <w:b/>
        </w:rPr>
        <w:t>Authors: Moritz Schneider; André Steimers</w:t>
      </w:r>
    </w:p>
    <w:p>
      <w:pPr>
        <w:pStyle w:val="Normal"/>
        <w:keepNext/>
        <w:spacing w:before="0" w:after="40"/>
      </w:pPr>
      <w:r>
        <w:rPr>
          <w:sz w:val="20"/>
        </w:rPr>
        <w:t>Moritz Schneider: Independent researcher, 56567 Neuwied, Germany</w:t>
      </w:r>
    </w:p>
    <w:p>
      <w:pPr>
        <w:pStyle w:val="Normal"/>
        <w:keepNext/>
        <w:spacing w:before="0" w:after="40"/>
      </w:pPr>
      <w:r>
        <w:rPr>
          <w:sz w:val="20"/>
        </w:rPr>
        <w:t>André Steimers: Department of Mathematics, Computer Science and Technology, Koblenz University of Applied Sciences, Remagen Campus, Remagen, Germany</w:t>
      </w:r>
    </w:p>
    <w:p>
      <w:pPr>
        <w:pStyle w:val="Normal"/>
        <w:keepNext/>
        <w:spacing w:before="0" w:after="40"/>
      </w:pPr>
      <w:r>
        <w:rPr>
          <w:sz w:val="20"/>
        </w:rPr>
        <w:t>Corresponding author: Moritz Schneider</w:t>
      </w:r>
    </w:p>
    <w:p>
      <w:r>
        <w:t>Amendment AM-2026-10-10-01. Prepared 2026-10-10. Material cutoff: 25 July 2026, 23:59 CEST.</w:t>
      </w:r>
    </w:p>
    <w:p>
      <w:pPr>
        <w:pStyle w:val="Heading1"/>
      </w:pPr>
      <w:r>
        <w:t>1 Operative design and reason for amendment</w:t>
      </w:r>
    </w:p>
    <w:p>
      <w:r>
        <w:t>The retained v1.0 protocol envisaged systematic mapping, database-native searches, a full screening flow, citation-network analysis and broader validation. Those plans exceed what the accessible research record demonstrates. The supplied main article already limits its contribution to critical integrative conceptual synthesis, best-fit framework analysis, doctrinal and standards interpretation, documentary illustration and lightweight-ontology implementation. This amendment reconciles the record with that design. It documents a retrospective correction, not prospective registration or a reconstructed research history.</w:t>
      </w:r>
    </w:p>
    <w:p>
      <w:r>
        <w:t>The protocol referred to eight questions in an unavailable Research Contract. That document is not recreated. The five research questions actually used in the current article are reproduced below. The material cutoff remains fixed; source-location, edition and status corrections verified during this release concern material already available by that cutoff.</w:t>
      </w:r>
    </w:p>
    <w:p>
      <w:pPr>
        <w:pStyle w:val="Heading1"/>
      </w:pPr>
      <w:r>
        <w:t>2 Current research questions</w:t>
      </w:r>
    </w:p>
    <w:tbl>
      <w:tblPr>
        <w:tblStyle w:val="TableGrid"/>
        <w:tblW w:type="auto" w:w="0"/>
        <w:jc w:val="center"/>
        <w:tblLayout w:type="fixed"/>
        <w:tblLook w:firstColumn="1" w:firstRow="1" w:lastColumn="0" w:lastRow="0" w:noHBand="0" w:noVBand="1" w:val="04A0"/>
      </w:tblPr>
      <w:tblGrid>
        <w:gridCol w:w="850"/>
        <w:gridCol w:w="8787"/>
      </w:tblGrid>
      <w:tr>
        <w:trPr>
          <w:tblHeader/>
          <w:cantSplit/>
        </w:trPr>
        <w:tc>
          <w:tcPr>
            <w:tcW w:type="dxa" w:w="85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ID</w:t>
            </w:r>
          </w:p>
        </w:tc>
        <w:tc>
          <w:tcPr>
            <w:tcW w:type="dxa" w:w="878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Question</w:t>
            </w:r>
          </w:p>
        </w:tc>
      </w:tr>
      <w:tr>
        <w:trPr>
          <w:cantSplit/>
        </w:trPr>
        <w:tc>
          <w:tcPr>
            <w:tcW w:type="dxa" w:w="85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RQ1</w:t>
            </w:r>
          </w:p>
        </w:tc>
        <w:tc>
          <w:tcPr>
            <w:tcW w:type="dxa" w:w="878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Which elements of the 2022 taxonomy and risk-management process remain conceptually defensible by July 2026?</w:t>
            </w:r>
          </w:p>
        </w:tc>
      </w:tr>
      <w:tr>
        <w:trPr>
          <w:cantSplit/>
        </w:trPr>
        <w:tc>
          <w:tcPr>
            <w:tcW w:type="dxa" w:w="85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RQ2</w:t>
            </w:r>
          </w:p>
        </w:tc>
        <w:tc>
          <w:tcPr>
            <w:tcW w:type="dxa" w:w="878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Which sources, mechanisms and contexts have become materially more salient through foundation, generative, multimodal, retrieval-augmented and agentic AI?</w:t>
            </w:r>
          </w:p>
        </w:tc>
      </w:tr>
      <w:tr>
        <w:trPr>
          <w:cantSplit/>
        </w:trPr>
        <w:tc>
          <w:tcPr>
            <w:tcW w:type="dxa" w:w="85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RQ3</w:t>
            </w:r>
          </w:p>
        </w:tc>
        <w:tc>
          <w:tcPr>
            <w:tcW w:type="dxa" w:w="878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How can model-, component-, system-, human-, organizational-, value-chain-, institutional- and societal-level sources be distinguished without losing interaction and feedback?</w:t>
            </w:r>
          </w:p>
        </w:tc>
      </w:tr>
      <w:tr>
        <w:trPr>
          <w:cantSplit/>
        </w:trPr>
        <w:tc>
          <w:tcPr>
            <w:tcW w:type="dxa" w:w="85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RQ4</w:t>
            </w:r>
          </w:p>
        </w:tc>
        <w:tc>
          <w:tcPr>
            <w:tcW w:type="dxa" w:w="878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Where do research, documentary cases, technical frameworks, law, case law and standards converge or conflict concerning sources, controls and evidence?</w:t>
            </w:r>
          </w:p>
        </w:tc>
      </w:tr>
      <w:tr>
        <w:trPr>
          <w:cantSplit/>
        </w:trPr>
        <w:tc>
          <w:tcPr>
            <w:tcW w:type="dxa" w:w="850"/>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RQ5</w:t>
            </w:r>
          </w:p>
        </w:tc>
        <w:tc>
          <w:tcPr>
            <w:tcW w:type="dxa" w:w="878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Which conceptual consequences follow from replacing the 2022 two-block taxonomy with a role-separated faceted causal framework, and which claims remain outside the conceptual study?</w:t>
            </w:r>
          </w:p>
        </w:tc>
      </w:tr>
    </w:tbl>
    <w:p>
      <w:pPr>
        <w:pStyle w:val="Heading1"/>
      </w:pPr>
      <w:r>
        <w:t>3 Historical scope and current reconciliation</w:t>
      </w:r>
    </w:p>
    <w:tbl>
      <w:tblPr>
        <w:tblStyle w:val="TableGrid"/>
        <w:tblW w:type="auto" w:w="0"/>
        <w:jc w:val="center"/>
        <w:tblLayout w:type="fixed"/>
        <w:tblLook w:firstColumn="1" w:firstRow="1" w:lastColumn="0" w:lastRow="0" w:noHBand="0" w:noVBand="1" w:val="04A0"/>
      </w:tblPr>
      <w:tblGrid>
        <w:gridCol w:w="2665"/>
        <w:gridCol w:w="964"/>
        <w:gridCol w:w="964"/>
        <w:gridCol w:w="1077"/>
        <w:gridCol w:w="3969"/>
      </w:tblGrid>
      <w:tr>
        <w:trPr>
          <w:tblHeader/>
          <w:cantSplit/>
        </w:trPr>
        <w:tc>
          <w:tcPr>
            <w:tcW w:type="dxa" w:w="26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Record state</w:t>
            </w:r>
          </w:p>
        </w:tc>
        <w:tc>
          <w:tcPr>
            <w:tcW w:type="dxa" w:w="96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Evidence</w:t>
            </w:r>
          </w:p>
        </w:tc>
        <w:tc>
          <w:tcPr>
            <w:tcW w:type="dxa" w:w="96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Legal</w:t>
            </w:r>
          </w:p>
        </w:tc>
        <w:tc>
          <w:tcPr>
            <w:tcW w:type="dxa" w:w="107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Standards</w:t>
            </w:r>
          </w:p>
        </w:tc>
        <w:tc>
          <w:tcPr>
            <w:tcW w:type="dxa" w:w="396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Interpretation</w:t>
            </w:r>
          </w:p>
        </w:tc>
      </w:tr>
      <w:tr>
        <w:trPr>
          <w:cantSplit/>
        </w:trPr>
        <w:tc>
          <w:tcPr>
            <w:tcW w:type="dxa" w:w="26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25 July 2026, 16:19 CEST</w:t>
            </w:r>
          </w:p>
        </w:tc>
        <w:tc>
          <w:tcPr>
            <w:tcW w:type="dxa" w:w="96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54</w:t>
            </w:r>
          </w:p>
        </w:tc>
        <w:tc>
          <w:tcPr>
            <w:tcW w:type="dxa" w:w="96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38</w:t>
            </w:r>
          </w:p>
        </w:tc>
        <w:tc>
          <w:tcPr>
            <w:tcW w:type="dxa" w:w="107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39</w:t>
            </w:r>
          </w:p>
        </w:tc>
        <w:tc>
          <w:tcPr>
            <w:tcW w:type="dxa" w:w="396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131 records in the historical Gate-C metadata audit. Original incomplete gate result retained.</w:t>
            </w:r>
          </w:p>
        </w:tc>
      </w:tr>
      <w:tr>
        <w:trPr>
          <w:cantSplit/>
        </w:trPr>
        <w:tc>
          <w:tcPr>
            <w:tcW w:type="dxa" w:w="26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Final cutoff consolidation</w:t>
            </w:r>
          </w:p>
        </w:tc>
        <w:tc>
          <w:tcPr>
            <w:tcW w:type="dxa" w:w="96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69</w:t>
            </w:r>
          </w:p>
        </w:tc>
        <w:tc>
          <w:tcPr>
            <w:tcW w:type="dxa" w:w="96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44</w:t>
            </w:r>
          </w:p>
        </w:tc>
        <w:tc>
          <w:tcPr>
            <w:tcW w:type="dxa" w:w="107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47</w:t>
            </w:r>
          </w:p>
        </w:tc>
        <w:tc>
          <w:tcPr>
            <w:tcW w:type="dxa" w:w="396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160 stream records. Adds 15 evidence, 6 legal and 8 standards records, 29 in total, beyond the earlier audit.</w:t>
            </w:r>
          </w:p>
        </w:tc>
      </w:tr>
      <w:tr>
        <w:trPr>
          <w:cantSplit/>
        </w:trPr>
        <w:tc>
          <w:tcPr>
            <w:tcW w:type="dxa" w:w="266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Correction v1.2.1</w:t>
            </w:r>
          </w:p>
        </w:tc>
        <w:tc>
          <w:tcPr>
            <w:tcW w:type="dxa" w:w="96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69</w:t>
            </w:r>
          </w:p>
        </w:tc>
        <w:tc>
          <w:tcPr>
            <w:tcW w:type="dxa" w:w="96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44</w:t>
            </w:r>
          </w:p>
        </w:tc>
        <w:tc>
          <w:tcPr>
            <w:tcW w:type="dxa" w:w="1077"/>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49</w:t>
            </w:r>
          </w:p>
        </w:tc>
        <w:tc>
          <w:tcPr>
            <w:tcW w:type="dxa" w:w="396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162 stream records. Adds S048 ISO 31000:2018 and S049 C(2025) 3871/M/613, both pre-cutoff documents.</w:t>
            </w:r>
          </w:p>
        </w:tc>
      </w:tr>
    </w:tbl>
    <w:p>
      <w:r>
        <w:t>These are register-record counts rather than unique-publication counts. The 24 documentary cases and 126 crosswalk rows are separate analytical units. OR1_Revision_Integrity_Audit.xlsx and .csv list every current evidence/legal/standards ID, whether it appeared in the historical audit, its normalized identity, duplicate checks, source location, and actual review date. The historical audit is not overwritten by this current reconciliation.</w:t>
      </w:r>
    </w:p>
    <w:p>
      <w:pPr>
        <w:pStyle w:val="Heading1"/>
      </w:pPr>
      <w:r>
        <w:t>4 Disposition of the original Gate-C criteria</w:t>
      </w:r>
    </w:p>
    <w:tbl>
      <w:tblPr>
        <w:tblStyle w:val="TableGrid"/>
        <w:tblW w:type="auto" w:w="0"/>
        <w:jc w:val="center"/>
        <w:tblLayout w:type="fixed"/>
        <w:tblLook w:firstColumn="1" w:firstRow="1" w:lastColumn="0" w:lastRow="0" w:noHBand="0" w:noVBand="1" w:val="04A0"/>
      </w:tblPr>
      <w:tblGrid>
        <w:gridCol w:w="1814"/>
        <w:gridCol w:w="4139"/>
        <w:gridCol w:w="3685"/>
      </w:tblGrid>
      <w:tr>
        <w:trPr>
          <w:tblHeade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ID and original state</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Current interpretation and evidence</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DCE6F1"/>
          </w:tcPr>
          <w:p>
            <w:pPr>
              <w:spacing w:after="60" w:before="60"/>
            </w:pPr>
            <w:r>
              <w:rPr>
                <w:b/>
                <w:sz w:val="17"/>
              </w:rPr>
              <w:t>Status or remaining limit</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GC01 Partly satisfied</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All current record identities enter the technical reconciliation. Corrected bibliography identities, editions and links are documented in the claim map and bibliography verification file.</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Technical reconciliation is distinct from a comprehensive human full-text, correction and retraction audit. Author review remains necessary.</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GC02 Partly satisfied</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Legal register corrections distinguish final guidelines, actual decisions, official communications and procedural status.</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Source-specific legal interpretation and applicability remain author responsibilities. No complete commercial legal-database coverage is claimed.</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GC03 Partly satisfied</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49 records distinguish publication, draft stage, repealed request, successor request and OJEU limits. Corrected scope and official identities are documented.</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No inaccessible normative full text is represented as read. Clause-level use remains limited to lawful access.</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GC04 Satisfied for current records</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Version and evidence-status fields remain explicit. The correction uses actual new verification dates.</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Preserved with current metadata corrections, not a new independent assessment.</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GC05 Satisfied for historical snapshots</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The current audit recomputes within-register normalized identifier and title duplicates for all 162 records.</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See the executed row-level results. Cross-register repetition may represent distinct evidentiary functions.</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GC06 Partly satisfied</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The correction resolves identified source metadata, scope, status, hierarchy, coverage, semantic-role and figure-version conflicts. Historical contradiction records are retained.</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Unresolved conceptual judgments and inaccessible evidence are not relabeled as settled facts.</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GC07 Not satisfied at 16:19</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The later supplied cutoff sweep contains 12 queries, 31 project additions and seven recorded checks. Those files have been inspected and preserved.</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The historical intraday failure remains true; the later documented sweep is acknowledged without fabricating another search.</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GC08 Not satisfied</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Database-native systematic searches and exports were unavailable.</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Outside the revised conceptual completeness claim; work remains unperformed, not retrospectively passed.</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GC09 Not satisfied</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No complete result universe or record-level exclusion log exists. The screening note states the limit.</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Outside the revised completeness claim; no inferred PRISMA counts or screening records.</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GC10 Not satisfied</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Chaining was initiated but a complete citation graph was not obtained.</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Complete citation-network or bibliographic-saturation claims are excluded.</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GC11 Not satisfied</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24 purposive documentary cases illustrate the construct. The old target of 100 was aspirational.</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tcPr>
          <w:p>
            <w:pPr>
              <w:spacing w:after="60" w:before="60"/>
            </w:pPr>
            <w:r>
              <w:rPr>
                <w:b w:val="0"/>
                <w:sz w:val="17"/>
              </w:rPr>
              <w:t>A validation-sample criterion is inapplicable to the revised study. This does not establish empirical reliability or breadth.</w:t>
            </w:r>
          </w:p>
        </w:tc>
      </w:tr>
      <w:tr>
        <w:trPr>
          <w:cantSplit/>
        </w:trPr>
        <w:tc>
          <w:tcPr>
            <w:tcW w:type="dxa" w:w="1814"/>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GC12 Not satisfied</w:t>
            </w:r>
          </w:p>
        </w:tc>
        <w:tc>
          <w:tcPr>
            <w:tcW w:type="dxa" w:w="4139"/>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The historical manuscript block is preserved. The corrected release is judged against the stated conceptual scope and actually executed technical checks.</w:t>
            </w:r>
          </w:p>
        </w:tc>
        <w:tc>
          <w:tcPr>
            <w:tcW w:type="dxa" w:w="3685"/>
            <w:vAlign w:val="center"/>
            <w:tcMar>
              <w:top w:w="65" w:type="dxa"/>
              <w:left w:w="65" w:type="dxa"/>
              <w:bottom w:w="65" w:type="dxa"/>
              <w:right w:w="65" w:type="dxa"/>
            </w:tcMar>
            <w:tcBorders>
              <w:top w:val="single" w:sz="4" w:color="D9D9D9"/>
              <w:left w:val="single" w:sz="4" w:color="D9D9D9"/>
              <w:bottom w:val="single" w:sz="4" w:color="D9D9D9"/>
              <w:right w:val="single" w:sz="4" w:color="D9D9D9"/>
            </w:tcBorders>
            <w:shd w:fill="F4F6F8"/>
          </w:tcPr>
          <w:p>
            <w:pPr>
              <w:spacing w:after="60" w:before="60"/>
            </w:pPr>
            <w:r>
              <w:rPr>
                <w:b w:val="0"/>
                <w:sz w:val="17"/>
              </w:rPr>
              <w:t>Technical completion does not supply missing author identification, contributions, source approval or submission authorization. No human release approval is asserted.</w:t>
            </w:r>
          </w:p>
        </w:tc>
      </w:tr>
    </w:tbl>
    <w:p>
      <w:pPr>
        <w:pStyle w:val="Heading1"/>
      </w:pPr>
      <w:r>
        <w:t>5 What was corrected and what was not reconstructed</w:t>
      </w:r>
    </w:p>
    <w:p>
      <w:r>
        <w:t>The current release reconciles the 24-case coverage; codebook counts, CH hierarchy and BC09 boundary rule; candidate associations versus direct conceptual mechanism classifications; conceptual status labels and unsupported completeness metrics; bibliographic identities and standardization status; functioning JSON-LD/RDF and SHACL exports; current editable diagrams; file naming and technical metadata. The retrospective claim-evidence map is newly assembled from traceable source and argument connections. It does not pretend to be a historical research log.</w:t>
      </w:r>
    </w:p>
    <w:p>
      <w:r>
        <w:t>Qualitative appraisal remains the operative method. Proposed 0/1/2 anchors are retained as guidance, not presented as a complete numeric assessment of all sources. No human reviewer, inter-rater agreement, empirical decision benefit, independent validation, repository deposit, DOI, author contribution, or approval is invented. Previously absent primary search universes, full screening exclusions and the Research Contract remain unavailable.</w:t>
      </w:r>
    </w:p>
    <w:p>
      <w:pPr>
        <w:pStyle w:val="Heading1"/>
      </w:pPr>
      <w:r>
        <w:t>6 Traceability and interpretation</w:t>
      </w:r>
    </w:p>
    <w:p>
      <w:r>
        <w:t>The technical QA record identifies executed programs, results and artifact paths. Source identification, direct text inspection where documented, editorial checks, and formal representation tests are distinct kinds of evidence. The final author-review notes identify information that must still be supplied or approved by the responsible authors. These notes are kept outside the publishable methods supplement.</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rial" w:hAnsi="Arial"/>
      <w:b/>
      <w:bCs/>
      <w:color w:val="4F81BD" w:themeColor="accent1"/>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FCAIRO">
  <a:themeElements>
    <a:clrScheme name="FCAIR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CAIRO">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CAIR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Sources of Risk in AI Systems Revisited: FCAIR-O, a Faceted Causal Framework and Lightweight Ontology for Risk Management and Assurance</dc:title>
  <dc:subject>Artificial Intelligence Review</dc:subject>
  <dc:creator>Moritz Schneider; André Steimers</dc:creator>
  <cp:keywords>FCAIR-O; v1.2.1</cp:keywords>
  <dc:description>Moritz Schneider: Independent researcher, 56567 Neuwied, Germany
André Steimers: Department of Mathematics, Computer Science and Technology, Koblenz University of Applied Sciences, Remagen Campus, Remagen, Germany
Corresponding author: Moritz Schneider</dc:description>
  <cp:lastModifiedBy/>
  <cp:revision>2</cp:revision>
  <dcterms:created xsi:type="dcterms:W3CDTF">2026-10-10T11:43:23Z</dcterms:created>
  <dcterms:modified xsi:type="dcterms:W3CDTF">2026-10-10T14:00:01Z</dcterms:modified>
  <cp:category>Research material</cp:category>
</cp:coreProperties>
</file>