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9C386C" w14:textId="5903E8A2" w:rsidR="004F3A60" w:rsidRPr="00B777E1" w:rsidRDefault="004F3A60" w:rsidP="004F3A6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777E1">
        <w:rPr>
          <w:rFonts w:ascii="Arial" w:hAnsi="Arial" w:cs="Arial"/>
          <w:b/>
          <w:bCs/>
          <w:sz w:val="20"/>
          <w:szCs w:val="20"/>
        </w:rPr>
        <w:t>CMV Associated CD4+ T</w:t>
      </w:r>
      <w:r w:rsidRPr="00B777E1">
        <w:rPr>
          <w:rFonts w:ascii="Arial" w:hAnsi="Arial" w:cs="Arial"/>
          <w:b/>
          <w:bCs/>
          <w:sz w:val="20"/>
          <w:szCs w:val="20"/>
          <w:vertAlign w:val="subscript"/>
        </w:rPr>
        <w:t>EMRA</w:t>
      </w:r>
      <w:r w:rsidRPr="00B777E1">
        <w:rPr>
          <w:rFonts w:ascii="Arial" w:hAnsi="Arial" w:cs="Arial"/>
          <w:sz w:val="20"/>
          <w:szCs w:val="20"/>
        </w:rPr>
        <w:t xml:space="preserve"> </w:t>
      </w:r>
      <w:r w:rsidRPr="00B777E1">
        <w:rPr>
          <w:rFonts w:ascii="Arial" w:hAnsi="Arial" w:cs="Arial"/>
          <w:b/>
          <w:bCs/>
          <w:sz w:val="20"/>
          <w:szCs w:val="20"/>
        </w:rPr>
        <w:t>Cell Expansion</w:t>
      </w:r>
      <w:r w:rsidRPr="00B777E1">
        <w:rPr>
          <w:rFonts w:ascii="Arial" w:hAnsi="Arial" w:cs="Arial"/>
          <w:sz w:val="20"/>
          <w:szCs w:val="20"/>
        </w:rPr>
        <w:t xml:space="preserve"> </w:t>
      </w:r>
      <w:r w:rsidRPr="00B777E1">
        <w:rPr>
          <w:rFonts w:ascii="Arial" w:hAnsi="Arial" w:cs="Arial"/>
          <w:b/>
          <w:bCs/>
          <w:sz w:val="20"/>
          <w:szCs w:val="20"/>
        </w:rPr>
        <w:t>and Vaccine Responsiveness in Older Nursing Home Residents</w:t>
      </w:r>
    </w:p>
    <w:p w14:paraId="06D2ECAE" w14:textId="77777777" w:rsidR="00F847CD" w:rsidRPr="00B777E1" w:rsidRDefault="00F847CD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2E587A1" w14:textId="4BFF72FB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  <w:r w:rsidRPr="00B777E1">
        <w:rPr>
          <w:rFonts w:ascii="Arial" w:hAnsi="Arial" w:cs="Arial"/>
          <w:sz w:val="20"/>
          <w:szCs w:val="20"/>
        </w:rPr>
        <w:t xml:space="preserve">Adam H Dyer et al. </w:t>
      </w:r>
    </w:p>
    <w:p w14:paraId="250718E7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398ACEA1" w14:textId="1B3142A4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  <w:r w:rsidRPr="00B777E1">
        <w:rPr>
          <w:rFonts w:ascii="Arial" w:hAnsi="Arial" w:cs="Arial"/>
          <w:sz w:val="20"/>
          <w:szCs w:val="20"/>
        </w:rPr>
        <w:t xml:space="preserve">Supplementary Material </w:t>
      </w:r>
    </w:p>
    <w:p w14:paraId="77567310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A6B9165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5E30B1E3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603C09E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4EAF4BC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AC91CEF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C88D392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4B682F30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C30B394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4A0F473A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A7B623C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AE00973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EAEAB45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0427572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FE94561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92A9632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CFAA33F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44E2892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80EC8CA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00DC765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2C5E9358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2729E216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F58BF26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4FD1142E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52604D8A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2CE4DF57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5148F01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DEB855C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E274D25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323BE217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EADCEC8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9004003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4C880C8D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265E97E0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829FBFC" w14:textId="7F7F674B" w:rsidR="004F3A60" w:rsidRPr="00B777E1" w:rsidRDefault="004F3A60" w:rsidP="004F3A6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777E1">
        <w:rPr>
          <w:rFonts w:ascii="Arial" w:hAnsi="Arial" w:cs="Arial"/>
          <w:b/>
          <w:bCs/>
          <w:sz w:val="20"/>
          <w:szCs w:val="20"/>
        </w:rPr>
        <w:lastRenderedPageBreak/>
        <w:t xml:space="preserve">Table S1. </w:t>
      </w:r>
    </w:p>
    <w:p w14:paraId="26A0F577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40"/>
        <w:gridCol w:w="2414"/>
        <w:gridCol w:w="2697"/>
      </w:tblGrid>
      <w:tr w:rsidR="004F3A60" w:rsidRPr="00B777E1" w14:paraId="304009BD" w14:textId="77777777" w:rsidTr="000D0FD3">
        <w:trPr>
          <w:trHeight w:val="259"/>
        </w:trPr>
        <w:tc>
          <w:tcPr>
            <w:tcW w:w="4240" w:type="dxa"/>
          </w:tcPr>
          <w:p w14:paraId="528D28E9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FFFFFF" w:themeColor="background1"/>
                <w:sz w:val="20"/>
                <w:szCs w:val="20"/>
                <w:u w:val="none"/>
              </w:rPr>
              <w:t xml:space="preserve">Characteristic </w:t>
            </w:r>
          </w:p>
        </w:tc>
        <w:tc>
          <w:tcPr>
            <w:tcW w:w="2414" w:type="dxa"/>
          </w:tcPr>
          <w:p w14:paraId="0C6747FE" w14:textId="77777777" w:rsidR="004F3A60" w:rsidRPr="00B4449F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4449F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Previous SARS-CoV-2</w:t>
            </w:r>
          </w:p>
          <w:p w14:paraId="71418A7A" w14:textId="77777777" w:rsidR="004F3A60" w:rsidRPr="00B4449F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4449F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(N = 39)</w:t>
            </w:r>
          </w:p>
        </w:tc>
        <w:tc>
          <w:tcPr>
            <w:tcW w:w="2697" w:type="dxa"/>
          </w:tcPr>
          <w:p w14:paraId="7A6A54CA" w14:textId="448A8FE0" w:rsidR="004F3A60" w:rsidRPr="00B4449F" w:rsidRDefault="000D0FD3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No Previous SARS-CoV-2</w:t>
            </w:r>
          </w:p>
          <w:p w14:paraId="5C43CDEE" w14:textId="77777777" w:rsidR="004F3A60" w:rsidRPr="00B4449F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4449F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(N = 47)</w:t>
            </w:r>
          </w:p>
        </w:tc>
      </w:tr>
      <w:tr w:rsidR="004F3A60" w:rsidRPr="00B777E1" w14:paraId="17E7BCD1" w14:textId="77777777" w:rsidTr="000D0FD3">
        <w:trPr>
          <w:trHeight w:val="226"/>
        </w:trPr>
        <w:tc>
          <w:tcPr>
            <w:tcW w:w="4240" w:type="dxa"/>
          </w:tcPr>
          <w:p w14:paraId="23C26F2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Age, years (std. dev)</w:t>
            </w:r>
          </w:p>
        </w:tc>
        <w:tc>
          <w:tcPr>
            <w:tcW w:w="2414" w:type="dxa"/>
          </w:tcPr>
          <w:p w14:paraId="752FF12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80.8 (10.1)</w:t>
            </w:r>
          </w:p>
        </w:tc>
        <w:tc>
          <w:tcPr>
            <w:tcW w:w="2697" w:type="dxa"/>
          </w:tcPr>
          <w:p w14:paraId="4B4457C3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81.4 (11.5)</w:t>
            </w:r>
          </w:p>
        </w:tc>
      </w:tr>
      <w:tr w:rsidR="004F3A60" w:rsidRPr="00B777E1" w14:paraId="73040C49" w14:textId="77777777" w:rsidTr="000D0FD3">
        <w:trPr>
          <w:trHeight w:val="259"/>
        </w:trPr>
        <w:tc>
          <w:tcPr>
            <w:tcW w:w="4240" w:type="dxa"/>
          </w:tcPr>
          <w:p w14:paraId="304363C3" w14:textId="0D1F793B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S</w:t>
            </w:r>
            <w:r w:rsidRPr="00B777E1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ex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, female (%)</w:t>
            </w:r>
          </w:p>
        </w:tc>
        <w:tc>
          <w:tcPr>
            <w:tcW w:w="2414" w:type="dxa"/>
          </w:tcPr>
          <w:p w14:paraId="2456EE6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23 (59.0%)</w:t>
            </w:r>
          </w:p>
        </w:tc>
        <w:tc>
          <w:tcPr>
            <w:tcW w:w="2697" w:type="dxa"/>
          </w:tcPr>
          <w:p w14:paraId="3604D8F5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33 (70.2%)</w:t>
            </w:r>
          </w:p>
        </w:tc>
      </w:tr>
      <w:tr w:rsidR="004F3A60" w:rsidRPr="00B777E1" w14:paraId="1E1801E3" w14:textId="77777777" w:rsidTr="000D0FD3">
        <w:trPr>
          <w:trHeight w:val="226"/>
        </w:trPr>
        <w:tc>
          <w:tcPr>
            <w:tcW w:w="4240" w:type="dxa"/>
          </w:tcPr>
          <w:p w14:paraId="7D58523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Body Mass Index, m/kg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vertAlign w:val="superscript"/>
              </w:rPr>
              <w:t>2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 xml:space="preserve"> (std. dev)</w:t>
            </w:r>
          </w:p>
        </w:tc>
        <w:tc>
          <w:tcPr>
            <w:tcW w:w="2414" w:type="dxa"/>
          </w:tcPr>
          <w:p w14:paraId="4055FD7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27.8 (5.8)</w:t>
            </w:r>
          </w:p>
        </w:tc>
        <w:tc>
          <w:tcPr>
            <w:tcW w:w="2697" w:type="dxa"/>
          </w:tcPr>
          <w:p w14:paraId="3DE89139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26.1 (6.9)</w:t>
            </w:r>
          </w:p>
        </w:tc>
      </w:tr>
      <w:tr w:rsidR="004F3A60" w:rsidRPr="00B777E1" w14:paraId="0B5EB6FA" w14:textId="77777777" w:rsidTr="000D0FD3">
        <w:trPr>
          <w:trHeight w:val="713"/>
        </w:trPr>
        <w:tc>
          <w:tcPr>
            <w:tcW w:w="4240" w:type="dxa"/>
          </w:tcPr>
          <w:p w14:paraId="1A0D349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Cognitive Status</w:t>
            </w:r>
          </w:p>
          <w:p w14:paraId="07A63CA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Mild Cognitive Impairment (%)</w:t>
            </w:r>
          </w:p>
          <w:p w14:paraId="0F7178F6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Dementia (%)</w:t>
            </w:r>
          </w:p>
        </w:tc>
        <w:tc>
          <w:tcPr>
            <w:tcW w:w="2414" w:type="dxa"/>
          </w:tcPr>
          <w:p w14:paraId="0F3A21E1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4432642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9 (23.1%)</w:t>
            </w:r>
          </w:p>
          <w:p w14:paraId="5C399EA2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7 (17.95%)</w:t>
            </w:r>
          </w:p>
        </w:tc>
        <w:tc>
          <w:tcPr>
            <w:tcW w:w="2697" w:type="dxa"/>
          </w:tcPr>
          <w:p w14:paraId="2987A4F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53D051B9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14 (29.8%)</w:t>
            </w:r>
          </w:p>
          <w:p w14:paraId="79DC16AC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13 (27.7%)</w:t>
            </w:r>
          </w:p>
        </w:tc>
      </w:tr>
      <w:tr w:rsidR="004F3A60" w:rsidRPr="00B777E1" w14:paraId="3014EC33" w14:textId="77777777" w:rsidTr="000D0FD3">
        <w:trPr>
          <w:trHeight w:val="2140"/>
        </w:trPr>
        <w:tc>
          <w:tcPr>
            <w:tcW w:w="4240" w:type="dxa"/>
          </w:tcPr>
          <w:p w14:paraId="4B9E5D4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Medical History</w:t>
            </w:r>
          </w:p>
          <w:p w14:paraId="156D3913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Comorbidity Count (IQR)</w:t>
            </w:r>
          </w:p>
          <w:p w14:paraId="1A333DEF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Diabetes (%)</w:t>
            </w:r>
          </w:p>
          <w:p w14:paraId="3ADBBDDC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Neurodegenerative Disorder (%)</w:t>
            </w:r>
          </w:p>
          <w:p w14:paraId="1B0F7811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Solid Tumour (%)</w:t>
            </w:r>
          </w:p>
          <w:p w14:paraId="3B7DE12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Chronic Obstructive Pulmonary Disease (%)</w:t>
            </w:r>
          </w:p>
          <w:p w14:paraId="673402EA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Stroke (%)</w:t>
            </w:r>
          </w:p>
          <w:p w14:paraId="5160B21C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Congestive Cardiac Failure (%)</w:t>
            </w:r>
          </w:p>
          <w:p w14:paraId="059DB39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Myocardial Infarction (%)</w:t>
            </w:r>
          </w:p>
        </w:tc>
        <w:tc>
          <w:tcPr>
            <w:tcW w:w="2414" w:type="dxa"/>
          </w:tcPr>
          <w:p w14:paraId="0E0066E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40786FBA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5 (4-7)</w:t>
            </w:r>
          </w:p>
          <w:p w14:paraId="67631B2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7 (17.8%)</w:t>
            </w:r>
          </w:p>
          <w:p w14:paraId="60163056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6 (15.4%)</w:t>
            </w:r>
          </w:p>
          <w:p w14:paraId="4E494CC6" w14:textId="73DA2382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5 (</w:t>
            </w:r>
            <w:r w:rsidR="000D0FD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12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.</w:t>
            </w:r>
            <w:r w:rsidR="000D0FD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8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%)</w:t>
            </w:r>
          </w:p>
          <w:p w14:paraId="6D13399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7 (18.0%)</w:t>
            </w:r>
          </w:p>
          <w:p w14:paraId="15956B1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10 (25.6%)</w:t>
            </w:r>
          </w:p>
          <w:p w14:paraId="203B0AC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8 (20.5%)</w:t>
            </w:r>
          </w:p>
          <w:p w14:paraId="14196CE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4 (10.3%)</w:t>
            </w:r>
          </w:p>
        </w:tc>
        <w:tc>
          <w:tcPr>
            <w:tcW w:w="2697" w:type="dxa"/>
          </w:tcPr>
          <w:p w14:paraId="2E74AADF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4CCC00A2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4 (3-6)</w:t>
            </w:r>
          </w:p>
          <w:p w14:paraId="4941159A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11 (23.4%)</w:t>
            </w:r>
          </w:p>
          <w:p w14:paraId="60E68B1C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4 (8.5%)</w:t>
            </w:r>
          </w:p>
          <w:p w14:paraId="0773AD0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5 (10.6%)</w:t>
            </w:r>
          </w:p>
          <w:p w14:paraId="7BC1C90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8 (17.0%)</w:t>
            </w:r>
          </w:p>
          <w:p w14:paraId="544AB39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9 (19.2%)</w:t>
            </w:r>
          </w:p>
          <w:p w14:paraId="50D886CA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3 (6.8%)</w:t>
            </w:r>
          </w:p>
          <w:p w14:paraId="1DB7D28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4 (8.5%)</w:t>
            </w:r>
          </w:p>
        </w:tc>
      </w:tr>
      <w:tr w:rsidR="004F3A60" w:rsidRPr="00B777E1" w14:paraId="7DFD1B8B" w14:textId="77777777" w:rsidTr="000D0FD3">
        <w:trPr>
          <w:trHeight w:val="44"/>
        </w:trPr>
        <w:tc>
          <w:tcPr>
            <w:tcW w:w="4240" w:type="dxa"/>
          </w:tcPr>
          <w:p w14:paraId="2DB621DE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Medication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Pr="00B777E1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History</w:t>
            </w:r>
          </w:p>
          <w:p w14:paraId="16E2ADC8" w14:textId="3C643E2E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Number of Regular Medications (IQR)</w:t>
            </w:r>
          </w:p>
        </w:tc>
        <w:tc>
          <w:tcPr>
            <w:tcW w:w="2414" w:type="dxa"/>
          </w:tcPr>
          <w:p w14:paraId="11318FA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1B88751E" w14:textId="72297B18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13 (10-18)</w:t>
            </w:r>
          </w:p>
        </w:tc>
        <w:tc>
          <w:tcPr>
            <w:tcW w:w="2697" w:type="dxa"/>
          </w:tcPr>
          <w:p w14:paraId="5D01C475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41233034" w14:textId="3061E36D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13 (11-16)</w:t>
            </w:r>
          </w:p>
        </w:tc>
      </w:tr>
      <w:tr w:rsidR="004F3A60" w:rsidRPr="00B777E1" w14:paraId="06A23EEA" w14:textId="77777777" w:rsidTr="000D0FD3">
        <w:trPr>
          <w:trHeight w:val="1199"/>
        </w:trPr>
        <w:tc>
          <w:tcPr>
            <w:tcW w:w="4240" w:type="dxa"/>
          </w:tcPr>
          <w:p w14:paraId="7216AFD6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Frailty Assessment</w:t>
            </w:r>
          </w:p>
          <w:p w14:paraId="6B6486D2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Clinical Frailty Scale</w:t>
            </w:r>
          </w:p>
          <w:p w14:paraId="0A951DA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FRAIL-NH</w:t>
            </w:r>
          </w:p>
          <w:p w14:paraId="159F50C9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 xml:space="preserve">        Less-Frail </w:t>
            </w:r>
          </w:p>
          <w:p w14:paraId="1BEADC94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 xml:space="preserve">        More-Frail</w:t>
            </w:r>
          </w:p>
          <w:p w14:paraId="1C1CDE07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 xml:space="preserve">        Most-Frail</w:t>
            </w:r>
          </w:p>
        </w:tc>
        <w:tc>
          <w:tcPr>
            <w:tcW w:w="2414" w:type="dxa"/>
          </w:tcPr>
          <w:p w14:paraId="1A7E783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00D72011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7 (6-7)</w:t>
            </w:r>
          </w:p>
          <w:p w14:paraId="57F5DB3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0DE842F9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20 (51.3%)</w:t>
            </w:r>
          </w:p>
          <w:p w14:paraId="225E15E9" w14:textId="70168C1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13 (</w:t>
            </w:r>
            <w:r w:rsidR="000D0FD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3</w:t>
            </w: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3.3%)</w:t>
            </w:r>
          </w:p>
          <w:p w14:paraId="0E7B621D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6 (15.38%)</w:t>
            </w:r>
          </w:p>
        </w:tc>
        <w:tc>
          <w:tcPr>
            <w:tcW w:w="2697" w:type="dxa"/>
          </w:tcPr>
          <w:p w14:paraId="2E6FBD8A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0FC72A2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6 (6-7)</w:t>
            </w:r>
          </w:p>
          <w:p w14:paraId="66A8FDE5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</w:p>
          <w:p w14:paraId="7C213153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24 (51.1%)</w:t>
            </w:r>
          </w:p>
          <w:p w14:paraId="206E3604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18 (38.3%)</w:t>
            </w:r>
          </w:p>
          <w:p w14:paraId="3F1AEA7B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5 (10.6%)</w:t>
            </w:r>
          </w:p>
        </w:tc>
      </w:tr>
      <w:tr w:rsidR="004F3A60" w:rsidRPr="00B777E1" w14:paraId="5999F9EC" w14:textId="77777777" w:rsidTr="000D0FD3">
        <w:trPr>
          <w:trHeight w:val="226"/>
        </w:trPr>
        <w:tc>
          <w:tcPr>
            <w:tcW w:w="4240" w:type="dxa"/>
          </w:tcPr>
          <w:p w14:paraId="077ED891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Grip Strength (IQR) (kg)</w:t>
            </w:r>
          </w:p>
        </w:tc>
        <w:tc>
          <w:tcPr>
            <w:tcW w:w="2414" w:type="dxa"/>
          </w:tcPr>
          <w:p w14:paraId="2846D778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11 (7-17)</w:t>
            </w:r>
          </w:p>
        </w:tc>
        <w:tc>
          <w:tcPr>
            <w:tcW w:w="2697" w:type="dxa"/>
          </w:tcPr>
          <w:p w14:paraId="40C4D13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14 (7.5-18.5)</w:t>
            </w:r>
          </w:p>
        </w:tc>
      </w:tr>
      <w:tr w:rsidR="004F3A60" w:rsidRPr="00B777E1" w14:paraId="201F2AB6" w14:textId="77777777" w:rsidTr="000D0FD3">
        <w:trPr>
          <w:trHeight w:val="259"/>
        </w:trPr>
        <w:tc>
          <w:tcPr>
            <w:tcW w:w="4240" w:type="dxa"/>
          </w:tcPr>
          <w:p w14:paraId="0315CAA0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Barthel Index (IQR)</w:t>
            </w:r>
          </w:p>
        </w:tc>
        <w:tc>
          <w:tcPr>
            <w:tcW w:w="2414" w:type="dxa"/>
          </w:tcPr>
          <w:p w14:paraId="760B0136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10 (4-14)</w:t>
            </w:r>
          </w:p>
        </w:tc>
        <w:tc>
          <w:tcPr>
            <w:tcW w:w="2697" w:type="dxa"/>
          </w:tcPr>
          <w:p w14:paraId="1F3A7174" w14:textId="77777777" w:rsidR="004F3A60" w:rsidRPr="00B777E1" w:rsidRDefault="004F3A60" w:rsidP="00EE6FAC">
            <w:pPr>
              <w:spacing w:line="360" w:lineRule="auto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B777E1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9 (4-14)</w:t>
            </w:r>
          </w:p>
        </w:tc>
      </w:tr>
    </w:tbl>
    <w:p w14:paraId="71E753F7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63B49D8" w14:textId="44AD3745" w:rsidR="004F3A60" w:rsidRPr="00B4449F" w:rsidRDefault="00B4449F" w:rsidP="004F3A60">
      <w:pPr>
        <w:spacing w:line="360" w:lineRule="auto"/>
        <w:rPr>
          <w:rFonts w:ascii="Arial" w:hAnsi="Arial" w:cs="Arial"/>
          <w:sz w:val="20"/>
          <w:szCs w:val="20"/>
        </w:rPr>
      </w:pPr>
      <w:r w:rsidRPr="00B4449F">
        <w:rPr>
          <w:rStyle w:val="Strong"/>
          <w:rFonts w:ascii="Arial" w:hAnsi="Arial" w:cs="Arial"/>
          <w:sz w:val="20"/>
          <w:szCs w:val="20"/>
        </w:rPr>
        <w:t>Table S1. Participant characteristics by prior SARS-CoV-2 infection status.</w:t>
      </w:r>
      <w:r w:rsidRPr="00B4449F">
        <w:rPr>
          <w:rFonts w:ascii="Arial" w:hAnsi="Arial" w:cs="Arial"/>
          <w:sz w:val="20"/>
          <w:szCs w:val="20"/>
        </w:rPr>
        <w:t xml:space="preserve"> Data are presented as mean (standard deviation), median (interquartile range), or number (percentage), as appropriate. Previous SARS-CoV-2 infection was determined from serial polymerase chain reaction testing, anti-nucleocapsid antibody testing, and clinical records. Abbreviations: FRAIL-NH, FRAIL-Nursing Home scale; IQR, interquartile range.</w:t>
      </w:r>
    </w:p>
    <w:p w14:paraId="34EAA778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C8527D6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42D2AF19" w14:textId="77777777" w:rsidR="004F3A60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3BE6C2FA" w14:textId="77777777" w:rsidR="00B4449F" w:rsidRPr="00B777E1" w:rsidRDefault="00B4449F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76C10AD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CE52E5C" w14:textId="563536F5" w:rsidR="004F3A60" w:rsidRPr="00B777E1" w:rsidRDefault="004F3A60" w:rsidP="004F3A6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777E1">
        <w:rPr>
          <w:rFonts w:ascii="Arial" w:hAnsi="Arial" w:cs="Arial"/>
          <w:b/>
          <w:bCs/>
          <w:sz w:val="20"/>
          <w:szCs w:val="20"/>
        </w:rPr>
        <w:lastRenderedPageBreak/>
        <w:t>Table S2</w:t>
      </w:r>
      <w:r w:rsidR="00B777E1" w:rsidRPr="00B777E1">
        <w:rPr>
          <w:rFonts w:ascii="Arial" w:hAnsi="Arial" w:cs="Arial"/>
          <w:b/>
          <w:bCs/>
          <w:sz w:val="20"/>
          <w:szCs w:val="20"/>
        </w:rPr>
        <w:t>.</w:t>
      </w:r>
    </w:p>
    <w:tbl>
      <w:tblPr>
        <w:tblStyle w:val="TableGrid"/>
        <w:tblW w:w="6520" w:type="dxa"/>
        <w:tblLook w:val="04A0" w:firstRow="1" w:lastRow="0" w:firstColumn="1" w:lastColumn="0" w:noHBand="0" w:noVBand="1"/>
      </w:tblPr>
      <w:tblGrid>
        <w:gridCol w:w="1985"/>
        <w:gridCol w:w="1417"/>
        <w:gridCol w:w="3118"/>
      </w:tblGrid>
      <w:tr w:rsidR="004F3A60" w:rsidRPr="00B777E1" w14:paraId="1BB713E6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50207E89" w14:textId="6885DC6C" w:rsidR="004F3A60" w:rsidRPr="00B777E1" w:rsidRDefault="00B777E1" w:rsidP="00EE6FA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Fluorophore</w:t>
            </w:r>
          </w:p>
        </w:tc>
        <w:tc>
          <w:tcPr>
            <w:tcW w:w="1417" w:type="dxa"/>
            <w:noWrap/>
            <w:hideMark/>
          </w:tcPr>
          <w:p w14:paraId="09A32E5B" w14:textId="77777777" w:rsidR="004F3A60" w:rsidRPr="00B777E1" w:rsidRDefault="004F3A60" w:rsidP="00EE6FA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Antigen</w:t>
            </w:r>
          </w:p>
        </w:tc>
        <w:tc>
          <w:tcPr>
            <w:tcW w:w="3118" w:type="dxa"/>
            <w:hideMark/>
          </w:tcPr>
          <w:p w14:paraId="39520C85" w14:textId="7266160A" w:rsidR="004F3A60" w:rsidRPr="00B777E1" w:rsidRDefault="004F3A60" w:rsidP="00EE6FA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Supplier/Cat No</w:t>
            </w:r>
            <w:r w:rsidR="00B777E1" w:rsidRPr="00B777E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4F3A60" w:rsidRPr="00B777E1" w14:paraId="7FD4E85F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56483461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BV421</w:t>
            </w:r>
          </w:p>
        </w:tc>
        <w:tc>
          <w:tcPr>
            <w:tcW w:w="1417" w:type="dxa"/>
            <w:noWrap/>
            <w:hideMark/>
          </w:tcPr>
          <w:p w14:paraId="2B0E5C49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Vα24Jα18</w:t>
            </w:r>
          </w:p>
        </w:tc>
        <w:tc>
          <w:tcPr>
            <w:tcW w:w="3118" w:type="dxa"/>
            <w:hideMark/>
          </w:tcPr>
          <w:p w14:paraId="02472EA4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743998</w:t>
            </w:r>
          </w:p>
        </w:tc>
      </w:tr>
      <w:tr w:rsidR="004F3A60" w:rsidRPr="00B777E1" w14:paraId="0FDC3ED6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25E37775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26A7FF9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Vδ2</w:t>
            </w:r>
          </w:p>
        </w:tc>
        <w:tc>
          <w:tcPr>
            <w:tcW w:w="3118" w:type="dxa"/>
            <w:hideMark/>
          </w:tcPr>
          <w:p w14:paraId="5289E9D4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Miltenyi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130-111-015</w:t>
            </w:r>
          </w:p>
        </w:tc>
      </w:tr>
      <w:tr w:rsidR="004F3A60" w:rsidRPr="00B777E1" w14:paraId="1534F7E5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0F6362E6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BV480</w:t>
            </w:r>
          </w:p>
        </w:tc>
        <w:tc>
          <w:tcPr>
            <w:tcW w:w="1417" w:type="dxa"/>
            <w:noWrap/>
            <w:hideMark/>
          </w:tcPr>
          <w:p w14:paraId="72D5CC25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Vα7.2</w:t>
            </w:r>
          </w:p>
        </w:tc>
        <w:tc>
          <w:tcPr>
            <w:tcW w:w="3118" w:type="dxa"/>
            <w:hideMark/>
          </w:tcPr>
          <w:p w14:paraId="673C73D7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749493</w:t>
            </w:r>
          </w:p>
        </w:tc>
      </w:tr>
      <w:tr w:rsidR="004F3A60" w:rsidRPr="00B777E1" w14:paraId="02135548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2C16B82D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BV510</w:t>
            </w:r>
          </w:p>
        </w:tc>
        <w:tc>
          <w:tcPr>
            <w:tcW w:w="1417" w:type="dxa"/>
            <w:noWrap/>
            <w:hideMark/>
          </w:tcPr>
          <w:p w14:paraId="7EA461B9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CD69</w:t>
            </w:r>
          </w:p>
        </w:tc>
        <w:tc>
          <w:tcPr>
            <w:tcW w:w="3118" w:type="dxa"/>
            <w:hideMark/>
          </w:tcPr>
          <w:p w14:paraId="2C7E3DBD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310936</w:t>
            </w:r>
          </w:p>
        </w:tc>
      </w:tr>
      <w:tr w:rsidR="004F3A60" w:rsidRPr="00B777E1" w14:paraId="712C967F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3ABB5890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BV570</w:t>
            </w:r>
          </w:p>
        </w:tc>
        <w:tc>
          <w:tcPr>
            <w:tcW w:w="1417" w:type="dxa"/>
            <w:noWrap/>
            <w:hideMark/>
          </w:tcPr>
          <w:p w14:paraId="40416900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CD56</w:t>
            </w:r>
          </w:p>
        </w:tc>
        <w:tc>
          <w:tcPr>
            <w:tcW w:w="3118" w:type="dxa"/>
            <w:hideMark/>
          </w:tcPr>
          <w:p w14:paraId="6D97BCA2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318330</w:t>
            </w:r>
          </w:p>
        </w:tc>
      </w:tr>
      <w:tr w:rsidR="004F3A60" w:rsidRPr="00B777E1" w14:paraId="6D6F8E3B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56968BE2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BV605</w:t>
            </w:r>
          </w:p>
        </w:tc>
        <w:tc>
          <w:tcPr>
            <w:tcW w:w="1417" w:type="dxa"/>
            <w:noWrap/>
            <w:hideMark/>
          </w:tcPr>
          <w:p w14:paraId="68813FC8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CD137</w:t>
            </w:r>
          </w:p>
        </w:tc>
        <w:tc>
          <w:tcPr>
            <w:tcW w:w="3118" w:type="dxa"/>
            <w:hideMark/>
          </w:tcPr>
          <w:p w14:paraId="501C6C32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309822</w:t>
            </w:r>
          </w:p>
        </w:tc>
      </w:tr>
      <w:tr w:rsidR="004F3A60" w:rsidRPr="00B777E1" w14:paraId="22D7503B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6BB065FE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BV711</w:t>
            </w:r>
          </w:p>
        </w:tc>
        <w:tc>
          <w:tcPr>
            <w:tcW w:w="1417" w:type="dxa"/>
            <w:noWrap/>
            <w:hideMark/>
          </w:tcPr>
          <w:p w14:paraId="6945A527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CD28</w:t>
            </w:r>
          </w:p>
        </w:tc>
        <w:tc>
          <w:tcPr>
            <w:tcW w:w="3118" w:type="dxa"/>
            <w:hideMark/>
          </w:tcPr>
          <w:p w14:paraId="65810CDC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563131</w:t>
            </w:r>
          </w:p>
        </w:tc>
      </w:tr>
      <w:tr w:rsidR="004F3A60" w:rsidRPr="00B777E1" w14:paraId="5976BF7E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392DA806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BV750</w:t>
            </w:r>
          </w:p>
        </w:tc>
        <w:tc>
          <w:tcPr>
            <w:tcW w:w="1417" w:type="dxa"/>
            <w:noWrap/>
            <w:hideMark/>
          </w:tcPr>
          <w:p w14:paraId="2793B7B0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CCR7</w:t>
            </w:r>
          </w:p>
        </w:tc>
        <w:tc>
          <w:tcPr>
            <w:tcW w:w="3118" w:type="dxa"/>
            <w:hideMark/>
          </w:tcPr>
          <w:p w14:paraId="704D1DA2" w14:textId="77777777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353524</w:t>
            </w:r>
          </w:p>
        </w:tc>
      </w:tr>
      <w:tr w:rsidR="004F3A60" w:rsidRPr="00B777E1" w14:paraId="3968639D" w14:textId="77777777" w:rsidTr="004F3A60">
        <w:trPr>
          <w:trHeight w:val="319"/>
        </w:trPr>
        <w:tc>
          <w:tcPr>
            <w:tcW w:w="1985" w:type="dxa"/>
            <w:noWrap/>
          </w:tcPr>
          <w:p w14:paraId="2A516771" w14:textId="7058C05C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PE-Fire810</w:t>
            </w:r>
          </w:p>
        </w:tc>
        <w:tc>
          <w:tcPr>
            <w:tcW w:w="1417" w:type="dxa"/>
            <w:noWrap/>
          </w:tcPr>
          <w:p w14:paraId="0FFA1ED7" w14:textId="3CCD195E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TIGIT</w:t>
            </w:r>
          </w:p>
        </w:tc>
        <w:tc>
          <w:tcPr>
            <w:tcW w:w="3118" w:type="dxa"/>
          </w:tcPr>
          <w:p w14:paraId="097DC7D8" w14:textId="01620A74" w:rsidR="004F3A60" w:rsidRPr="00B777E1" w:rsidRDefault="004F3A60" w:rsidP="00EE6F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372745</w:t>
            </w:r>
          </w:p>
        </w:tc>
      </w:tr>
      <w:tr w:rsidR="004F3A60" w:rsidRPr="00B777E1" w14:paraId="0D079652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686117A4" w14:textId="22321A2F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BV786</w:t>
            </w:r>
          </w:p>
        </w:tc>
        <w:tc>
          <w:tcPr>
            <w:tcW w:w="1417" w:type="dxa"/>
            <w:noWrap/>
            <w:hideMark/>
          </w:tcPr>
          <w:p w14:paraId="6FD4D77A" w14:textId="564F3B24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CD25</w:t>
            </w:r>
          </w:p>
        </w:tc>
        <w:tc>
          <w:tcPr>
            <w:tcW w:w="3118" w:type="dxa"/>
            <w:hideMark/>
          </w:tcPr>
          <w:p w14:paraId="6FFB0BFB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563701</w:t>
            </w:r>
          </w:p>
        </w:tc>
      </w:tr>
      <w:tr w:rsidR="004F3A60" w:rsidRPr="00B777E1" w14:paraId="0A2F453D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771E7E1C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BB515</w:t>
            </w:r>
          </w:p>
        </w:tc>
        <w:tc>
          <w:tcPr>
            <w:tcW w:w="1417" w:type="dxa"/>
            <w:noWrap/>
            <w:hideMark/>
          </w:tcPr>
          <w:p w14:paraId="67D8EC75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CD27</w:t>
            </w:r>
          </w:p>
        </w:tc>
        <w:tc>
          <w:tcPr>
            <w:tcW w:w="3118" w:type="dxa"/>
            <w:hideMark/>
          </w:tcPr>
          <w:p w14:paraId="4072ABA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564642</w:t>
            </w:r>
          </w:p>
        </w:tc>
      </w:tr>
      <w:tr w:rsidR="004F3A60" w:rsidRPr="00B777E1" w14:paraId="26BD3EF2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527FF16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BB630</w:t>
            </w:r>
          </w:p>
        </w:tc>
        <w:tc>
          <w:tcPr>
            <w:tcW w:w="1417" w:type="dxa"/>
            <w:noWrap/>
            <w:hideMark/>
          </w:tcPr>
          <w:p w14:paraId="115CD7C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CD4</w:t>
            </w:r>
          </w:p>
        </w:tc>
        <w:tc>
          <w:tcPr>
            <w:tcW w:w="3118" w:type="dxa"/>
            <w:hideMark/>
          </w:tcPr>
          <w:p w14:paraId="44A5C68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Custom Order</w:t>
            </w:r>
          </w:p>
        </w:tc>
      </w:tr>
      <w:tr w:rsidR="004F3A60" w:rsidRPr="00B777E1" w14:paraId="106927E4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45249BF6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BB700</w:t>
            </w:r>
          </w:p>
        </w:tc>
        <w:tc>
          <w:tcPr>
            <w:tcW w:w="1417" w:type="dxa"/>
            <w:noWrap/>
            <w:hideMark/>
          </w:tcPr>
          <w:p w14:paraId="2880023D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CD154</w:t>
            </w:r>
          </w:p>
        </w:tc>
        <w:tc>
          <w:tcPr>
            <w:tcW w:w="3118" w:type="dxa"/>
            <w:hideMark/>
          </w:tcPr>
          <w:p w14:paraId="7CE5A14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745814</w:t>
            </w:r>
          </w:p>
        </w:tc>
      </w:tr>
      <w:tr w:rsidR="004F3A60" w:rsidRPr="00B777E1" w14:paraId="7A9DA7D6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2D2C1C7D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BB790</w:t>
            </w:r>
          </w:p>
        </w:tc>
        <w:tc>
          <w:tcPr>
            <w:tcW w:w="1417" w:type="dxa"/>
            <w:noWrap/>
            <w:hideMark/>
          </w:tcPr>
          <w:p w14:paraId="104DA5E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CD8</w:t>
            </w:r>
          </w:p>
        </w:tc>
        <w:tc>
          <w:tcPr>
            <w:tcW w:w="3118" w:type="dxa"/>
            <w:hideMark/>
          </w:tcPr>
          <w:p w14:paraId="3EE88E08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Custom Order</w:t>
            </w:r>
          </w:p>
        </w:tc>
      </w:tr>
      <w:tr w:rsidR="004F3A60" w:rsidRPr="00B777E1" w14:paraId="7CCBA977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0D3CC245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Spark Blue 550</w:t>
            </w:r>
          </w:p>
        </w:tc>
        <w:tc>
          <w:tcPr>
            <w:tcW w:w="1417" w:type="dxa"/>
            <w:noWrap/>
            <w:hideMark/>
          </w:tcPr>
          <w:p w14:paraId="6EF5786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CD3</w:t>
            </w:r>
          </w:p>
        </w:tc>
        <w:tc>
          <w:tcPr>
            <w:tcW w:w="3118" w:type="dxa"/>
            <w:hideMark/>
          </w:tcPr>
          <w:p w14:paraId="099A3ABA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344852</w:t>
            </w:r>
          </w:p>
        </w:tc>
      </w:tr>
      <w:tr w:rsidR="004F3A60" w:rsidRPr="00B777E1" w14:paraId="601E4CCC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2C31276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PerCP-eF710</w:t>
            </w:r>
          </w:p>
        </w:tc>
        <w:tc>
          <w:tcPr>
            <w:tcW w:w="1417" w:type="dxa"/>
            <w:noWrap/>
            <w:hideMark/>
          </w:tcPr>
          <w:p w14:paraId="74C166EB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NKG2D</w:t>
            </w:r>
          </w:p>
        </w:tc>
        <w:tc>
          <w:tcPr>
            <w:tcW w:w="3118" w:type="dxa"/>
            <w:hideMark/>
          </w:tcPr>
          <w:p w14:paraId="2ED5EE28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ThermoFisher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46-5878-42</w:t>
            </w:r>
          </w:p>
        </w:tc>
      </w:tr>
      <w:tr w:rsidR="004F3A60" w:rsidRPr="00B777E1" w14:paraId="0E29A9CB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057506E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1417" w:type="dxa"/>
            <w:noWrap/>
            <w:hideMark/>
          </w:tcPr>
          <w:p w14:paraId="759688C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Vδ1</w:t>
            </w:r>
          </w:p>
        </w:tc>
        <w:tc>
          <w:tcPr>
            <w:tcW w:w="3118" w:type="dxa"/>
            <w:hideMark/>
          </w:tcPr>
          <w:p w14:paraId="22C8D896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Bio-Sciences 61-5679-42</w:t>
            </w:r>
          </w:p>
        </w:tc>
      </w:tr>
      <w:tr w:rsidR="004F3A60" w:rsidRPr="00B777E1" w14:paraId="42BC0FD4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6F63862B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PE-CF594</w:t>
            </w:r>
          </w:p>
        </w:tc>
        <w:tc>
          <w:tcPr>
            <w:tcW w:w="1417" w:type="dxa"/>
            <w:noWrap/>
            <w:hideMark/>
          </w:tcPr>
          <w:p w14:paraId="581F0D04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CD57</w:t>
            </w:r>
          </w:p>
        </w:tc>
        <w:tc>
          <w:tcPr>
            <w:tcW w:w="3118" w:type="dxa"/>
            <w:hideMark/>
          </w:tcPr>
          <w:p w14:paraId="3F267DFC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562488</w:t>
            </w:r>
          </w:p>
        </w:tc>
      </w:tr>
      <w:tr w:rsidR="004F3A60" w:rsidRPr="00B777E1" w14:paraId="56BD80DE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43B80557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PE-Cy5</w:t>
            </w:r>
          </w:p>
        </w:tc>
        <w:tc>
          <w:tcPr>
            <w:tcW w:w="1417" w:type="dxa"/>
            <w:noWrap/>
            <w:hideMark/>
          </w:tcPr>
          <w:p w14:paraId="05B1C5D5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CD161</w:t>
            </w:r>
          </w:p>
        </w:tc>
        <w:tc>
          <w:tcPr>
            <w:tcW w:w="3118" w:type="dxa"/>
            <w:hideMark/>
          </w:tcPr>
          <w:p w14:paraId="4B715B04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551138</w:t>
            </w:r>
          </w:p>
        </w:tc>
      </w:tr>
      <w:tr w:rsidR="004F3A60" w:rsidRPr="00B777E1" w14:paraId="10DFB138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3F05AB60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PE-Cy5.5</w:t>
            </w:r>
          </w:p>
        </w:tc>
        <w:tc>
          <w:tcPr>
            <w:tcW w:w="1417" w:type="dxa"/>
            <w:noWrap/>
            <w:hideMark/>
          </w:tcPr>
          <w:p w14:paraId="578C5CD6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CD45RA</w:t>
            </w:r>
          </w:p>
        </w:tc>
        <w:tc>
          <w:tcPr>
            <w:tcW w:w="3118" w:type="dxa"/>
            <w:hideMark/>
          </w:tcPr>
          <w:p w14:paraId="2967DEEB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BioSciences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15-0458-42</w:t>
            </w:r>
          </w:p>
        </w:tc>
      </w:tr>
      <w:tr w:rsidR="004F3A60" w:rsidRPr="00B777E1" w14:paraId="5209BB5F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709E6EA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APC</w:t>
            </w:r>
          </w:p>
        </w:tc>
        <w:tc>
          <w:tcPr>
            <w:tcW w:w="1417" w:type="dxa"/>
            <w:noWrap/>
            <w:hideMark/>
          </w:tcPr>
          <w:p w14:paraId="09072D06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KLRG1</w:t>
            </w:r>
          </w:p>
        </w:tc>
        <w:tc>
          <w:tcPr>
            <w:tcW w:w="3118" w:type="dxa"/>
            <w:hideMark/>
          </w:tcPr>
          <w:p w14:paraId="692F2E22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388606</w:t>
            </w:r>
          </w:p>
        </w:tc>
      </w:tr>
      <w:tr w:rsidR="004F3A60" w:rsidRPr="00B777E1" w14:paraId="10618E6C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5A66105D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Spark NIR 685</w:t>
            </w:r>
          </w:p>
        </w:tc>
        <w:tc>
          <w:tcPr>
            <w:tcW w:w="1417" w:type="dxa"/>
            <w:noWrap/>
            <w:hideMark/>
          </w:tcPr>
          <w:p w14:paraId="188EAC5C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CD127</w:t>
            </w:r>
          </w:p>
        </w:tc>
        <w:tc>
          <w:tcPr>
            <w:tcW w:w="3118" w:type="dxa"/>
            <w:hideMark/>
          </w:tcPr>
          <w:p w14:paraId="5459B42A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351362</w:t>
            </w:r>
          </w:p>
        </w:tc>
      </w:tr>
      <w:tr w:rsidR="004F3A60" w:rsidRPr="00B777E1" w14:paraId="44B0CB82" w14:textId="77777777" w:rsidTr="004F3A60">
        <w:trPr>
          <w:trHeight w:val="319"/>
        </w:trPr>
        <w:tc>
          <w:tcPr>
            <w:tcW w:w="1985" w:type="dxa"/>
            <w:noWrap/>
            <w:hideMark/>
          </w:tcPr>
          <w:p w14:paraId="09A16C93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APC-Fire 810</w:t>
            </w:r>
          </w:p>
        </w:tc>
        <w:tc>
          <w:tcPr>
            <w:tcW w:w="1417" w:type="dxa"/>
            <w:noWrap/>
            <w:hideMark/>
          </w:tcPr>
          <w:p w14:paraId="10CF04BE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CD45</w:t>
            </w:r>
          </w:p>
        </w:tc>
        <w:tc>
          <w:tcPr>
            <w:tcW w:w="3118" w:type="dxa"/>
            <w:hideMark/>
          </w:tcPr>
          <w:p w14:paraId="1C5A064F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304076</w:t>
            </w:r>
          </w:p>
        </w:tc>
      </w:tr>
      <w:tr w:rsidR="004F3A60" w:rsidRPr="00B777E1" w14:paraId="64D7DC26" w14:textId="77777777" w:rsidTr="004F3A60">
        <w:trPr>
          <w:trHeight w:val="319"/>
        </w:trPr>
        <w:tc>
          <w:tcPr>
            <w:tcW w:w="1985" w:type="dxa"/>
            <w:noWrap/>
          </w:tcPr>
          <w:p w14:paraId="7983D0CA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BV650</w:t>
            </w:r>
          </w:p>
        </w:tc>
        <w:tc>
          <w:tcPr>
            <w:tcW w:w="1417" w:type="dxa"/>
            <w:noWrap/>
          </w:tcPr>
          <w:p w14:paraId="50EDD3A3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Ki67</w:t>
            </w:r>
          </w:p>
        </w:tc>
        <w:tc>
          <w:tcPr>
            <w:tcW w:w="3118" w:type="dxa"/>
          </w:tcPr>
          <w:p w14:paraId="0D071C5D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563757</w:t>
            </w:r>
          </w:p>
        </w:tc>
      </w:tr>
      <w:tr w:rsidR="004F3A60" w:rsidRPr="00B777E1" w14:paraId="3C9AFDF1" w14:textId="77777777" w:rsidTr="004F3A60">
        <w:trPr>
          <w:trHeight w:val="319"/>
        </w:trPr>
        <w:tc>
          <w:tcPr>
            <w:tcW w:w="1985" w:type="dxa"/>
            <w:noWrap/>
          </w:tcPr>
          <w:p w14:paraId="482578C4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R718</w:t>
            </w:r>
          </w:p>
        </w:tc>
        <w:tc>
          <w:tcPr>
            <w:tcW w:w="1417" w:type="dxa"/>
            <w:noWrap/>
          </w:tcPr>
          <w:p w14:paraId="6096E4AC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FoxP3</w:t>
            </w:r>
          </w:p>
        </w:tc>
        <w:tc>
          <w:tcPr>
            <w:tcW w:w="3118" w:type="dxa"/>
          </w:tcPr>
          <w:p w14:paraId="0ED92CDE" w14:textId="77777777" w:rsidR="004F3A60" w:rsidRPr="00B777E1" w:rsidRDefault="004F3A60" w:rsidP="004F3A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77E1">
              <w:rPr>
                <w:rFonts w:ascii="Arial" w:hAnsi="Arial" w:cs="Arial"/>
                <w:color w:val="000000" w:themeColor="text1"/>
                <w:sz w:val="20"/>
                <w:szCs w:val="20"/>
              </w:rPr>
              <w:t>Becton Dickinson 566935</w:t>
            </w:r>
          </w:p>
        </w:tc>
      </w:tr>
    </w:tbl>
    <w:p w14:paraId="05EFA0CF" w14:textId="77777777" w:rsidR="004F3A60" w:rsidRPr="00B4449F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2ADE90AA" w14:textId="5A38E73A" w:rsidR="004F3A60" w:rsidRPr="00B4449F" w:rsidRDefault="00B4449F" w:rsidP="004F3A60">
      <w:pPr>
        <w:spacing w:line="360" w:lineRule="auto"/>
        <w:rPr>
          <w:rFonts w:ascii="Arial" w:hAnsi="Arial" w:cs="Arial"/>
          <w:sz w:val="20"/>
          <w:szCs w:val="20"/>
        </w:rPr>
      </w:pPr>
      <w:r w:rsidRPr="00B4449F">
        <w:rPr>
          <w:rStyle w:val="Strong"/>
          <w:rFonts w:ascii="Arial" w:hAnsi="Arial" w:cs="Arial"/>
          <w:sz w:val="20"/>
          <w:szCs w:val="20"/>
        </w:rPr>
        <w:t>Table S2. Antibody panel used for flow-cytometric characterisation of baseline T-cell and unconventional T-cell subsets.</w:t>
      </w:r>
      <w:r w:rsidRPr="00B4449F">
        <w:rPr>
          <w:rFonts w:ascii="Arial" w:hAnsi="Arial" w:cs="Arial"/>
          <w:sz w:val="20"/>
          <w:szCs w:val="20"/>
        </w:rPr>
        <w:t xml:space="preserve"> Fluorophore conjugates, target antigens, suppliers, and catalogue numbers are presented for each antibody included in the panel.</w:t>
      </w:r>
    </w:p>
    <w:p w14:paraId="0BEB238A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B4B33E9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7A767B7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5917603D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0E511123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095EE06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3925D21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112318A1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A15DE77" w14:textId="77777777" w:rsidR="00B4449F" w:rsidRDefault="00B4449F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6B70B84E" w14:textId="77777777" w:rsidR="00B777E1" w:rsidRDefault="00B777E1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p w14:paraId="7B1C1CBE" w14:textId="2B295363" w:rsidR="00B777E1" w:rsidRPr="00B777E1" w:rsidRDefault="00B777E1" w:rsidP="004F3A60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B777E1">
        <w:rPr>
          <w:rFonts w:ascii="Arial" w:hAnsi="Arial" w:cs="Arial"/>
          <w:b/>
          <w:bCs/>
          <w:sz w:val="20"/>
          <w:szCs w:val="20"/>
        </w:rPr>
        <w:lastRenderedPageBreak/>
        <w:t>Figure S3</w:t>
      </w:r>
    </w:p>
    <w:p w14:paraId="0EE193BE" w14:textId="7EEDA5EE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  <w:r w:rsidRPr="00B777E1">
        <w:rPr>
          <w:rFonts w:ascii="Calibri" w:hAnsi="Calibri" w:cs="Calibri"/>
          <w:noProof/>
          <w:color w:val="000000" w:themeColor="text1"/>
          <w:sz w:val="20"/>
          <w:szCs w:val="20"/>
        </w:rPr>
        <w:drawing>
          <wp:inline distT="0" distB="0" distL="0" distR="0" wp14:anchorId="7E03875B" wp14:editId="584B4328">
            <wp:extent cx="5609389" cy="4442425"/>
            <wp:effectExtent l="0" t="0" r="4445" b="3175"/>
            <wp:docPr id="1910112570" name="Picture 2" descr="A collage of images of different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12570" name="Picture 2" descr="A collage of images of different cell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58" cy="453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145B0" w14:textId="77777777" w:rsidR="00B4449F" w:rsidRPr="00B4449F" w:rsidRDefault="00B4449F" w:rsidP="00B4449F">
      <w:pPr>
        <w:pStyle w:val="pdq2pgselectionanchorcontainer"/>
        <w:spacing w:line="360" w:lineRule="auto"/>
        <w:rPr>
          <w:rFonts w:ascii="Arial" w:hAnsi="Arial" w:cs="Arial"/>
          <w:sz w:val="20"/>
          <w:szCs w:val="20"/>
        </w:rPr>
      </w:pPr>
      <w:r w:rsidRPr="00B4449F">
        <w:rPr>
          <w:rStyle w:val="Strong"/>
          <w:rFonts w:ascii="Arial" w:eastAsiaTheme="majorEastAsia" w:hAnsi="Arial" w:cs="Arial"/>
          <w:sz w:val="20"/>
          <w:szCs w:val="20"/>
        </w:rPr>
        <w:t>Figure S3. Flow-cytometry gating strategy for baseline T-cell and unconventional T-cell subsets.</w:t>
      </w:r>
      <w:r w:rsidRPr="00B4449F">
        <w:rPr>
          <w:rFonts w:ascii="Arial" w:hAnsi="Arial" w:cs="Arial"/>
          <w:sz w:val="20"/>
          <w:szCs w:val="20"/>
        </w:rPr>
        <w:t xml:space="preserve"> Representative plots illustrating the sequential gating strategy. (A) A time gate was applied before (B) singlet selection and exclusion of doublets. (C) Viable cells were identified by exclusion of Zombie NIR-positive cells, followed by selection of (D) CD45-positive leukocytes and (E) lymphocytes according to forward- and side-scatter characteristics. (F) Invariant natural killer T cells and mucosal-associated invariant T cells were identified by expression of Vα24-Jα18 and Vα7.2, respectively. (G) </w:t>
      </w:r>
      <w:proofErr w:type="spellStart"/>
      <w:r w:rsidRPr="00B4449F">
        <w:rPr>
          <w:rFonts w:ascii="Arial" w:hAnsi="Arial" w:cs="Arial"/>
          <w:sz w:val="20"/>
          <w:szCs w:val="20"/>
        </w:rPr>
        <w:t>γδ</w:t>
      </w:r>
      <w:proofErr w:type="spellEnd"/>
      <w:r w:rsidRPr="00B4449F">
        <w:rPr>
          <w:rFonts w:ascii="Arial" w:hAnsi="Arial" w:cs="Arial"/>
          <w:sz w:val="20"/>
          <w:szCs w:val="20"/>
        </w:rPr>
        <w:t xml:space="preserve"> T-cell subsets were identified according to Vδ1 and Vδ2 expression, and (H) natural killer-cell subsets according to CD3 and CD56 expression. (I) CD4-positive, CD8-positive, and CD4/CD8 double-positive T cells were subsequently identified. (J) CD4-positive T cells were classified using CD27 and CD45RA expression as naïve (CD27-positive/CD45RA-positive), central memory (CD27-positive/CD45RA-negative), effector memory (CD27-negative/CD45RA-negative), or effector memory cells re-expressing CD45RA (CD27-negative/CD45RA-positive). (K) Regulatory T cells were identified within the CD4-positive population as CD127-low/CD25-positive cells. (L) The corresponding CD27/CD45RA gating strategy was applied to CD8-positive T cells.</w:t>
      </w:r>
    </w:p>
    <w:p w14:paraId="7B0D982F" w14:textId="77777777" w:rsidR="004F3A60" w:rsidRPr="00B777E1" w:rsidRDefault="004F3A60" w:rsidP="004F3A60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4F3A60" w:rsidRPr="00B777E1" w:rsidSect="0014640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60"/>
    <w:rsid w:val="000115A1"/>
    <w:rsid w:val="0002062A"/>
    <w:rsid w:val="000344A8"/>
    <w:rsid w:val="000509DC"/>
    <w:rsid w:val="000601EC"/>
    <w:rsid w:val="00063CB4"/>
    <w:rsid w:val="00064471"/>
    <w:rsid w:val="00073D0C"/>
    <w:rsid w:val="00086C68"/>
    <w:rsid w:val="000937C6"/>
    <w:rsid w:val="00093FAB"/>
    <w:rsid w:val="000952BC"/>
    <w:rsid w:val="000B6106"/>
    <w:rsid w:val="000D0FD3"/>
    <w:rsid w:val="000E1096"/>
    <w:rsid w:val="000E22ED"/>
    <w:rsid w:val="000F2A2D"/>
    <w:rsid w:val="000F6E89"/>
    <w:rsid w:val="0010334A"/>
    <w:rsid w:val="0011726D"/>
    <w:rsid w:val="00136410"/>
    <w:rsid w:val="00141219"/>
    <w:rsid w:val="001437D1"/>
    <w:rsid w:val="00145982"/>
    <w:rsid w:val="0014640E"/>
    <w:rsid w:val="0016189A"/>
    <w:rsid w:val="001759F5"/>
    <w:rsid w:val="00181BFB"/>
    <w:rsid w:val="00187010"/>
    <w:rsid w:val="001A1F38"/>
    <w:rsid w:val="001B05CE"/>
    <w:rsid w:val="001C13A1"/>
    <w:rsid w:val="001D040C"/>
    <w:rsid w:val="001E2A99"/>
    <w:rsid w:val="00207FA4"/>
    <w:rsid w:val="00212C5C"/>
    <w:rsid w:val="00220FC8"/>
    <w:rsid w:val="002318FA"/>
    <w:rsid w:val="002660E6"/>
    <w:rsid w:val="00271462"/>
    <w:rsid w:val="002730B2"/>
    <w:rsid w:val="0028174D"/>
    <w:rsid w:val="00283B45"/>
    <w:rsid w:val="00286560"/>
    <w:rsid w:val="002D15A7"/>
    <w:rsid w:val="002E6411"/>
    <w:rsid w:val="003021B6"/>
    <w:rsid w:val="003028E6"/>
    <w:rsid w:val="003051E0"/>
    <w:rsid w:val="00322FDB"/>
    <w:rsid w:val="003342D5"/>
    <w:rsid w:val="00341870"/>
    <w:rsid w:val="00345A4E"/>
    <w:rsid w:val="00346F5E"/>
    <w:rsid w:val="003659E7"/>
    <w:rsid w:val="0037128E"/>
    <w:rsid w:val="003747A5"/>
    <w:rsid w:val="003764D0"/>
    <w:rsid w:val="003879E0"/>
    <w:rsid w:val="003A0C3A"/>
    <w:rsid w:val="003A4793"/>
    <w:rsid w:val="003B6569"/>
    <w:rsid w:val="003C3443"/>
    <w:rsid w:val="003C6265"/>
    <w:rsid w:val="00403834"/>
    <w:rsid w:val="004106A6"/>
    <w:rsid w:val="004207B1"/>
    <w:rsid w:val="0043399E"/>
    <w:rsid w:val="0044423C"/>
    <w:rsid w:val="004446DB"/>
    <w:rsid w:val="00464A18"/>
    <w:rsid w:val="00470AC9"/>
    <w:rsid w:val="004B4007"/>
    <w:rsid w:val="004B4895"/>
    <w:rsid w:val="004C25B1"/>
    <w:rsid w:val="004C7BAD"/>
    <w:rsid w:val="004D0396"/>
    <w:rsid w:val="004D13BD"/>
    <w:rsid w:val="004F3A60"/>
    <w:rsid w:val="004F5E66"/>
    <w:rsid w:val="00502581"/>
    <w:rsid w:val="00503E7E"/>
    <w:rsid w:val="0051079C"/>
    <w:rsid w:val="00521CD9"/>
    <w:rsid w:val="005633FD"/>
    <w:rsid w:val="00575DA5"/>
    <w:rsid w:val="00585B13"/>
    <w:rsid w:val="00591F93"/>
    <w:rsid w:val="005A36E8"/>
    <w:rsid w:val="005B09F5"/>
    <w:rsid w:val="005B3680"/>
    <w:rsid w:val="005D61E7"/>
    <w:rsid w:val="005E4453"/>
    <w:rsid w:val="005F0135"/>
    <w:rsid w:val="005F6071"/>
    <w:rsid w:val="006031A3"/>
    <w:rsid w:val="00615788"/>
    <w:rsid w:val="006161F4"/>
    <w:rsid w:val="0061779B"/>
    <w:rsid w:val="00624815"/>
    <w:rsid w:val="0064617F"/>
    <w:rsid w:val="00652E64"/>
    <w:rsid w:val="00661253"/>
    <w:rsid w:val="00665012"/>
    <w:rsid w:val="006701AF"/>
    <w:rsid w:val="006713A2"/>
    <w:rsid w:val="00686D00"/>
    <w:rsid w:val="006905CE"/>
    <w:rsid w:val="00693E1D"/>
    <w:rsid w:val="006B50C1"/>
    <w:rsid w:val="006B58E3"/>
    <w:rsid w:val="006E0D21"/>
    <w:rsid w:val="006F0273"/>
    <w:rsid w:val="006F11BC"/>
    <w:rsid w:val="006F6A00"/>
    <w:rsid w:val="00707F03"/>
    <w:rsid w:val="007209DE"/>
    <w:rsid w:val="0072649E"/>
    <w:rsid w:val="007304BF"/>
    <w:rsid w:val="00731086"/>
    <w:rsid w:val="00732F6B"/>
    <w:rsid w:val="0075331F"/>
    <w:rsid w:val="0075585E"/>
    <w:rsid w:val="00770564"/>
    <w:rsid w:val="00773DA3"/>
    <w:rsid w:val="0078118A"/>
    <w:rsid w:val="00792DB1"/>
    <w:rsid w:val="00797757"/>
    <w:rsid w:val="007A1376"/>
    <w:rsid w:val="007A6A49"/>
    <w:rsid w:val="007B1D4B"/>
    <w:rsid w:val="007B4EBF"/>
    <w:rsid w:val="007C6E73"/>
    <w:rsid w:val="007D1C05"/>
    <w:rsid w:val="007D4C50"/>
    <w:rsid w:val="007D720C"/>
    <w:rsid w:val="007F3E1E"/>
    <w:rsid w:val="007F6CEE"/>
    <w:rsid w:val="0083220D"/>
    <w:rsid w:val="00856A3D"/>
    <w:rsid w:val="008A38B5"/>
    <w:rsid w:val="008B1E36"/>
    <w:rsid w:val="008C562B"/>
    <w:rsid w:val="008F60E8"/>
    <w:rsid w:val="00901742"/>
    <w:rsid w:val="009025C4"/>
    <w:rsid w:val="00902E29"/>
    <w:rsid w:val="00904E32"/>
    <w:rsid w:val="0093700C"/>
    <w:rsid w:val="00952367"/>
    <w:rsid w:val="00965AE7"/>
    <w:rsid w:val="00971D2E"/>
    <w:rsid w:val="009A1C7E"/>
    <w:rsid w:val="009A5195"/>
    <w:rsid w:val="009B213B"/>
    <w:rsid w:val="009C0074"/>
    <w:rsid w:val="009D1DA8"/>
    <w:rsid w:val="00A04FB1"/>
    <w:rsid w:val="00A23D76"/>
    <w:rsid w:val="00A42F92"/>
    <w:rsid w:val="00A5632B"/>
    <w:rsid w:val="00A65176"/>
    <w:rsid w:val="00A72E52"/>
    <w:rsid w:val="00A969E7"/>
    <w:rsid w:val="00AC1984"/>
    <w:rsid w:val="00AC2273"/>
    <w:rsid w:val="00AD530C"/>
    <w:rsid w:val="00AE07CF"/>
    <w:rsid w:val="00B123EA"/>
    <w:rsid w:val="00B4449F"/>
    <w:rsid w:val="00B47470"/>
    <w:rsid w:val="00B560C0"/>
    <w:rsid w:val="00B66503"/>
    <w:rsid w:val="00B777E1"/>
    <w:rsid w:val="00BB034D"/>
    <w:rsid w:val="00BB3A9C"/>
    <w:rsid w:val="00BD287F"/>
    <w:rsid w:val="00BD3002"/>
    <w:rsid w:val="00BF1F63"/>
    <w:rsid w:val="00BF40B5"/>
    <w:rsid w:val="00BF4792"/>
    <w:rsid w:val="00C15882"/>
    <w:rsid w:val="00C36BA8"/>
    <w:rsid w:val="00C4425A"/>
    <w:rsid w:val="00C52D1B"/>
    <w:rsid w:val="00C531FA"/>
    <w:rsid w:val="00C62414"/>
    <w:rsid w:val="00C83F21"/>
    <w:rsid w:val="00C8569B"/>
    <w:rsid w:val="00C86D8B"/>
    <w:rsid w:val="00C920DA"/>
    <w:rsid w:val="00C9310C"/>
    <w:rsid w:val="00CB1892"/>
    <w:rsid w:val="00CC1749"/>
    <w:rsid w:val="00CF1946"/>
    <w:rsid w:val="00D003DB"/>
    <w:rsid w:val="00D0556C"/>
    <w:rsid w:val="00D06874"/>
    <w:rsid w:val="00D11562"/>
    <w:rsid w:val="00D13959"/>
    <w:rsid w:val="00D17681"/>
    <w:rsid w:val="00D421C4"/>
    <w:rsid w:val="00D44E08"/>
    <w:rsid w:val="00D73CCD"/>
    <w:rsid w:val="00D76881"/>
    <w:rsid w:val="00D8049D"/>
    <w:rsid w:val="00D82EE0"/>
    <w:rsid w:val="00D93CAC"/>
    <w:rsid w:val="00DA232C"/>
    <w:rsid w:val="00DC498B"/>
    <w:rsid w:val="00DC7A23"/>
    <w:rsid w:val="00DE4A2E"/>
    <w:rsid w:val="00DF32CB"/>
    <w:rsid w:val="00E0329C"/>
    <w:rsid w:val="00E122A4"/>
    <w:rsid w:val="00E13772"/>
    <w:rsid w:val="00E32198"/>
    <w:rsid w:val="00E441C9"/>
    <w:rsid w:val="00E547FD"/>
    <w:rsid w:val="00E6763E"/>
    <w:rsid w:val="00E81DD3"/>
    <w:rsid w:val="00E82E0B"/>
    <w:rsid w:val="00EC5FAC"/>
    <w:rsid w:val="00EC64D1"/>
    <w:rsid w:val="00EC6B3F"/>
    <w:rsid w:val="00F11514"/>
    <w:rsid w:val="00F44164"/>
    <w:rsid w:val="00F47F3A"/>
    <w:rsid w:val="00F551CD"/>
    <w:rsid w:val="00F60100"/>
    <w:rsid w:val="00F62ADB"/>
    <w:rsid w:val="00F847CD"/>
    <w:rsid w:val="00FA4278"/>
    <w:rsid w:val="00FB5E1F"/>
    <w:rsid w:val="00FE4749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1EBEE"/>
  <w15:chartTrackingRefBased/>
  <w15:docId w15:val="{13932B5D-39CF-F040-B952-DE0AF328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A60"/>
  </w:style>
  <w:style w:type="paragraph" w:styleId="Heading1">
    <w:name w:val="heading 1"/>
    <w:basedOn w:val="Normal"/>
    <w:next w:val="Normal"/>
    <w:link w:val="Heading1Char"/>
    <w:uiPriority w:val="9"/>
    <w:qFormat/>
    <w:rsid w:val="004F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04B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304BF"/>
  </w:style>
  <w:style w:type="character" w:customStyle="1" w:styleId="Heading1Char">
    <w:name w:val="Heading 1 Char"/>
    <w:basedOn w:val="DefaultParagraphFont"/>
    <w:link w:val="Heading1"/>
    <w:uiPriority w:val="9"/>
    <w:rsid w:val="004F3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A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A6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F3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A60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4F3A6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F3A60"/>
    <w:rPr>
      <w:color w:val="467886" w:themeColor="hyperlink"/>
      <w:u w:val="single"/>
    </w:rPr>
  </w:style>
  <w:style w:type="table" w:styleId="TableGridLight">
    <w:name w:val="Grid Table Light"/>
    <w:basedOn w:val="TableNormal"/>
    <w:uiPriority w:val="40"/>
    <w:rsid w:val="004F3A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4F3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4449F"/>
    <w:rPr>
      <w:b/>
      <w:bCs/>
    </w:rPr>
  </w:style>
  <w:style w:type="paragraph" w:customStyle="1" w:styleId="pdq2pgselectionanchorcontainer">
    <w:name w:val="pdq2pg_selectionanchorcontainer"/>
    <w:basedOn w:val="Normal"/>
    <w:rsid w:val="00B444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Dyer</dc:creator>
  <cp:keywords/>
  <dc:description/>
  <cp:lastModifiedBy>Adam Dyer</cp:lastModifiedBy>
  <cp:revision>5</cp:revision>
  <dcterms:created xsi:type="dcterms:W3CDTF">2026-08-27T17:08:00Z</dcterms:created>
  <dcterms:modified xsi:type="dcterms:W3CDTF">2026-10-10T14:05:00Z</dcterms:modified>
</cp:coreProperties>
</file>