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Additional file 3</w:t>
      </w:r>
    </w:p>
    <w:p>
      <w:r>
        <w:rPr>
          <w:rFonts w:ascii="Times New Roman" w:hAnsi="Times New Roman"/>
        </w:rPr>
        <w:t>A 13-Variable Hour-24 Model for 7-Day ICU Mortality in Neurocritical Care: Strong Cross-Database Discrimination with Unit-Level Calibration Differences</w:t>
      </w:r>
    </w:p>
    <w:p>
      <w:pPr>
        <w:pStyle w:val="Heading1"/>
      </w:pPr>
      <w:r>
        <w:rPr>
          <w:rFonts w:ascii="Times New Roman" w:hAnsi="Times New Roman"/>
        </w:rPr>
        <w:t>Clinical derivation and model-development specification</w:t>
      </w:r>
    </w:p>
    <w:p>
      <w:pPr>
        <w:pStyle w:val="Heading2"/>
      </w:pPr>
      <w:r>
        <w:rPr>
          <w:rFonts w:ascii="Times New Roman" w:hAnsi="Times New Roman"/>
        </w:rPr>
        <w:t>Protocol history and study population</w:t>
      </w:r>
    </w:p>
    <w:p>
      <w:r>
        <w:rPr>
          <w:rFonts w:ascii="Times New Roman" w:hAnsi="Times New Roman"/>
        </w:rPr>
        <w:t>Protocol version 5.0.0 and modeling extension 5.2.0 retained the hour-24 landmark and hour-168 ICU-death endpoint from earlier analyses. The expanded development population, three-label MIMIC-IV target, and planned care-setting and era analyses were informed by earlier v4 findings concerning event risk and calibration. The final eICU-fitted pipeline was applied without adaptation to MIMIC-IV. This was a post-v4 transport reanalysis, not an untouched confirmation independent of prior target-data inspection.</w:t>
      </w:r>
    </w:p>
    <w:p>
      <w:r>
        <w:rPr>
          <w:rFonts w:ascii="Times New Roman" w:hAnsi="Times New Roman"/>
        </w:rPr>
        <w:t>For eICU-CRD, records required nonmissing patienthealthsystemstayid and uniquepid. The first unit stay within each health-system admission was selected by ascending unitvisitnumber, then patientunitstayid. Age had to be at least 18 years; source values &gt;89 or &gt;89.0 were represented as 90. Unit discharge had to occur after 1,440 minutes. Standardized discharge status had to be alive, expired, dead, or deceased. Neurologic eligibility required at least one of the following: standardized unittype exactly “neuro icu”; qualifying apacheadmissiondx text; or qualifying admission/diagnosis evidence with admitdxenteredoffset or diagnosisoffset no greater than 1,440 minutes. Negative diagnosis offsets were permitted. Admission evidence combined admitdxpath, admitdxname, and admitdxtext; diagnosis evidence used diagnosisstring and normalized icd9code. Post-landmark diagnosis records were excluded from this eligibility route.</w:t>
      </w:r>
    </w:p>
    <w:p>
      <w:r>
        <w:rPr>
          <w:rFonts w:ascii="Times New Roman" w:hAnsi="Times New Roman"/>
        </w:rPr>
        <w:t>Neurologic code matching removed periods, converted codes to uppercase, and matched the following prefixes at a code-token boundary:</w:t>
      </w:r>
    </w:p>
    <w:p>
      <w:pPr>
        <w:spacing w:line="240" w:lineRule="auto" w:after="0"/>
      </w:pPr>
      <w:r>
        <w:rPr>
          <w:rFonts w:ascii="Consolas" w:hAnsi="Consolas"/>
          <w:sz w:val="20"/>
        </w:rPr>
        <w:t>I60 I61 I62 I63 I64 I65 I66 I67 I68 I69 S06 G40 G41</w:t>
      </w:r>
    </w:p>
    <w:p>
      <w:pPr>
        <w:spacing w:line="240" w:lineRule="auto" w:after="0"/>
      </w:pPr>
      <w:r>
        <w:rPr>
          <w:rFonts w:ascii="Consolas" w:hAnsi="Consolas"/>
          <w:sz w:val="20"/>
        </w:rPr>
        <w:t>G00 G01 G02 G03 G04 G05 G06 G07 G08 G09 C71 D33 G931 G935 G936</w:t>
      </w:r>
    </w:p>
    <w:p>
      <w:pPr>
        <w:spacing w:line="240" w:lineRule="auto" w:after="0"/>
      </w:pPr>
      <w:r>
        <w:rPr>
          <w:rFonts w:ascii="Consolas" w:hAnsi="Consolas"/>
          <w:sz w:val="20"/>
        </w:rPr>
        <w:t>430 431 432 433 434 435 436 437 438</w:t>
      </w:r>
    </w:p>
    <w:p>
      <w:pPr>
        <w:spacing w:line="240" w:lineRule="auto" w:after="0"/>
      </w:pPr>
      <w:r>
        <w:rPr>
          <w:rFonts w:ascii="Consolas" w:hAnsi="Consolas"/>
          <w:sz w:val="20"/>
        </w:rPr>
        <w:t>800 801 802 803 804 850 851 852 853 854</w:t>
      </w:r>
    </w:p>
    <w:p>
      <w:pPr>
        <w:spacing w:line="240" w:lineRule="auto" w:after="0"/>
      </w:pPr>
      <w:r>
        <w:rPr>
          <w:rFonts w:ascii="Consolas" w:hAnsi="Consolas"/>
          <w:sz w:val="20"/>
        </w:rPr>
        <w:t>345 320 321 322 323 324 325 326 191 225 3481 3484 3485</w:t>
      </w:r>
    </w:p>
    <w:p>
      <w:r>
        <w:rPr>
          <w:rFonts w:ascii="Times New Roman" w:hAnsi="Times New Roman"/>
        </w:rPr>
        <w:t>The shared lower-case clinical-text expression was:</w:t>
      </w:r>
    </w:p>
    <w:p>
      <w:pPr>
        <w:spacing w:line="240" w:lineRule="auto" w:after="0"/>
      </w:pPr>
      <w:r>
        <w:rPr>
          <w:rFonts w:ascii="Consolas" w:hAnsi="Consolas"/>
          <w:sz w:val="20"/>
        </w:rPr>
        <w:t>ischemic stroke|ischaemic stroke|cerebral infar|intracerebral|intraparenchymal|</w:t>
      </w:r>
    </w:p>
    <w:p>
      <w:pPr>
        <w:spacing w:line="240" w:lineRule="auto" w:after="0"/>
      </w:pPr>
      <w:r>
        <w:rPr>
          <w:rFonts w:ascii="Consolas" w:hAnsi="Consolas"/>
          <w:sz w:val="20"/>
        </w:rPr>
        <w:t>subarachnoid|subdural|epidural|intracranial (?:hemorr|haemorr|hematoma|injur)|</w:t>
      </w:r>
    </w:p>
    <w:p>
      <w:pPr>
        <w:spacing w:line="240" w:lineRule="auto" w:after="0"/>
      </w:pPr>
      <w:r>
        <w:rPr>
          <w:rFonts w:ascii="Consolas" w:hAnsi="Consolas"/>
          <w:sz w:val="20"/>
        </w:rPr>
        <w:t>cerebral (?:hemorr|haemorr)|traumatic brain|brain injur|head trauma|trauma.*cns|</w:t>
      </w:r>
    </w:p>
    <w:p>
      <w:pPr>
        <w:spacing w:line="240" w:lineRule="auto" w:after="0"/>
      </w:pPr>
      <w:r>
        <w:rPr>
          <w:rFonts w:ascii="Consolas" w:hAnsi="Consolas"/>
          <w:sz w:val="20"/>
        </w:rPr>
        <w:t>status epilep|meningitis|encephalitis|encephalomyelitis|</w:t>
      </w:r>
    </w:p>
    <w:p>
      <w:pPr>
        <w:spacing w:line="240" w:lineRule="auto" w:after="0"/>
      </w:pPr>
      <w:r>
        <w:rPr>
          <w:rFonts w:ascii="Consolas" w:hAnsi="Consolas"/>
          <w:sz w:val="20"/>
        </w:rPr>
        <w:t>brain (?:tumor|tumour|neoplasm|mass|abscess)|cranial (?:tumor|tumour)|</w:t>
      </w:r>
    </w:p>
    <w:p>
      <w:pPr>
        <w:spacing w:line="240" w:lineRule="auto" w:after="0"/>
      </w:pPr>
      <w:r>
        <w:rPr>
          <w:rFonts w:ascii="Consolas" w:hAnsi="Consolas"/>
          <w:sz w:val="20"/>
        </w:rPr>
        <w:t>hydrocephal|cerebral edema|brain herniat|craniotomy|craniectomy|ventriculost|</w:t>
      </w:r>
    </w:p>
    <w:p>
      <w:pPr>
        <w:spacing w:line="240" w:lineRule="auto" w:after="0"/>
      </w:pPr>
      <w:r>
        <w:rPr>
          <w:rFonts w:ascii="Consolas" w:hAnsi="Consolas"/>
          <w:sz w:val="20"/>
        </w:rPr>
        <w:t>external ventricular drain|(^|[^a-z])cva([^a-z]|$)|cerebrovascular accident</w:t>
      </w:r>
    </w:p>
    <w:p>
      <w:r>
        <w:rPr>
          <w:rFonts w:ascii="Times New Roman" w:hAnsi="Times New Roman"/>
        </w:rPr>
        <w:t>Line breaks above are for display. The shared predicate excluded text matching “for cerebrovascular accident[- ]?see neurolog”. Diagnosis-specific branches also matched the corresponding traumatic brain injury, stroke, hemorrhage, seizure, infection, or tumor expressions before the broader fallback.</w:t>
      </w:r>
    </w:p>
    <w:p>
      <w:r>
        <w:rPr>
          <w:rFonts w:ascii="Times New Roman" w:hAnsi="Times New Roman"/>
        </w:rPr>
        <w:t>For MIMIC-IV, icustays was joined to admissions by hadm_id and to patients by subject_id. The first ICU stay within each hadm_id was selected by intime, then stay_id. Age was calculated as anchor_age + year(admittime) − anchor_year and had to be at least 18. The interval outtime − intime had to exceed 24 hours; deathtime had to be absent or later than intime + 24 hours. Eligibility used lower-case, trimmed first_careunit exactly equal to Neuro Surgical Intensive Care Unit (Neuro SICU), Neuro Intermediate, or Neuro Stepdown. Neither last_careunit nor discharge diagnoses determined eligibility. Repeat hospital admissions remained eligible in both databases.</w:t>
      </w:r>
    </w:p>
    <w:p>
      <w:pPr>
        <w:pStyle w:val="Heading2"/>
      </w:pPr>
      <w:r>
        <w:rPr>
          <w:rFonts w:ascii="Times New Roman" w:hAnsi="Times New Roman"/>
        </w:rPr>
        <w:t>Outcome implementation</w:t>
      </w:r>
    </w:p>
    <w:p>
      <w:r>
        <w:rPr>
          <w:rFonts w:ascii="Times New Roman" w:hAnsi="Times New Roman"/>
        </w:rPr>
        <w:t>For eICU, death occurred at unitdischargeoffset/60 when standardized unitdischargestatus was expired, dead, or deceased. For MIMIC-IV, death time was deathtime − intime in hours and was required to fall within the indexed ICU stay. The primary event was death at time t satisfying 24 &lt; t ≤ min(168, ICU discharge time). Eligible records without such an event were non-events, including alive ICU discharge by hour 168 and survival in ICU through hour 168. The MIMIC implementation treated its linked disposition fields as observable and an absent deathtime as no recorded ICU-death event. Outcomes were not imputed. The modeled risk set retained only binary, classifiable primary outcomes.</w:t>
      </w:r>
    </w:p>
    <w:p>
      <w:pPr>
        <w:pStyle w:val="Heading2"/>
      </w:pPr>
      <w:r>
        <w:rPr>
          <w:rFonts w:ascii="Times New Roman" w:hAnsi="Times New Roman"/>
        </w:rPr>
        <w:t>Predictor mappings and preprocessing</w:t>
      </w:r>
    </w:p>
    <w:p>
      <w:r>
        <w:rPr>
          <w:rFonts w:ascii="Times New Roman" w:hAnsi="Times New Roman"/>
        </w:rPr>
        <w:t>Predictors used records charted from ICU admission through hour 24, inclusive. The time keys were MIMIC charttime and the eICU source-specific offsets. Feature extraction did not impose an additional record-entry or storetime cutoff.</w:t>
      </w:r>
    </w:p>
    <w:tbl>
      <w:tblPr>
        <w:tblStyle w:val="TableGrid"/>
        <w:tblW w:type="auto" w:w="0"/>
        <w:tblLook w:firstColumn="1" w:firstRow="1" w:lastColumn="0" w:lastRow="0" w:noHBand="0" w:noVBand="1" w:val="04A0"/>
      </w:tblPr>
      <w:tblGrid>
        <w:gridCol w:w="2448"/>
        <w:gridCol w:w="2448"/>
        <w:gridCol w:w="2448"/>
        <w:gridCol w:w="2448"/>
      </w:tblGrid>
      <w:tr>
        <w:trPr>
          <w:cantSplit/>
          <w:tblHeader/>
        </w:trPr>
        <w:tc>
          <w:tcPr>
            <w:tcW w:type="dxa" w:w="2448"/>
          </w:tcPr>
          <w:p>
            <w:pPr>
              <w:keepNext/>
              <w:spacing w:line="240" w:lineRule="auto" w:after="80"/>
            </w:pPr>
            <w:r>
              <w:rPr>
                <w:rFonts w:ascii="Times New Roman" w:hAnsi="Times New Roman"/>
                <w:b/>
                <w:sz w:val="20"/>
              </w:rPr>
              <w:t>Predictor and summary</w:t>
            </w:r>
          </w:p>
        </w:tc>
        <w:tc>
          <w:tcPr>
            <w:tcW w:type="dxa" w:w="2448"/>
          </w:tcPr>
          <w:p>
            <w:pPr>
              <w:keepNext/>
              <w:spacing w:line="240" w:lineRule="auto" w:after="80"/>
            </w:pPr>
            <w:r>
              <w:rPr>
                <w:rFonts w:ascii="Times New Roman" w:hAnsi="Times New Roman"/>
                <w:b/>
                <w:sz w:val="20"/>
              </w:rPr>
              <w:t>eICU source</w:t>
            </w:r>
          </w:p>
        </w:tc>
        <w:tc>
          <w:tcPr>
            <w:tcW w:type="dxa" w:w="2448"/>
          </w:tcPr>
          <w:p>
            <w:pPr>
              <w:keepNext/>
              <w:spacing w:line="240" w:lineRule="auto" w:after="80"/>
            </w:pPr>
            <w:r>
              <w:rPr>
                <w:rFonts w:ascii="Times New Roman" w:hAnsi="Times New Roman"/>
                <w:b/>
                <w:sz w:val="20"/>
              </w:rPr>
              <w:t>MIMIC-IV source</w:t>
            </w:r>
          </w:p>
        </w:tc>
        <w:tc>
          <w:tcPr>
            <w:tcW w:type="dxa" w:w="2448"/>
          </w:tcPr>
          <w:p>
            <w:pPr>
              <w:keepNext/>
              <w:spacing w:line="240" w:lineRule="auto" w:after="80"/>
            </w:pPr>
            <w:r>
              <w:rPr>
                <w:rFonts w:ascii="Times New Roman" w:hAnsi="Times New Roman"/>
                <w:b/>
                <w:sz w:val="20"/>
              </w:rPr>
              <w:t>Valid measurement range</w:t>
            </w:r>
          </w:p>
        </w:tc>
      </w:tr>
      <w:tr>
        <w:trPr>
          <w:cantSplit/>
        </w:trPr>
        <w:tc>
          <w:tcPr>
            <w:tcW w:type="dxa" w:w="2448"/>
          </w:tcPr>
          <w:p>
            <w:pPr>
              <w:spacing w:line="240" w:lineRule="auto" w:after="80"/>
            </w:pPr>
            <w:r>
              <w:rPr>
                <w:rFonts w:ascii="Times New Roman" w:hAnsi="Times New Roman"/>
                <w:b w:val="0"/>
                <w:sz w:val="20"/>
              </w:rPr>
              <w:t>Age</w:t>
            </w:r>
          </w:p>
        </w:tc>
        <w:tc>
          <w:tcPr>
            <w:tcW w:type="dxa" w:w="2448"/>
          </w:tcPr>
          <w:p>
            <w:pPr>
              <w:spacing w:line="240" w:lineRule="auto" w:after="80"/>
            </w:pPr>
            <w:r>
              <w:rPr>
                <w:rFonts w:ascii="Times New Roman" w:hAnsi="Times New Roman"/>
                <w:b w:val="0"/>
                <w:sz w:val="20"/>
              </w:rPr>
              <w:t>patient.age, with the over-89 convention above</w:t>
            </w:r>
          </w:p>
        </w:tc>
        <w:tc>
          <w:tcPr>
            <w:tcW w:type="dxa" w:w="2448"/>
          </w:tcPr>
          <w:p>
            <w:pPr>
              <w:spacing w:line="240" w:lineRule="auto" w:after="80"/>
            </w:pPr>
            <w:r>
              <w:rPr>
                <w:rFonts w:ascii="Times New Roman" w:hAnsi="Times New Roman"/>
                <w:b w:val="0"/>
                <w:sz w:val="20"/>
              </w:rPr>
              <w:t>Admission-year anchor-age calculation</w:t>
            </w:r>
          </w:p>
        </w:tc>
        <w:tc>
          <w:tcPr>
            <w:tcW w:type="dxa" w:w="2448"/>
          </w:tcPr>
          <w:p>
            <w:pPr>
              <w:spacing w:line="240" w:lineRule="auto" w:after="80"/>
            </w:pPr>
            <w:r>
              <w:rPr>
                <w:rFonts w:ascii="Times New Roman" w:hAnsi="Times New Roman"/>
                <w:b w:val="0"/>
                <w:sz w:val="20"/>
              </w:rPr>
              <w:t>Adult eligibility</w:t>
            </w:r>
          </w:p>
        </w:tc>
      </w:tr>
      <w:tr>
        <w:trPr>
          <w:cantSplit/>
        </w:trPr>
        <w:tc>
          <w:tcPr>
            <w:tcW w:type="dxa" w:w="2448"/>
          </w:tcPr>
          <w:p>
            <w:pPr>
              <w:spacing w:line="240" w:lineRule="auto" w:after="80"/>
            </w:pPr>
            <w:r>
              <w:rPr>
                <w:rFonts w:ascii="Times New Roman" w:hAnsi="Times New Roman"/>
                <w:b w:val="0"/>
                <w:sz w:val="20"/>
              </w:rPr>
              <w:t>Male sex</w:t>
            </w:r>
          </w:p>
        </w:tc>
        <w:tc>
          <w:tcPr>
            <w:tcW w:type="dxa" w:w="2448"/>
          </w:tcPr>
          <w:p>
            <w:pPr>
              <w:spacing w:line="240" w:lineRule="auto" w:after="80"/>
            </w:pPr>
            <w:r>
              <w:rPr>
                <w:rFonts w:ascii="Times New Roman" w:hAnsi="Times New Roman"/>
                <w:b w:val="0"/>
                <w:sz w:val="20"/>
              </w:rPr>
              <w:t>patient.gender</w:t>
            </w:r>
          </w:p>
        </w:tc>
        <w:tc>
          <w:tcPr>
            <w:tcW w:type="dxa" w:w="2448"/>
          </w:tcPr>
          <w:p>
            <w:pPr>
              <w:spacing w:line="240" w:lineRule="auto" w:after="80"/>
            </w:pPr>
            <w:r>
              <w:rPr>
                <w:rFonts w:ascii="Times New Roman" w:hAnsi="Times New Roman"/>
                <w:b w:val="0"/>
                <w:sz w:val="20"/>
              </w:rPr>
              <w:t>patients.gender</w:t>
            </w:r>
          </w:p>
        </w:tc>
        <w:tc>
          <w:tcPr>
            <w:tcW w:type="dxa" w:w="2448"/>
          </w:tcPr>
          <w:p>
            <w:pPr>
              <w:spacing w:line="240" w:lineRule="auto" w:after="80"/>
            </w:pPr>
            <w:r>
              <w:rPr>
                <w:rFonts w:ascii="Times New Roman" w:hAnsi="Times New Roman"/>
                <w:b w:val="0"/>
                <w:sz w:val="20"/>
              </w:rPr>
              <w:t>Upper-case source begins M = 1, F = 0; otherwise missing</w:t>
            </w:r>
          </w:p>
        </w:tc>
      </w:tr>
      <w:tr>
        <w:trPr>
          <w:cantSplit/>
        </w:trPr>
        <w:tc>
          <w:tcPr>
            <w:tcW w:type="dxa" w:w="2448"/>
          </w:tcPr>
          <w:p>
            <w:pPr>
              <w:spacing w:line="240" w:lineRule="auto" w:after="80"/>
            </w:pPr>
            <w:r>
              <w:rPr>
                <w:rFonts w:ascii="Times New Roman" w:hAnsi="Times New Roman"/>
                <w:b w:val="0"/>
                <w:sz w:val="20"/>
              </w:rPr>
              <w:t>Minimum total GCS</w:t>
            </w:r>
          </w:p>
        </w:tc>
        <w:tc>
          <w:tcPr>
            <w:tcW w:type="dxa" w:w="2448"/>
          </w:tcPr>
          <w:p>
            <w:pPr>
              <w:spacing w:line="240" w:lineRule="auto" w:after="80"/>
            </w:pPr>
            <w:r>
              <w:rPr>
                <w:rFonts w:ascii="Times New Roman" w:hAnsi="Times New Roman"/>
                <w:b w:val="0"/>
                <w:sz w:val="20"/>
              </w:rPr>
              <w:t>nurseCharting GCS labels and values</w:t>
            </w:r>
          </w:p>
        </w:tc>
        <w:tc>
          <w:tcPr>
            <w:tcW w:type="dxa" w:w="2448"/>
          </w:tcPr>
          <w:p>
            <w:pPr>
              <w:spacing w:line="240" w:lineRule="auto" w:after="80"/>
            </w:pPr>
            <w:r>
              <w:rPr>
                <w:rFonts w:ascii="Times New Roman" w:hAnsi="Times New Roman"/>
                <w:b w:val="0"/>
                <w:sz w:val="20"/>
              </w:rPr>
              <w:t>chartevents eye 220739, verbal 223900, motor 223901</w:t>
            </w:r>
          </w:p>
        </w:tc>
        <w:tc>
          <w:tcPr>
            <w:tcW w:type="dxa" w:w="2448"/>
          </w:tcPr>
          <w:p>
            <w:pPr>
              <w:spacing w:line="240" w:lineRule="auto" w:after="80"/>
            </w:pPr>
            <w:r>
              <w:rPr>
                <w:rFonts w:ascii="Times New Roman" w:hAnsi="Times New Roman"/>
                <w:b w:val="0"/>
                <w:sz w:val="20"/>
              </w:rPr>
              <w:t>Total 3 to 15; eye 1 to 4, verbal 1 to 5, motor 1 to 6</w:t>
            </w:r>
          </w:p>
        </w:tc>
      </w:tr>
      <w:tr>
        <w:trPr>
          <w:cantSplit/>
        </w:trPr>
        <w:tc>
          <w:tcPr>
            <w:tcW w:type="dxa" w:w="2448"/>
          </w:tcPr>
          <w:p>
            <w:pPr>
              <w:spacing w:line="240" w:lineRule="auto" w:after="80"/>
            </w:pPr>
            <w:r>
              <w:rPr>
                <w:rFonts w:ascii="Times New Roman" w:hAnsi="Times New Roman"/>
                <w:b w:val="0"/>
                <w:sz w:val="20"/>
              </w:rPr>
              <w:t>Maximum heart rate</w:t>
            </w:r>
          </w:p>
        </w:tc>
        <w:tc>
          <w:tcPr>
            <w:tcW w:type="dxa" w:w="2448"/>
          </w:tcPr>
          <w:p>
            <w:pPr>
              <w:spacing w:line="240" w:lineRule="auto" w:after="80"/>
            </w:pPr>
            <w:r>
              <w:rPr>
                <w:rFonts w:ascii="Times New Roman" w:hAnsi="Times New Roman"/>
                <w:b w:val="0"/>
                <w:sz w:val="20"/>
              </w:rPr>
              <w:t>vitalPeriodic.heartrate</w:t>
            </w:r>
          </w:p>
        </w:tc>
        <w:tc>
          <w:tcPr>
            <w:tcW w:type="dxa" w:w="2448"/>
          </w:tcPr>
          <w:p>
            <w:pPr>
              <w:spacing w:line="240" w:lineRule="auto" w:after="80"/>
            </w:pPr>
            <w:r>
              <w:rPr>
                <w:rFonts w:ascii="Times New Roman" w:hAnsi="Times New Roman"/>
                <w:b w:val="0"/>
                <w:sz w:val="20"/>
              </w:rPr>
              <w:t>chartevents 220045</w:t>
            </w:r>
          </w:p>
        </w:tc>
        <w:tc>
          <w:tcPr>
            <w:tcW w:type="dxa" w:w="2448"/>
          </w:tcPr>
          <w:p>
            <w:pPr>
              <w:spacing w:line="240" w:lineRule="auto" w:after="80"/>
            </w:pPr>
            <w:r>
              <w:rPr>
                <w:rFonts w:ascii="Times New Roman" w:hAnsi="Times New Roman"/>
                <w:b w:val="0"/>
                <w:sz w:val="20"/>
              </w:rPr>
              <w:t>20 to 250 beats/min</w:t>
            </w:r>
          </w:p>
        </w:tc>
      </w:tr>
      <w:tr>
        <w:trPr>
          <w:cantSplit/>
        </w:trPr>
        <w:tc>
          <w:tcPr>
            <w:tcW w:type="dxa" w:w="2448"/>
          </w:tcPr>
          <w:p>
            <w:pPr>
              <w:spacing w:line="240" w:lineRule="auto" w:after="80"/>
            </w:pPr>
            <w:r>
              <w:rPr>
                <w:rFonts w:ascii="Times New Roman" w:hAnsi="Times New Roman"/>
                <w:b w:val="0"/>
                <w:sz w:val="20"/>
              </w:rPr>
              <w:t>Minimum mean arterial pressure</w:t>
            </w:r>
          </w:p>
        </w:tc>
        <w:tc>
          <w:tcPr>
            <w:tcW w:type="dxa" w:w="2448"/>
          </w:tcPr>
          <w:p>
            <w:pPr>
              <w:spacing w:line="240" w:lineRule="auto" w:after="80"/>
            </w:pPr>
            <w:r>
              <w:rPr>
                <w:rFonts w:ascii="Times New Roman" w:hAnsi="Times New Roman"/>
                <w:b w:val="0"/>
                <w:sz w:val="20"/>
              </w:rPr>
              <w:t>vitalPeriodic.systemicmean; vitalAperiodic.noninvasivemean</w:t>
            </w:r>
          </w:p>
        </w:tc>
        <w:tc>
          <w:tcPr>
            <w:tcW w:type="dxa" w:w="2448"/>
          </w:tcPr>
          <w:p>
            <w:pPr>
              <w:spacing w:line="240" w:lineRule="auto" w:after="80"/>
            </w:pPr>
            <w:r>
              <w:rPr>
                <w:rFonts w:ascii="Times New Roman" w:hAnsi="Times New Roman"/>
                <w:b w:val="0"/>
                <w:sz w:val="20"/>
              </w:rPr>
              <w:t>chartevents 220052 or 220181</w:t>
            </w:r>
          </w:p>
        </w:tc>
        <w:tc>
          <w:tcPr>
            <w:tcW w:type="dxa" w:w="2448"/>
          </w:tcPr>
          <w:p>
            <w:pPr>
              <w:spacing w:line="240" w:lineRule="auto" w:after="80"/>
            </w:pPr>
            <w:r>
              <w:rPr>
                <w:rFonts w:ascii="Times New Roman" w:hAnsi="Times New Roman"/>
                <w:b w:val="0"/>
                <w:sz w:val="20"/>
              </w:rPr>
              <w:t>20 to 200 mmHg</w:t>
            </w:r>
          </w:p>
        </w:tc>
      </w:tr>
      <w:tr>
        <w:trPr>
          <w:cantSplit/>
        </w:trPr>
        <w:tc>
          <w:tcPr>
            <w:tcW w:type="dxa" w:w="2448"/>
          </w:tcPr>
          <w:p>
            <w:pPr>
              <w:spacing w:line="240" w:lineRule="auto" w:after="80"/>
            </w:pPr>
            <w:r>
              <w:rPr>
                <w:rFonts w:ascii="Times New Roman" w:hAnsi="Times New Roman"/>
                <w:b w:val="0"/>
                <w:sz w:val="20"/>
              </w:rPr>
              <w:t>Maximum respiratory rate</w:t>
            </w:r>
          </w:p>
        </w:tc>
        <w:tc>
          <w:tcPr>
            <w:tcW w:type="dxa" w:w="2448"/>
          </w:tcPr>
          <w:p>
            <w:pPr>
              <w:spacing w:line="240" w:lineRule="auto" w:after="80"/>
            </w:pPr>
            <w:r>
              <w:rPr>
                <w:rFonts w:ascii="Times New Roman" w:hAnsi="Times New Roman"/>
                <w:b w:val="0"/>
                <w:sz w:val="20"/>
              </w:rPr>
              <w:t>vitalPeriodic.respiration</w:t>
            </w:r>
          </w:p>
        </w:tc>
        <w:tc>
          <w:tcPr>
            <w:tcW w:type="dxa" w:w="2448"/>
          </w:tcPr>
          <w:p>
            <w:pPr>
              <w:spacing w:line="240" w:lineRule="auto" w:after="80"/>
            </w:pPr>
            <w:r>
              <w:rPr>
                <w:rFonts w:ascii="Times New Roman" w:hAnsi="Times New Roman"/>
                <w:b w:val="0"/>
                <w:sz w:val="20"/>
              </w:rPr>
              <w:t>chartevents 220210 or 224690</w:t>
            </w:r>
          </w:p>
        </w:tc>
        <w:tc>
          <w:tcPr>
            <w:tcW w:type="dxa" w:w="2448"/>
          </w:tcPr>
          <w:p>
            <w:pPr>
              <w:spacing w:line="240" w:lineRule="auto" w:after="80"/>
            </w:pPr>
            <w:r>
              <w:rPr>
                <w:rFonts w:ascii="Times New Roman" w:hAnsi="Times New Roman"/>
                <w:b w:val="0"/>
                <w:sz w:val="20"/>
              </w:rPr>
              <w:t>2 to 80 breaths/min</w:t>
            </w:r>
          </w:p>
        </w:tc>
      </w:tr>
      <w:tr>
        <w:trPr>
          <w:cantSplit/>
        </w:trPr>
        <w:tc>
          <w:tcPr>
            <w:tcW w:type="dxa" w:w="2448"/>
          </w:tcPr>
          <w:p>
            <w:pPr>
              <w:spacing w:line="240" w:lineRule="auto" w:after="80"/>
            </w:pPr>
            <w:r>
              <w:rPr>
                <w:rFonts w:ascii="Times New Roman" w:hAnsi="Times New Roman"/>
                <w:b w:val="0"/>
                <w:sz w:val="20"/>
              </w:rPr>
              <w:t>Minimum oxygen saturation</w:t>
            </w:r>
          </w:p>
        </w:tc>
        <w:tc>
          <w:tcPr>
            <w:tcW w:type="dxa" w:w="2448"/>
          </w:tcPr>
          <w:p>
            <w:pPr>
              <w:spacing w:line="240" w:lineRule="auto" w:after="80"/>
            </w:pPr>
            <w:r>
              <w:rPr>
                <w:rFonts w:ascii="Times New Roman" w:hAnsi="Times New Roman"/>
                <w:b w:val="0"/>
                <w:sz w:val="20"/>
              </w:rPr>
              <w:t>vitalPeriodic.sao2</w:t>
            </w:r>
          </w:p>
        </w:tc>
        <w:tc>
          <w:tcPr>
            <w:tcW w:type="dxa" w:w="2448"/>
          </w:tcPr>
          <w:p>
            <w:pPr>
              <w:spacing w:line="240" w:lineRule="auto" w:after="80"/>
            </w:pPr>
            <w:r>
              <w:rPr>
                <w:rFonts w:ascii="Times New Roman" w:hAnsi="Times New Roman"/>
                <w:b w:val="0"/>
                <w:sz w:val="20"/>
              </w:rPr>
              <w:t>chartevents 220277</w:t>
            </w:r>
          </w:p>
        </w:tc>
        <w:tc>
          <w:tcPr>
            <w:tcW w:type="dxa" w:w="2448"/>
          </w:tcPr>
          <w:p>
            <w:pPr>
              <w:spacing w:line="240" w:lineRule="auto" w:after="80"/>
            </w:pPr>
            <w:r>
              <w:rPr>
                <w:rFonts w:ascii="Times New Roman" w:hAnsi="Times New Roman"/>
                <w:b w:val="0"/>
                <w:sz w:val="20"/>
              </w:rPr>
              <w:t>50% to 100%</w:t>
            </w:r>
          </w:p>
        </w:tc>
      </w:tr>
      <w:tr>
        <w:trPr>
          <w:cantSplit/>
        </w:trPr>
        <w:tc>
          <w:tcPr>
            <w:tcW w:type="dxa" w:w="2448"/>
          </w:tcPr>
          <w:p>
            <w:pPr>
              <w:spacing w:line="240" w:lineRule="auto" w:after="80"/>
            </w:pPr>
            <w:r>
              <w:rPr>
                <w:rFonts w:ascii="Times New Roman" w:hAnsi="Times New Roman"/>
                <w:b w:val="0"/>
                <w:sz w:val="20"/>
              </w:rPr>
              <w:t>Last creatinine</w:t>
            </w:r>
          </w:p>
        </w:tc>
        <w:tc>
          <w:tcPr>
            <w:tcW w:type="dxa" w:w="2448"/>
          </w:tcPr>
          <w:p>
            <w:pPr>
              <w:spacing w:line="240" w:lineRule="auto" w:after="80"/>
            </w:pPr>
            <w:r>
              <w:rPr>
                <w:rFonts w:ascii="Times New Roman" w:hAnsi="Times New Roman"/>
                <w:b w:val="0"/>
                <w:sz w:val="20"/>
              </w:rPr>
              <w:t>lab name matching ^creatinine$ or ^creatinine followed by a space</w:t>
            </w:r>
          </w:p>
        </w:tc>
        <w:tc>
          <w:tcPr>
            <w:tcW w:type="dxa" w:w="2448"/>
          </w:tcPr>
          <w:p>
            <w:pPr>
              <w:spacing w:line="240" w:lineRule="auto" w:after="80"/>
            </w:pPr>
            <w:r>
              <w:rPr>
                <w:rFonts w:ascii="Times New Roman" w:hAnsi="Times New Roman"/>
                <w:b w:val="0"/>
                <w:sz w:val="20"/>
              </w:rPr>
              <w:t>Blood labevents, dictionary label creatinine or creatinine, serum</w:t>
            </w:r>
          </w:p>
        </w:tc>
        <w:tc>
          <w:tcPr>
            <w:tcW w:type="dxa" w:w="2448"/>
          </w:tcPr>
          <w:p>
            <w:pPr>
              <w:spacing w:line="240" w:lineRule="auto" w:after="80"/>
            </w:pPr>
            <w:r>
              <w:rPr>
                <w:rFonts w:ascii="Times New Roman" w:hAnsi="Times New Roman"/>
                <w:b w:val="0"/>
                <w:sz w:val="20"/>
              </w:rPr>
              <w:t>0.1 to 30 mg/dL</w:t>
            </w:r>
          </w:p>
        </w:tc>
      </w:tr>
      <w:tr>
        <w:trPr>
          <w:cantSplit/>
        </w:trPr>
        <w:tc>
          <w:tcPr>
            <w:tcW w:type="dxa" w:w="2448"/>
          </w:tcPr>
          <w:p>
            <w:pPr>
              <w:spacing w:line="240" w:lineRule="auto" w:after="80"/>
            </w:pPr>
            <w:r>
              <w:rPr>
                <w:rFonts w:ascii="Times New Roman" w:hAnsi="Times New Roman"/>
                <w:b w:val="0"/>
                <w:sz w:val="20"/>
              </w:rPr>
              <w:t>Sodium range</w:t>
            </w:r>
          </w:p>
        </w:tc>
        <w:tc>
          <w:tcPr>
            <w:tcW w:type="dxa" w:w="2448"/>
          </w:tcPr>
          <w:p>
            <w:pPr>
              <w:spacing w:line="240" w:lineRule="auto" w:after="80"/>
            </w:pPr>
            <w:r>
              <w:rPr>
                <w:rFonts w:ascii="Times New Roman" w:hAnsi="Times New Roman"/>
                <w:b w:val="0"/>
                <w:sz w:val="20"/>
              </w:rPr>
              <w:t>lab, exact name sodium</w:t>
            </w:r>
          </w:p>
        </w:tc>
        <w:tc>
          <w:tcPr>
            <w:tcW w:type="dxa" w:w="2448"/>
          </w:tcPr>
          <w:p>
            <w:pPr>
              <w:spacing w:line="240" w:lineRule="auto" w:after="80"/>
            </w:pPr>
            <w:r>
              <w:rPr>
                <w:rFonts w:ascii="Times New Roman" w:hAnsi="Times New Roman"/>
                <w:b w:val="0"/>
                <w:sz w:val="20"/>
              </w:rPr>
              <w:t>Blood labevents, exact label sodium</w:t>
            </w:r>
          </w:p>
        </w:tc>
        <w:tc>
          <w:tcPr>
            <w:tcW w:type="dxa" w:w="2448"/>
          </w:tcPr>
          <w:p>
            <w:pPr>
              <w:spacing w:line="240" w:lineRule="auto" w:after="80"/>
            </w:pPr>
            <w:r>
              <w:rPr>
                <w:rFonts w:ascii="Times New Roman" w:hAnsi="Times New Roman"/>
                <w:b w:val="0"/>
                <w:sz w:val="20"/>
              </w:rPr>
              <w:t>Individual sodium 100 to 190 mmol/L</w:t>
            </w:r>
          </w:p>
        </w:tc>
      </w:tr>
      <w:tr>
        <w:trPr>
          <w:cantSplit/>
        </w:trPr>
        <w:tc>
          <w:tcPr>
            <w:tcW w:type="dxa" w:w="2448"/>
          </w:tcPr>
          <w:p>
            <w:pPr>
              <w:spacing w:line="240" w:lineRule="auto" w:after="80"/>
            </w:pPr>
            <w:r>
              <w:rPr>
                <w:rFonts w:ascii="Times New Roman" w:hAnsi="Times New Roman"/>
                <w:b w:val="0"/>
                <w:sz w:val="20"/>
              </w:rPr>
              <w:t>Minimum bicarbonate</w:t>
            </w:r>
          </w:p>
        </w:tc>
        <w:tc>
          <w:tcPr>
            <w:tcW w:type="dxa" w:w="2448"/>
          </w:tcPr>
          <w:p>
            <w:pPr>
              <w:spacing w:line="240" w:lineRule="auto" w:after="80"/>
            </w:pPr>
            <w:r>
              <w:rPr>
                <w:rFonts w:ascii="Times New Roman" w:hAnsi="Times New Roman"/>
                <w:b w:val="0"/>
                <w:sz w:val="20"/>
              </w:rPr>
              <w:t>lab, exact name bicarbonate or total co2</w:t>
            </w:r>
          </w:p>
        </w:tc>
        <w:tc>
          <w:tcPr>
            <w:tcW w:type="dxa" w:w="2448"/>
          </w:tcPr>
          <w:p>
            <w:pPr>
              <w:spacing w:line="240" w:lineRule="auto" w:after="80"/>
            </w:pPr>
            <w:r>
              <w:rPr>
                <w:rFonts w:ascii="Times New Roman" w:hAnsi="Times New Roman"/>
                <w:b w:val="0"/>
                <w:sz w:val="20"/>
              </w:rPr>
              <w:t>Blood labevents, same exact dictionary labels</w:t>
            </w:r>
          </w:p>
        </w:tc>
        <w:tc>
          <w:tcPr>
            <w:tcW w:type="dxa" w:w="2448"/>
          </w:tcPr>
          <w:p>
            <w:pPr>
              <w:spacing w:line="240" w:lineRule="auto" w:after="80"/>
            </w:pPr>
            <w:r>
              <w:rPr>
                <w:rFonts w:ascii="Times New Roman" w:hAnsi="Times New Roman"/>
                <w:b w:val="0"/>
                <w:sz w:val="20"/>
              </w:rPr>
              <w:t>2 to 60 mmol/L</w:t>
            </w:r>
          </w:p>
        </w:tc>
      </w:tr>
      <w:tr>
        <w:trPr>
          <w:cantSplit/>
        </w:trPr>
        <w:tc>
          <w:tcPr>
            <w:tcW w:type="dxa" w:w="2448"/>
          </w:tcPr>
          <w:p>
            <w:pPr>
              <w:spacing w:line="240" w:lineRule="auto" w:after="80"/>
            </w:pPr>
            <w:r>
              <w:rPr>
                <w:rFonts w:ascii="Times New Roman" w:hAnsi="Times New Roman"/>
                <w:b w:val="0"/>
                <w:sz w:val="20"/>
              </w:rPr>
              <w:t>Maximum glucose</w:t>
            </w:r>
          </w:p>
        </w:tc>
        <w:tc>
          <w:tcPr>
            <w:tcW w:type="dxa" w:w="2448"/>
          </w:tcPr>
          <w:p>
            <w:pPr>
              <w:spacing w:line="240" w:lineRule="auto" w:after="80"/>
            </w:pPr>
            <w:r>
              <w:rPr>
                <w:rFonts w:ascii="Times New Roman" w:hAnsi="Times New Roman"/>
                <w:b w:val="0"/>
                <w:sz w:val="20"/>
              </w:rPr>
              <w:t>lab, exact glucose or text containing bedside glucose</w:t>
            </w:r>
          </w:p>
        </w:tc>
        <w:tc>
          <w:tcPr>
            <w:tcW w:type="dxa" w:w="2448"/>
          </w:tcPr>
          <w:p>
            <w:pPr>
              <w:spacing w:line="240" w:lineRule="auto" w:after="80"/>
            </w:pPr>
            <w:r>
              <w:rPr>
                <w:rFonts w:ascii="Times New Roman" w:hAnsi="Times New Roman"/>
                <w:b w:val="0"/>
                <w:sz w:val="20"/>
              </w:rPr>
              <w:t>Blood labevents, exact label glucose</w:t>
            </w:r>
          </w:p>
        </w:tc>
        <w:tc>
          <w:tcPr>
            <w:tcW w:type="dxa" w:w="2448"/>
          </w:tcPr>
          <w:p>
            <w:pPr>
              <w:spacing w:line="240" w:lineRule="auto" w:after="80"/>
            </w:pPr>
            <w:r>
              <w:rPr>
                <w:rFonts w:ascii="Times New Roman" w:hAnsi="Times New Roman"/>
                <w:b w:val="0"/>
                <w:sz w:val="20"/>
              </w:rPr>
              <w:t>20 to 1500 mg/dL</w:t>
            </w:r>
          </w:p>
        </w:tc>
      </w:tr>
      <w:tr>
        <w:trPr>
          <w:cantSplit/>
        </w:trPr>
        <w:tc>
          <w:tcPr>
            <w:tcW w:type="dxa" w:w="2448"/>
          </w:tcPr>
          <w:p>
            <w:pPr>
              <w:spacing w:line="240" w:lineRule="auto" w:after="80"/>
            </w:pPr>
            <w:r>
              <w:rPr>
                <w:rFonts w:ascii="Times New Roman" w:hAnsi="Times New Roman"/>
                <w:b w:val="0"/>
                <w:sz w:val="20"/>
              </w:rPr>
              <w:t>Maximum white blood cell count</w:t>
            </w:r>
          </w:p>
        </w:tc>
        <w:tc>
          <w:tcPr>
            <w:tcW w:type="dxa" w:w="2448"/>
          </w:tcPr>
          <w:p>
            <w:pPr>
              <w:spacing w:line="240" w:lineRule="auto" w:after="80"/>
            </w:pPr>
            <w:r>
              <w:rPr>
                <w:rFonts w:ascii="Times New Roman" w:hAnsi="Times New Roman"/>
                <w:b w:val="0"/>
                <w:sz w:val="20"/>
              </w:rPr>
              <w:t>lab name matching ^wbc(?:\s*x\s*1000)?$ or ^white blood</w:t>
            </w:r>
          </w:p>
        </w:tc>
        <w:tc>
          <w:tcPr>
            <w:tcW w:type="dxa" w:w="2448"/>
          </w:tcPr>
          <w:p>
            <w:pPr>
              <w:spacing w:line="240" w:lineRule="auto" w:after="80"/>
            </w:pPr>
            <w:r>
              <w:rPr>
                <w:rFonts w:ascii="Times New Roman" w:hAnsi="Times New Roman"/>
                <w:b w:val="0"/>
                <w:sz w:val="20"/>
              </w:rPr>
              <w:t>Blood labevents, white blood cells or wbc count</w:t>
            </w:r>
          </w:p>
        </w:tc>
        <w:tc>
          <w:tcPr>
            <w:tcW w:type="dxa" w:w="2448"/>
          </w:tcPr>
          <w:p>
            <w:pPr>
              <w:spacing w:line="240" w:lineRule="auto" w:after="80"/>
            </w:pPr>
            <w:r>
              <w:rPr>
                <w:rFonts w:ascii="Times New Roman" w:hAnsi="Times New Roman"/>
                <w:b w:val="0"/>
                <w:sz w:val="20"/>
              </w:rPr>
              <w:t>0.1 to 200 × 10⁹/L</w:t>
            </w:r>
          </w:p>
        </w:tc>
      </w:tr>
      <w:tr>
        <w:trPr>
          <w:cantSplit/>
        </w:trPr>
        <w:tc>
          <w:tcPr>
            <w:tcW w:type="dxa" w:w="2448"/>
          </w:tcPr>
          <w:p>
            <w:pPr>
              <w:spacing w:line="240" w:lineRule="auto" w:after="80"/>
            </w:pPr>
            <w:r>
              <w:rPr>
                <w:rFonts w:ascii="Times New Roman" w:hAnsi="Times New Roman"/>
                <w:b w:val="0"/>
                <w:sz w:val="20"/>
              </w:rPr>
              <w:t>Minimum platelets</w:t>
            </w:r>
          </w:p>
        </w:tc>
        <w:tc>
          <w:tcPr>
            <w:tcW w:type="dxa" w:w="2448"/>
          </w:tcPr>
          <w:p>
            <w:pPr>
              <w:spacing w:line="240" w:lineRule="auto" w:after="80"/>
            </w:pPr>
            <w:r>
              <w:rPr>
                <w:rFonts w:ascii="Times New Roman" w:hAnsi="Times New Roman"/>
                <w:b w:val="0"/>
                <w:sz w:val="20"/>
              </w:rPr>
              <w:t>lab name beginning platelet</w:t>
            </w:r>
          </w:p>
        </w:tc>
        <w:tc>
          <w:tcPr>
            <w:tcW w:type="dxa" w:w="2448"/>
          </w:tcPr>
          <w:p>
            <w:pPr>
              <w:spacing w:line="240" w:lineRule="auto" w:after="80"/>
            </w:pPr>
            <w:r>
              <w:rPr>
                <w:rFonts w:ascii="Times New Roman" w:hAnsi="Times New Roman"/>
                <w:b w:val="0"/>
                <w:sz w:val="20"/>
              </w:rPr>
              <w:t>Blood labevents, exact label platelet count</w:t>
            </w:r>
          </w:p>
        </w:tc>
        <w:tc>
          <w:tcPr>
            <w:tcW w:type="dxa" w:w="2448"/>
          </w:tcPr>
          <w:p>
            <w:pPr>
              <w:spacing w:line="240" w:lineRule="auto" w:after="80"/>
            </w:pPr>
            <w:r>
              <w:rPr>
                <w:rFonts w:ascii="Times New Roman" w:hAnsi="Times New Roman"/>
                <w:b w:val="0"/>
                <w:sz w:val="20"/>
              </w:rPr>
              <w:t>1 to 2000 × 10⁹/L</w:t>
            </w:r>
          </w:p>
        </w:tc>
      </w:tr>
    </w:tbl>
    <w:p>
      <w:r>
        <w:rPr>
          <w:rFonts w:ascii="Times New Roman" w:hAnsi="Times New Roman"/>
        </w:rPr>
        <w:t>Laboratory names were lower-case and trimmed before matching. MIMIC laboratory mappings joined labevents.itemid to d_labitems.itemid, required the dictionary fluid to be blood, and converted creatinine with a unit containing umol by division by 88.4 and glucose with a unit containing mmol by multiplication by 18.018. eICU core laboratory values were taken in their native recorded units; its implemented extraction did not apply these conversions.</w:t>
      </w:r>
    </w:p>
    <w:p>
      <w:r>
        <w:rPr>
          <w:rFonts w:ascii="Times New Roman" w:hAnsi="Times New Roman"/>
        </w:rPr>
        <w:t>For GCS, eICU classified the component using nursingchartcelltypevalname before the broader label, parsed the first numeric substring of nursingchartvalue, and used a valid recorded total in preference to reconstruction. If no valid total was present, eye, verbal, and motor components were summed only when all were valid at the same offset. MIMIC GCS was reconstructed from the three component item IDs at the same charted time. Valid duplicate component scores at an identical time were median-collapsed. There was no separate intubation, sedation, or ventilation correction: valid recorded numeric scores entered the calculation, and missing or out-of-range components could prevent reconstruction.</w:t>
      </w:r>
    </w:p>
    <w:p>
      <w:r>
        <w:rPr>
          <w:rFonts w:ascii="Times New Roman" w:hAnsi="Times New Roman"/>
        </w:rPr>
        <w:t>When arterial/systemic and noninvasive blood-pressure measurements shared an exact time, the arterial/systemic source had priority. This source-priority step preceded plausibility filtering; an invalid prioritized arterial value did not trigger a later noninvasive fallback at that time. Out-of-range measurements were discarded. Within each stay, variable, and timestamp, remaining duplicate values were collapsed to their median before temporal summaries. Creatinine used the latest valid time. Sodium range was valid maximum minus valid minimum and therefore equaled zero when only one valid measurement was available. Missing predictors were retained for training-partition median imputation without missingness indicators. The development pipeline stopped if any required core predictor exceeded the locked 20% missingness limit.</w:t>
      </w:r>
    </w:p>
    <w:p>
      <w:pPr>
        <w:pStyle w:val="Heading2"/>
      </w:pPr>
      <w:r>
        <w:rPr>
          <w:rFonts w:ascii="Times New Roman" w:hAnsi="Times New Roman"/>
        </w:rPr>
        <w:t>Resampling and model selection</w:t>
      </w:r>
    </w:p>
    <w:p>
      <w:r>
        <w:rPr>
          <w:rFonts w:ascii="Times New Roman" w:hAnsi="Times New Roman"/>
        </w:rPr>
        <w:t>Hospitals linked by any shared longitudinal patient were joined into connected components. All admissions belonging to a component remained together. The development cohort contained 125 components, 192 hospitals, and 19,587 patients. Five unique outer partitions were selected from 5,120 deterministic candidate partitions. Each candidate randomly permuted components into fixed fold quotas, which were 25 components per fold for this dataset. The balancing score summed squared relative deviations of fold admission, event, and non-event counts from their five-fold targets. Candidates containing a single-class assessment fold were rejected. Unique partitions were ordered by balancing score, with a canonical partition-signature hash breaking ties; the first five were used. Partition generation used development outcomes for stratification, not model performance or MIMIC outcomes.</w:t>
      </w:r>
    </w:p>
    <w:p>
      <w:r>
        <w:rPr>
          <w:rFonts w:ascii="Times New Roman" w:hAnsi="Times New Roman"/>
        </w:rPr>
        <w:t>Within each outer-training set, all families shared the same three-fold shuffled StratifiedGroupKFold partition of connected components. For each candidate preset, inner log loss was the unweighted mean of the three assessment-fold losses. Its standard error was the sample SD of those losses, using ddof=1, divided by √3. This was a selection heuristic based on fold losses, not a hospital-level or dependence-adjusted inferential SE.</w:t>
      </w:r>
    </w:p>
    <w:p>
      <w:r>
        <w:rPr>
          <w:rFonts w:ascii="Times New Roman" w:hAnsi="Times New Roman"/>
        </w:rPr>
        <w:t>The following were the complete executed preset lists. Each tuple is one candidate; parameters were not crossed to form a Cartesian grid. Row order gives the within-family simplicity order.</w:t>
      </w:r>
    </w:p>
    <w:tbl>
      <w:tblPr>
        <w:tblStyle w:val="TableGrid"/>
        <w:tblW w:type="auto" w:w="0"/>
        <w:tblLook w:firstColumn="1" w:firstRow="1" w:lastColumn="0" w:lastRow="0" w:noHBand="0" w:noVBand="1" w:val="04A0"/>
      </w:tblPr>
      <w:tblGrid>
        <w:gridCol w:w="3264"/>
        <w:gridCol w:w="3264"/>
        <w:gridCol w:w="3264"/>
      </w:tblGrid>
      <w:tr>
        <w:trPr>
          <w:cantSplit/>
          <w:tblHeader/>
        </w:trPr>
        <w:tc>
          <w:tcPr>
            <w:tcW w:type="dxa" w:w="3264"/>
          </w:tcPr>
          <w:p>
            <w:pPr>
              <w:keepNext/>
              <w:spacing w:line="240" w:lineRule="auto" w:after="80"/>
            </w:pPr>
            <w:r>
              <w:rPr>
                <w:rFonts w:ascii="Times New Roman" w:hAnsi="Times New Roman"/>
                <w:b/>
                <w:sz w:val="20"/>
              </w:rPr>
              <w:t>Family</w:t>
            </w:r>
          </w:p>
        </w:tc>
        <w:tc>
          <w:tcPr>
            <w:tcW w:type="dxa" w:w="3264"/>
          </w:tcPr>
          <w:p>
            <w:pPr>
              <w:keepNext/>
              <w:spacing w:line="240" w:lineRule="auto" w:after="80"/>
            </w:pPr>
            <w:r>
              <w:rPr>
                <w:rFonts w:ascii="Times New Roman" w:hAnsi="Times New Roman"/>
                <w:b/>
                <w:sz w:val="20"/>
              </w:rPr>
              <w:t>Parameter order</w:t>
            </w:r>
          </w:p>
        </w:tc>
        <w:tc>
          <w:tcPr>
            <w:tcW w:type="dxa" w:w="3264"/>
          </w:tcPr>
          <w:p>
            <w:pPr>
              <w:keepNext/>
              <w:spacing w:line="240" w:lineRule="auto" w:after="80"/>
            </w:pPr>
            <w:r>
              <w:rPr>
                <w:rFonts w:ascii="Times New Roman" w:hAnsi="Times New Roman"/>
                <w:b/>
                <w:sz w:val="20"/>
              </w:rPr>
              <w:t>Ordered presets</w:t>
            </w:r>
          </w:p>
        </w:tc>
      </w:tr>
      <w:tr>
        <w:trPr>
          <w:cantSplit/>
        </w:trPr>
        <w:tc>
          <w:tcPr>
            <w:tcW w:type="dxa" w:w="3264"/>
          </w:tcPr>
          <w:p>
            <w:pPr>
              <w:spacing w:line="240" w:lineRule="auto" w:after="80"/>
            </w:pPr>
            <w:r>
              <w:rPr>
                <w:rFonts w:ascii="Times New Roman" w:hAnsi="Times New Roman"/>
                <w:b w:val="0"/>
                <w:sz w:val="20"/>
              </w:rPr>
              <w:t>Elastic-net logistic regression</w:t>
            </w:r>
          </w:p>
        </w:tc>
        <w:tc>
          <w:tcPr>
            <w:tcW w:type="dxa" w:w="3264"/>
          </w:tcPr>
          <w:p>
            <w:pPr>
              <w:spacing w:line="240" w:lineRule="auto" w:after="80"/>
            </w:pPr>
            <w:r>
              <w:rPr>
                <w:rFonts w:ascii="Times New Roman" w:hAnsi="Times New Roman"/>
                <w:b w:val="0"/>
                <w:sz w:val="20"/>
              </w:rPr>
              <w:t>C, l1_ratio</w:t>
            </w:r>
          </w:p>
        </w:tc>
        <w:tc>
          <w:tcPr>
            <w:tcW w:type="dxa" w:w="3264"/>
          </w:tcPr>
          <w:p>
            <w:pPr>
              <w:spacing w:line="240" w:lineRule="auto" w:after="80"/>
            </w:pPr>
            <w:r>
              <w:rPr>
                <w:rFonts w:ascii="Times New Roman" w:hAnsi="Times New Roman"/>
                <w:b w:val="0"/>
                <w:sz w:val="20"/>
              </w:rPr>
              <w:t>(0.05, 0); (0.10, 0.25); (0.50, 0.50)</w:t>
            </w:r>
          </w:p>
        </w:tc>
      </w:tr>
      <w:tr>
        <w:trPr>
          <w:cantSplit/>
        </w:trPr>
        <w:tc>
          <w:tcPr>
            <w:tcW w:type="dxa" w:w="3264"/>
          </w:tcPr>
          <w:p>
            <w:pPr>
              <w:spacing w:line="240" w:lineRule="auto" w:after="80"/>
            </w:pPr>
            <w:r>
              <w:rPr>
                <w:rFonts w:ascii="Times New Roman" w:hAnsi="Times New Roman"/>
                <w:b w:val="0"/>
                <w:sz w:val="20"/>
              </w:rPr>
              <w:t>Cubic B-spline ridge logistic regression</w:t>
            </w:r>
          </w:p>
        </w:tc>
        <w:tc>
          <w:tcPr>
            <w:tcW w:type="dxa" w:w="3264"/>
          </w:tcPr>
          <w:p>
            <w:pPr>
              <w:spacing w:line="240" w:lineRule="auto" w:after="80"/>
            </w:pPr>
            <w:r>
              <w:rPr>
                <w:rFonts w:ascii="Times New Roman" w:hAnsi="Times New Roman"/>
                <w:b w:val="0"/>
                <w:sz w:val="20"/>
              </w:rPr>
              <w:t>n_knots, degree, C</w:t>
            </w:r>
          </w:p>
        </w:tc>
        <w:tc>
          <w:tcPr>
            <w:tcW w:type="dxa" w:w="3264"/>
          </w:tcPr>
          <w:p>
            <w:pPr>
              <w:spacing w:line="240" w:lineRule="auto" w:after="80"/>
            </w:pPr>
            <w:r>
              <w:rPr>
                <w:rFonts w:ascii="Times New Roman" w:hAnsi="Times New Roman"/>
                <w:b w:val="0"/>
                <w:sz w:val="20"/>
              </w:rPr>
              <w:t>(3, 3, 0.05); (4, 3, 0.10); (5, 3, 0.50)</w:t>
            </w:r>
          </w:p>
        </w:tc>
      </w:tr>
      <w:tr>
        <w:trPr>
          <w:cantSplit/>
        </w:trPr>
        <w:tc>
          <w:tcPr>
            <w:tcW w:type="dxa" w:w="3264"/>
          </w:tcPr>
          <w:p>
            <w:pPr>
              <w:spacing w:line="240" w:lineRule="auto" w:after="80"/>
            </w:pPr>
            <w:r>
              <w:rPr>
                <w:rFonts w:ascii="Times New Roman" w:hAnsi="Times New Roman"/>
                <w:b w:val="0"/>
                <w:sz w:val="20"/>
              </w:rPr>
              <w:t>Random forest</w:t>
            </w:r>
          </w:p>
        </w:tc>
        <w:tc>
          <w:tcPr>
            <w:tcW w:type="dxa" w:w="3264"/>
          </w:tcPr>
          <w:p>
            <w:pPr>
              <w:spacing w:line="240" w:lineRule="auto" w:after="80"/>
            </w:pPr>
            <w:r>
              <w:rPr>
                <w:rFonts w:ascii="Times New Roman" w:hAnsi="Times New Roman"/>
                <w:b w:val="0"/>
                <w:sz w:val="20"/>
              </w:rPr>
              <w:t>n_estimators, max_depth, min_samples_leaf, max_features</w:t>
            </w:r>
          </w:p>
        </w:tc>
        <w:tc>
          <w:tcPr>
            <w:tcW w:type="dxa" w:w="3264"/>
          </w:tcPr>
          <w:p>
            <w:pPr>
              <w:spacing w:line="240" w:lineRule="auto" w:after="80"/>
            </w:pPr>
            <w:r>
              <w:rPr>
                <w:rFonts w:ascii="Times New Roman" w:hAnsi="Times New Roman"/>
                <w:b w:val="0"/>
                <w:sz w:val="20"/>
              </w:rPr>
              <w:t>(300, 4, 20, sqrt); (400, 6, 10, sqrt); (500, 8, 5, 0.75)</w:t>
            </w:r>
          </w:p>
        </w:tc>
      </w:tr>
      <w:tr>
        <w:trPr>
          <w:cantSplit/>
        </w:trPr>
        <w:tc>
          <w:tcPr>
            <w:tcW w:type="dxa" w:w="3264"/>
          </w:tcPr>
          <w:p>
            <w:pPr>
              <w:spacing w:line="240" w:lineRule="auto" w:after="80"/>
            </w:pPr>
            <w:r>
              <w:rPr>
                <w:rFonts w:ascii="Times New Roman" w:hAnsi="Times New Roman"/>
                <w:b w:val="0"/>
                <w:sz w:val="20"/>
              </w:rPr>
              <w:t>LightGBM</w:t>
            </w:r>
          </w:p>
        </w:tc>
        <w:tc>
          <w:tcPr>
            <w:tcW w:type="dxa" w:w="3264"/>
          </w:tcPr>
          <w:p>
            <w:pPr>
              <w:spacing w:line="240" w:lineRule="auto" w:after="80"/>
            </w:pPr>
            <w:r>
              <w:rPr>
                <w:rFonts w:ascii="Times New Roman" w:hAnsi="Times New Roman"/>
                <w:b w:val="0"/>
                <w:sz w:val="20"/>
              </w:rPr>
              <w:t>n_estimators, learning_rate, num_leaves, max_depth, min_child_samples</w:t>
            </w:r>
          </w:p>
        </w:tc>
        <w:tc>
          <w:tcPr>
            <w:tcW w:type="dxa" w:w="3264"/>
          </w:tcPr>
          <w:p>
            <w:pPr>
              <w:spacing w:line="240" w:lineRule="auto" w:after="80"/>
            </w:pPr>
            <w:r>
              <w:rPr>
                <w:rFonts w:ascii="Times New Roman" w:hAnsi="Times New Roman"/>
                <w:b w:val="0"/>
                <w:sz w:val="20"/>
              </w:rPr>
              <w:t>(150, 0.03, 7, 3, 30); (250, 0.03, 15, 4, 20); (300, 0.05, 31, 6, 20)</w:t>
            </w:r>
          </w:p>
        </w:tc>
      </w:tr>
      <w:tr>
        <w:trPr>
          <w:cantSplit/>
        </w:trPr>
        <w:tc>
          <w:tcPr>
            <w:tcW w:type="dxa" w:w="3264"/>
          </w:tcPr>
          <w:p>
            <w:pPr>
              <w:spacing w:line="240" w:lineRule="auto" w:after="80"/>
            </w:pPr>
            <w:r>
              <w:rPr>
                <w:rFonts w:ascii="Times New Roman" w:hAnsi="Times New Roman"/>
                <w:b w:val="0"/>
                <w:sz w:val="20"/>
              </w:rPr>
              <w:t>XGBoost</w:t>
            </w:r>
          </w:p>
        </w:tc>
        <w:tc>
          <w:tcPr>
            <w:tcW w:type="dxa" w:w="3264"/>
          </w:tcPr>
          <w:p>
            <w:pPr>
              <w:spacing w:line="240" w:lineRule="auto" w:after="80"/>
            </w:pPr>
            <w:r>
              <w:rPr>
                <w:rFonts w:ascii="Times New Roman" w:hAnsi="Times New Roman"/>
                <w:b w:val="0"/>
                <w:sz w:val="20"/>
              </w:rPr>
              <w:t>n_estimators, learning_rate, max_depth, min_child_weight, subsample, colsample_bytree</w:t>
            </w:r>
          </w:p>
        </w:tc>
        <w:tc>
          <w:tcPr>
            <w:tcW w:type="dxa" w:w="3264"/>
          </w:tcPr>
          <w:p>
            <w:pPr>
              <w:spacing w:line="240" w:lineRule="auto" w:after="80"/>
            </w:pPr>
            <w:r>
              <w:rPr>
                <w:rFonts w:ascii="Times New Roman" w:hAnsi="Times New Roman"/>
                <w:b w:val="0"/>
                <w:sz w:val="20"/>
              </w:rPr>
              <w:t>(150, 0.03, 2, 10, 0.8, 0.8); (250, 0.03, 3, 5, 0.8, 0.8); (300, 0.05, 4, 3, 0.9, 0.9)</w:t>
            </w:r>
          </w:p>
        </w:tc>
      </w:tr>
      <w:tr>
        <w:trPr>
          <w:cantSplit/>
        </w:trPr>
        <w:tc>
          <w:tcPr>
            <w:tcW w:type="dxa" w:w="3264"/>
          </w:tcPr>
          <w:p>
            <w:pPr>
              <w:spacing w:line="240" w:lineRule="auto" w:after="80"/>
            </w:pPr>
            <w:r>
              <w:rPr>
                <w:rFonts w:ascii="Times New Roman" w:hAnsi="Times New Roman"/>
                <w:b w:val="0"/>
                <w:sz w:val="20"/>
              </w:rPr>
              <w:t>CatBoost</w:t>
            </w:r>
          </w:p>
        </w:tc>
        <w:tc>
          <w:tcPr>
            <w:tcW w:type="dxa" w:w="3264"/>
          </w:tcPr>
          <w:p>
            <w:pPr>
              <w:spacing w:line="240" w:lineRule="auto" w:after="80"/>
            </w:pPr>
            <w:r>
              <w:rPr>
                <w:rFonts w:ascii="Times New Roman" w:hAnsi="Times New Roman"/>
                <w:b w:val="0"/>
                <w:sz w:val="20"/>
              </w:rPr>
              <w:t>iterations, learning_rate, depth, l2_leaf_reg</w:t>
            </w:r>
          </w:p>
        </w:tc>
        <w:tc>
          <w:tcPr>
            <w:tcW w:type="dxa" w:w="3264"/>
          </w:tcPr>
          <w:p>
            <w:pPr>
              <w:spacing w:line="240" w:lineRule="auto" w:after="80"/>
            </w:pPr>
            <w:r>
              <w:rPr>
                <w:rFonts w:ascii="Times New Roman" w:hAnsi="Times New Roman"/>
                <w:b w:val="0"/>
                <w:sz w:val="20"/>
              </w:rPr>
              <w:t>(150, 0.03, 3, 7); (250, 0.03, 4, 5); (300, 0.05, 5, 3)</w:t>
            </w:r>
          </w:p>
        </w:tc>
      </w:tr>
    </w:tbl>
    <w:p>
      <w:r>
        <w:rPr>
          <w:rFonts w:ascii="Times New Roman" w:hAnsi="Times New Roman"/>
        </w:rPr>
        <w:t>Within a family, the one-SE limit was the minimum-mean-loss preset's mean plus its SE; the first preset within that limit was selected. The corresponding winners from all families were then compared by the same one-SE rule, using the family order elastic-net logistic regression, spline logistic regression, random forest, LightGBM, XGBoost, and CatBoost. The final full-development search used eICU alone.</w:t>
      </w:r>
    </w:p>
    <w:p>
      <w:r>
        <w:rPr>
          <w:rFonts w:ascii="Times New Roman" w:hAnsi="Times New Roman"/>
        </w:rPr>
        <w:t>All models used median imputation fitted within the training partition. Elastic-net and clinical logistic regression also standardized predictors. Spline regression first fitted quantile knots to the 12 imputed continuous predictors within that training partition, retained sex as a single linear term, and then standardized the transformed terms. SplineTransformer used cubic degree, include_bias=False, and linear extrapolation. Thus the final model's published knots were learned from the full development cohort and were not fixed across validation folds.</w:t>
      </w:r>
    </w:p>
    <w:p>
      <w:r>
        <w:rPr>
          <w:rFonts w:ascii="Times New Roman" w:hAnsi="Times New Roman"/>
        </w:rPr>
        <w:t>Elastic-net used saga; spline and clinical logistic regression used lbfgs; all used max_iter=4000. Spline regression used L2 regularization. Random forest used bootstrap sampling. LightGBM used a binary objective, deterministic column-wise fitting, and reg_lambda=1. XGBoost used a binary-logistic objective, log-loss evaluation, histogram trees, and reg_lambda=1. CatBoost used CPU Logloss, no bootstrap, zero random strength, and disabled file writing. Other arguments followed the recorded package versions. No class weighting or synthetic resampling was used.</w:t>
      </w:r>
    </w:p>
    <w:p>
      <w:r>
        <w:rPr>
          <w:rFonts w:ascii="Times New Roman" w:hAnsi="Times New Roman"/>
        </w:rPr>
        <w:t>The nonselectable clinical benchmark used age, minimum GCS, minimum mean arterial pressure, last creatinine, maximum white blood cell count, and minimum platelets. Its pipeline combined median imputation, standardization, and logistic regression with C=1, lbfgs, and 4,000 maximum iterations. It was fitted separately in each outer-training set and to the full development cohort for transport. The prevalence-only benchmark used the relevant training-set prevalence.</w:t>
      </w:r>
    </w:p>
    <w:p>
      <w:r>
        <w:rPr>
          <w:rFonts w:ascii="Times New Roman" w:hAnsi="Times New Roman"/>
        </w:rPr>
        <w:t>The base seed was 20260711. Candidate outer partitions used base + attempt × 7919; repeat seed was base + repeat × 100003; inner seed was repeat_seed + (outer_fold + 1) × 10007; the final full-development inner seed was base + 9999991. The fitted pipeline clipped predicted probabilities to [10⁻⁷, 1 − 10⁻⁷].</w:t>
      </w:r>
    </w:p>
    <w:p>
      <w:pPr>
        <w:pStyle w:val="Heading2"/>
      </w:pPr>
      <w:r>
        <w:rPr>
          <w:rFonts w:ascii="Times New Roman" w:hAnsi="Times New Roman"/>
        </w:rPr>
        <w:t>Performance uncertainty and curve construction</w:t>
      </w:r>
    </w:p>
    <w:p>
      <w:r>
        <w:rPr>
          <w:rFonts w:ascii="Times New Roman" w:hAnsi="Times New Roman"/>
        </w:rPr>
        <w:t>Primary internal performance averaged separately computed metrics across the five complete outer repeats of the model-selection procedure. Its bootstrap resampled whole connected components and recomputed this repeated-metric mean using the saved predictions. The fitting and selection process was not rerun. MIMIC transport used the single prediction vector from the final full-development spline model and resampled patients, retaining their admissions together. Percentile 95% intervals used finite bootstrap estimates.</w:t>
      </w:r>
    </w:p>
    <w:p>
      <w:r>
        <w:rPr>
          <w:rFonts w:ascii="Times New Roman" w:hAnsi="Times New Roman"/>
        </w:rPr>
        <w:t>The archived primary rows contain 1,000 valid estimates out of 1,000 requested draws for each of AUROC, average precision, Brier score, log loss, calibration-in-the-large, calibration slope, ICI, and O/E in both development and transport. Mean-predicted-risk rows are not bootstrapped; their recorded valid count of zero denotes an uncomputed interval, not failed replicates.</w:t>
      </w:r>
    </w:p>
    <w:p>
      <w:r>
        <w:rPr>
          <w:rFonts w:ascii="Times New Roman" w:hAnsi="Times New Roman"/>
        </w:rPr>
        <w:t>Internal ROC, precision-recall, and binned calibration curves used each admission's mean repeated cross-fitted risk from the complete model-selection procedure. Internal decision curves instead calculated net benefit within each complete outer repeat and averaged by threshold. Transport curves used the frozen spline model's single prediction vector. Calibration bins used sklearn.calibration_curve, strategy=quantile, and a requested bin count of min(10, n); tied predictions could reduce the number of nonempty bins. Points show mean predicted risk and observed event fraction within a bin, without bin-specific confidence intervals.</w:t>
      </w:r>
    </w:p>
    <w:p>
      <w:pPr>
        <w:keepLines/>
      </w:pPr>
      <w:r>
        <w:rPr>
          <w:rFonts w:ascii="Times New Roman" w:hAnsi="Times New Roman"/>
        </w:rPr>
        <w:t>At risk threshold t, let w = t/(1 − t) and n be admissions. Net benefit was TP/n − (FP/n)w; assessment-all net benefit was prevalence − (1 − prevalence)w. Net reduction per 100 relative to assessment-all was 100 × (NB_model − NB_all)/w. This is a decision-analytic quantity under the threshold's relative error costs, not a count of observed interventions avoided.</w:t>
      </w:r>
    </w:p>
    <w:p>
      <w:pPr>
        <w:pStyle w:val="Heading2"/>
      </w:pPr>
      <w:r>
        <w:rPr>
          <w:rFonts w:ascii="Times New Roman" w:hAnsi="Times New Roman"/>
        </w:rPr>
        <w:t>Computational environment</w:t>
      </w:r>
    </w:p>
    <w:p>
      <w:r>
        <w:rPr>
          <w:rFonts w:ascii="Times New Roman" w:hAnsi="Times New Roman"/>
        </w:rPr>
        <w:t>The observed environment manifest recorded NumPy 2.4.6, SciPy 1.17.1, scikit-learn 1.9.0, statsmodels 0.14.6, matplotlib 3.11.0, joblib 1.5.3, LightGBM 4.6.0, XGBoost 3.2.0, CatBoost 1.2.10, and SHAP 0.51.0, matching the pinned analysis versions. The extraction environment specification used Python 3.11, DuckDB 1.5.4, pandas 3.0.3, PyArrow 24.0.0, and PyYAML 6.0.3. The Dockerfile pinned Python 3.11.9; the observed analysis-version manifest did not independently record the Python patch version or extraction-package versions.</w:t>
      </w:r>
    </w:p>
    <w:sectPr w:rsidR="00FC693F" w:rsidRPr="0006063C" w:rsidSect="00034616">
      <w:headerReference w:type="default" r:id="rId9"/>
      <w:footerReference w:type="default" r:id="rId10"/>
      <w:pgSz w:w="12240" w:h="15840"/>
      <w:pgMar w:top="1224" w:right="1224" w:bottom="1224"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line="360" w:lineRule="auto"/>
      <w:outlineLvl w:val="0"/>
    </w:pPr>
    <w:rPr>
      <w:rFonts w:cstheme="majorBidi" w:ascii="Times New Roman" w:hAnsi="Times New Roman"/>
      <w:b/>
      <w:bCs/>
      <w:sz w:val="22"/>
      <w:szCs w:val="28"/>
    </w:rPr>
  </w:style>
  <w:style w:type="paragraph" w:styleId="Heading2">
    <w:name w:val="heading 2"/>
    <w:basedOn w:val="Normal"/>
    <w:next w:val="Normal"/>
    <w:link w:val="Heading2Char"/>
    <w:uiPriority w:val="9"/>
    <w:unhideWhenUsed/>
    <w:qFormat/>
    <w:rsid w:val="00FC693F"/>
    <w:pPr>
      <w:keepNext/>
      <w:keepLines/>
      <w:spacing w:before="160" w:after="120" w:line="360" w:lineRule="auto"/>
      <w:outlineLvl w:val="1"/>
    </w:pPr>
    <w:rPr>
      <w:rFonts w:cstheme="majorBidi" w:ascii="Times New Roman" w:hAnsi="Times New Roman"/>
      <w:b/>
      <w:bCs/>
      <w:sz w:val="22"/>
      <w:szCs w:val="26"/>
    </w:rPr>
  </w:style>
  <w:style w:type="paragraph" w:styleId="Heading3">
    <w:name w:val="heading 3"/>
    <w:basedOn w:val="Normal"/>
    <w:next w:val="Normal"/>
    <w:link w:val="Heading3Char"/>
    <w:uiPriority w:val="9"/>
    <w:unhideWhenUsed/>
    <w:qFormat/>
    <w:rsid w:val="00FC693F"/>
    <w:pPr>
      <w:keepNext/>
      <w:keepLines/>
      <w:spacing w:before="160" w:after="120" w:line="360" w:lineRule="auto"/>
      <w:outlineLvl w:val="2"/>
    </w:pPr>
    <w:rPr>
      <w:rFonts w:cstheme="majorBidi" w:ascii="Times New Roman" w:hAnsi="Times New Roman"/>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60" w:lineRule="auto"/>
      <w:contextualSpacing/>
    </w:pPr>
    <w:rPr>
      <w:rFonts w:cstheme="majorBidi" w:ascii="Times New Roman" w:hAnsi="Times New Roman"/>
      <w:b/>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after="120"/>
    </w:pPr>
    <w:rPr>
      <w:rFonts w:cstheme="majorBidi" w:ascii="Times New Roman" w:hAnsi="Times New Roman"/>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13-Variable Hour-24 Model for 7-Day ICU Mortality in Neurocritical Care: Strong Cross-Database Discrimination with Unit-Level Calibration Differences</dc:title>
  <dc:subject>Observational study</dc:subject>
  <dc:creator>Shuaijia Zeng; Xiaodong Zhang; Xing Cao; Quansheng Liu; Xue Chen; Aili Jia; Xing Chen; Jinhui Wen; Junhao Chu</dc:creator>
  <cp:keywords/>
  <dc:description/>
  <cp:lastModifiedBy/>
  <cp:revision>1</cp:revision>
  <dcterms:created xsi:type="dcterms:W3CDTF">2013-12-23T23:15:00Z</dcterms:created>
  <dcterms:modified xsi:type="dcterms:W3CDTF">2013-12-23T23:15:00Z</dcterms:modified>
  <cp:category/>
</cp:coreProperties>
</file>