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ED7A30" w14:textId="77777777" w:rsidR="00076167" w:rsidRPr="00CB7376" w:rsidRDefault="00000000">
      <w:pPr>
        <w:spacing w:after="200" w:line="260" w:lineRule="auto"/>
        <w:rPr>
          <w:rFonts w:asciiTheme="majorBidi" w:hAnsiTheme="majorBidi" w:cstheme="majorBidi"/>
          <w:lang w:val="pt-BR"/>
        </w:rPr>
      </w:pPr>
      <w:r w:rsidRPr="00CB7376">
        <w:rPr>
          <w:rFonts w:asciiTheme="majorBidi" w:hAnsiTheme="majorBidi" w:cstheme="majorBidi"/>
          <w:b/>
          <w:bCs/>
          <w:lang w:val="pt-BR"/>
        </w:rPr>
        <w:t>Table 2 – Crude perioperative outcomes by surgical approach</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300"/>
        <w:gridCol w:w="3300"/>
      </w:tblGrid>
      <w:tr w:rsidR="00076167" w:rsidRPr="00CB7376" w14:paraId="5906122E" w14:textId="77777777">
        <w:trPr>
          <w:tblHeader/>
        </w:trPr>
        <w:tc>
          <w:tcPr>
            <w:tcW w:w="36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02752469" w14:textId="77777777" w:rsidR="00076167" w:rsidRPr="00CB7376" w:rsidRDefault="00000000">
            <w:pPr>
              <w:spacing w:before="20" w:after="20"/>
              <w:rPr>
                <w:rFonts w:asciiTheme="majorBidi" w:hAnsiTheme="majorBidi" w:cstheme="majorBidi"/>
              </w:rPr>
            </w:pPr>
            <w:r w:rsidRPr="00CB7376">
              <w:rPr>
                <w:rFonts w:asciiTheme="majorBidi" w:hAnsiTheme="majorBidi" w:cstheme="majorBidi"/>
                <w:b/>
                <w:bCs/>
              </w:rPr>
              <w:t>Outcome</w:t>
            </w:r>
          </w:p>
        </w:tc>
        <w:tc>
          <w:tcPr>
            <w:tcW w:w="33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6302809F"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b/>
                <w:bCs/>
              </w:rPr>
              <w:t>Minimally invasive</w:t>
            </w:r>
          </w:p>
          <w:p w14:paraId="720D419B"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b/>
                <w:bCs/>
              </w:rPr>
              <w:t>n = 78 976</w:t>
            </w:r>
          </w:p>
        </w:tc>
        <w:tc>
          <w:tcPr>
            <w:tcW w:w="3300" w:type="dxa"/>
            <w:tcBorders>
              <w:top w:val="single" w:sz="6" w:space="0" w:color="000000"/>
              <w:left w:val="none" w:sz="0" w:space="0" w:color="FFFFFF"/>
              <w:bottom w:val="single" w:sz="3" w:space="0" w:color="000000"/>
              <w:right w:val="none" w:sz="0" w:space="0" w:color="FFFFFF"/>
            </w:tcBorders>
            <w:tcMar>
              <w:top w:w="40" w:type="dxa"/>
              <w:left w:w="60" w:type="dxa"/>
              <w:bottom w:w="40" w:type="dxa"/>
              <w:right w:w="60" w:type="dxa"/>
            </w:tcMar>
            <w:vAlign w:val="center"/>
          </w:tcPr>
          <w:p w14:paraId="019AD318"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b/>
                <w:bCs/>
              </w:rPr>
              <w:t>Open</w:t>
            </w:r>
          </w:p>
          <w:p w14:paraId="2BA0F5E5"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b/>
                <w:bCs/>
              </w:rPr>
              <w:t>n = 148 279</w:t>
            </w:r>
          </w:p>
        </w:tc>
      </w:tr>
      <w:tr w:rsidR="00076167" w:rsidRPr="00CB7376" w14:paraId="11B88700"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8F458B2" w14:textId="77777777" w:rsidR="00076167" w:rsidRPr="00CB7376" w:rsidRDefault="00000000">
            <w:pPr>
              <w:spacing w:before="90" w:after="20"/>
              <w:rPr>
                <w:rFonts w:asciiTheme="majorBidi" w:hAnsiTheme="majorBidi" w:cstheme="majorBidi"/>
              </w:rPr>
            </w:pPr>
            <w:r w:rsidRPr="00CB7376">
              <w:rPr>
                <w:rFonts w:asciiTheme="majorBidi" w:hAnsiTheme="majorBidi" w:cstheme="majorBidi"/>
                <w:b/>
                <w:bCs/>
                <w:i/>
                <w:iCs/>
              </w:rPr>
              <w:t>Death and composite endpoint</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FB8F10" w14:textId="77777777" w:rsidR="00076167" w:rsidRPr="00CB7376" w:rsidRDefault="00076167">
            <w:pPr>
              <w:spacing w:before="20" w:after="20"/>
              <w:jc w:val="center"/>
              <w:rPr>
                <w:rFonts w:asciiTheme="majorBidi" w:hAnsiTheme="majorBidi" w:cstheme="majorBidi"/>
              </w:rPr>
            </w:pP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DAC2FF4" w14:textId="77777777" w:rsidR="00076167" w:rsidRPr="00CB7376" w:rsidRDefault="00076167">
            <w:pPr>
              <w:spacing w:before="20" w:after="20"/>
              <w:jc w:val="center"/>
              <w:rPr>
                <w:rFonts w:asciiTheme="majorBidi" w:hAnsiTheme="majorBidi" w:cstheme="majorBidi"/>
              </w:rPr>
            </w:pPr>
          </w:p>
        </w:tc>
      </w:tr>
      <w:tr w:rsidR="00076167" w:rsidRPr="00CB7376" w14:paraId="111A14FB"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F1FB8EE"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In-hospital death</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F066990"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406 (0.5, 0.5–0.6)</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40C90C1"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2 579 (1.7, 1.7–1.8)</w:t>
            </w:r>
          </w:p>
        </w:tc>
      </w:tr>
      <w:tr w:rsidR="00076167" w:rsidRPr="00CB7376" w14:paraId="57CA771A"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0A3A4FF"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MACCE-RNᵃ</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0FD8CE0"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1 786 (2.3, 2.2–2.4)</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1236BA"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8 154 (5.5, 5.4–5.6)</w:t>
            </w:r>
          </w:p>
        </w:tc>
      </w:tr>
      <w:tr w:rsidR="00076167" w:rsidRPr="00CB7376" w14:paraId="2314C782"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D48121D" w14:textId="77777777" w:rsidR="00076167" w:rsidRPr="00CB7376" w:rsidRDefault="00000000">
            <w:pPr>
              <w:spacing w:before="90" w:after="20"/>
              <w:rPr>
                <w:rFonts w:asciiTheme="majorBidi" w:hAnsiTheme="majorBidi" w:cstheme="majorBidi"/>
              </w:rPr>
            </w:pPr>
            <w:r w:rsidRPr="00CB7376">
              <w:rPr>
                <w:rFonts w:asciiTheme="majorBidi" w:hAnsiTheme="majorBidi" w:cstheme="majorBidi"/>
                <w:b/>
                <w:bCs/>
                <w:i/>
                <w:iCs/>
              </w:rPr>
              <w:t>Renal</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0EBAB11" w14:textId="77777777" w:rsidR="00076167" w:rsidRPr="00CB7376" w:rsidRDefault="00076167">
            <w:pPr>
              <w:spacing w:before="20" w:after="20"/>
              <w:jc w:val="center"/>
              <w:rPr>
                <w:rFonts w:asciiTheme="majorBidi" w:hAnsiTheme="majorBidi" w:cstheme="majorBidi"/>
              </w:rPr>
            </w:pP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C0E7E6D" w14:textId="77777777" w:rsidR="00076167" w:rsidRPr="00CB7376" w:rsidRDefault="00076167">
            <w:pPr>
              <w:spacing w:before="20" w:after="20"/>
              <w:jc w:val="center"/>
              <w:rPr>
                <w:rFonts w:asciiTheme="majorBidi" w:hAnsiTheme="majorBidi" w:cstheme="majorBidi"/>
              </w:rPr>
            </w:pPr>
          </w:p>
        </w:tc>
      </w:tr>
      <w:tr w:rsidR="00076167" w:rsidRPr="00CB7376" w14:paraId="3A0D09F1"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F368AA2"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Acute kidney injury</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A7162D6"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4 321 (5.5, 5.3–5.6)</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AE97A7F"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11 545 (7.8, 7.7–7.9)</w:t>
            </w:r>
          </w:p>
        </w:tc>
      </w:tr>
      <w:tr w:rsidR="00076167" w:rsidRPr="00CB7376" w14:paraId="3ACD5DCB"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43380C"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Dialysis</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C9E181"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1 335 (1.7, 1.6–1.8)</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DDCCDBC"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4 588 (3.1, 3.0–3.2)</w:t>
            </w:r>
          </w:p>
        </w:tc>
      </w:tr>
      <w:tr w:rsidR="00076167" w:rsidRPr="00CB7376" w14:paraId="0889D013"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3940CEF"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Urine leak</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1C12503"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2 638 (3.3, 3.2–3.5)</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9B5A50E"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7 748 (5.2, 5.1–5.3)</w:t>
            </w:r>
          </w:p>
        </w:tc>
      </w:tr>
      <w:tr w:rsidR="00076167" w:rsidRPr="00CB7376" w14:paraId="633CCD67"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A000F0B" w14:textId="77777777" w:rsidR="00076167" w:rsidRPr="00CB7376" w:rsidRDefault="00000000">
            <w:pPr>
              <w:spacing w:before="90" w:after="20"/>
              <w:rPr>
                <w:rFonts w:asciiTheme="majorBidi" w:hAnsiTheme="majorBidi" w:cstheme="majorBidi"/>
              </w:rPr>
            </w:pPr>
            <w:r w:rsidRPr="00CB7376">
              <w:rPr>
                <w:rFonts w:asciiTheme="majorBidi" w:hAnsiTheme="majorBidi" w:cstheme="majorBidi"/>
                <w:b/>
                <w:bCs/>
                <w:i/>
                <w:iCs/>
              </w:rPr>
              <w:t>Cardiovascular and cerebrovascular</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F4DDDEE" w14:textId="77777777" w:rsidR="00076167" w:rsidRPr="00CB7376" w:rsidRDefault="00076167">
            <w:pPr>
              <w:spacing w:before="20" w:after="20"/>
              <w:jc w:val="center"/>
              <w:rPr>
                <w:rFonts w:asciiTheme="majorBidi" w:hAnsiTheme="majorBidi" w:cstheme="majorBidi"/>
              </w:rPr>
            </w:pP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947D17F" w14:textId="77777777" w:rsidR="00076167" w:rsidRPr="00CB7376" w:rsidRDefault="00076167">
            <w:pPr>
              <w:spacing w:before="20" w:after="20"/>
              <w:jc w:val="center"/>
              <w:rPr>
                <w:rFonts w:asciiTheme="majorBidi" w:hAnsiTheme="majorBidi" w:cstheme="majorBidi"/>
              </w:rPr>
            </w:pPr>
          </w:p>
        </w:tc>
      </w:tr>
      <w:tr w:rsidR="00076167" w:rsidRPr="00CB7376" w14:paraId="5D4E340D"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EA0C136"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Myocardial infarction</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820F175"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210 (0.3, 0.2–0.3)</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DC0239"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798 (0.5, 0.5–0.6)</w:t>
            </w:r>
          </w:p>
        </w:tc>
      </w:tr>
      <w:tr w:rsidR="00076167" w:rsidRPr="00CB7376" w14:paraId="613705F8"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C2FAD6B"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Stroke</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1C9B6A"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172 (0.2, 0.2–0.3)</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0831E88"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675 (0.5, 0.4–0.5)</w:t>
            </w:r>
          </w:p>
        </w:tc>
      </w:tr>
      <w:tr w:rsidR="00076167" w:rsidRPr="00CB7376" w14:paraId="6F6491D0"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6ECEEA3"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Intracranial haemorrhage</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A8B9A24"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27 (0.0, 0.0–0.0)</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8A51005"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103 (0.1, 0.1–0.1)</w:t>
            </w:r>
          </w:p>
        </w:tc>
      </w:tr>
      <w:tr w:rsidR="00076167" w:rsidRPr="00CB7376" w14:paraId="1326DF1E"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03ADE77"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Cardiopulmonary resuscitation</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D751F1E"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223 (0.3, 0.2–0.3)</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137C254"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1 139 (0.8, 0.7–0.8)</w:t>
            </w:r>
          </w:p>
        </w:tc>
      </w:tr>
      <w:tr w:rsidR="00076167" w:rsidRPr="00CB7376" w14:paraId="0A060EA5"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54A4A21"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Venous thromboembolism</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E0AB1BA"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960 (1.2, 1.1–1.3)</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B50E8F7"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6 045 (4.1, 4.0–4.2)</w:t>
            </w:r>
          </w:p>
        </w:tc>
      </w:tr>
      <w:tr w:rsidR="00076167" w:rsidRPr="00CB7376" w14:paraId="077549FC"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56C8B49" w14:textId="77777777" w:rsidR="00076167" w:rsidRPr="00CB7376" w:rsidRDefault="00000000">
            <w:pPr>
              <w:spacing w:before="90" w:after="20"/>
              <w:rPr>
                <w:rFonts w:asciiTheme="majorBidi" w:hAnsiTheme="majorBidi" w:cstheme="majorBidi"/>
              </w:rPr>
            </w:pPr>
            <w:r w:rsidRPr="00CB7376">
              <w:rPr>
                <w:rFonts w:asciiTheme="majorBidi" w:hAnsiTheme="majorBidi" w:cstheme="majorBidi"/>
                <w:b/>
                <w:bCs/>
                <w:i/>
                <w:iCs/>
              </w:rPr>
              <w:t>Infectious and respiratory</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02843F7" w14:textId="77777777" w:rsidR="00076167" w:rsidRPr="00CB7376" w:rsidRDefault="00076167">
            <w:pPr>
              <w:spacing w:before="20" w:after="20"/>
              <w:jc w:val="center"/>
              <w:rPr>
                <w:rFonts w:asciiTheme="majorBidi" w:hAnsiTheme="majorBidi" w:cstheme="majorBidi"/>
              </w:rPr>
            </w:pP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3C42968" w14:textId="77777777" w:rsidR="00076167" w:rsidRPr="00CB7376" w:rsidRDefault="00076167">
            <w:pPr>
              <w:spacing w:before="20" w:after="20"/>
              <w:jc w:val="center"/>
              <w:rPr>
                <w:rFonts w:asciiTheme="majorBidi" w:hAnsiTheme="majorBidi" w:cstheme="majorBidi"/>
              </w:rPr>
            </w:pPr>
          </w:p>
        </w:tc>
      </w:tr>
      <w:tr w:rsidR="00076167" w:rsidRPr="00CB7376" w14:paraId="0A52E71D"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9A3FBCC"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Sepsis</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2FFA43D"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499 (0.6, 0.6–0.7)</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044C9DEB"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2 725 (1.8, 1.8–1.9)</w:t>
            </w:r>
          </w:p>
        </w:tc>
      </w:tr>
      <w:tr w:rsidR="00076167" w:rsidRPr="00CB7376" w14:paraId="46FAAD21"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978F37E"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Pneumonia</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021E5D8"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1 047 (1.3, 1.2–1.4)</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F7B445E"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4 833 (3.3, 3.2–3.4)</w:t>
            </w:r>
          </w:p>
        </w:tc>
      </w:tr>
      <w:tr w:rsidR="00076167" w:rsidRPr="00CB7376" w14:paraId="49B59E44"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9D0A2CF"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Wound infection</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4028E2D"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890 (1.1, 1.1–1.2)</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21155048"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3 632 (2.4, 2.4–2.5)</w:t>
            </w:r>
          </w:p>
        </w:tc>
      </w:tr>
      <w:tr w:rsidR="00076167" w:rsidRPr="00CB7376" w14:paraId="4E43E1DF"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78574D0"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Pneumothorax</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35DF2ECC"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39 (0.0, 0.0–0.1)</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E131CC7"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265 (0.2, 0.2–0.2)</w:t>
            </w:r>
          </w:p>
        </w:tc>
      </w:tr>
      <w:tr w:rsidR="00076167" w:rsidRPr="00CB7376" w14:paraId="749ACE6C"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D3D1137" w14:textId="77777777" w:rsidR="00076167" w:rsidRPr="00CB7376" w:rsidRDefault="00000000">
            <w:pPr>
              <w:spacing w:before="90" w:after="20"/>
              <w:rPr>
                <w:rFonts w:asciiTheme="majorBidi" w:hAnsiTheme="majorBidi" w:cstheme="majorBidi"/>
              </w:rPr>
            </w:pPr>
            <w:r w:rsidRPr="00CB7376">
              <w:rPr>
                <w:rFonts w:asciiTheme="majorBidi" w:hAnsiTheme="majorBidi" w:cstheme="majorBidi"/>
                <w:b/>
                <w:bCs/>
                <w:i/>
                <w:iCs/>
              </w:rPr>
              <w:t>Haemorrhagic and surgical</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ACA1F5B" w14:textId="77777777" w:rsidR="00076167" w:rsidRPr="00CB7376" w:rsidRDefault="00076167">
            <w:pPr>
              <w:spacing w:before="20" w:after="20"/>
              <w:jc w:val="center"/>
              <w:rPr>
                <w:rFonts w:asciiTheme="majorBidi" w:hAnsiTheme="majorBidi" w:cstheme="majorBidi"/>
              </w:rPr>
            </w:pP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721BEA0" w14:textId="77777777" w:rsidR="00076167" w:rsidRPr="00CB7376" w:rsidRDefault="00076167">
            <w:pPr>
              <w:spacing w:before="20" w:after="20"/>
              <w:jc w:val="center"/>
              <w:rPr>
                <w:rFonts w:asciiTheme="majorBidi" w:hAnsiTheme="majorBidi" w:cstheme="majorBidi"/>
              </w:rPr>
            </w:pPr>
          </w:p>
        </w:tc>
      </w:tr>
      <w:tr w:rsidR="00076167" w:rsidRPr="00CB7376" w14:paraId="0613F366"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71EDFE51"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Postoperative bleeding</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24257A5"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3 791 (4.8, 4.7–5.0)</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6293646"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9 962 (6.7, 6.6–6.8)</w:t>
            </w:r>
          </w:p>
        </w:tc>
      </w:tr>
      <w:tr w:rsidR="00076167" w:rsidRPr="00CB7376" w14:paraId="3BB946CE"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66D4CF9"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Red blood cell transfusion</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A2EB9C8"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6 005 (7.6, 7.4–7.8)</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D9A18E2"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31 649 (21.3, 21.1–21.6)</w:t>
            </w:r>
          </w:p>
        </w:tc>
      </w:tr>
      <w:tr w:rsidR="00076167" w:rsidRPr="00CB7376" w14:paraId="5674CBDF"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4DDE2939"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Reoperation</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EE0481F"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1 106 (1.4, 1.3–1.5)</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D3BB3FD"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4 794 (3.2, 3.1–3.3)</w:t>
            </w:r>
          </w:p>
        </w:tc>
      </w:tr>
      <w:tr w:rsidR="00076167" w:rsidRPr="00CB7376" w14:paraId="4EADB40F" w14:textId="77777777">
        <w:tc>
          <w:tcPr>
            <w:tcW w:w="36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59BE177B" w14:textId="77777777" w:rsidR="00076167" w:rsidRPr="00CB7376" w:rsidRDefault="00000000">
            <w:pPr>
              <w:spacing w:before="90" w:after="20"/>
              <w:rPr>
                <w:rFonts w:asciiTheme="majorBidi" w:hAnsiTheme="majorBidi" w:cstheme="majorBidi"/>
              </w:rPr>
            </w:pPr>
            <w:r w:rsidRPr="00CB7376">
              <w:rPr>
                <w:rFonts w:asciiTheme="majorBidi" w:hAnsiTheme="majorBidi" w:cstheme="majorBidi"/>
                <w:b/>
                <w:bCs/>
                <w:i/>
                <w:iCs/>
              </w:rPr>
              <w:t>Resource use</w:t>
            </w: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6C97B1FB" w14:textId="77777777" w:rsidR="00076167" w:rsidRPr="00CB7376" w:rsidRDefault="00076167">
            <w:pPr>
              <w:spacing w:before="20" w:after="20"/>
              <w:jc w:val="center"/>
              <w:rPr>
                <w:rFonts w:asciiTheme="majorBidi" w:hAnsiTheme="majorBidi" w:cstheme="majorBidi"/>
              </w:rPr>
            </w:pPr>
          </w:p>
        </w:tc>
        <w:tc>
          <w:tcPr>
            <w:tcW w:w="3300"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vAlign w:val="center"/>
          </w:tcPr>
          <w:p w14:paraId="1293E465" w14:textId="77777777" w:rsidR="00076167" w:rsidRPr="00CB7376" w:rsidRDefault="00076167">
            <w:pPr>
              <w:spacing w:before="20" w:after="20"/>
              <w:jc w:val="center"/>
              <w:rPr>
                <w:rFonts w:asciiTheme="majorBidi" w:hAnsiTheme="majorBidi" w:cstheme="majorBidi"/>
              </w:rPr>
            </w:pPr>
          </w:p>
        </w:tc>
      </w:tr>
      <w:tr w:rsidR="00076167" w:rsidRPr="00CB7376" w14:paraId="09657576" w14:textId="77777777">
        <w:tc>
          <w:tcPr>
            <w:tcW w:w="36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78E17438" w14:textId="77777777" w:rsidR="00076167" w:rsidRPr="00CB7376" w:rsidRDefault="00000000">
            <w:pPr>
              <w:spacing w:before="20" w:after="20"/>
              <w:ind w:left="200"/>
              <w:rPr>
                <w:rFonts w:asciiTheme="majorBidi" w:hAnsiTheme="majorBidi" w:cstheme="majorBidi"/>
              </w:rPr>
            </w:pPr>
            <w:r w:rsidRPr="00CB7376">
              <w:rPr>
                <w:rFonts w:asciiTheme="majorBidi" w:hAnsiTheme="majorBidi" w:cstheme="majorBidi"/>
              </w:rPr>
              <w:t>Intensive care admission</w:t>
            </w:r>
          </w:p>
        </w:tc>
        <w:tc>
          <w:tcPr>
            <w:tcW w:w="33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7C348133"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5 107 (6.5, 6.3–6.6)</w:t>
            </w:r>
          </w:p>
        </w:tc>
        <w:tc>
          <w:tcPr>
            <w:tcW w:w="3300" w:type="dxa"/>
            <w:tcBorders>
              <w:top w:val="none" w:sz="0" w:space="0" w:color="FFFFFF"/>
              <w:left w:val="none" w:sz="0" w:space="0" w:color="FFFFFF"/>
              <w:bottom w:val="single" w:sz="6" w:space="0" w:color="000000"/>
              <w:right w:val="none" w:sz="0" w:space="0" w:color="FFFFFF"/>
            </w:tcBorders>
            <w:tcMar>
              <w:top w:w="40" w:type="dxa"/>
              <w:left w:w="60" w:type="dxa"/>
              <w:bottom w:w="40" w:type="dxa"/>
              <w:right w:w="60" w:type="dxa"/>
            </w:tcMar>
            <w:vAlign w:val="center"/>
          </w:tcPr>
          <w:p w14:paraId="054D8149" w14:textId="77777777" w:rsidR="00076167" w:rsidRPr="00CB7376" w:rsidRDefault="00000000">
            <w:pPr>
              <w:spacing w:before="20" w:after="20"/>
              <w:jc w:val="center"/>
              <w:rPr>
                <w:rFonts w:asciiTheme="majorBidi" w:hAnsiTheme="majorBidi" w:cstheme="majorBidi"/>
              </w:rPr>
            </w:pPr>
            <w:r w:rsidRPr="00CB7376">
              <w:rPr>
                <w:rFonts w:asciiTheme="majorBidi" w:hAnsiTheme="majorBidi" w:cstheme="majorBidi"/>
              </w:rPr>
              <w:t>23 314 (15.7, 15.5–15.9)</w:t>
            </w:r>
          </w:p>
        </w:tc>
      </w:tr>
    </w:tbl>
    <w:p w14:paraId="1457DC3A" w14:textId="77777777" w:rsidR="00076167" w:rsidRPr="00CB7376" w:rsidRDefault="00076167">
      <w:pPr>
        <w:spacing w:before="160"/>
        <w:rPr>
          <w:rFonts w:asciiTheme="majorBidi" w:hAnsiTheme="majorBidi" w:cstheme="majorBidi"/>
        </w:rPr>
      </w:pPr>
    </w:p>
    <w:p w14:paraId="09A864EE" w14:textId="77777777" w:rsidR="00076167" w:rsidRPr="00CB7376" w:rsidRDefault="00000000">
      <w:pPr>
        <w:spacing w:after="60"/>
        <w:rPr>
          <w:rFonts w:asciiTheme="majorBidi" w:hAnsiTheme="majorBidi" w:cstheme="majorBidi"/>
        </w:rPr>
      </w:pPr>
      <w:r w:rsidRPr="00CB7376">
        <w:rPr>
          <w:rFonts w:asciiTheme="majorBidi" w:hAnsiTheme="majorBidi" w:cstheme="majorBidi"/>
          <w:sz w:val="18"/>
          <w:szCs w:val="18"/>
        </w:rPr>
        <w:t>CI = confidence interval; MACCE-RN = major adverse cardiac and cerebrovascular events extended for renal surgery, comprising in-hospital death, myocardial infarction, stroke, intracranial haemorrhage, cardiopulmonary resuscitation or reoperation, each patient counted only once.</w:t>
      </w:r>
    </w:p>
    <w:p w14:paraId="1C34B95B" w14:textId="77777777" w:rsidR="00076167" w:rsidRPr="00CB7376" w:rsidRDefault="00000000">
      <w:pPr>
        <w:spacing w:after="60"/>
        <w:rPr>
          <w:rFonts w:asciiTheme="majorBidi" w:hAnsiTheme="majorBidi" w:cstheme="majorBidi"/>
        </w:rPr>
      </w:pPr>
      <w:r w:rsidRPr="00CB7376">
        <w:rPr>
          <w:rFonts w:asciiTheme="majorBidi" w:hAnsiTheme="majorBidi" w:cstheme="majorBidi"/>
          <w:sz w:val="18"/>
          <w:szCs w:val="18"/>
        </w:rPr>
        <w:t>Data are number of events (rate in %, 95% Wilson CI). All outcomes refer to the index hospital stay and are unadjusted. Risk-adjusted comparisons are shown in Fig. 2b.</w:t>
      </w:r>
    </w:p>
    <w:p w14:paraId="2DB7A90F" w14:textId="77777777" w:rsidR="00076167" w:rsidRPr="00CB7376" w:rsidRDefault="00000000">
      <w:pPr>
        <w:spacing w:after="60"/>
        <w:rPr>
          <w:rFonts w:asciiTheme="majorBidi" w:hAnsiTheme="majorBidi" w:cstheme="majorBidi"/>
        </w:rPr>
      </w:pPr>
      <w:r w:rsidRPr="00CB7376">
        <w:rPr>
          <w:rFonts w:asciiTheme="majorBidi" w:hAnsiTheme="majorBidi" w:cstheme="majorBidi"/>
          <w:sz w:val="18"/>
          <w:szCs w:val="18"/>
        </w:rPr>
        <w:t>ᵃ Each patient is counted only once in the composite, even if several qualifying events occurred during the same admission. The composite is therefore smaller than the sum of the individual events, which are also listed separately in this table.</w:t>
      </w:r>
    </w:p>
    <w:p w14:paraId="79DD657C" w14:textId="77777777" w:rsidR="00076167" w:rsidRPr="00CB7376" w:rsidRDefault="00000000">
      <w:pPr>
        <w:spacing w:after="60"/>
        <w:rPr>
          <w:rFonts w:asciiTheme="majorBidi" w:hAnsiTheme="majorBidi" w:cstheme="majorBidi"/>
        </w:rPr>
      </w:pPr>
      <w:r w:rsidRPr="00CB7376">
        <w:rPr>
          <w:rFonts w:asciiTheme="majorBidi" w:hAnsiTheme="majorBidi" w:cstheme="majorBidi"/>
          <w:sz w:val="18"/>
          <w:szCs w:val="18"/>
        </w:rPr>
        <w:t>Cells with fewer than five cases were suppressed in accordance with the disclosure rules of the Research Data Centre of the Federal Statistical Office.</w:t>
      </w:r>
    </w:p>
    <w:sectPr w:rsidR="00076167" w:rsidRPr="00CB7376">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6D09D1"/>
    <w:multiLevelType w:val="hybridMultilevel"/>
    <w:tmpl w:val="B5A61D76"/>
    <w:lvl w:ilvl="0" w:tplc="B53AE274">
      <w:start w:val="1"/>
      <w:numFmt w:val="bullet"/>
      <w:lvlText w:val="●"/>
      <w:lvlJc w:val="left"/>
      <w:pPr>
        <w:ind w:left="720" w:hanging="360"/>
      </w:pPr>
    </w:lvl>
    <w:lvl w:ilvl="1" w:tplc="41F6F9B4">
      <w:start w:val="1"/>
      <w:numFmt w:val="bullet"/>
      <w:lvlText w:val="○"/>
      <w:lvlJc w:val="left"/>
      <w:pPr>
        <w:ind w:left="1440" w:hanging="360"/>
      </w:pPr>
    </w:lvl>
    <w:lvl w:ilvl="2" w:tplc="256AAEA0">
      <w:start w:val="1"/>
      <w:numFmt w:val="bullet"/>
      <w:lvlText w:val="■"/>
      <w:lvlJc w:val="left"/>
      <w:pPr>
        <w:ind w:left="2160" w:hanging="360"/>
      </w:pPr>
    </w:lvl>
    <w:lvl w:ilvl="3" w:tplc="C8727122">
      <w:start w:val="1"/>
      <w:numFmt w:val="bullet"/>
      <w:lvlText w:val="●"/>
      <w:lvlJc w:val="left"/>
      <w:pPr>
        <w:ind w:left="2880" w:hanging="360"/>
      </w:pPr>
    </w:lvl>
    <w:lvl w:ilvl="4" w:tplc="B76C2E38">
      <w:start w:val="1"/>
      <w:numFmt w:val="bullet"/>
      <w:lvlText w:val="○"/>
      <w:lvlJc w:val="left"/>
      <w:pPr>
        <w:ind w:left="3600" w:hanging="360"/>
      </w:pPr>
    </w:lvl>
    <w:lvl w:ilvl="5" w:tplc="8F44B9E0">
      <w:start w:val="1"/>
      <w:numFmt w:val="bullet"/>
      <w:lvlText w:val="■"/>
      <w:lvlJc w:val="left"/>
      <w:pPr>
        <w:ind w:left="4320" w:hanging="360"/>
      </w:pPr>
    </w:lvl>
    <w:lvl w:ilvl="6" w:tplc="3D8EE6B2">
      <w:start w:val="1"/>
      <w:numFmt w:val="bullet"/>
      <w:lvlText w:val="●"/>
      <w:lvlJc w:val="left"/>
      <w:pPr>
        <w:ind w:left="5040" w:hanging="360"/>
      </w:pPr>
    </w:lvl>
    <w:lvl w:ilvl="7" w:tplc="E45E67CC">
      <w:start w:val="1"/>
      <w:numFmt w:val="bullet"/>
      <w:lvlText w:val="●"/>
      <w:lvlJc w:val="left"/>
      <w:pPr>
        <w:ind w:left="5760" w:hanging="360"/>
      </w:pPr>
    </w:lvl>
    <w:lvl w:ilvl="8" w:tplc="85BAA73E">
      <w:start w:val="1"/>
      <w:numFmt w:val="bullet"/>
      <w:lvlText w:val="●"/>
      <w:lvlJc w:val="left"/>
      <w:pPr>
        <w:ind w:left="6480" w:hanging="360"/>
      </w:pPr>
    </w:lvl>
  </w:abstractNum>
  <w:num w:numId="1" w16cid:durableId="74530159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7"/>
    <w:rsid w:val="00076167"/>
    <w:rsid w:val="007A14AF"/>
    <w:rsid w:val="00CB3421"/>
    <w:rsid w:val="00CB737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04EE1B8"/>
  <w15:docId w15:val="{7808AA3B-C454-C744-844B-6231DCEFB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1837</Characters>
  <Application>Microsoft Office Word</Application>
  <DocSecurity>0</DocSecurity>
  <Lines>88</Lines>
  <Paragraphs>70</Paragraphs>
  <ScaleCrop>false</ScaleCrop>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Julian Risch</cp:lastModifiedBy>
  <cp:revision>3</cp:revision>
  <dcterms:created xsi:type="dcterms:W3CDTF">2026-10-10T12:05:00Z</dcterms:created>
  <dcterms:modified xsi:type="dcterms:W3CDTF">2026-10-10T12:06:00Z</dcterms:modified>
</cp:coreProperties>
</file>