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BB302" w14:textId="77777777" w:rsidR="00A7642C" w:rsidRDefault="00000000">
      <w:pPr>
        <w:pStyle w:val="Title"/>
        <w:jc w:val="center"/>
      </w:pPr>
      <w:r>
        <w:t>Additional file 1. Completed COREQ checklist</w:t>
      </w:r>
    </w:p>
    <w:p w14:paraId="4ACF4491" w14:textId="77777777" w:rsidR="00A7642C" w:rsidRDefault="00000000">
      <w:pPr>
        <w:jc w:val="center"/>
      </w:pPr>
      <w:r>
        <w:rPr>
          <w:b/>
          <w:sz w:val="20"/>
        </w:rPr>
        <w:t>Beyond Task Delegation: Progressive Negotiated Embedding of a Physician Associate in Rural Primary Care—A Longitudinal Qualitative Case Study from India</w:t>
      </w:r>
    </w:p>
    <w:p w14:paraId="0C865DA6" w14:textId="77777777" w:rsidR="00A7642C" w:rsidRDefault="00000000">
      <w:pPr>
        <w:jc w:val="center"/>
      </w:pPr>
      <w:r>
        <w:rPr>
          <w:i/>
        </w:rPr>
        <w:t>Consolidated Criteria for Reporting Qualitative Research (COREQ), 32-item checklist</w:t>
      </w:r>
    </w:p>
    <w:p w14:paraId="19C35D28" w14:textId="77777777" w:rsidR="00A7642C" w:rsidRDefault="00000000">
      <w:r>
        <w:rPr>
          <w:sz w:val="17"/>
        </w:rPr>
        <w:t>This checklist was completed against the final manuscript and the final interview/focus-group guide supplement. Where information is not explicitly reported, this is stated rather than inferred. Transcript review for correction of the recorded account is distinguished from participant validation of the analysis.</w:t>
      </w:r>
    </w:p>
    <w:p w14:paraId="76D995AE" w14:textId="77777777" w:rsidR="00A7642C" w:rsidRDefault="00000000">
      <w:pPr>
        <w:pStyle w:val="Heading1"/>
        <w:spacing w:before="100" w:after="60"/>
      </w:pPr>
      <w:r>
        <w:t>Domain 1. Research team and reflexivity</w:t>
      </w:r>
    </w:p>
    <w:tbl>
      <w:tblPr>
        <w:tblStyle w:val="TableGrid"/>
        <w:tblW w:w="0" w:type="auto"/>
        <w:jc w:val="center"/>
        <w:tblLayout w:type="fixed"/>
        <w:tblLook w:val="04A0" w:firstRow="1" w:lastRow="0" w:firstColumn="1" w:lastColumn="0" w:noHBand="0" w:noVBand="1"/>
      </w:tblPr>
      <w:tblGrid>
        <w:gridCol w:w="680"/>
        <w:gridCol w:w="2268"/>
        <w:gridCol w:w="9468"/>
        <w:gridCol w:w="3061"/>
      </w:tblGrid>
      <w:tr w:rsidR="00A7642C" w14:paraId="6699588C" w14:textId="77777777">
        <w:trPr>
          <w:cantSplit/>
          <w:tblHeader/>
          <w:jc w:val="center"/>
        </w:trPr>
        <w:tc>
          <w:tcPr>
            <w:tcW w:w="680" w:type="dxa"/>
            <w:shd w:val="clear" w:color="auto" w:fill="D9E2F3"/>
            <w:tcMar>
              <w:top w:w="60" w:type="dxa"/>
              <w:left w:w="60" w:type="dxa"/>
              <w:bottom w:w="60" w:type="dxa"/>
              <w:right w:w="60" w:type="dxa"/>
            </w:tcMar>
            <w:vAlign w:val="center"/>
          </w:tcPr>
          <w:p w14:paraId="14501F5D" w14:textId="77777777" w:rsidR="00A7642C" w:rsidRDefault="00000000">
            <w:pPr>
              <w:jc w:val="center"/>
            </w:pPr>
            <w:r>
              <w:rPr>
                <w:b/>
                <w:sz w:val="17"/>
              </w:rPr>
              <w:t>Item</w:t>
            </w:r>
          </w:p>
        </w:tc>
        <w:tc>
          <w:tcPr>
            <w:tcW w:w="2268" w:type="dxa"/>
            <w:shd w:val="clear" w:color="auto" w:fill="D9E2F3"/>
            <w:tcMar>
              <w:top w:w="60" w:type="dxa"/>
              <w:left w:w="60" w:type="dxa"/>
              <w:bottom w:w="60" w:type="dxa"/>
              <w:right w:w="60" w:type="dxa"/>
            </w:tcMar>
            <w:vAlign w:val="center"/>
          </w:tcPr>
          <w:p w14:paraId="60CFDC85" w14:textId="77777777" w:rsidR="00A7642C" w:rsidRDefault="00000000">
            <w:pPr>
              <w:jc w:val="center"/>
            </w:pPr>
            <w:r>
              <w:rPr>
                <w:b/>
                <w:sz w:val="17"/>
              </w:rPr>
              <w:t>Topic</w:t>
            </w:r>
          </w:p>
        </w:tc>
        <w:tc>
          <w:tcPr>
            <w:tcW w:w="9468" w:type="dxa"/>
            <w:shd w:val="clear" w:color="auto" w:fill="D9E2F3"/>
            <w:tcMar>
              <w:top w:w="60" w:type="dxa"/>
              <w:left w:w="60" w:type="dxa"/>
              <w:bottom w:w="60" w:type="dxa"/>
              <w:right w:w="60" w:type="dxa"/>
            </w:tcMar>
            <w:vAlign w:val="center"/>
          </w:tcPr>
          <w:p w14:paraId="214BBAD4" w14:textId="77777777" w:rsidR="00A7642C" w:rsidRDefault="00000000">
            <w:pPr>
              <w:jc w:val="center"/>
            </w:pPr>
            <w:r>
              <w:rPr>
                <w:b/>
                <w:sz w:val="17"/>
              </w:rPr>
              <w:t>Reported information</w:t>
            </w:r>
          </w:p>
        </w:tc>
        <w:tc>
          <w:tcPr>
            <w:tcW w:w="3061" w:type="dxa"/>
            <w:shd w:val="clear" w:color="auto" w:fill="D9E2F3"/>
            <w:tcMar>
              <w:top w:w="60" w:type="dxa"/>
              <w:left w:w="60" w:type="dxa"/>
              <w:bottom w:w="60" w:type="dxa"/>
              <w:right w:w="60" w:type="dxa"/>
            </w:tcMar>
            <w:vAlign w:val="center"/>
          </w:tcPr>
          <w:p w14:paraId="714B08B1" w14:textId="77777777" w:rsidR="00A7642C" w:rsidRDefault="00000000">
            <w:pPr>
              <w:jc w:val="center"/>
            </w:pPr>
            <w:r>
              <w:rPr>
                <w:b/>
                <w:sz w:val="17"/>
              </w:rPr>
              <w:t>Manuscript location</w:t>
            </w:r>
          </w:p>
        </w:tc>
      </w:tr>
      <w:tr w:rsidR="00A7642C" w14:paraId="06344AB8" w14:textId="77777777">
        <w:trPr>
          <w:cantSplit/>
          <w:jc w:val="center"/>
        </w:trPr>
        <w:tc>
          <w:tcPr>
            <w:tcW w:w="680" w:type="dxa"/>
            <w:tcMar>
              <w:top w:w="60" w:type="dxa"/>
              <w:left w:w="60" w:type="dxa"/>
              <w:bottom w:w="60" w:type="dxa"/>
              <w:right w:w="60" w:type="dxa"/>
            </w:tcMar>
          </w:tcPr>
          <w:p w14:paraId="23E6E26E" w14:textId="77777777" w:rsidR="00A7642C" w:rsidRDefault="00000000">
            <w:pPr>
              <w:jc w:val="center"/>
            </w:pPr>
            <w:r>
              <w:rPr>
                <w:sz w:val="16"/>
              </w:rPr>
              <w:t>1</w:t>
            </w:r>
          </w:p>
        </w:tc>
        <w:tc>
          <w:tcPr>
            <w:tcW w:w="2268" w:type="dxa"/>
            <w:tcMar>
              <w:top w:w="60" w:type="dxa"/>
              <w:left w:w="60" w:type="dxa"/>
              <w:bottom w:w="60" w:type="dxa"/>
              <w:right w:w="60" w:type="dxa"/>
            </w:tcMar>
          </w:tcPr>
          <w:p w14:paraId="6B895B31" w14:textId="77777777" w:rsidR="00A7642C" w:rsidRDefault="00000000">
            <w:r>
              <w:rPr>
                <w:sz w:val="16"/>
              </w:rPr>
              <w:t>Interviewer/facilitator</w:t>
            </w:r>
          </w:p>
        </w:tc>
        <w:tc>
          <w:tcPr>
            <w:tcW w:w="9468" w:type="dxa"/>
            <w:tcMar>
              <w:top w:w="60" w:type="dxa"/>
              <w:left w:w="60" w:type="dxa"/>
              <w:bottom w:w="60" w:type="dxa"/>
              <w:right w:w="60" w:type="dxa"/>
            </w:tcMar>
          </w:tcPr>
          <w:p w14:paraId="0F7C60B6" w14:textId="77777777" w:rsidR="00A7642C" w:rsidRDefault="00000000">
            <w:r>
              <w:rPr>
                <w:sz w:val="16"/>
              </w:rPr>
              <w:t>Ebin V Abraham (EVA), the principal researcher, conducted all individual interviews and moderated the patient focus-group discussion.</w:t>
            </w:r>
          </w:p>
        </w:tc>
        <w:tc>
          <w:tcPr>
            <w:tcW w:w="3061" w:type="dxa"/>
            <w:tcMar>
              <w:top w:w="60" w:type="dxa"/>
              <w:left w:w="60" w:type="dxa"/>
              <w:bottom w:w="60" w:type="dxa"/>
              <w:right w:w="60" w:type="dxa"/>
            </w:tcMar>
          </w:tcPr>
          <w:p w14:paraId="3196EDFA" w14:textId="77777777" w:rsidR="00A7642C" w:rsidRDefault="00000000">
            <w:r>
              <w:rPr>
                <w:sz w:val="16"/>
              </w:rPr>
              <w:t>Methods: Data collection, p. 9.</w:t>
            </w:r>
          </w:p>
        </w:tc>
      </w:tr>
      <w:tr w:rsidR="00A7642C" w14:paraId="065DF21B" w14:textId="77777777">
        <w:trPr>
          <w:cantSplit/>
          <w:jc w:val="center"/>
        </w:trPr>
        <w:tc>
          <w:tcPr>
            <w:tcW w:w="680" w:type="dxa"/>
            <w:tcMar>
              <w:top w:w="60" w:type="dxa"/>
              <w:left w:w="60" w:type="dxa"/>
              <w:bottom w:w="60" w:type="dxa"/>
              <w:right w:w="60" w:type="dxa"/>
            </w:tcMar>
          </w:tcPr>
          <w:p w14:paraId="1F231F7B" w14:textId="77777777" w:rsidR="00A7642C" w:rsidRDefault="00000000">
            <w:pPr>
              <w:jc w:val="center"/>
            </w:pPr>
            <w:r>
              <w:rPr>
                <w:sz w:val="16"/>
              </w:rPr>
              <w:t>2</w:t>
            </w:r>
          </w:p>
        </w:tc>
        <w:tc>
          <w:tcPr>
            <w:tcW w:w="2268" w:type="dxa"/>
            <w:tcMar>
              <w:top w:w="60" w:type="dxa"/>
              <w:left w:w="60" w:type="dxa"/>
              <w:bottom w:w="60" w:type="dxa"/>
              <w:right w:w="60" w:type="dxa"/>
            </w:tcMar>
          </w:tcPr>
          <w:p w14:paraId="217B72B9" w14:textId="77777777" w:rsidR="00A7642C" w:rsidRDefault="00000000">
            <w:r>
              <w:rPr>
                <w:sz w:val="16"/>
              </w:rPr>
              <w:t>Credentials</w:t>
            </w:r>
          </w:p>
        </w:tc>
        <w:tc>
          <w:tcPr>
            <w:tcW w:w="9468" w:type="dxa"/>
            <w:tcMar>
              <w:top w:w="60" w:type="dxa"/>
              <w:left w:w="60" w:type="dxa"/>
              <w:bottom w:w="60" w:type="dxa"/>
              <w:right w:w="60" w:type="dxa"/>
            </w:tcMar>
          </w:tcPr>
          <w:p w14:paraId="17ECF029" w14:textId="77777777" w:rsidR="00A7642C" w:rsidRDefault="00000000">
            <w:r>
              <w:rPr>
                <w:sz w:val="16"/>
              </w:rPr>
              <w:t>MSc in Physician Assistant studies; MBA in Healthcare Management; Postgraduate Diploma in Public Health and Hospital Administration, Public Health Foundation of India; PhD scholar.</w:t>
            </w:r>
          </w:p>
        </w:tc>
        <w:tc>
          <w:tcPr>
            <w:tcW w:w="3061" w:type="dxa"/>
            <w:tcMar>
              <w:top w:w="60" w:type="dxa"/>
              <w:left w:w="60" w:type="dxa"/>
              <w:bottom w:w="60" w:type="dxa"/>
              <w:right w:w="60" w:type="dxa"/>
            </w:tcMar>
          </w:tcPr>
          <w:p w14:paraId="77C61D46" w14:textId="77777777" w:rsidR="00A7642C" w:rsidRDefault="00000000">
            <w:r>
              <w:rPr>
                <w:sz w:val="16"/>
              </w:rPr>
              <w:t>Methods: Data collection, p. 9.</w:t>
            </w:r>
          </w:p>
        </w:tc>
      </w:tr>
      <w:tr w:rsidR="00A7642C" w14:paraId="7C904BFB" w14:textId="77777777">
        <w:trPr>
          <w:cantSplit/>
          <w:jc w:val="center"/>
        </w:trPr>
        <w:tc>
          <w:tcPr>
            <w:tcW w:w="680" w:type="dxa"/>
            <w:tcMar>
              <w:top w:w="60" w:type="dxa"/>
              <w:left w:w="60" w:type="dxa"/>
              <w:bottom w:w="60" w:type="dxa"/>
              <w:right w:w="60" w:type="dxa"/>
            </w:tcMar>
          </w:tcPr>
          <w:p w14:paraId="5D1DAA08" w14:textId="77777777" w:rsidR="00A7642C" w:rsidRDefault="00000000">
            <w:pPr>
              <w:jc w:val="center"/>
            </w:pPr>
            <w:r>
              <w:rPr>
                <w:sz w:val="16"/>
              </w:rPr>
              <w:t>3</w:t>
            </w:r>
          </w:p>
        </w:tc>
        <w:tc>
          <w:tcPr>
            <w:tcW w:w="2268" w:type="dxa"/>
            <w:tcMar>
              <w:top w:w="60" w:type="dxa"/>
              <w:left w:w="60" w:type="dxa"/>
              <w:bottom w:w="60" w:type="dxa"/>
              <w:right w:w="60" w:type="dxa"/>
            </w:tcMar>
          </w:tcPr>
          <w:p w14:paraId="5610E5E6" w14:textId="77777777" w:rsidR="00A7642C" w:rsidRDefault="00000000">
            <w:r>
              <w:rPr>
                <w:sz w:val="16"/>
              </w:rPr>
              <w:t>Occupation</w:t>
            </w:r>
          </w:p>
        </w:tc>
        <w:tc>
          <w:tcPr>
            <w:tcW w:w="9468" w:type="dxa"/>
            <w:tcMar>
              <w:top w:w="60" w:type="dxa"/>
              <w:left w:w="60" w:type="dxa"/>
              <w:bottom w:w="60" w:type="dxa"/>
              <w:right w:w="60" w:type="dxa"/>
            </w:tcMar>
          </w:tcPr>
          <w:p w14:paraId="61507F18" w14:textId="77777777" w:rsidR="00A7642C" w:rsidRDefault="00000000">
            <w:r>
              <w:rPr>
                <w:sz w:val="16"/>
              </w:rPr>
              <w:t>Male PA educator and doctoral researcher; Assistant Professor and Programme Coordinator are reported on the title/corresponding-author information.</w:t>
            </w:r>
          </w:p>
        </w:tc>
        <w:tc>
          <w:tcPr>
            <w:tcW w:w="3061" w:type="dxa"/>
            <w:tcMar>
              <w:top w:w="60" w:type="dxa"/>
              <w:left w:w="60" w:type="dxa"/>
              <w:bottom w:w="60" w:type="dxa"/>
              <w:right w:w="60" w:type="dxa"/>
            </w:tcMar>
          </w:tcPr>
          <w:p w14:paraId="6828B40D" w14:textId="77777777" w:rsidR="00A7642C" w:rsidRDefault="00000000">
            <w:r>
              <w:rPr>
                <w:sz w:val="16"/>
              </w:rPr>
              <w:t>Title page, pp. 1–2; Methods: Data collection, p. 9.</w:t>
            </w:r>
          </w:p>
        </w:tc>
      </w:tr>
      <w:tr w:rsidR="00A7642C" w14:paraId="26965214" w14:textId="77777777">
        <w:trPr>
          <w:cantSplit/>
          <w:jc w:val="center"/>
        </w:trPr>
        <w:tc>
          <w:tcPr>
            <w:tcW w:w="680" w:type="dxa"/>
            <w:tcMar>
              <w:top w:w="60" w:type="dxa"/>
              <w:left w:w="60" w:type="dxa"/>
              <w:bottom w:w="60" w:type="dxa"/>
              <w:right w:w="60" w:type="dxa"/>
            </w:tcMar>
          </w:tcPr>
          <w:p w14:paraId="46BFE6A7" w14:textId="77777777" w:rsidR="00A7642C" w:rsidRDefault="00000000">
            <w:pPr>
              <w:jc w:val="center"/>
            </w:pPr>
            <w:r>
              <w:rPr>
                <w:sz w:val="16"/>
              </w:rPr>
              <w:t>4</w:t>
            </w:r>
          </w:p>
        </w:tc>
        <w:tc>
          <w:tcPr>
            <w:tcW w:w="2268" w:type="dxa"/>
            <w:tcMar>
              <w:top w:w="60" w:type="dxa"/>
              <w:left w:w="60" w:type="dxa"/>
              <w:bottom w:w="60" w:type="dxa"/>
              <w:right w:w="60" w:type="dxa"/>
            </w:tcMar>
          </w:tcPr>
          <w:p w14:paraId="4B0061EB" w14:textId="77777777" w:rsidR="00A7642C" w:rsidRDefault="00000000">
            <w:r>
              <w:rPr>
                <w:sz w:val="16"/>
              </w:rPr>
              <w:t>Gender</w:t>
            </w:r>
          </w:p>
        </w:tc>
        <w:tc>
          <w:tcPr>
            <w:tcW w:w="9468" w:type="dxa"/>
            <w:tcMar>
              <w:top w:w="60" w:type="dxa"/>
              <w:left w:w="60" w:type="dxa"/>
              <w:bottom w:w="60" w:type="dxa"/>
              <w:right w:w="60" w:type="dxa"/>
            </w:tcMar>
          </w:tcPr>
          <w:p w14:paraId="68B9589F" w14:textId="77777777" w:rsidR="00A7642C" w:rsidRDefault="00000000">
            <w:r>
              <w:rPr>
                <w:sz w:val="16"/>
              </w:rPr>
              <w:t>Male.</w:t>
            </w:r>
          </w:p>
        </w:tc>
        <w:tc>
          <w:tcPr>
            <w:tcW w:w="3061" w:type="dxa"/>
            <w:tcMar>
              <w:top w:w="60" w:type="dxa"/>
              <w:left w:w="60" w:type="dxa"/>
              <w:bottom w:w="60" w:type="dxa"/>
              <w:right w:w="60" w:type="dxa"/>
            </w:tcMar>
          </w:tcPr>
          <w:p w14:paraId="2989CD50" w14:textId="77777777" w:rsidR="00A7642C" w:rsidRDefault="00000000">
            <w:r>
              <w:rPr>
                <w:sz w:val="16"/>
              </w:rPr>
              <w:t>Methods: Data collection, p. 9.</w:t>
            </w:r>
          </w:p>
        </w:tc>
      </w:tr>
      <w:tr w:rsidR="00A7642C" w14:paraId="22C92626" w14:textId="77777777">
        <w:trPr>
          <w:cantSplit/>
          <w:jc w:val="center"/>
        </w:trPr>
        <w:tc>
          <w:tcPr>
            <w:tcW w:w="680" w:type="dxa"/>
            <w:tcMar>
              <w:top w:w="60" w:type="dxa"/>
              <w:left w:w="60" w:type="dxa"/>
              <w:bottom w:w="60" w:type="dxa"/>
              <w:right w:w="60" w:type="dxa"/>
            </w:tcMar>
          </w:tcPr>
          <w:p w14:paraId="6FD77ED6" w14:textId="77777777" w:rsidR="00A7642C" w:rsidRDefault="00000000">
            <w:pPr>
              <w:jc w:val="center"/>
            </w:pPr>
            <w:r>
              <w:rPr>
                <w:sz w:val="16"/>
              </w:rPr>
              <w:t>5</w:t>
            </w:r>
          </w:p>
        </w:tc>
        <w:tc>
          <w:tcPr>
            <w:tcW w:w="2268" w:type="dxa"/>
            <w:tcMar>
              <w:top w:w="60" w:type="dxa"/>
              <w:left w:w="60" w:type="dxa"/>
              <w:bottom w:w="60" w:type="dxa"/>
              <w:right w:w="60" w:type="dxa"/>
            </w:tcMar>
          </w:tcPr>
          <w:p w14:paraId="3929D313" w14:textId="77777777" w:rsidR="00A7642C" w:rsidRDefault="00000000">
            <w:r>
              <w:rPr>
                <w:sz w:val="16"/>
              </w:rPr>
              <w:t>Experience and training</w:t>
            </w:r>
          </w:p>
        </w:tc>
        <w:tc>
          <w:tcPr>
            <w:tcW w:w="9468" w:type="dxa"/>
            <w:tcMar>
              <w:top w:w="60" w:type="dxa"/>
              <w:left w:w="60" w:type="dxa"/>
              <w:bottom w:w="60" w:type="dxa"/>
              <w:right w:w="60" w:type="dxa"/>
            </w:tcMar>
          </w:tcPr>
          <w:p w14:paraId="149358FF" w14:textId="77777777" w:rsidR="00A7642C" w:rsidRDefault="00000000">
            <w:r>
              <w:rPr>
                <w:sz w:val="16"/>
              </w:rPr>
              <w:t>Formal qualitative-research training at NIMHANS Bengaluru; doctoral research-methodology training; institutional qualitative-research workshops; prior supervision of two undergraduate qualitative studies involving interviewing and thematic analysis; mentoring from experienced qualitative researchers; self-directed study of reflexive thematic analysis.</w:t>
            </w:r>
          </w:p>
        </w:tc>
        <w:tc>
          <w:tcPr>
            <w:tcW w:w="3061" w:type="dxa"/>
            <w:tcMar>
              <w:top w:w="60" w:type="dxa"/>
              <w:left w:w="60" w:type="dxa"/>
              <w:bottom w:w="60" w:type="dxa"/>
              <w:right w:w="60" w:type="dxa"/>
            </w:tcMar>
          </w:tcPr>
          <w:p w14:paraId="73C9E0FC" w14:textId="77777777" w:rsidR="00A7642C" w:rsidRDefault="00000000">
            <w:r>
              <w:rPr>
                <w:sz w:val="16"/>
              </w:rPr>
              <w:t>Methods: Data collection, p. 9.</w:t>
            </w:r>
          </w:p>
        </w:tc>
      </w:tr>
      <w:tr w:rsidR="00A7642C" w14:paraId="67BC4221" w14:textId="77777777">
        <w:trPr>
          <w:cantSplit/>
          <w:jc w:val="center"/>
        </w:trPr>
        <w:tc>
          <w:tcPr>
            <w:tcW w:w="680" w:type="dxa"/>
            <w:tcMar>
              <w:top w:w="60" w:type="dxa"/>
              <w:left w:w="60" w:type="dxa"/>
              <w:bottom w:w="60" w:type="dxa"/>
              <w:right w:w="60" w:type="dxa"/>
            </w:tcMar>
          </w:tcPr>
          <w:p w14:paraId="19C94A5C" w14:textId="77777777" w:rsidR="00A7642C" w:rsidRDefault="00000000">
            <w:pPr>
              <w:jc w:val="center"/>
            </w:pPr>
            <w:r>
              <w:rPr>
                <w:sz w:val="16"/>
              </w:rPr>
              <w:t>6</w:t>
            </w:r>
          </w:p>
        </w:tc>
        <w:tc>
          <w:tcPr>
            <w:tcW w:w="2268" w:type="dxa"/>
            <w:tcMar>
              <w:top w:w="60" w:type="dxa"/>
              <w:left w:w="60" w:type="dxa"/>
              <w:bottom w:w="60" w:type="dxa"/>
              <w:right w:w="60" w:type="dxa"/>
            </w:tcMar>
          </w:tcPr>
          <w:p w14:paraId="5A367AFF" w14:textId="77777777" w:rsidR="00A7642C" w:rsidRDefault="00000000">
            <w:r>
              <w:rPr>
                <w:sz w:val="16"/>
              </w:rPr>
              <w:t>Relationship established</w:t>
            </w:r>
          </w:p>
        </w:tc>
        <w:tc>
          <w:tcPr>
            <w:tcW w:w="9468" w:type="dxa"/>
            <w:tcMar>
              <w:top w:w="60" w:type="dxa"/>
              <w:left w:w="60" w:type="dxa"/>
              <w:bottom w:w="60" w:type="dxa"/>
              <w:right w:w="60" w:type="dxa"/>
            </w:tcMar>
          </w:tcPr>
          <w:p w14:paraId="77195EBA" w14:textId="77777777" w:rsidR="00A7642C" w:rsidRDefault="00000000">
            <w:r>
              <w:rPr>
                <w:sz w:val="16"/>
              </w:rPr>
              <w:t>EVA had a pre-existing programme-level educator relationship with PA01: he served as programme coordinator with some involvement in her academic supervision but had not taught her directly. He was not her clinical supervisor. EVA had no prior professional relationship with SMO01, JMO01, CMO01, NUR01, LAB01, PHA01 or CHW01 before deployment. A prior relationship with FGD participants is not specifically reported.</w:t>
            </w:r>
          </w:p>
        </w:tc>
        <w:tc>
          <w:tcPr>
            <w:tcW w:w="3061" w:type="dxa"/>
            <w:tcMar>
              <w:top w:w="60" w:type="dxa"/>
              <w:left w:w="60" w:type="dxa"/>
              <w:bottom w:w="60" w:type="dxa"/>
              <w:right w:w="60" w:type="dxa"/>
            </w:tcMar>
          </w:tcPr>
          <w:p w14:paraId="2353FA76" w14:textId="77777777" w:rsidR="00A7642C" w:rsidRDefault="00000000">
            <w:r>
              <w:rPr>
                <w:sz w:val="16"/>
              </w:rPr>
              <w:t>Methods: Researcher reflexivity and analytical quality, p. 15.</w:t>
            </w:r>
          </w:p>
        </w:tc>
      </w:tr>
      <w:tr w:rsidR="00A7642C" w14:paraId="12592143" w14:textId="77777777">
        <w:trPr>
          <w:cantSplit/>
          <w:jc w:val="center"/>
        </w:trPr>
        <w:tc>
          <w:tcPr>
            <w:tcW w:w="680" w:type="dxa"/>
            <w:tcMar>
              <w:top w:w="60" w:type="dxa"/>
              <w:left w:w="60" w:type="dxa"/>
              <w:bottom w:w="60" w:type="dxa"/>
              <w:right w:w="60" w:type="dxa"/>
            </w:tcMar>
          </w:tcPr>
          <w:p w14:paraId="3C41CDD8" w14:textId="77777777" w:rsidR="00A7642C" w:rsidRDefault="00000000">
            <w:pPr>
              <w:jc w:val="center"/>
            </w:pPr>
            <w:r>
              <w:rPr>
                <w:sz w:val="16"/>
              </w:rPr>
              <w:t>7</w:t>
            </w:r>
          </w:p>
        </w:tc>
        <w:tc>
          <w:tcPr>
            <w:tcW w:w="2268" w:type="dxa"/>
            <w:tcMar>
              <w:top w:w="60" w:type="dxa"/>
              <w:left w:w="60" w:type="dxa"/>
              <w:bottom w:w="60" w:type="dxa"/>
              <w:right w:w="60" w:type="dxa"/>
            </w:tcMar>
          </w:tcPr>
          <w:p w14:paraId="4382B9DA" w14:textId="77777777" w:rsidR="00A7642C" w:rsidRDefault="00000000">
            <w:r>
              <w:rPr>
                <w:sz w:val="16"/>
              </w:rPr>
              <w:t>Participant knowledge of interviewer</w:t>
            </w:r>
          </w:p>
        </w:tc>
        <w:tc>
          <w:tcPr>
            <w:tcW w:w="9468" w:type="dxa"/>
            <w:tcMar>
              <w:top w:w="60" w:type="dxa"/>
              <w:left w:w="60" w:type="dxa"/>
              <w:bottom w:w="60" w:type="dxa"/>
              <w:right w:w="60" w:type="dxa"/>
            </w:tcMar>
          </w:tcPr>
          <w:p w14:paraId="0920A6A2" w14:textId="77777777" w:rsidR="00A7642C" w:rsidRDefault="00000000">
            <w:r>
              <w:rPr>
                <w:sz w:val="16"/>
              </w:rPr>
              <w:t>PA01 knew before consent that the deployment formed part of EVA’s doctoral research. Research participation was voluntary, withdrawal carried no consequences, and DARR completion was neither required for the placement nor used for academic or workplace assessment. The study information identified EVA as the principal researcher; whether other participants knew his wider programme role or personal reasons for undertaking the research was not formally assessed.</w:t>
            </w:r>
          </w:p>
        </w:tc>
        <w:tc>
          <w:tcPr>
            <w:tcW w:w="3061" w:type="dxa"/>
            <w:tcMar>
              <w:top w:w="60" w:type="dxa"/>
              <w:left w:w="60" w:type="dxa"/>
              <w:bottom w:w="60" w:type="dxa"/>
              <w:right w:w="60" w:type="dxa"/>
            </w:tcMar>
          </w:tcPr>
          <w:p w14:paraId="44A53E70" w14:textId="77777777" w:rsidR="00A7642C" w:rsidRDefault="00000000">
            <w:r>
              <w:rPr>
                <w:sz w:val="16"/>
              </w:rPr>
              <w:t>Methods: Researcher reflexivity and analytical quality, p. 15; Ethical considerations, p. 16.</w:t>
            </w:r>
          </w:p>
        </w:tc>
      </w:tr>
      <w:tr w:rsidR="00A7642C" w14:paraId="39D42B3B" w14:textId="77777777">
        <w:trPr>
          <w:cantSplit/>
          <w:jc w:val="center"/>
        </w:trPr>
        <w:tc>
          <w:tcPr>
            <w:tcW w:w="680" w:type="dxa"/>
            <w:tcMar>
              <w:top w:w="60" w:type="dxa"/>
              <w:left w:w="60" w:type="dxa"/>
              <w:bottom w:w="60" w:type="dxa"/>
              <w:right w:w="60" w:type="dxa"/>
            </w:tcMar>
          </w:tcPr>
          <w:p w14:paraId="005DC143" w14:textId="77777777" w:rsidR="00A7642C" w:rsidRDefault="00000000">
            <w:pPr>
              <w:jc w:val="center"/>
            </w:pPr>
            <w:r>
              <w:rPr>
                <w:sz w:val="16"/>
              </w:rPr>
              <w:t>8</w:t>
            </w:r>
          </w:p>
        </w:tc>
        <w:tc>
          <w:tcPr>
            <w:tcW w:w="2268" w:type="dxa"/>
            <w:tcMar>
              <w:top w:w="60" w:type="dxa"/>
              <w:left w:w="60" w:type="dxa"/>
              <w:bottom w:w="60" w:type="dxa"/>
              <w:right w:w="60" w:type="dxa"/>
            </w:tcMar>
          </w:tcPr>
          <w:p w14:paraId="27CBEA7A" w14:textId="77777777" w:rsidR="00A7642C" w:rsidRDefault="00000000">
            <w:r>
              <w:rPr>
                <w:sz w:val="16"/>
              </w:rPr>
              <w:t>Interviewer characteristics</w:t>
            </w:r>
          </w:p>
        </w:tc>
        <w:tc>
          <w:tcPr>
            <w:tcW w:w="9468" w:type="dxa"/>
            <w:tcMar>
              <w:top w:w="60" w:type="dxa"/>
              <w:left w:w="60" w:type="dxa"/>
              <w:bottom w:w="60" w:type="dxa"/>
              <w:right w:w="60" w:type="dxa"/>
            </w:tcMar>
          </w:tcPr>
          <w:p w14:paraId="54EF1A92" w14:textId="77777777" w:rsidR="00A7642C" w:rsidRDefault="00000000">
            <w:r>
              <w:rPr>
                <w:sz w:val="16"/>
              </w:rPr>
              <w:t>EVA's professional involvement in PA education, programme development and organisation of the wider community-deployment initiative, the institutionally supported deployment, and his pre-existing programme-level educator relationship with PA01 are explicitly considered. Reflexive/interviewer notes, analytic memos and a decision trail were maintained.</w:t>
            </w:r>
          </w:p>
        </w:tc>
        <w:tc>
          <w:tcPr>
            <w:tcW w:w="3061" w:type="dxa"/>
            <w:tcMar>
              <w:top w:w="60" w:type="dxa"/>
              <w:left w:w="60" w:type="dxa"/>
              <w:bottom w:w="60" w:type="dxa"/>
              <w:right w:w="60" w:type="dxa"/>
            </w:tcMar>
          </w:tcPr>
          <w:p w14:paraId="73DB2981" w14:textId="77777777" w:rsidR="00A7642C" w:rsidRDefault="00000000">
            <w:r>
              <w:rPr>
                <w:sz w:val="16"/>
              </w:rPr>
              <w:t>Methods: Researcher reflexivity and analytical quality, p. 15.</w:t>
            </w:r>
          </w:p>
        </w:tc>
      </w:tr>
    </w:tbl>
    <w:p w14:paraId="1B8B4988" w14:textId="77777777" w:rsidR="00A7642C" w:rsidRDefault="00000000">
      <w:pPr>
        <w:pStyle w:val="Heading1"/>
        <w:spacing w:before="100" w:after="60"/>
      </w:pPr>
      <w:r>
        <w:t>Domain 2. Study design</w:t>
      </w:r>
    </w:p>
    <w:tbl>
      <w:tblPr>
        <w:tblStyle w:val="TableGrid"/>
        <w:tblW w:w="0" w:type="auto"/>
        <w:jc w:val="center"/>
        <w:tblLayout w:type="fixed"/>
        <w:tblLook w:val="04A0" w:firstRow="1" w:lastRow="0" w:firstColumn="1" w:lastColumn="0" w:noHBand="0" w:noVBand="1"/>
      </w:tblPr>
      <w:tblGrid>
        <w:gridCol w:w="680"/>
        <w:gridCol w:w="2268"/>
        <w:gridCol w:w="9468"/>
        <w:gridCol w:w="3061"/>
      </w:tblGrid>
      <w:tr w:rsidR="00A7642C" w14:paraId="0DE9284F" w14:textId="77777777">
        <w:trPr>
          <w:cantSplit/>
          <w:tblHeader/>
          <w:jc w:val="center"/>
        </w:trPr>
        <w:tc>
          <w:tcPr>
            <w:tcW w:w="680" w:type="dxa"/>
            <w:shd w:val="clear" w:color="auto" w:fill="D9E2F3"/>
            <w:tcMar>
              <w:top w:w="60" w:type="dxa"/>
              <w:left w:w="60" w:type="dxa"/>
              <w:bottom w:w="60" w:type="dxa"/>
              <w:right w:w="60" w:type="dxa"/>
            </w:tcMar>
            <w:vAlign w:val="center"/>
          </w:tcPr>
          <w:p w14:paraId="4990AABE" w14:textId="77777777" w:rsidR="00A7642C" w:rsidRDefault="00000000">
            <w:pPr>
              <w:jc w:val="center"/>
            </w:pPr>
            <w:r>
              <w:rPr>
                <w:b/>
                <w:sz w:val="17"/>
              </w:rPr>
              <w:t>Item</w:t>
            </w:r>
          </w:p>
        </w:tc>
        <w:tc>
          <w:tcPr>
            <w:tcW w:w="2268" w:type="dxa"/>
            <w:shd w:val="clear" w:color="auto" w:fill="D9E2F3"/>
            <w:tcMar>
              <w:top w:w="60" w:type="dxa"/>
              <w:left w:w="60" w:type="dxa"/>
              <w:bottom w:w="60" w:type="dxa"/>
              <w:right w:w="60" w:type="dxa"/>
            </w:tcMar>
            <w:vAlign w:val="center"/>
          </w:tcPr>
          <w:p w14:paraId="4DF307AD" w14:textId="77777777" w:rsidR="00A7642C" w:rsidRDefault="00000000">
            <w:pPr>
              <w:jc w:val="center"/>
            </w:pPr>
            <w:r>
              <w:rPr>
                <w:b/>
                <w:sz w:val="17"/>
              </w:rPr>
              <w:t>Topic</w:t>
            </w:r>
          </w:p>
        </w:tc>
        <w:tc>
          <w:tcPr>
            <w:tcW w:w="9468" w:type="dxa"/>
            <w:shd w:val="clear" w:color="auto" w:fill="D9E2F3"/>
            <w:tcMar>
              <w:top w:w="60" w:type="dxa"/>
              <w:left w:w="60" w:type="dxa"/>
              <w:bottom w:w="60" w:type="dxa"/>
              <w:right w:w="60" w:type="dxa"/>
            </w:tcMar>
            <w:vAlign w:val="center"/>
          </w:tcPr>
          <w:p w14:paraId="7F7A4AB7" w14:textId="77777777" w:rsidR="00A7642C" w:rsidRDefault="00000000">
            <w:pPr>
              <w:jc w:val="center"/>
            </w:pPr>
            <w:r>
              <w:rPr>
                <w:b/>
                <w:sz w:val="17"/>
              </w:rPr>
              <w:t>Reported information</w:t>
            </w:r>
          </w:p>
        </w:tc>
        <w:tc>
          <w:tcPr>
            <w:tcW w:w="3061" w:type="dxa"/>
            <w:shd w:val="clear" w:color="auto" w:fill="D9E2F3"/>
            <w:tcMar>
              <w:top w:w="60" w:type="dxa"/>
              <w:left w:w="60" w:type="dxa"/>
              <w:bottom w:w="60" w:type="dxa"/>
              <w:right w:w="60" w:type="dxa"/>
            </w:tcMar>
            <w:vAlign w:val="center"/>
          </w:tcPr>
          <w:p w14:paraId="11914AA4" w14:textId="77777777" w:rsidR="00A7642C" w:rsidRDefault="00000000">
            <w:pPr>
              <w:jc w:val="center"/>
            </w:pPr>
            <w:r>
              <w:rPr>
                <w:b/>
                <w:sz w:val="17"/>
              </w:rPr>
              <w:t>Manuscript location</w:t>
            </w:r>
          </w:p>
        </w:tc>
      </w:tr>
      <w:tr w:rsidR="00A7642C" w14:paraId="19E2A1E7" w14:textId="77777777">
        <w:trPr>
          <w:cantSplit/>
          <w:jc w:val="center"/>
        </w:trPr>
        <w:tc>
          <w:tcPr>
            <w:tcW w:w="680" w:type="dxa"/>
            <w:tcMar>
              <w:top w:w="60" w:type="dxa"/>
              <w:left w:w="60" w:type="dxa"/>
              <w:bottom w:w="60" w:type="dxa"/>
              <w:right w:w="60" w:type="dxa"/>
            </w:tcMar>
          </w:tcPr>
          <w:p w14:paraId="44BC110D" w14:textId="77777777" w:rsidR="00A7642C" w:rsidRDefault="00000000">
            <w:pPr>
              <w:jc w:val="center"/>
            </w:pPr>
            <w:r>
              <w:rPr>
                <w:sz w:val="16"/>
              </w:rPr>
              <w:t>9</w:t>
            </w:r>
          </w:p>
        </w:tc>
        <w:tc>
          <w:tcPr>
            <w:tcW w:w="2268" w:type="dxa"/>
            <w:tcMar>
              <w:top w:w="60" w:type="dxa"/>
              <w:left w:w="60" w:type="dxa"/>
              <w:bottom w:w="60" w:type="dxa"/>
              <w:right w:w="60" w:type="dxa"/>
            </w:tcMar>
          </w:tcPr>
          <w:p w14:paraId="7DE6FBF5" w14:textId="77777777" w:rsidR="00A7642C" w:rsidRDefault="00000000">
            <w:r>
              <w:rPr>
                <w:sz w:val="16"/>
              </w:rPr>
              <w:t>Methodological orientation and theory</w:t>
            </w:r>
          </w:p>
        </w:tc>
        <w:tc>
          <w:tcPr>
            <w:tcW w:w="9468" w:type="dxa"/>
            <w:tcMar>
              <w:top w:w="60" w:type="dxa"/>
              <w:left w:w="60" w:type="dxa"/>
              <w:bottom w:w="60" w:type="dxa"/>
              <w:right w:w="60" w:type="dxa"/>
            </w:tcMar>
          </w:tcPr>
          <w:p w14:paraId="215CD6D9" w14:textId="77777777" w:rsidR="00A7642C" w:rsidRDefault="00000000">
            <w:r>
              <w:rPr>
                <w:sz w:val="16"/>
              </w:rPr>
              <w:t>Longitudinal embedded single-case study informed by a constructivist–interpretivist orientation. Case-study methodology provided the bounded longitudinal and cross-source design; reflexive thematic analysis provided the interpretive approach, combined with longitudinal qualitative comparison. Formal proposition testing or causal process tracing was not undertaken.</w:t>
            </w:r>
          </w:p>
        </w:tc>
        <w:tc>
          <w:tcPr>
            <w:tcW w:w="3061" w:type="dxa"/>
            <w:tcMar>
              <w:top w:w="60" w:type="dxa"/>
              <w:left w:w="60" w:type="dxa"/>
              <w:bottom w:w="60" w:type="dxa"/>
              <w:right w:w="60" w:type="dxa"/>
            </w:tcMar>
          </w:tcPr>
          <w:p w14:paraId="01AB0B71" w14:textId="77777777" w:rsidR="00A7642C" w:rsidRDefault="00000000">
            <w:r>
              <w:rPr>
                <w:sz w:val="16"/>
              </w:rPr>
              <w:t>Methods: Study design and reporting, p. 6; Data analysis, pp. 13–14.</w:t>
            </w:r>
          </w:p>
        </w:tc>
      </w:tr>
      <w:tr w:rsidR="00A7642C" w14:paraId="32101FD8" w14:textId="77777777">
        <w:trPr>
          <w:cantSplit/>
          <w:jc w:val="center"/>
        </w:trPr>
        <w:tc>
          <w:tcPr>
            <w:tcW w:w="680" w:type="dxa"/>
            <w:tcMar>
              <w:top w:w="60" w:type="dxa"/>
              <w:left w:w="60" w:type="dxa"/>
              <w:bottom w:w="60" w:type="dxa"/>
              <w:right w:w="60" w:type="dxa"/>
            </w:tcMar>
          </w:tcPr>
          <w:p w14:paraId="2669E913" w14:textId="77777777" w:rsidR="00A7642C" w:rsidRDefault="00000000">
            <w:pPr>
              <w:jc w:val="center"/>
            </w:pPr>
            <w:r>
              <w:rPr>
                <w:sz w:val="16"/>
              </w:rPr>
              <w:t>10</w:t>
            </w:r>
          </w:p>
        </w:tc>
        <w:tc>
          <w:tcPr>
            <w:tcW w:w="2268" w:type="dxa"/>
            <w:tcMar>
              <w:top w:w="60" w:type="dxa"/>
              <w:left w:w="60" w:type="dxa"/>
              <w:bottom w:w="60" w:type="dxa"/>
              <w:right w:w="60" w:type="dxa"/>
            </w:tcMar>
          </w:tcPr>
          <w:p w14:paraId="481F3353" w14:textId="77777777" w:rsidR="00A7642C" w:rsidRDefault="00000000">
            <w:r>
              <w:rPr>
                <w:sz w:val="16"/>
              </w:rPr>
              <w:t>Sampling</w:t>
            </w:r>
          </w:p>
        </w:tc>
        <w:tc>
          <w:tcPr>
            <w:tcW w:w="9468" w:type="dxa"/>
            <w:tcMar>
              <w:top w:w="60" w:type="dxa"/>
              <w:left w:w="60" w:type="dxa"/>
              <w:bottom w:w="60" w:type="dxa"/>
              <w:right w:w="60" w:type="dxa"/>
            </w:tcMar>
          </w:tcPr>
          <w:p w14:paraId="7000E48C" w14:textId="77777777" w:rsidR="00A7642C" w:rsidRDefault="00000000">
            <w:r>
              <w:rPr>
                <w:sz w:val="16"/>
              </w:rPr>
              <w:t>Purposive sampling selected people with direct experience of different interfaces of the bounded deployment case. FGD participants had prior experience of PA care.</w:t>
            </w:r>
          </w:p>
        </w:tc>
        <w:tc>
          <w:tcPr>
            <w:tcW w:w="3061" w:type="dxa"/>
            <w:tcMar>
              <w:top w:w="60" w:type="dxa"/>
              <w:left w:w="60" w:type="dxa"/>
              <w:bottom w:w="60" w:type="dxa"/>
              <w:right w:w="60" w:type="dxa"/>
            </w:tcMar>
          </w:tcPr>
          <w:p w14:paraId="6D4CB030" w14:textId="77777777" w:rsidR="00A7642C" w:rsidRDefault="00000000">
            <w:r>
              <w:rPr>
                <w:sz w:val="16"/>
              </w:rPr>
              <w:t>Methods: Participants and recruitment, p. 8.</w:t>
            </w:r>
          </w:p>
        </w:tc>
      </w:tr>
      <w:tr w:rsidR="00A7642C" w14:paraId="4D821B72" w14:textId="77777777">
        <w:trPr>
          <w:cantSplit/>
          <w:jc w:val="center"/>
        </w:trPr>
        <w:tc>
          <w:tcPr>
            <w:tcW w:w="680" w:type="dxa"/>
            <w:tcMar>
              <w:top w:w="60" w:type="dxa"/>
              <w:left w:w="60" w:type="dxa"/>
              <w:bottom w:w="60" w:type="dxa"/>
              <w:right w:w="60" w:type="dxa"/>
            </w:tcMar>
          </w:tcPr>
          <w:p w14:paraId="2FA2656E" w14:textId="77777777" w:rsidR="00A7642C" w:rsidRDefault="00000000">
            <w:pPr>
              <w:jc w:val="center"/>
            </w:pPr>
            <w:r>
              <w:rPr>
                <w:sz w:val="16"/>
              </w:rPr>
              <w:lastRenderedPageBreak/>
              <w:t>11</w:t>
            </w:r>
          </w:p>
        </w:tc>
        <w:tc>
          <w:tcPr>
            <w:tcW w:w="2268" w:type="dxa"/>
            <w:tcMar>
              <w:top w:w="60" w:type="dxa"/>
              <w:left w:w="60" w:type="dxa"/>
              <w:bottom w:w="60" w:type="dxa"/>
              <w:right w:w="60" w:type="dxa"/>
            </w:tcMar>
          </w:tcPr>
          <w:p w14:paraId="0419FD23" w14:textId="77777777" w:rsidR="00A7642C" w:rsidRDefault="00000000">
            <w:r>
              <w:rPr>
                <w:sz w:val="16"/>
              </w:rPr>
              <w:t>Method of approach</w:t>
            </w:r>
          </w:p>
        </w:tc>
        <w:tc>
          <w:tcPr>
            <w:tcW w:w="9468" w:type="dxa"/>
            <w:tcMar>
              <w:top w:w="60" w:type="dxa"/>
              <w:left w:w="60" w:type="dxa"/>
              <w:bottom w:w="60" w:type="dxa"/>
              <w:right w:w="60" w:type="dxa"/>
            </w:tcMar>
          </w:tcPr>
          <w:p w14:paraId="7410E8D3" w14:textId="77777777" w:rsidR="00A7642C" w:rsidRDefault="00000000">
            <w:r>
              <w:rPr>
                <w:sz w:val="16"/>
              </w:rPr>
              <w:t>Professional participants were purposively invited because of their direct involvement in the deployment. For the FGD, the local healthcare team screened and invited nine eligible adults with prior PA-care experience. The exact invitation modality for individual professional participants (for example, telephone, email or face-to-face) is not separately reported.</w:t>
            </w:r>
          </w:p>
        </w:tc>
        <w:tc>
          <w:tcPr>
            <w:tcW w:w="3061" w:type="dxa"/>
            <w:tcMar>
              <w:top w:w="60" w:type="dxa"/>
              <w:left w:w="60" w:type="dxa"/>
              <w:bottom w:w="60" w:type="dxa"/>
              <w:right w:w="60" w:type="dxa"/>
            </w:tcMar>
          </w:tcPr>
          <w:p w14:paraId="47C0E0EF" w14:textId="77777777" w:rsidR="00A7642C" w:rsidRDefault="00000000">
            <w:r>
              <w:rPr>
                <w:sz w:val="16"/>
              </w:rPr>
              <w:t>Methods: Participants and recruitment, p. 8; Data collection, p. 11.</w:t>
            </w:r>
          </w:p>
        </w:tc>
      </w:tr>
      <w:tr w:rsidR="00A7642C" w14:paraId="619B376E" w14:textId="77777777">
        <w:trPr>
          <w:cantSplit/>
          <w:jc w:val="center"/>
        </w:trPr>
        <w:tc>
          <w:tcPr>
            <w:tcW w:w="680" w:type="dxa"/>
            <w:tcMar>
              <w:top w:w="60" w:type="dxa"/>
              <w:left w:w="60" w:type="dxa"/>
              <w:bottom w:w="60" w:type="dxa"/>
              <w:right w:w="60" w:type="dxa"/>
            </w:tcMar>
          </w:tcPr>
          <w:p w14:paraId="1363D077" w14:textId="77777777" w:rsidR="00A7642C" w:rsidRDefault="00000000">
            <w:pPr>
              <w:jc w:val="center"/>
            </w:pPr>
            <w:r>
              <w:rPr>
                <w:sz w:val="16"/>
              </w:rPr>
              <w:t>12</w:t>
            </w:r>
          </w:p>
        </w:tc>
        <w:tc>
          <w:tcPr>
            <w:tcW w:w="2268" w:type="dxa"/>
            <w:tcMar>
              <w:top w:w="60" w:type="dxa"/>
              <w:left w:w="60" w:type="dxa"/>
              <w:bottom w:w="60" w:type="dxa"/>
              <w:right w:w="60" w:type="dxa"/>
            </w:tcMar>
          </w:tcPr>
          <w:p w14:paraId="774115DB" w14:textId="77777777" w:rsidR="00A7642C" w:rsidRDefault="00000000">
            <w:r>
              <w:rPr>
                <w:sz w:val="16"/>
              </w:rPr>
              <w:t>Sample size</w:t>
            </w:r>
          </w:p>
        </w:tc>
        <w:tc>
          <w:tcPr>
            <w:tcW w:w="9468" w:type="dxa"/>
            <w:tcMar>
              <w:top w:w="60" w:type="dxa"/>
              <w:left w:w="60" w:type="dxa"/>
              <w:bottom w:w="60" w:type="dxa"/>
              <w:right w:w="60" w:type="dxa"/>
            </w:tcMar>
          </w:tcPr>
          <w:p w14:paraId="16F06E58" w14:textId="77777777" w:rsidR="00A7642C" w:rsidRDefault="00000000">
            <w:r>
              <w:rPr>
                <w:sz w:val="16"/>
              </w:rPr>
              <w:t>Fourteen unique participants contributed: one PA, three medical officers, four other healthcare/community staff and six patients. The professional participants generated 14 individual interviews; the six patients participated in one FGD. In addition, 126 active-deployment DARRs were included in longitudinal analysis.</w:t>
            </w:r>
          </w:p>
        </w:tc>
        <w:tc>
          <w:tcPr>
            <w:tcW w:w="3061" w:type="dxa"/>
            <w:tcMar>
              <w:top w:w="60" w:type="dxa"/>
              <w:left w:w="60" w:type="dxa"/>
              <w:bottom w:w="60" w:type="dxa"/>
              <w:right w:w="60" w:type="dxa"/>
            </w:tcMar>
          </w:tcPr>
          <w:p w14:paraId="20C5DC25" w14:textId="77777777" w:rsidR="00A7642C" w:rsidRDefault="00000000">
            <w:r>
              <w:rPr>
                <w:sz w:val="16"/>
              </w:rPr>
              <w:t>Methods: Participants and recruitment, p. 8; DARRs, pp. 12–13; Table 1, pp. 35–36.</w:t>
            </w:r>
          </w:p>
        </w:tc>
      </w:tr>
      <w:tr w:rsidR="00A7642C" w14:paraId="3EF6E9F1" w14:textId="77777777">
        <w:trPr>
          <w:cantSplit/>
          <w:jc w:val="center"/>
        </w:trPr>
        <w:tc>
          <w:tcPr>
            <w:tcW w:w="680" w:type="dxa"/>
            <w:tcMar>
              <w:top w:w="60" w:type="dxa"/>
              <w:left w:w="60" w:type="dxa"/>
              <w:bottom w:w="60" w:type="dxa"/>
              <w:right w:w="60" w:type="dxa"/>
            </w:tcMar>
          </w:tcPr>
          <w:p w14:paraId="1AAA5573" w14:textId="77777777" w:rsidR="00A7642C" w:rsidRDefault="00000000">
            <w:pPr>
              <w:jc w:val="center"/>
            </w:pPr>
            <w:r>
              <w:rPr>
                <w:sz w:val="16"/>
              </w:rPr>
              <w:t>13</w:t>
            </w:r>
          </w:p>
        </w:tc>
        <w:tc>
          <w:tcPr>
            <w:tcW w:w="2268" w:type="dxa"/>
            <w:tcMar>
              <w:top w:w="60" w:type="dxa"/>
              <w:left w:w="60" w:type="dxa"/>
              <w:bottom w:w="60" w:type="dxa"/>
              <w:right w:w="60" w:type="dxa"/>
            </w:tcMar>
          </w:tcPr>
          <w:p w14:paraId="139CD221" w14:textId="77777777" w:rsidR="00A7642C" w:rsidRDefault="00000000">
            <w:r>
              <w:rPr>
                <w:sz w:val="16"/>
              </w:rPr>
              <w:t>Non-participation</w:t>
            </w:r>
          </w:p>
        </w:tc>
        <w:tc>
          <w:tcPr>
            <w:tcW w:w="9468" w:type="dxa"/>
            <w:tcMar>
              <w:top w:w="60" w:type="dxa"/>
              <w:left w:w="60" w:type="dxa"/>
              <w:bottom w:w="60" w:type="dxa"/>
              <w:right w:w="60" w:type="dxa"/>
            </w:tcMar>
          </w:tcPr>
          <w:p w14:paraId="0235FC0E" w14:textId="77777777" w:rsidR="00A7642C" w:rsidRDefault="00000000">
            <w:r>
              <w:rPr>
                <w:sz w:val="16"/>
              </w:rPr>
              <w:t>All professional participants approached agreed to participate; none declined. Nine eligible patients were invited to the FGD; six attended and completed the discussion, while three were unable to attend on the scheduled day because of personal circumstances. No participant withdrew.</w:t>
            </w:r>
          </w:p>
        </w:tc>
        <w:tc>
          <w:tcPr>
            <w:tcW w:w="3061" w:type="dxa"/>
            <w:tcMar>
              <w:top w:w="60" w:type="dxa"/>
              <w:left w:w="60" w:type="dxa"/>
              <w:bottom w:w="60" w:type="dxa"/>
              <w:right w:w="60" w:type="dxa"/>
            </w:tcMar>
          </w:tcPr>
          <w:p w14:paraId="6C13642C" w14:textId="77777777" w:rsidR="00A7642C" w:rsidRDefault="00000000">
            <w:r>
              <w:rPr>
                <w:sz w:val="16"/>
              </w:rPr>
              <w:t>Methods: Participants and recruitment, p. 8; Data collection, p. 11.</w:t>
            </w:r>
          </w:p>
        </w:tc>
      </w:tr>
      <w:tr w:rsidR="00A7642C" w14:paraId="2CEE4C88" w14:textId="77777777">
        <w:trPr>
          <w:cantSplit/>
          <w:jc w:val="center"/>
        </w:trPr>
        <w:tc>
          <w:tcPr>
            <w:tcW w:w="680" w:type="dxa"/>
            <w:tcMar>
              <w:top w:w="60" w:type="dxa"/>
              <w:left w:w="60" w:type="dxa"/>
              <w:bottom w:w="60" w:type="dxa"/>
              <w:right w:w="60" w:type="dxa"/>
            </w:tcMar>
          </w:tcPr>
          <w:p w14:paraId="217999FF" w14:textId="77777777" w:rsidR="00A7642C" w:rsidRDefault="00000000">
            <w:pPr>
              <w:jc w:val="center"/>
            </w:pPr>
            <w:r>
              <w:rPr>
                <w:sz w:val="16"/>
              </w:rPr>
              <w:t>14</w:t>
            </w:r>
          </w:p>
        </w:tc>
        <w:tc>
          <w:tcPr>
            <w:tcW w:w="2268" w:type="dxa"/>
            <w:tcMar>
              <w:top w:w="60" w:type="dxa"/>
              <w:left w:w="60" w:type="dxa"/>
              <w:bottom w:w="60" w:type="dxa"/>
              <w:right w:w="60" w:type="dxa"/>
            </w:tcMar>
          </w:tcPr>
          <w:p w14:paraId="51157E23" w14:textId="77777777" w:rsidR="00A7642C" w:rsidRDefault="00000000">
            <w:r>
              <w:rPr>
                <w:sz w:val="16"/>
              </w:rPr>
              <w:t>Setting of data collection</w:t>
            </w:r>
          </w:p>
        </w:tc>
        <w:tc>
          <w:tcPr>
            <w:tcW w:w="9468" w:type="dxa"/>
            <w:tcMar>
              <w:top w:w="60" w:type="dxa"/>
              <w:left w:w="60" w:type="dxa"/>
              <w:bottom w:w="60" w:type="dxa"/>
              <w:right w:w="60" w:type="dxa"/>
            </w:tcMar>
          </w:tcPr>
          <w:p w14:paraId="4094EEE3" w14:textId="77777777" w:rsidR="00A7642C" w:rsidRDefault="00000000">
            <w:r>
              <w:rPr>
                <w:sz w:val="16"/>
              </w:rPr>
              <w:t>PA01 and the medical officers were interviewed face-to-face in private rooms at the study site. NUR01, LAB01 and PHA01 were interviewed in private rooms. CHW01 was interviewed in an open community setting, which is acknowledged as a contextual privacy limitation. The FGD was conducted in a private room at the study site.</w:t>
            </w:r>
          </w:p>
        </w:tc>
        <w:tc>
          <w:tcPr>
            <w:tcW w:w="3061" w:type="dxa"/>
            <w:tcMar>
              <w:top w:w="60" w:type="dxa"/>
              <w:left w:w="60" w:type="dxa"/>
              <w:bottom w:w="60" w:type="dxa"/>
              <w:right w:w="60" w:type="dxa"/>
            </w:tcMar>
          </w:tcPr>
          <w:p w14:paraId="2C9D6311" w14:textId="77777777" w:rsidR="00A7642C" w:rsidRDefault="00000000">
            <w:r>
              <w:rPr>
                <w:sz w:val="16"/>
              </w:rPr>
              <w:t>Methods: Data collection, pp. 10–11.</w:t>
            </w:r>
          </w:p>
        </w:tc>
      </w:tr>
      <w:tr w:rsidR="00A7642C" w14:paraId="072D825F" w14:textId="77777777">
        <w:trPr>
          <w:cantSplit/>
          <w:jc w:val="center"/>
        </w:trPr>
        <w:tc>
          <w:tcPr>
            <w:tcW w:w="680" w:type="dxa"/>
            <w:tcMar>
              <w:top w:w="60" w:type="dxa"/>
              <w:left w:w="60" w:type="dxa"/>
              <w:bottom w:w="60" w:type="dxa"/>
              <w:right w:w="60" w:type="dxa"/>
            </w:tcMar>
          </w:tcPr>
          <w:p w14:paraId="4CFAD094" w14:textId="77777777" w:rsidR="00A7642C" w:rsidRDefault="00000000">
            <w:pPr>
              <w:jc w:val="center"/>
            </w:pPr>
            <w:r>
              <w:rPr>
                <w:sz w:val="16"/>
              </w:rPr>
              <w:t>15</w:t>
            </w:r>
          </w:p>
        </w:tc>
        <w:tc>
          <w:tcPr>
            <w:tcW w:w="2268" w:type="dxa"/>
            <w:tcMar>
              <w:top w:w="60" w:type="dxa"/>
              <w:left w:w="60" w:type="dxa"/>
              <w:bottom w:w="60" w:type="dxa"/>
              <w:right w:w="60" w:type="dxa"/>
            </w:tcMar>
          </w:tcPr>
          <w:p w14:paraId="4D208911" w14:textId="77777777" w:rsidR="00A7642C" w:rsidRDefault="00000000">
            <w:r>
              <w:rPr>
                <w:sz w:val="16"/>
              </w:rPr>
              <w:t>Presence of non-participants</w:t>
            </w:r>
          </w:p>
        </w:tc>
        <w:tc>
          <w:tcPr>
            <w:tcW w:w="9468" w:type="dxa"/>
            <w:tcMar>
              <w:top w:w="60" w:type="dxa"/>
              <w:left w:w="60" w:type="dxa"/>
              <w:bottom w:w="60" w:type="dxa"/>
              <w:right w:w="60" w:type="dxa"/>
            </w:tcMar>
          </w:tcPr>
          <w:p w14:paraId="74374011" w14:textId="77777777" w:rsidR="00A7642C" w:rsidRDefault="00000000">
            <w:r>
              <w:rPr>
                <w:sz w:val="16"/>
              </w:rPr>
              <w:t>All individual interviews were attended only by EVA and the participant. During the FGD, an observer attended to record contemporaneous field notes.</w:t>
            </w:r>
          </w:p>
        </w:tc>
        <w:tc>
          <w:tcPr>
            <w:tcW w:w="3061" w:type="dxa"/>
            <w:tcMar>
              <w:top w:w="60" w:type="dxa"/>
              <w:left w:w="60" w:type="dxa"/>
              <w:bottom w:w="60" w:type="dxa"/>
              <w:right w:w="60" w:type="dxa"/>
            </w:tcMar>
          </w:tcPr>
          <w:p w14:paraId="06A1C5CA" w14:textId="77777777" w:rsidR="00A7642C" w:rsidRDefault="00000000">
            <w:r>
              <w:rPr>
                <w:sz w:val="16"/>
              </w:rPr>
              <w:t>Methods: Participants and recruitment, p. 8; Data collection, pp. 10–11.</w:t>
            </w:r>
          </w:p>
        </w:tc>
      </w:tr>
      <w:tr w:rsidR="00A7642C" w14:paraId="299E6CED" w14:textId="77777777">
        <w:trPr>
          <w:cantSplit/>
          <w:jc w:val="center"/>
        </w:trPr>
        <w:tc>
          <w:tcPr>
            <w:tcW w:w="680" w:type="dxa"/>
            <w:tcMar>
              <w:top w:w="60" w:type="dxa"/>
              <w:left w:w="60" w:type="dxa"/>
              <w:bottom w:w="60" w:type="dxa"/>
              <w:right w:w="60" w:type="dxa"/>
            </w:tcMar>
          </w:tcPr>
          <w:p w14:paraId="77EF1B86" w14:textId="77777777" w:rsidR="00A7642C" w:rsidRDefault="00000000">
            <w:pPr>
              <w:jc w:val="center"/>
            </w:pPr>
            <w:r>
              <w:rPr>
                <w:sz w:val="16"/>
              </w:rPr>
              <w:t>16</w:t>
            </w:r>
          </w:p>
        </w:tc>
        <w:tc>
          <w:tcPr>
            <w:tcW w:w="2268" w:type="dxa"/>
            <w:tcMar>
              <w:top w:w="60" w:type="dxa"/>
              <w:left w:w="60" w:type="dxa"/>
              <w:bottom w:w="60" w:type="dxa"/>
              <w:right w:w="60" w:type="dxa"/>
            </w:tcMar>
          </w:tcPr>
          <w:p w14:paraId="2AFFD98B" w14:textId="77777777" w:rsidR="00A7642C" w:rsidRDefault="00000000">
            <w:r>
              <w:rPr>
                <w:sz w:val="16"/>
              </w:rPr>
              <w:t>Description of sample</w:t>
            </w:r>
          </w:p>
        </w:tc>
        <w:tc>
          <w:tcPr>
            <w:tcW w:w="9468" w:type="dxa"/>
            <w:tcMar>
              <w:top w:w="60" w:type="dxa"/>
              <w:left w:w="60" w:type="dxa"/>
              <w:bottom w:w="60" w:type="dxa"/>
              <w:right w:w="60" w:type="dxa"/>
            </w:tcMar>
          </w:tcPr>
          <w:p w14:paraId="344978B2" w14:textId="77777777" w:rsidR="00A7642C" w:rsidRDefault="00000000">
            <w:r>
              <w:rPr>
                <w:sz w:val="16"/>
              </w:rPr>
              <w:t>The sample comprised one recent PA graduate, three medical officers, one nurse, one laboratory professional, one pharmacist, one community health worker and six patients. The FGD included four women and two men aged 19–55 years, all with prior PA-care experience. Detailed demographic characteristics of uniquely identifiable staff roles were not reported to reduce deductive-identification risk.</w:t>
            </w:r>
          </w:p>
        </w:tc>
        <w:tc>
          <w:tcPr>
            <w:tcW w:w="3061" w:type="dxa"/>
            <w:tcMar>
              <w:top w:w="60" w:type="dxa"/>
              <w:left w:w="60" w:type="dxa"/>
              <w:bottom w:w="60" w:type="dxa"/>
              <w:right w:w="60" w:type="dxa"/>
            </w:tcMar>
          </w:tcPr>
          <w:p w14:paraId="01A81E48" w14:textId="77777777" w:rsidR="00A7642C" w:rsidRDefault="00000000">
            <w:r>
              <w:rPr>
                <w:sz w:val="16"/>
              </w:rPr>
              <w:t>Methods: Setting and case, pp. 7–8; Participants and recruitment, p. 8; Table 1, pp. 35–36.</w:t>
            </w:r>
          </w:p>
        </w:tc>
      </w:tr>
      <w:tr w:rsidR="00A7642C" w14:paraId="1332DE74" w14:textId="77777777">
        <w:trPr>
          <w:cantSplit/>
          <w:jc w:val="center"/>
        </w:trPr>
        <w:tc>
          <w:tcPr>
            <w:tcW w:w="680" w:type="dxa"/>
            <w:tcMar>
              <w:top w:w="60" w:type="dxa"/>
              <w:left w:w="60" w:type="dxa"/>
              <w:bottom w:w="60" w:type="dxa"/>
              <w:right w:w="60" w:type="dxa"/>
            </w:tcMar>
          </w:tcPr>
          <w:p w14:paraId="3DC57F7D" w14:textId="77777777" w:rsidR="00A7642C" w:rsidRDefault="00000000">
            <w:pPr>
              <w:jc w:val="center"/>
            </w:pPr>
            <w:r>
              <w:rPr>
                <w:sz w:val="16"/>
              </w:rPr>
              <w:t>17</w:t>
            </w:r>
          </w:p>
        </w:tc>
        <w:tc>
          <w:tcPr>
            <w:tcW w:w="2268" w:type="dxa"/>
            <w:tcMar>
              <w:top w:w="60" w:type="dxa"/>
              <w:left w:w="60" w:type="dxa"/>
              <w:bottom w:w="60" w:type="dxa"/>
              <w:right w:w="60" w:type="dxa"/>
            </w:tcMar>
          </w:tcPr>
          <w:p w14:paraId="5CB8B703" w14:textId="77777777" w:rsidR="00A7642C" w:rsidRDefault="00000000">
            <w:r>
              <w:rPr>
                <w:sz w:val="16"/>
              </w:rPr>
              <w:t>Interview guide</w:t>
            </w:r>
          </w:p>
        </w:tc>
        <w:tc>
          <w:tcPr>
            <w:tcW w:w="9468" w:type="dxa"/>
            <w:tcMar>
              <w:top w:w="60" w:type="dxa"/>
              <w:left w:w="60" w:type="dxa"/>
              <w:bottom w:w="60" w:type="dxa"/>
              <w:right w:w="60" w:type="dxa"/>
            </w:tcMar>
          </w:tcPr>
          <w:p w14:paraId="3551D318" w14:textId="77777777" w:rsidR="00A7642C" w:rsidRDefault="00000000">
            <w:r>
              <w:rPr>
                <w:sz w:val="16"/>
              </w:rPr>
              <w:t>Semi-structured interview and FGD guides were developed specifically for this study from the objectives, case-study protocol and methodological literature; reviewed and refined with the doctoral supervisory team and qualitative-research experts; tailored to participant role; and used flexibly. The preliminary PA guide was refined for clarity, wording and sequencing before formal T1. Medical-officer and other staff guides were reviewed and refined but did not undergo separate pilot testing. Later longitudinal guides incorporated issues from earlier interviews and contemporaneous case developments. Full guides are provided in Additional file 2.</w:t>
            </w:r>
          </w:p>
        </w:tc>
        <w:tc>
          <w:tcPr>
            <w:tcW w:w="3061" w:type="dxa"/>
            <w:tcMar>
              <w:top w:w="60" w:type="dxa"/>
              <w:left w:w="60" w:type="dxa"/>
              <w:bottom w:w="60" w:type="dxa"/>
              <w:right w:w="60" w:type="dxa"/>
            </w:tcMar>
          </w:tcPr>
          <w:p w14:paraId="1F1C13DE" w14:textId="77777777" w:rsidR="00A7642C" w:rsidRDefault="00000000">
            <w:r>
              <w:rPr>
                <w:sz w:val="16"/>
              </w:rPr>
              <w:t>Methods: Data collection, p. 9; Additional file 2.</w:t>
            </w:r>
          </w:p>
        </w:tc>
      </w:tr>
      <w:tr w:rsidR="00A7642C" w14:paraId="3B77AB79" w14:textId="77777777">
        <w:trPr>
          <w:cantSplit/>
          <w:jc w:val="center"/>
        </w:trPr>
        <w:tc>
          <w:tcPr>
            <w:tcW w:w="680" w:type="dxa"/>
            <w:tcMar>
              <w:top w:w="60" w:type="dxa"/>
              <w:left w:w="60" w:type="dxa"/>
              <w:bottom w:w="60" w:type="dxa"/>
              <w:right w:w="60" w:type="dxa"/>
            </w:tcMar>
          </w:tcPr>
          <w:p w14:paraId="218CC177" w14:textId="77777777" w:rsidR="00A7642C" w:rsidRDefault="00000000">
            <w:pPr>
              <w:jc w:val="center"/>
            </w:pPr>
            <w:r>
              <w:rPr>
                <w:sz w:val="16"/>
              </w:rPr>
              <w:t>18</w:t>
            </w:r>
          </w:p>
        </w:tc>
        <w:tc>
          <w:tcPr>
            <w:tcW w:w="2268" w:type="dxa"/>
            <w:tcMar>
              <w:top w:w="60" w:type="dxa"/>
              <w:left w:w="60" w:type="dxa"/>
              <w:bottom w:w="60" w:type="dxa"/>
              <w:right w:w="60" w:type="dxa"/>
            </w:tcMar>
          </w:tcPr>
          <w:p w14:paraId="2FE6A3FC" w14:textId="77777777" w:rsidR="00A7642C" w:rsidRDefault="00000000">
            <w:r>
              <w:rPr>
                <w:sz w:val="16"/>
              </w:rPr>
              <w:t>Repeat interviews</w:t>
            </w:r>
          </w:p>
        </w:tc>
        <w:tc>
          <w:tcPr>
            <w:tcW w:w="9468" w:type="dxa"/>
            <w:tcMar>
              <w:top w:w="60" w:type="dxa"/>
              <w:left w:w="60" w:type="dxa"/>
              <w:bottom w:w="60" w:type="dxa"/>
              <w:right w:w="60" w:type="dxa"/>
            </w:tcMar>
          </w:tcPr>
          <w:p w14:paraId="3E2DC567" w14:textId="77777777" w:rsidR="00A7642C" w:rsidRDefault="00000000">
            <w:r>
              <w:rPr>
                <w:sz w:val="16"/>
              </w:rPr>
              <w:t>PA01 completed four longitudinal interviews (T1–T4). Each of the three medical officers completed two interviews. NUR01, LAB01, PHA01 and CHW01 each completed one interview late in deployment; their accounts of change were retrospective rather than prospectively longitudinal. One patient FGD was conducted.</w:t>
            </w:r>
          </w:p>
        </w:tc>
        <w:tc>
          <w:tcPr>
            <w:tcW w:w="3061" w:type="dxa"/>
            <w:tcMar>
              <w:top w:w="60" w:type="dxa"/>
              <w:left w:w="60" w:type="dxa"/>
              <w:bottom w:w="60" w:type="dxa"/>
              <w:right w:w="60" w:type="dxa"/>
            </w:tcMar>
          </w:tcPr>
          <w:p w14:paraId="7CFAC580" w14:textId="77777777" w:rsidR="00A7642C" w:rsidRDefault="00000000">
            <w:r>
              <w:rPr>
                <w:sz w:val="16"/>
              </w:rPr>
              <w:t>Methods: Participants and recruitment, p. 8; Data collection, pp. 10–11; Table 1, pp. 35–36.</w:t>
            </w:r>
          </w:p>
        </w:tc>
      </w:tr>
      <w:tr w:rsidR="00A7642C" w14:paraId="071EE547" w14:textId="77777777">
        <w:trPr>
          <w:cantSplit/>
          <w:jc w:val="center"/>
        </w:trPr>
        <w:tc>
          <w:tcPr>
            <w:tcW w:w="680" w:type="dxa"/>
            <w:tcMar>
              <w:top w:w="60" w:type="dxa"/>
              <w:left w:w="60" w:type="dxa"/>
              <w:bottom w:w="60" w:type="dxa"/>
              <w:right w:w="60" w:type="dxa"/>
            </w:tcMar>
          </w:tcPr>
          <w:p w14:paraId="78FA110D" w14:textId="77777777" w:rsidR="00A7642C" w:rsidRDefault="00000000">
            <w:pPr>
              <w:jc w:val="center"/>
            </w:pPr>
            <w:r>
              <w:rPr>
                <w:sz w:val="16"/>
              </w:rPr>
              <w:t>19</w:t>
            </w:r>
          </w:p>
        </w:tc>
        <w:tc>
          <w:tcPr>
            <w:tcW w:w="2268" w:type="dxa"/>
            <w:tcMar>
              <w:top w:w="60" w:type="dxa"/>
              <w:left w:w="60" w:type="dxa"/>
              <w:bottom w:w="60" w:type="dxa"/>
              <w:right w:w="60" w:type="dxa"/>
            </w:tcMar>
          </w:tcPr>
          <w:p w14:paraId="2C6D2698" w14:textId="77777777" w:rsidR="00A7642C" w:rsidRDefault="00000000">
            <w:r>
              <w:rPr>
                <w:sz w:val="16"/>
              </w:rPr>
              <w:t>Audio/visual recording</w:t>
            </w:r>
          </w:p>
        </w:tc>
        <w:tc>
          <w:tcPr>
            <w:tcW w:w="9468" w:type="dxa"/>
            <w:tcMar>
              <w:top w:w="60" w:type="dxa"/>
              <w:left w:w="60" w:type="dxa"/>
              <w:bottom w:w="60" w:type="dxa"/>
              <w:right w:w="60" w:type="dxa"/>
            </w:tcMar>
          </w:tcPr>
          <w:p w14:paraId="726E6D42" w14:textId="77777777" w:rsidR="00A7642C" w:rsidRDefault="00000000">
            <w:r>
              <w:rPr>
                <w:sz w:val="16"/>
              </w:rPr>
              <w:t>All individual interviews and the FGD were digitally audio-recorded with consent. No video recording is reported.</w:t>
            </w:r>
          </w:p>
        </w:tc>
        <w:tc>
          <w:tcPr>
            <w:tcW w:w="3061" w:type="dxa"/>
            <w:tcMar>
              <w:top w:w="60" w:type="dxa"/>
              <w:left w:w="60" w:type="dxa"/>
              <w:bottom w:w="60" w:type="dxa"/>
              <w:right w:w="60" w:type="dxa"/>
            </w:tcMar>
          </w:tcPr>
          <w:p w14:paraId="1162673A" w14:textId="77777777" w:rsidR="00A7642C" w:rsidRDefault="00000000">
            <w:r>
              <w:rPr>
                <w:sz w:val="16"/>
              </w:rPr>
              <w:t>Methods: Data collection, pp. 10–11; Ethical considerations, p. 16.</w:t>
            </w:r>
          </w:p>
        </w:tc>
      </w:tr>
      <w:tr w:rsidR="00A7642C" w14:paraId="364CB47C" w14:textId="77777777">
        <w:trPr>
          <w:cantSplit/>
          <w:jc w:val="center"/>
        </w:trPr>
        <w:tc>
          <w:tcPr>
            <w:tcW w:w="680" w:type="dxa"/>
            <w:tcMar>
              <w:top w:w="60" w:type="dxa"/>
              <w:left w:w="60" w:type="dxa"/>
              <w:bottom w:w="60" w:type="dxa"/>
              <w:right w:w="60" w:type="dxa"/>
            </w:tcMar>
          </w:tcPr>
          <w:p w14:paraId="474E9A07" w14:textId="77777777" w:rsidR="00A7642C" w:rsidRDefault="00000000">
            <w:pPr>
              <w:jc w:val="center"/>
            </w:pPr>
            <w:r>
              <w:rPr>
                <w:sz w:val="16"/>
              </w:rPr>
              <w:t>20</w:t>
            </w:r>
          </w:p>
        </w:tc>
        <w:tc>
          <w:tcPr>
            <w:tcW w:w="2268" w:type="dxa"/>
            <w:tcMar>
              <w:top w:w="60" w:type="dxa"/>
              <w:left w:w="60" w:type="dxa"/>
              <w:bottom w:w="60" w:type="dxa"/>
              <w:right w:w="60" w:type="dxa"/>
            </w:tcMar>
          </w:tcPr>
          <w:p w14:paraId="2D77D217" w14:textId="77777777" w:rsidR="00A7642C" w:rsidRDefault="00000000">
            <w:r>
              <w:rPr>
                <w:sz w:val="16"/>
              </w:rPr>
              <w:t>Field notes</w:t>
            </w:r>
          </w:p>
        </w:tc>
        <w:tc>
          <w:tcPr>
            <w:tcW w:w="9468" w:type="dxa"/>
            <w:tcMar>
              <w:top w:w="60" w:type="dxa"/>
              <w:left w:w="60" w:type="dxa"/>
              <w:bottom w:w="60" w:type="dxa"/>
              <w:right w:w="60" w:type="dxa"/>
            </w:tcMar>
          </w:tcPr>
          <w:p w14:paraId="68C38422" w14:textId="77777777" w:rsidR="00A7642C" w:rsidRDefault="00000000">
            <w:r>
              <w:rPr>
                <w:sz w:val="16"/>
              </w:rPr>
              <w:t>EVA maintained interviewer/reflexive notes. During the FGD, an observer recorded contemporaneous notes on group interaction, non-verbal responses and contextual features; EVA prepared immediate post-discussion reflexive notes. Analytic and decision-trail memos were maintained during analysis.</w:t>
            </w:r>
          </w:p>
        </w:tc>
        <w:tc>
          <w:tcPr>
            <w:tcW w:w="3061" w:type="dxa"/>
            <w:tcMar>
              <w:top w:w="60" w:type="dxa"/>
              <w:left w:w="60" w:type="dxa"/>
              <w:bottom w:w="60" w:type="dxa"/>
              <w:right w:w="60" w:type="dxa"/>
            </w:tcMar>
          </w:tcPr>
          <w:p w14:paraId="2FB10D01" w14:textId="77777777" w:rsidR="00A7642C" w:rsidRDefault="00000000">
            <w:r>
              <w:rPr>
                <w:sz w:val="16"/>
              </w:rPr>
              <w:t>Methods: Data collection, p. 11; Researcher reflexivity and analytical quality, p. 15.</w:t>
            </w:r>
          </w:p>
        </w:tc>
      </w:tr>
      <w:tr w:rsidR="00A7642C" w14:paraId="3E93230A" w14:textId="77777777">
        <w:trPr>
          <w:cantSplit/>
          <w:jc w:val="center"/>
        </w:trPr>
        <w:tc>
          <w:tcPr>
            <w:tcW w:w="680" w:type="dxa"/>
            <w:tcMar>
              <w:top w:w="60" w:type="dxa"/>
              <w:left w:w="60" w:type="dxa"/>
              <w:bottom w:w="60" w:type="dxa"/>
              <w:right w:w="60" w:type="dxa"/>
            </w:tcMar>
          </w:tcPr>
          <w:p w14:paraId="37B4B9B6" w14:textId="77777777" w:rsidR="00A7642C" w:rsidRDefault="00000000">
            <w:pPr>
              <w:jc w:val="center"/>
            </w:pPr>
            <w:r>
              <w:rPr>
                <w:sz w:val="16"/>
              </w:rPr>
              <w:t>21</w:t>
            </w:r>
          </w:p>
        </w:tc>
        <w:tc>
          <w:tcPr>
            <w:tcW w:w="2268" w:type="dxa"/>
            <w:tcMar>
              <w:top w:w="60" w:type="dxa"/>
              <w:left w:w="60" w:type="dxa"/>
              <w:bottom w:w="60" w:type="dxa"/>
              <w:right w:w="60" w:type="dxa"/>
            </w:tcMar>
          </w:tcPr>
          <w:p w14:paraId="2B454B97" w14:textId="77777777" w:rsidR="00A7642C" w:rsidRDefault="00000000">
            <w:r>
              <w:rPr>
                <w:sz w:val="16"/>
              </w:rPr>
              <w:t>Duration</w:t>
            </w:r>
          </w:p>
        </w:tc>
        <w:tc>
          <w:tcPr>
            <w:tcW w:w="9468" w:type="dxa"/>
            <w:tcMar>
              <w:top w:w="60" w:type="dxa"/>
              <w:left w:w="60" w:type="dxa"/>
              <w:bottom w:w="60" w:type="dxa"/>
              <w:right w:w="60" w:type="dxa"/>
            </w:tcMar>
          </w:tcPr>
          <w:p w14:paraId="1C71BCD8" w14:textId="77777777" w:rsidR="00A7642C" w:rsidRDefault="00000000">
            <w:r>
              <w:rPr>
                <w:sz w:val="16"/>
              </w:rPr>
              <w:t>PA interviews lasted 44–90 minutes (75, 44, 78 and 90 minutes). Medical-officer interviews lasted 40–50 minutes. Other healthcare/community staff interviews lasted 35–40 minutes. The FGD lasted 70 minutes.</w:t>
            </w:r>
          </w:p>
        </w:tc>
        <w:tc>
          <w:tcPr>
            <w:tcW w:w="3061" w:type="dxa"/>
            <w:tcMar>
              <w:top w:w="60" w:type="dxa"/>
              <w:left w:w="60" w:type="dxa"/>
              <w:bottom w:w="60" w:type="dxa"/>
              <w:right w:w="60" w:type="dxa"/>
            </w:tcMar>
          </w:tcPr>
          <w:p w14:paraId="52666DE7" w14:textId="77777777" w:rsidR="00A7642C" w:rsidRDefault="00000000">
            <w:r>
              <w:rPr>
                <w:sz w:val="16"/>
              </w:rPr>
              <w:t>Methods: Data collection, pp. 10–11.</w:t>
            </w:r>
          </w:p>
        </w:tc>
      </w:tr>
      <w:tr w:rsidR="00A7642C" w14:paraId="7324B5C7" w14:textId="77777777">
        <w:trPr>
          <w:cantSplit/>
          <w:jc w:val="center"/>
        </w:trPr>
        <w:tc>
          <w:tcPr>
            <w:tcW w:w="680" w:type="dxa"/>
            <w:tcMar>
              <w:top w:w="60" w:type="dxa"/>
              <w:left w:w="60" w:type="dxa"/>
              <w:bottom w:w="60" w:type="dxa"/>
              <w:right w:w="60" w:type="dxa"/>
            </w:tcMar>
          </w:tcPr>
          <w:p w14:paraId="2DB41498" w14:textId="77777777" w:rsidR="00A7642C" w:rsidRDefault="00000000">
            <w:pPr>
              <w:jc w:val="center"/>
            </w:pPr>
            <w:r>
              <w:rPr>
                <w:sz w:val="16"/>
              </w:rPr>
              <w:t>22</w:t>
            </w:r>
          </w:p>
        </w:tc>
        <w:tc>
          <w:tcPr>
            <w:tcW w:w="2268" w:type="dxa"/>
            <w:tcMar>
              <w:top w:w="60" w:type="dxa"/>
              <w:left w:w="60" w:type="dxa"/>
              <w:bottom w:w="60" w:type="dxa"/>
              <w:right w:w="60" w:type="dxa"/>
            </w:tcMar>
          </w:tcPr>
          <w:p w14:paraId="7086DC83" w14:textId="77777777" w:rsidR="00A7642C" w:rsidRDefault="00000000">
            <w:r>
              <w:rPr>
                <w:sz w:val="16"/>
              </w:rPr>
              <w:t>Data saturation</w:t>
            </w:r>
          </w:p>
        </w:tc>
        <w:tc>
          <w:tcPr>
            <w:tcW w:w="9468" w:type="dxa"/>
            <w:tcMar>
              <w:top w:w="60" w:type="dxa"/>
              <w:left w:w="60" w:type="dxa"/>
              <w:bottom w:w="60" w:type="dxa"/>
              <w:right w:w="60" w:type="dxa"/>
            </w:tcMar>
          </w:tcPr>
          <w:p w14:paraId="00C690DE" w14:textId="77777777" w:rsidR="00A7642C" w:rsidRDefault="00000000">
            <w:r>
              <w:rPr>
                <w:sz w:val="16"/>
              </w:rPr>
              <w:t>No saturation-based stopping criterion was used or claimed. Sampling was structured around the bounded case and relevant stakeholder interfaces.</w:t>
            </w:r>
          </w:p>
        </w:tc>
        <w:tc>
          <w:tcPr>
            <w:tcW w:w="3061" w:type="dxa"/>
            <w:tcMar>
              <w:top w:w="60" w:type="dxa"/>
              <w:left w:w="60" w:type="dxa"/>
              <w:bottom w:w="60" w:type="dxa"/>
              <w:right w:w="60" w:type="dxa"/>
            </w:tcMar>
          </w:tcPr>
          <w:p w14:paraId="5CB0511D" w14:textId="77777777" w:rsidR="00A7642C" w:rsidRDefault="00000000">
            <w:r>
              <w:rPr>
                <w:sz w:val="16"/>
              </w:rPr>
              <w:t>Methods: Participants and recruitment, p. 8.</w:t>
            </w:r>
          </w:p>
        </w:tc>
      </w:tr>
      <w:tr w:rsidR="00A7642C" w14:paraId="141EDD5D" w14:textId="77777777">
        <w:trPr>
          <w:cantSplit/>
          <w:jc w:val="center"/>
        </w:trPr>
        <w:tc>
          <w:tcPr>
            <w:tcW w:w="680" w:type="dxa"/>
            <w:tcMar>
              <w:top w:w="60" w:type="dxa"/>
              <w:left w:w="60" w:type="dxa"/>
              <w:bottom w:w="60" w:type="dxa"/>
              <w:right w:w="60" w:type="dxa"/>
            </w:tcMar>
          </w:tcPr>
          <w:p w14:paraId="625E7C57" w14:textId="77777777" w:rsidR="00A7642C" w:rsidRDefault="00000000">
            <w:pPr>
              <w:jc w:val="center"/>
            </w:pPr>
            <w:r>
              <w:rPr>
                <w:sz w:val="16"/>
              </w:rPr>
              <w:t>23</w:t>
            </w:r>
          </w:p>
        </w:tc>
        <w:tc>
          <w:tcPr>
            <w:tcW w:w="2268" w:type="dxa"/>
            <w:tcMar>
              <w:top w:w="60" w:type="dxa"/>
              <w:left w:w="60" w:type="dxa"/>
              <w:bottom w:w="60" w:type="dxa"/>
              <w:right w:w="60" w:type="dxa"/>
            </w:tcMar>
          </w:tcPr>
          <w:p w14:paraId="5DD508C5" w14:textId="77777777" w:rsidR="00A7642C" w:rsidRDefault="00000000">
            <w:r>
              <w:rPr>
                <w:sz w:val="16"/>
              </w:rPr>
              <w:t>Transcripts returned</w:t>
            </w:r>
          </w:p>
        </w:tc>
        <w:tc>
          <w:tcPr>
            <w:tcW w:w="9468" w:type="dxa"/>
            <w:tcMar>
              <w:top w:w="60" w:type="dxa"/>
              <w:left w:w="60" w:type="dxa"/>
              <w:bottom w:w="60" w:type="dxa"/>
              <w:right w:w="60" w:type="dxa"/>
            </w:tcMar>
          </w:tcPr>
          <w:p w14:paraId="50BE4E60" w14:textId="77777777" w:rsidR="00A7642C" w:rsidRDefault="00000000">
            <w:r>
              <w:rPr>
                <w:sz w:val="16"/>
              </w:rPr>
              <w:t>All individual interview transcripts were returned to the respective participants for review and correction before analysis. This allowed correction or clarification of the recorded account and was not treated as validation of subsequent thematic interpretation. The FGD transcript was not returned for member checking.</w:t>
            </w:r>
          </w:p>
        </w:tc>
        <w:tc>
          <w:tcPr>
            <w:tcW w:w="3061" w:type="dxa"/>
            <w:tcMar>
              <w:top w:w="60" w:type="dxa"/>
              <w:left w:w="60" w:type="dxa"/>
              <w:bottom w:w="60" w:type="dxa"/>
              <w:right w:w="60" w:type="dxa"/>
            </w:tcMar>
          </w:tcPr>
          <w:p w14:paraId="2FD1866D" w14:textId="77777777" w:rsidR="00A7642C" w:rsidRDefault="00000000">
            <w:r>
              <w:rPr>
                <w:sz w:val="16"/>
              </w:rPr>
              <w:t>Methods: Data collection, p. 11.</w:t>
            </w:r>
          </w:p>
        </w:tc>
      </w:tr>
    </w:tbl>
    <w:p w14:paraId="7F1F037C" w14:textId="77777777" w:rsidR="00A7642C" w:rsidRDefault="00000000">
      <w:pPr>
        <w:pStyle w:val="Heading1"/>
        <w:spacing w:before="100" w:after="60"/>
      </w:pPr>
      <w:r>
        <w:lastRenderedPageBreak/>
        <w:t>Domain 3. Analysis and findings</w:t>
      </w:r>
    </w:p>
    <w:tbl>
      <w:tblPr>
        <w:tblStyle w:val="TableGrid"/>
        <w:tblW w:w="0" w:type="auto"/>
        <w:jc w:val="center"/>
        <w:tblLayout w:type="fixed"/>
        <w:tblLook w:val="04A0" w:firstRow="1" w:lastRow="0" w:firstColumn="1" w:lastColumn="0" w:noHBand="0" w:noVBand="1"/>
      </w:tblPr>
      <w:tblGrid>
        <w:gridCol w:w="680"/>
        <w:gridCol w:w="2268"/>
        <w:gridCol w:w="9468"/>
        <w:gridCol w:w="3061"/>
      </w:tblGrid>
      <w:tr w:rsidR="00A7642C" w14:paraId="06DCE808" w14:textId="77777777">
        <w:trPr>
          <w:cantSplit/>
          <w:tblHeader/>
          <w:jc w:val="center"/>
        </w:trPr>
        <w:tc>
          <w:tcPr>
            <w:tcW w:w="680" w:type="dxa"/>
            <w:shd w:val="clear" w:color="auto" w:fill="D9E2F3"/>
            <w:tcMar>
              <w:top w:w="60" w:type="dxa"/>
              <w:left w:w="60" w:type="dxa"/>
              <w:bottom w:w="60" w:type="dxa"/>
              <w:right w:w="60" w:type="dxa"/>
            </w:tcMar>
            <w:vAlign w:val="center"/>
          </w:tcPr>
          <w:p w14:paraId="63D5AFEB" w14:textId="77777777" w:rsidR="00A7642C" w:rsidRDefault="00000000">
            <w:pPr>
              <w:jc w:val="center"/>
            </w:pPr>
            <w:r>
              <w:rPr>
                <w:b/>
                <w:sz w:val="17"/>
              </w:rPr>
              <w:t>Item</w:t>
            </w:r>
          </w:p>
        </w:tc>
        <w:tc>
          <w:tcPr>
            <w:tcW w:w="2268" w:type="dxa"/>
            <w:shd w:val="clear" w:color="auto" w:fill="D9E2F3"/>
            <w:tcMar>
              <w:top w:w="60" w:type="dxa"/>
              <w:left w:w="60" w:type="dxa"/>
              <w:bottom w:w="60" w:type="dxa"/>
              <w:right w:w="60" w:type="dxa"/>
            </w:tcMar>
            <w:vAlign w:val="center"/>
          </w:tcPr>
          <w:p w14:paraId="17CABE96" w14:textId="77777777" w:rsidR="00A7642C" w:rsidRDefault="00000000">
            <w:pPr>
              <w:jc w:val="center"/>
            </w:pPr>
            <w:r>
              <w:rPr>
                <w:b/>
                <w:sz w:val="17"/>
              </w:rPr>
              <w:t>Topic</w:t>
            </w:r>
          </w:p>
        </w:tc>
        <w:tc>
          <w:tcPr>
            <w:tcW w:w="9468" w:type="dxa"/>
            <w:shd w:val="clear" w:color="auto" w:fill="D9E2F3"/>
            <w:tcMar>
              <w:top w:w="60" w:type="dxa"/>
              <w:left w:w="60" w:type="dxa"/>
              <w:bottom w:w="60" w:type="dxa"/>
              <w:right w:w="60" w:type="dxa"/>
            </w:tcMar>
            <w:vAlign w:val="center"/>
          </w:tcPr>
          <w:p w14:paraId="57FE4FC4" w14:textId="77777777" w:rsidR="00A7642C" w:rsidRDefault="00000000">
            <w:pPr>
              <w:jc w:val="center"/>
            </w:pPr>
            <w:r>
              <w:rPr>
                <w:b/>
                <w:sz w:val="17"/>
              </w:rPr>
              <w:t>Reported information</w:t>
            </w:r>
          </w:p>
        </w:tc>
        <w:tc>
          <w:tcPr>
            <w:tcW w:w="3061" w:type="dxa"/>
            <w:shd w:val="clear" w:color="auto" w:fill="D9E2F3"/>
            <w:tcMar>
              <w:top w:w="60" w:type="dxa"/>
              <w:left w:w="60" w:type="dxa"/>
              <w:bottom w:w="60" w:type="dxa"/>
              <w:right w:w="60" w:type="dxa"/>
            </w:tcMar>
            <w:vAlign w:val="center"/>
          </w:tcPr>
          <w:p w14:paraId="5246F2C9" w14:textId="77777777" w:rsidR="00A7642C" w:rsidRDefault="00000000">
            <w:pPr>
              <w:jc w:val="center"/>
            </w:pPr>
            <w:r>
              <w:rPr>
                <w:b/>
                <w:sz w:val="17"/>
              </w:rPr>
              <w:t>Manuscript location</w:t>
            </w:r>
          </w:p>
        </w:tc>
      </w:tr>
      <w:tr w:rsidR="00A7642C" w14:paraId="7F8B9338" w14:textId="77777777">
        <w:trPr>
          <w:cantSplit/>
          <w:jc w:val="center"/>
        </w:trPr>
        <w:tc>
          <w:tcPr>
            <w:tcW w:w="680" w:type="dxa"/>
            <w:tcMar>
              <w:top w:w="60" w:type="dxa"/>
              <w:left w:w="60" w:type="dxa"/>
              <w:bottom w:w="60" w:type="dxa"/>
              <w:right w:w="60" w:type="dxa"/>
            </w:tcMar>
          </w:tcPr>
          <w:p w14:paraId="63BE3AAB" w14:textId="77777777" w:rsidR="00A7642C" w:rsidRDefault="00000000">
            <w:pPr>
              <w:jc w:val="center"/>
            </w:pPr>
            <w:r>
              <w:rPr>
                <w:sz w:val="16"/>
              </w:rPr>
              <w:t>24</w:t>
            </w:r>
          </w:p>
        </w:tc>
        <w:tc>
          <w:tcPr>
            <w:tcW w:w="2268" w:type="dxa"/>
            <w:tcMar>
              <w:top w:w="60" w:type="dxa"/>
              <w:left w:w="60" w:type="dxa"/>
              <w:bottom w:w="60" w:type="dxa"/>
              <w:right w:w="60" w:type="dxa"/>
            </w:tcMar>
          </w:tcPr>
          <w:p w14:paraId="13DDA211" w14:textId="77777777" w:rsidR="00A7642C" w:rsidRDefault="00000000">
            <w:r>
              <w:rPr>
                <w:sz w:val="16"/>
              </w:rPr>
              <w:t>Number of data coders</w:t>
            </w:r>
          </w:p>
        </w:tc>
        <w:tc>
          <w:tcPr>
            <w:tcW w:w="9468" w:type="dxa"/>
            <w:tcMar>
              <w:top w:w="60" w:type="dxa"/>
              <w:left w:w="60" w:type="dxa"/>
              <w:bottom w:w="60" w:type="dxa"/>
              <w:right w:w="60" w:type="dxa"/>
            </w:tcMar>
          </w:tcPr>
          <w:p w14:paraId="389F27E4" w14:textId="77777777" w:rsidR="00A7642C" w:rsidRDefault="00000000">
            <w:r>
              <w:rPr>
                <w:sz w:val="16"/>
              </w:rPr>
              <w:t>EVA led the analysis and coding. Independent duplicate coding and inter-rater reliability testing were not undertaken. Supervisory and qualitative-methodology discussions were used to challenge assumptions rather than establish coding consensus.</w:t>
            </w:r>
          </w:p>
        </w:tc>
        <w:tc>
          <w:tcPr>
            <w:tcW w:w="3061" w:type="dxa"/>
            <w:tcMar>
              <w:top w:w="60" w:type="dxa"/>
              <w:left w:w="60" w:type="dxa"/>
              <w:bottom w:w="60" w:type="dxa"/>
              <w:right w:w="60" w:type="dxa"/>
            </w:tcMar>
          </w:tcPr>
          <w:p w14:paraId="4CCA14C4" w14:textId="77777777" w:rsidR="00A7642C" w:rsidRDefault="00000000">
            <w:r>
              <w:rPr>
                <w:sz w:val="16"/>
              </w:rPr>
              <w:t>Methods: Data analysis, pp. 13–14; Researcher reflexivity and analytical quality, p. 15.</w:t>
            </w:r>
          </w:p>
        </w:tc>
      </w:tr>
      <w:tr w:rsidR="00A7642C" w14:paraId="600A287E" w14:textId="77777777">
        <w:trPr>
          <w:cantSplit/>
          <w:jc w:val="center"/>
        </w:trPr>
        <w:tc>
          <w:tcPr>
            <w:tcW w:w="680" w:type="dxa"/>
            <w:tcMar>
              <w:top w:w="60" w:type="dxa"/>
              <w:left w:w="60" w:type="dxa"/>
              <w:bottom w:w="60" w:type="dxa"/>
              <w:right w:w="60" w:type="dxa"/>
            </w:tcMar>
          </w:tcPr>
          <w:p w14:paraId="289BBA64" w14:textId="77777777" w:rsidR="00A7642C" w:rsidRDefault="00000000">
            <w:pPr>
              <w:jc w:val="center"/>
            </w:pPr>
            <w:r>
              <w:rPr>
                <w:sz w:val="16"/>
              </w:rPr>
              <w:t>25</w:t>
            </w:r>
          </w:p>
        </w:tc>
        <w:tc>
          <w:tcPr>
            <w:tcW w:w="2268" w:type="dxa"/>
            <w:tcMar>
              <w:top w:w="60" w:type="dxa"/>
              <w:left w:w="60" w:type="dxa"/>
              <w:bottom w:w="60" w:type="dxa"/>
              <w:right w:w="60" w:type="dxa"/>
            </w:tcMar>
          </w:tcPr>
          <w:p w14:paraId="794A4925" w14:textId="77777777" w:rsidR="00A7642C" w:rsidRDefault="00000000">
            <w:r>
              <w:rPr>
                <w:sz w:val="16"/>
              </w:rPr>
              <w:t>Description of coding tree</w:t>
            </w:r>
          </w:p>
        </w:tc>
        <w:tc>
          <w:tcPr>
            <w:tcW w:w="9468" w:type="dxa"/>
            <w:tcMar>
              <w:top w:w="60" w:type="dxa"/>
              <w:left w:w="60" w:type="dxa"/>
              <w:bottom w:w="60" w:type="dxa"/>
              <w:right w:w="60" w:type="dxa"/>
            </w:tcMar>
          </w:tcPr>
          <w:p w14:paraId="31E500D6" w14:textId="77777777" w:rsidR="00A7642C" w:rsidRDefault="00000000">
            <w:r>
              <w:rPr>
                <w:sz w:val="16"/>
              </w:rPr>
              <w:t>An evolving coding record and analytic memos supported organisation of the material without functioning as a fixed coding framework or coder-agreement tool. A separate coding tree is not reproduced in the manuscript.</w:t>
            </w:r>
          </w:p>
        </w:tc>
        <w:tc>
          <w:tcPr>
            <w:tcW w:w="3061" w:type="dxa"/>
            <w:tcMar>
              <w:top w:w="60" w:type="dxa"/>
              <w:left w:w="60" w:type="dxa"/>
              <w:bottom w:w="60" w:type="dxa"/>
              <w:right w:w="60" w:type="dxa"/>
            </w:tcMar>
          </w:tcPr>
          <w:p w14:paraId="395DD6E7" w14:textId="77777777" w:rsidR="00A7642C" w:rsidRDefault="00000000">
            <w:r>
              <w:rPr>
                <w:sz w:val="16"/>
              </w:rPr>
              <w:t>Methods: Data analysis, p. 13.</w:t>
            </w:r>
          </w:p>
        </w:tc>
      </w:tr>
      <w:tr w:rsidR="00A7642C" w14:paraId="0529BB62" w14:textId="77777777">
        <w:trPr>
          <w:cantSplit/>
          <w:jc w:val="center"/>
        </w:trPr>
        <w:tc>
          <w:tcPr>
            <w:tcW w:w="680" w:type="dxa"/>
            <w:tcMar>
              <w:top w:w="60" w:type="dxa"/>
              <w:left w:w="60" w:type="dxa"/>
              <w:bottom w:w="60" w:type="dxa"/>
              <w:right w:w="60" w:type="dxa"/>
            </w:tcMar>
          </w:tcPr>
          <w:p w14:paraId="00C05C0B" w14:textId="77777777" w:rsidR="00A7642C" w:rsidRDefault="00000000">
            <w:pPr>
              <w:jc w:val="center"/>
            </w:pPr>
            <w:r>
              <w:rPr>
                <w:sz w:val="16"/>
              </w:rPr>
              <w:t>26</w:t>
            </w:r>
          </w:p>
        </w:tc>
        <w:tc>
          <w:tcPr>
            <w:tcW w:w="2268" w:type="dxa"/>
            <w:tcMar>
              <w:top w:w="60" w:type="dxa"/>
              <w:left w:w="60" w:type="dxa"/>
              <w:bottom w:w="60" w:type="dxa"/>
              <w:right w:w="60" w:type="dxa"/>
            </w:tcMar>
          </w:tcPr>
          <w:p w14:paraId="6E97C58B" w14:textId="77777777" w:rsidR="00A7642C" w:rsidRDefault="00000000">
            <w:r>
              <w:rPr>
                <w:sz w:val="16"/>
              </w:rPr>
              <w:t>Derivation of themes</w:t>
            </w:r>
          </w:p>
        </w:tc>
        <w:tc>
          <w:tcPr>
            <w:tcW w:w="9468" w:type="dxa"/>
            <w:tcMar>
              <w:top w:w="60" w:type="dxa"/>
              <w:left w:w="60" w:type="dxa"/>
              <w:bottom w:w="60" w:type="dxa"/>
              <w:right w:w="60" w:type="dxa"/>
            </w:tcMar>
          </w:tcPr>
          <w:p w14:paraId="4F826480" w14:textId="77777777" w:rsidR="00A7642C" w:rsidRDefault="00000000">
            <w:r>
              <w:rPr>
                <w:sz w:val="16"/>
              </w:rPr>
              <w:t>Theme development was iterative and recursive. Candidate themes were reviewed against coded extracts, the wider dataset, longitudinal trajectory memos and contrasting/disconfirming material. Themes were developed as patterns of shared meaning around central explanatory concepts rather than from code frequency or participant counts. Progressive negotiated embedding was developed through analysis rather than imposed a priori; temporal phases were used to examine change and were not treated as a deterministic stage model.</w:t>
            </w:r>
          </w:p>
        </w:tc>
        <w:tc>
          <w:tcPr>
            <w:tcW w:w="3061" w:type="dxa"/>
            <w:tcMar>
              <w:top w:w="60" w:type="dxa"/>
              <w:left w:w="60" w:type="dxa"/>
              <w:bottom w:w="60" w:type="dxa"/>
              <w:right w:w="60" w:type="dxa"/>
            </w:tcMar>
          </w:tcPr>
          <w:p w14:paraId="5856633B" w14:textId="77777777" w:rsidR="00A7642C" w:rsidRDefault="00000000">
            <w:r>
              <w:rPr>
                <w:sz w:val="16"/>
              </w:rPr>
              <w:t>Methods: Data analysis, pp. 13–14.</w:t>
            </w:r>
          </w:p>
        </w:tc>
      </w:tr>
      <w:tr w:rsidR="00A7642C" w14:paraId="7FF0CAF3" w14:textId="77777777">
        <w:trPr>
          <w:cantSplit/>
          <w:jc w:val="center"/>
        </w:trPr>
        <w:tc>
          <w:tcPr>
            <w:tcW w:w="680" w:type="dxa"/>
            <w:tcMar>
              <w:top w:w="60" w:type="dxa"/>
              <w:left w:w="60" w:type="dxa"/>
              <w:bottom w:w="60" w:type="dxa"/>
              <w:right w:w="60" w:type="dxa"/>
            </w:tcMar>
          </w:tcPr>
          <w:p w14:paraId="2D065620" w14:textId="77777777" w:rsidR="00A7642C" w:rsidRDefault="00000000">
            <w:pPr>
              <w:jc w:val="center"/>
            </w:pPr>
            <w:r>
              <w:rPr>
                <w:sz w:val="16"/>
              </w:rPr>
              <w:t>27</w:t>
            </w:r>
          </w:p>
        </w:tc>
        <w:tc>
          <w:tcPr>
            <w:tcW w:w="2268" w:type="dxa"/>
            <w:tcMar>
              <w:top w:w="60" w:type="dxa"/>
              <w:left w:w="60" w:type="dxa"/>
              <w:bottom w:w="60" w:type="dxa"/>
              <w:right w:w="60" w:type="dxa"/>
            </w:tcMar>
          </w:tcPr>
          <w:p w14:paraId="6722D3F4" w14:textId="77777777" w:rsidR="00A7642C" w:rsidRDefault="00000000">
            <w:r>
              <w:rPr>
                <w:sz w:val="16"/>
              </w:rPr>
              <w:t>Software</w:t>
            </w:r>
          </w:p>
        </w:tc>
        <w:tc>
          <w:tcPr>
            <w:tcW w:w="9468" w:type="dxa"/>
            <w:tcMar>
              <w:top w:w="60" w:type="dxa"/>
              <w:left w:w="60" w:type="dxa"/>
              <w:bottom w:w="60" w:type="dxa"/>
              <w:right w:w="60" w:type="dxa"/>
            </w:tcMar>
          </w:tcPr>
          <w:p w14:paraId="3E2A18AC" w14:textId="77777777" w:rsidR="00A7642C" w:rsidRDefault="00000000">
            <w:r>
              <w:rPr>
                <w:sz w:val="16"/>
              </w:rPr>
              <w:t>ATLAS.ti Version 26 (Scientific Software Development GmbH) was used to organise transcripts, quotations, codes, comments, memos and analytical relationships; the software did not perform interpretation.</w:t>
            </w:r>
          </w:p>
        </w:tc>
        <w:tc>
          <w:tcPr>
            <w:tcW w:w="3061" w:type="dxa"/>
            <w:tcMar>
              <w:top w:w="60" w:type="dxa"/>
              <w:left w:w="60" w:type="dxa"/>
              <w:bottom w:w="60" w:type="dxa"/>
              <w:right w:w="60" w:type="dxa"/>
            </w:tcMar>
          </w:tcPr>
          <w:p w14:paraId="700160F0" w14:textId="77777777" w:rsidR="00A7642C" w:rsidRDefault="00000000">
            <w:r>
              <w:rPr>
                <w:sz w:val="16"/>
              </w:rPr>
              <w:t>Methods: Data analysis, p. 13.</w:t>
            </w:r>
          </w:p>
        </w:tc>
      </w:tr>
      <w:tr w:rsidR="00A7642C" w14:paraId="0F1691B1" w14:textId="77777777">
        <w:trPr>
          <w:cantSplit/>
          <w:jc w:val="center"/>
        </w:trPr>
        <w:tc>
          <w:tcPr>
            <w:tcW w:w="680" w:type="dxa"/>
            <w:tcMar>
              <w:top w:w="60" w:type="dxa"/>
              <w:left w:w="60" w:type="dxa"/>
              <w:bottom w:w="60" w:type="dxa"/>
              <w:right w:w="60" w:type="dxa"/>
            </w:tcMar>
          </w:tcPr>
          <w:p w14:paraId="53A6BE8B" w14:textId="77777777" w:rsidR="00A7642C" w:rsidRDefault="00000000">
            <w:pPr>
              <w:jc w:val="center"/>
            </w:pPr>
            <w:r>
              <w:rPr>
                <w:sz w:val="16"/>
              </w:rPr>
              <w:t>28</w:t>
            </w:r>
          </w:p>
        </w:tc>
        <w:tc>
          <w:tcPr>
            <w:tcW w:w="2268" w:type="dxa"/>
            <w:tcMar>
              <w:top w:w="60" w:type="dxa"/>
              <w:left w:w="60" w:type="dxa"/>
              <w:bottom w:w="60" w:type="dxa"/>
              <w:right w:w="60" w:type="dxa"/>
            </w:tcMar>
          </w:tcPr>
          <w:p w14:paraId="3EE8B47C" w14:textId="77777777" w:rsidR="00A7642C" w:rsidRDefault="00000000">
            <w:r>
              <w:rPr>
                <w:sz w:val="16"/>
              </w:rPr>
              <w:t>Participant checking</w:t>
            </w:r>
          </w:p>
        </w:tc>
        <w:tc>
          <w:tcPr>
            <w:tcW w:w="9468" w:type="dxa"/>
            <w:tcMar>
              <w:top w:w="60" w:type="dxa"/>
              <w:left w:w="60" w:type="dxa"/>
              <w:bottom w:w="60" w:type="dxa"/>
              <w:right w:w="60" w:type="dxa"/>
            </w:tcMar>
          </w:tcPr>
          <w:p w14:paraId="0060D8A9" w14:textId="77777777" w:rsidR="00A7642C" w:rsidRDefault="00000000">
            <w:r>
              <w:rPr>
                <w:sz w:val="16"/>
              </w:rPr>
              <w:t>No formal participant validation of the analytic findings is reported. Individual transcript review was limited to correction/clarification of the recorded account and was not treated as validation of thematic interpretation. The FGD transcript was not returned for member checking.</w:t>
            </w:r>
          </w:p>
        </w:tc>
        <w:tc>
          <w:tcPr>
            <w:tcW w:w="3061" w:type="dxa"/>
            <w:tcMar>
              <w:top w:w="60" w:type="dxa"/>
              <w:left w:w="60" w:type="dxa"/>
              <w:bottom w:w="60" w:type="dxa"/>
              <w:right w:w="60" w:type="dxa"/>
            </w:tcMar>
          </w:tcPr>
          <w:p w14:paraId="1E64762E" w14:textId="77777777" w:rsidR="00A7642C" w:rsidRDefault="00000000">
            <w:r>
              <w:rPr>
                <w:sz w:val="16"/>
              </w:rPr>
              <w:t>Methods: Data collection, p. 11.</w:t>
            </w:r>
          </w:p>
        </w:tc>
      </w:tr>
      <w:tr w:rsidR="00A7642C" w14:paraId="1BD0F0D4" w14:textId="77777777">
        <w:trPr>
          <w:cantSplit/>
          <w:jc w:val="center"/>
        </w:trPr>
        <w:tc>
          <w:tcPr>
            <w:tcW w:w="680" w:type="dxa"/>
            <w:tcMar>
              <w:top w:w="60" w:type="dxa"/>
              <w:left w:w="60" w:type="dxa"/>
              <w:bottom w:w="60" w:type="dxa"/>
              <w:right w:w="60" w:type="dxa"/>
            </w:tcMar>
          </w:tcPr>
          <w:p w14:paraId="6FDFE008" w14:textId="77777777" w:rsidR="00A7642C" w:rsidRDefault="00000000">
            <w:pPr>
              <w:jc w:val="center"/>
            </w:pPr>
            <w:r>
              <w:rPr>
                <w:sz w:val="16"/>
              </w:rPr>
              <w:t>29</w:t>
            </w:r>
          </w:p>
        </w:tc>
        <w:tc>
          <w:tcPr>
            <w:tcW w:w="2268" w:type="dxa"/>
            <w:tcMar>
              <w:top w:w="60" w:type="dxa"/>
              <w:left w:w="60" w:type="dxa"/>
              <w:bottom w:w="60" w:type="dxa"/>
              <w:right w:w="60" w:type="dxa"/>
            </w:tcMar>
          </w:tcPr>
          <w:p w14:paraId="7AA27D9A" w14:textId="77777777" w:rsidR="00A7642C" w:rsidRDefault="00000000">
            <w:r>
              <w:rPr>
                <w:sz w:val="16"/>
              </w:rPr>
              <w:t>Quotations presented</w:t>
            </w:r>
          </w:p>
        </w:tc>
        <w:tc>
          <w:tcPr>
            <w:tcW w:w="9468" w:type="dxa"/>
            <w:tcMar>
              <w:top w:w="60" w:type="dxa"/>
              <w:left w:w="60" w:type="dxa"/>
              <w:bottom w:w="60" w:type="dxa"/>
              <w:right w:w="60" w:type="dxa"/>
            </w:tcMar>
          </w:tcPr>
          <w:p w14:paraId="46B96FF6" w14:textId="77777777" w:rsidR="00A7642C" w:rsidRDefault="00000000">
            <w:r>
              <w:rPr>
                <w:sz w:val="16"/>
              </w:rPr>
              <w:t>Participant quotations are presented throughout the Results and attributed to study codes; repeated interviews include time points where relevant, and FGD quotations use participant-specific FGD codes. Quotations selected for reporting were checked against their source context and ATLAS.ti export; extracts were lightly cleaned for readability without altering substantive meaning.</w:t>
            </w:r>
          </w:p>
        </w:tc>
        <w:tc>
          <w:tcPr>
            <w:tcW w:w="3061" w:type="dxa"/>
            <w:tcMar>
              <w:top w:w="60" w:type="dxa"/>
              <w:left w:w="60" w:type="dxa"/>
              <w:bottom w:w="60" w:type="dxa"/>
              <w:right w:w="60" w:type="dxa"/>
            </w:tcMar>
          </w:tcPr>
          <w:p w14:paraId="53090350" w14:textId="77777777" w:rsidR="00A7642C" w:rsidRDefault="00000000">
            <w:r>
              <w:rPr>
                <w:sz w:val="16"/>
              </w:rPr>
              <w:t>Methods: Data collection, p. 11; Data analysis, p. 14; Results, pp. 17–28.</w:t>
            </w:r>
          </w:p>
        </w:tc>
      </w:tr>
      <w:tr w:rsidR="00A7642C" w14:paraId="6E140935" w14:textId="77777777">
        <w:trPr>
          <w:cantSplit/>
          <w:jc w:val="center"/>
        </w:trPr>
        <w:tc>
          <w:tcPr>
            <w:tcW w:w="680" w:type="dxa"/>
            <w:tcMar>
              <w:top w:w="60" w:type="dxa"/>
              <w:left w:w="60" w:type="dxa"/>
              <w:bottom w:w="60" w:type="dxa"/>
              <w:right w:w="60" w:type="dxa"/>
            </w:tcMar>
          </w:tcPr>
          <w:p w14:paraId="39B3A38C" w14:textId="77777777" w:rsidR="00A7642C" w:rsidRDefault="00000000">
            <w:pPr>
              <w:jc w:val="center"/>
            </w:pPr>
            <w:r>
              <w:rPr>
                <w:sz w:val="16"/>
              </w:rPr>
              <w:t>30</w:t>
            </w:r>
          </w:p>
        </w:tc>
        <w:tc>
          <w:tcPr>
            <w:tcW w:w="2268" w:type="dxa"/>
            <w:tcMar>
              <w:top w:w="60" w:type="dxa"/>
              <w:left w:w="60" w:type="dxa"/>
              <w:bottom w:w="60" w:type="dxa"/>
              <w:right w:w="60" w:type="dxa"/>
            </w:tcMar>
          </w:tcPr>
          <w:p w14:paraId="3B9603FB" w14:textId="77777777" w:rsidR="00A7642C" w:rsidRDefault="00000000">
            <w:r>
              <w:rPr>
                <w:sz w:val="16"/>
              </w:rPr>
              <w:t>Data and findings consistent</w:t>
            </w:r>
          </w:p>
        </w:tc>
        <w:tc>
          <w:tcPr>
            <w:tcW w:w="9468" w:type="dxa"/>
            <w:tcMar>
              <w:top w:w="60" w:type="dxa"/>
              <w:left w:w="60" w:type="dxa"/>
              <w:bottom w:w="60" w:type="dxa"/>
              <w:right w:w="60" w:type="dxa"/>
            </w:tcMar>
          </w:tcPr>
          <w:p w14:paraId="05239106" w14:textId="77777777" w:rsidR="00A7642C" w:rsidRDefault="00000000">
            <w:r>
              <w:rPr>
                <w:sz w:val="16"/>
              </w:rPr>
              <w:t>Analytic claims are supported with contextualised participant quotations and explicit evidence boundaries. Cross-source divergence and negative/contrasting cases are retained, including continuing physician authority, variable clinician use of the PA role, unchanged laboratory workload, absence of PA-specific patient seeking reported by CHW01, closer supervision for unfamiliar work and tensions from role overextension.</w:t>
            </w:r>
          </w:p>
        </w:tc>
        <w:tc>
          <w:tcPr>
            <w:tcW w:w="3061" w:type="dxa"/>
            <w:tcMar>
              <w:top w:w="60" w:type="dxa"/>
              <w:left w:w="60" w:type="dxa"/>
              <w:bottom w:w="60" w:type="dxa"/>
              <w:right w:w="60" w:type="dxa"/>
            </w:tcMar>
          </w:tcPr>
          <w:p w14:paraId="407F48AE" w14:textId="77777777" w:rsidR="00A7642C" w:rsidRDefault="00000000">
            <w:r>
              <w:rPr>
                <w:sz w:val="16"/>
              </w:rPr>
              <w:t>Methods: Data analysis and analytical quality, pp. 14–15; Results, pp. 17–28; Table 3, pp. 36–37.</w:t>
            </w:r>
          </w:p>
        </w:tc>
      </w:tr>
      <w:tr w:rsidR="00A7642C" w14:paraId="7221B2D2" w14:textId="77777777">
        <w:trPr>
          <w:cantSplit/>
          <w:jc w:val="center"/>
        </w:trPr>
        <w:tc>
          <w:tcPr>
            <w:tcW w:w="680" w:type="dxa"/>
            <w:tcMar>
              <w:top w:w="60" w:type="dxa"/>
              <w:left w:w="60" w:type="dxa"/>
              <w:bottom w:w="60" w:type="dxa"/>
              <w:right w:w="60" w:type="dxa"/>
            </w:tcMar>
          </w:tcPr>
          <w:p w14:paraId="11B239D5" w14:textId="77777777" w:rsidR="00A7642C" w:rsidRDefault="00000000">
            <w:pPr>
              <w:jc w:val="center"/>
            </w:pPr>
            <w:r>
              <w:rPr>
                <w:sz w:val="16"/>
              </w:rPr>
              <w:t>31</w:t>
            </w:r>
          </w:p>
        </w:tc>
        <w:tc>
          <w:tcPr>
            <w:tcW w:w="2268" w:type="dxa"/>
            <w:tcMar>
              <w:top w:w="60" w:type="dxa"/>
              <w:left w:w="60" w:type="dxa"/>
              <w:bottom w:w="60" w:type="dxa"/>
              <w:right w:w="60" w:type="dxa"/>
            </w:tcMar>
          </w:tcPr>
          <w:p w14:paraId="7D61525A" w14:textId="77777777" w:rsidR="00A7642C" w:rsidRDefault="00000000">
            <w:r>
              <w:rPr>
                <w:sz w:val="16"/>
              </w:rPr>
              <w:t>Clarity of major themes</w:t>
            </w:r>
          </w:p>
        </w:tc>
        <w:tc>
          <w:tcPr>
            <w:tcW w:w="9468" w:type="dxa"/>
            <w:tcMar>
              <w:top w:w="60" w:type="dxa"/>
              <w:left w:w="60" w:type="dxa"/>
              <w:bottom w:w="60" w:type="dxa"/>
              <w:right w:w="60" w:type="dxa"/>
            </w:tcMar>
          </w:tcPr>
          <w:p w14:paraId="19A14CD2" w14:textId="77777777" w:rsidR="00A7642C" w:rsidRDefault="00000000">
            <w:r>
              <w:rPr>
                <w:sz w:val="16"/>
              </w:rPr>
              <w:t>Four major themes are clearly named and developed: (1) making an unfamiliar role legible through enacted capability; (2) entrustment without independence; (3) from task support to boundary-spanning coordination within primary care; and (4) relational and operational embedding outpaced institutionalisation. Progressive negotiated embedding links the four themes as an overarching process.</w:t>
            </w:r>
          </w:p>
        </w:tc>
        <w:tc>
          <w:tcPr>
            <w:tcW w:w="3061" w:type="dxa"/>
            <w:tcMar>
              <w:top w:w="60" w:type="dxa"/>
              <w:left w:w="60" w:type="dxa"/>
              <w:bottom w:w="60" w:type="dxa"/>
              <w:right w:w="60" w:type="dxa"/>
            </w:tcMar>
          </w:tcPr>
          <w:p w14:paraId="5C0CCD02" w14:textId="77777777" w:rsidR="00A7642C" w:rsidRDefault="00000000">
            <w:r>
              <w:rPr>
                <w:sz w:val="16"/>
              </w:rPr>
              <w:t>Results, pp. 18–28; Table 3, pp. 36–37; Figure 1, p. 38.</w:t>
            </w:r>
          </w:p>
        </w:tc>
      </w:tr>
      <w:tr w:rsidR="00A7642C" w14:paraId="2F2EA57A" w14:textId="77777777">
        <w:trPr>
          <w:cantSplit/>
          <w:jc w:val="center"/>
        </w:trPr>
        <w:tc>
          <w:tcPr>
            <w:tcW w:w="680" w:type="dxa"/>
            <w:tcMar>
              <w:top w:w="60" w:type="dxa"/>
              <w:left w:w="60" w:type="dxa"/>
              <w:bottom w:w="60" w:type="dxa"/>
              <w:right w:w="60" w:type="dxa"/>
            </w:tcMar>
          </w:tcPr>
          <w:p w14:paraId="11D60E1D" w14:textId="77777777" w:rsidR="00A7642C" w:rsidRDefault="00000000">
            <w:pPr>
              <w:jc w:val="center"/>
            </w:pPr>
            <w:r>
              <w:rPr>
                <w:sz w:val="16"/>
              </w:rPr>
              <w:t>32</w:t>
            </w:r>
          </w:p>
        </w:tc>
        <w:tc>
          <w:tcPr>
            <w:tcW w:w="2268" w:type="dxa"/>
            <w:tcMar>
              <w:top w:w="60" w:type="dxa"/>
              <w:left w:w="60" w:type="dxa"/>
              <w:bottom w:w="60" w:type="dxa"/>
              <w:right w:w="60" w:type="dxa"/>
            </w:tcMar>
          </w:tcPr>
          <w:p w14:paraId="5BE830B2" w14:textId="77777777" w:rsidR="00A7642C" w:rsidRDefault="00000000">
            <w:r>
              <w:rPr>
                <w:sz w:val="16"/>
              </w:rPr>
              <w:t>Clarity of minor themes/diverse cases</w:t>
            </w:r>
          </w:p>
        </w:tc>
        <w:tc>
          <w:tcPr>
            <w:tcW w:w="9468" w:type="dxa"/>
            <w:tcMar>
              <w:top w:w="60" w:type="dxa"/>
              <w:left w:w="60" w:type="dxa"/>
              <w:bottom w:w="60" w:type="dxa"/>
              <w:right w:w="60" w:type="dxa"/>
            </w:tcMar>
          </w:tcPr>
          <w:p w14:paraId="75A10569" w14:textId="77777777" w:rsidR="00A7642C" w:rsidRDefault="00000000">
            <w:r>
              <w:rPr>
                <w:sz w:val="16"/>
              </w:rPr>
              <w:t>Within-theme subheadings and contrasting cases are reported. Diverse evidence includes different physician use of the role, unchanged laboratory workload, CHW01’s report that no one specifically sought the PA, return to closer supervision for unfamiliar work, tensions from growing cross-functional flexibility, and explicit FGD probing for negative experiences.</w:t>
            </w:r>
          </w:p>
        </w:tc>
        <w:tc>
          <w:tcPr>
            <w:tcW w:w="3061" w:type="dxa"/>
            <w:tcMar>
              <w:top w:w="60" w:type="dxa"/>
              <w:left w:w="60" w:type="dxa"/>
              <w:bottom w:w="60" w:type="dxa"/>
              <w:right w:w="60" w:type="dxa"/>
            </w:tcMar>
          </w:tcPr>
          <w:p w14:paraId="3D598ACD" w14:textId="77777777" w:rsidR="00A7642C" w:rsidRDefault="00000000">
            <w:r>
              <w:rPr>
                <w:sz w:val="16"/>
              </w:rPr>
              <w:t>Methods: Data analysis, pp. 13–14; Results, pp. 19–28; Table 3, pp. 36–37.</w:t>
            </w:r>
          </w:p>
        </w:tc>
      </w:tr>
    </w:tbl>
    <w:p w14:paraId="2B8F0C58" w14:textId="77777777" w:rsidR="00A7642C" w:rsidRDefault="00000000">
      <w:pPr>
        <w:spacing w:before="100"/>
      </w:pPr>
      <w:r>
        <w:rPr>
          <w:b/>
          <w:sz w:val="16"/>
        </w:rPr>
        <w:t xml:space="preserve">COREQ reference: </w:t>
      </w:r>
      <w:r>
        <w:rPr>
          <w:sz w:val="16"/>
        </w:rPr>
        <w:t>Tong A, Sainsbury P, Craig J. Consolidated criteria for reporting qualitative research (COREQ): a 32-item checklist for interviews and focus groups. Int J Qual Health Care. 2007;19(6):349–357. doi:10.1093/intqhc/mzm042.</w:t>
      </w:r>
    </w:p>
    <w:sectPr w:rsidR="00A7642C" w:rsidSect="00034616">
      <w:footerReference w:type="default" r:id="rId8"/>
      <w:pgSz w:w="16838" w:h="11906" w:orient="landscape"/>
      <w:pgMar w:top="765" w:right="765" w:bottom="765" w:left="7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9ABD" w14:textId="77777777" w:rsidR="00EB59A3" w:rsidRDefault="00EB59A3">
      <w:pPr>
        <w:spacing w:after="0" w:line="240" w:lineRule="auto"/>
      </w:pPr>
      <w:r>
        <w:separator/>
      </w:r>
    </w:p>
  </w:endnote>
  <w:endnote w:type="continuationSeparator" w:id="0">
    <w:p w14:paraId="0CAFBA8D" w14:textId="77777777" w:rsidR="00EB59A3" w:rsidRDefault="00EB5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artika">
    <w:panose1 w:val="02020503030404060203"/>
    <w:charset w:val="00"/>
    <w:family w:val="roman"/>
    <w:pitch w:val="variable"/>
    <w:sig w:usb0="008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75C1" w14:textId="77777777" w:rsidR="00A7642C" w:rsidRDefault="00000000">
    <w:pPr>
      <w:pStyle w:val="Footer"/>
      <w:jc w:val="center"/>
    </w:pPr>
    <w:r>
      <w:fldChar w:fldCharType="begin"/>
    </w:r>
    <w:r>
      <w:instrText xml:space="preserve"> PAGE </w:instrText>
    </w:r>
    <w:r w:rsidR="0002235F">
      <w:fldChar w:fldCharType="separate"/>
    </w:r>
    <w:r w:rsidR="0002235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25A17" w14:textId="77777777" w:rsidR="00EB59A3" w:rsidRDefault="00EB59A3">
      <w:pPr>
        <w:spacing w:after="0" w:line="240" w:lineRule="auto"/>
      </w:pPr>
      <w:r>
        <w:separator/>
      </w:r>
    </w:p>
  </w:footnote>
  <w:footnote w:type="continuationSeparator" w:id="0">
    <w:p w14:paraId="6B0823FD" w14:textId="77777777" w:rsidR="00EB59A3" w:rsidRDefault="00EB5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3526261">
    <w:abstractNumId w:val="8"/>
  </w:num>
  <w:num w:numId="2" w16cid:durableId="1358659255">
    <w:abstractNumId w:val="6"/>
  </w:num>
  <w:num w:numId="3" w16cid:durableId="973682803">
    <w:abstractNumId w:val="5"/>
  </w:num>
  <w:num w:numId="4" w16cid:durableId="951669398">
    <w:abstractNumId w:val="4"/>
  </w:num>
  <w:num w:numId="5" w16cid:durableId="805314815">
    <w:abstractNumId w:val="7"/>
  </w:num>
  <w:num w:numId="6" w16cid:durableId="673843211">
    <w:abstractNumId w:val="3"/>
  </w:num>
  <w:num w:numId="7" w16cid:durableId="763460091">
    <w:abstractNumId w:val="2"/>
  </w:num>
  <w:num w:numId="8" w16cid:durableId="536815353">
    <w:abstractNumId w:val="1"/>
  </w:num>
  <w:num w:numId="9" w16cid:durableId="547647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35F"/>
    <w:rsid w:val="00034616"/>
    <w:rsid w:val="0006063C"/>
    <w:rsid w:val="0015074B"/>
    <w:rsid w:val="0029639D"/>
    <w:rsid w:val="00326F90"/>
    <w:rsid w:val="00380DE9"/>
    <w:rsid w:val="00A7642C"/>
    <w:rsid w:val="00AA1D8D"/>
    <w:rsid w:val="00B47730"/>
    <w:rsid w:val="00C80CBE"/>
    <w:rsid w:val="00CB0664"/>
    <w:rsid w:val="00EB59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9EA17"/>
  <w14:defaultImageDpi w14:val="300"/>
  <w15:docId w15:val="{91C3E7C3-6001-B743-B31A-D617105D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16fdfc6-7590-46df-8878-831e1b6bc916}" enabled="0" method="" siteId="{916fdfc6-7590-46df-8878-831e1b6bc91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1801</Words>
  <Characters>11442</Characters>
  <Application>Microsoft Office Word</Application>
  <DocSecurity>0</DocSecurity>
  <Lines>240</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Completed COREQ checklist</dc:title>
  <dc:subject/>
  <dc:creator>Ebin Abraham</dc:creator>
  <cp:keywords/>
  <dc:description/>
  <cp:lastModifiedBy>Ebin V Abraham</cp:lastModifiedBy>
  <cp:revision>3</cp:revision>
  <dcterms:created xsi:type="dcterms:W3CDTF">2026-10-10T06:37:00Z</dcterms:created>
  <dcterms:modified xsi:type="dcterms:W3CDTF">2026-10-10T06:38:00Z</dcterms:modified>
  <cp:category/>
</cp:coreProperties>
</file>